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C36C1" w14:textId="16641A18" w:rsidR="002B2CFC" w:rsidRPr="002B2CFC" w:rsidRDefault="002B2CFC" w:rsidP="009F1144">
      <w:pPr>
        <w:tabs>
          <w:tab w:val="left" w:pos="1"/>
          <w:tab w:val="left" w:pos="576"/>
          <w:tab w:val="left" w:pos="1296"/>
          <w:tab w:val="left" w:pos="2016"/>
          <w:tab w:val="left" w:pos="2736"/>
          <w:tab w:val="left" w:pos="5616"/>
          <w:tab w:val="right" w:pos="9216"/>
        </w:tabs>
        <w:spacing w:line="279" w:lineRule="exact"/>
        <w:rPr>
          <w:b/>
          <w:bCs/>
          <w:szCs w:val="24"/>
          <w:lang w:val="en-US" w:eastAsia="en-US"/>
        </w:rPr>
      </w:pPr>
      <w:bookmarkStart w:id="0" w:name="_GoBack"/>
      <w:bookmarkEnd w:id="0"/>
    </w:p>
    <w:p w14:paraId="37DD6F6B"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p>
    <w:p w14:paraId="45082587"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bookmarkStart w:id="1" w:name="OLE_LINK1"/>
      <w:bookmarkStart w:id="2" w:name="Neurotox"/>
      <w:r w:rsidRPr="002B2CFC">
        <w:rPr>
          <w:b/>
          <w:bCs/>
          <w:szCs w:val="24"/>
          <w:lang w:val="en-US" w:eastAsia="en-US"/>
        </w:rPr>
        <w:t>AUSTRALIAN PESTICIDES AND VETERINARY MEDICINES AUTHORITY</w:t>
      </w:r>
    </w:p>
    <w:p w14:paraId="649474B9"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p>
    <w:p w14:paraId="2E4EBE64"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r w:rsidRPr="002B2CFC">
        <w:rPr>
          <w:b/>
          <w:bCs/>
          <w:szCs w:val="24"/>
          <w:lang w:val="en-US" w:eastAsia="en-US"/>
        </w:rPr>
        <w:t>AUSTRALIA</w:t>
      </w:r>
    </w:p>
    <w:p w14:paraId="1DEACC5C"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p>
    <w:p w14:paraId="53AEAA94" w14:textId="77777777" w:rsid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p>
    <w:p w14:paraId="6ED2E2B4" w14:textId="77777777" w:rsidR="003A1442" w:rsidRDefault="003A1442"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p>
    <w:p w14:paraId="2B5005A8" w14:textId="77777777" w:rsidR="003A1442" w:rsidRPr="002B2CFC" w:rsidRDefault="003A1442"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p>
    <w:p w14:paraId="37F5D805"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p>
    <w:p w14:paraId="6D6D176C"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r w:rsidRPr="002B2CFC">
        <w:rPr>
          <w:b/>
          <w:bCs/>
          <w:szCs w:val="24"/>
          <w:lang w:val="en-US" w:eastAsia="en-US"/>
        </w:rPr>
        <w:t>CHEMICAL REVIEW PROGRAM</w:t>
      </w:r>
    </w:p>
    <w:p w14:paraId="0D2881C0" w14:textId="77777777" w:rsidR="003A1442" w:rsidRDefault="003A1442" w:rsidP="003A1442">
      <w:pPr>
        <w:jc w:val="center"/>
        <w:rPr>
          <w:b/>
        </w:rPr>
      </w:pPr>
    </w:p>
    <w:p w14:paraId="66064B6F" w14:textId="77777777" w:rsidR="003A1442" w:rsidRDefault="003A1442" w:rsidP="003A1442">
      <w:pPr>
        <w:jc w:val="center"/>
        <w:rPr>
          <w:b/>
        </w:rPr>
      </w:pPr>
    </w:p>
    <w:p w14:paraId="1A88D35E" w14:textId="77777777" w:rsidR="003A1442" w:rsidRDefault="003A1442" w:rsidP="003A1442">
      <w:pPr>
        <w:jc w:val="center"/>
        <w:rPr>
          <w:b/>
        </w:rPr>
      </w:pPr>
      <w:r>
        <w:rPr>
          <w:b/>
        </w:rPr>
        <w:t>REVIEW OF THE MAMMALIAN TOXICOLOGY</w:t>
      </w:r>
    </w:p>
    <w:p w14:paraId="0E218229" w14:textId="77777777" w:rsidR="003A1442" w:rsidRDefault="003A1442" w:rsidP="003A1442">
      <w:pPr>
        <w:jc w:val="center"/>
        <w:rPr>
          <w:b/>
        </w:rPr>
      </w:pPr>
    </w:p>
    <w:p w14:paraId="368B1D89" w14:textId="77777777" w:rsidR="003A1442" w:rsidRDefault="003A1442" w:rsidP="003A1442">
      <w:pPr>
        <w:jc w:val="center"/>
        <w:rPr>
          <w:b/>
        </w:rPr>
      </w:pPr>
      <w:r>
        <w:rPr>
          <w:b/>
        </w:rPr>
        <w:t>AND</w:t>
      </w:r>
    </w:p>
    <w:p w14:paraId="11F8E4EB" w14:textId="77777777" w:rsidR="003A1442" w:rsidRDefault="003A1442" w:rsidP="003A1442">
      <w:pPr>
        <w:jc w:val="center"/>
        <w:rPr>
          <w:b/>
        </w:rPr>
      </w:pPr>
    </w:p>
    <w:p w14:paraId="1472BE2D" w14:textId="77777777" w:rsidR="003A1442" w:rsidRDefault="003A1442" w:rsidP="003A1442">
      <w:pPr>
        <w:jc w:val="center"/>
        <w:rPr>
          <w:b/>
        </w:rPr>
      </w:pPr>
      <w:r>
        <w:rPr>
          <w:b/>
        </w:rPr>
        <w:t>METABOLISM/TOXICOKINETICS</w:t>
      </w:r>
    </w:p>
    <w:p w14:paraId="10F67DAC" w14:textId="77777777" w:rsidR="003A1442" w:rsidRDefault="003A1442" w:rsidP="003A1442">
      <w:pPr>
        <w:jc w:val="center"/>
        <w:rPr>
          <w:b/>
        </w:rPr>
      </w:pPr>
    </w:p>
    <w:p w14:paraId="5B3FE13C" w14:textId="77777777" w:rsidR="003A1442" w:rsidRDefault="003A1442" w:rsidP="003A1442">
      <w:pPr>
        <w:jc w:val="center"/>
        <w:rPr>
          <w:b/>
        </w:rPr>
      </w:pPr>
      <w:r>
        <w:rPr>
          <w:b/>
        </w:rPr>
        <w:t>OF</w:t>
      </w:r>
    </w:p>
    <w:p w14:paraId="3CB0AC04" w14:textId="77777777" w:rsidR="003A1442" w:rsidRDefault="003A1442" w:rsidP="003A1442">
      <w:pPr>
        <w:jc w:val="center"/>
        <w:rPr>
          <w:b/>
        </w:rPr>
      </w:pPr>
    </w:p>
    <w:p w14:paraId="60C3DA89" w14:textId="77777777" w:rsidR="003A1442" w:rsidRDefault="003A1442" w:rsidP="003A1442">
      <w:pPr>
        <w:jc w:val="center"/>
        <w:rPr>
          <w:b/>
          <w:sz w:val="32"/>
        </w:rPr>
      </w:pPr>
      <w:r>
        <w:rPr>
          <w:b/>
          <w:sz w:val="32"/>
        </w:rPr>
        <w:t>PARAQUAT</w:t>
      </w:r>
    </w:p>
    <w:p w14:paraId="54A3A5BE" w14:textId="77777777" w:rsidR="003A1442" w:rsidRDefault="003A1442" w:rsidP="003A1442">
      <w:pPr>
        <w:jc w:val="center"/>
        <w:rPr>
          <w:b/>
          <w:sz w:val="32"/>
        </w:rPr>
      </w:pPr>
    </w:p>
    <w:p w14:paraId="251A3A0C"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p>
    <w:p w14:paraId="7A31B7E5" w14:textId="35C1AAE7" w:rsidR="002B2CFC" w:rsidRPr="003A1442" w:rsidRDefault="00345289" w:rsidP="002B2CFC">
      <w:pPr>
        <w:tabs>
          <w:tab w:val="left" w:pos="1"/>
          <w:tab w:val="left" w:pos="576"/>
          <w:tab w:val="left" w:pos="1296"/>
          <w:tab w:val="left" w:pos="2016"/>
          <w:tab w:val="left" w:pos="2736"/>
          <w:tab w:val="left" w:pos="5616"/>
          <w:tab w:val="right" w:pos="9216"/>
        </w:tabs>
        <w:spacing w:line="279" w:lineRule="exact"/>
        <w:jc w:val="center"/>
        <w:rPr>
          <w:b/>
          <w:bCs/>
          <w:sz w:val="32"/>
          <w:szCs w:val="24"/>
          <w:u w:val="single"/>
          <w:lang w:val="en-US" w:eastAsia="en-US"/>
        </w:rPr>
      </w:pPr>
      <w:r w:rsidRPr="003A1442">
        <w:rPr>
          <w:b/>
          <w:bCs/>
          <w:sz w:val="32"/>
          <w:szCs w:val="24"/>
          <w:u w:val="single"/>
          <w:lang w:val="en-US" w:eastAsia="en-US"/>
        </w:rPr>
        <w:t>Supplement II:</w:t>
      </w:r>
      <w:r w:rsidR="0021256F">
        <w:rPr>
          <w:b/>
          <w:bCs/>
          <w:sz w:val="32"/>
          <w:szCs w:val="24"/>
          <w:u w:val="single"/>
          <w:lang w:val="en-US" w:eastAsia="en-US"/>
        </w:rPr>
        <w:t xml:space="preserve"> NEUROTOXICOLOGY</w:t>
      </w:r>
      <w:r w:rsidR="003A1442" w:rsidRPr="003A1442">
        <w:rPr>
          <w:b/>
          <w:bCs/>
          <w:sz w:val="32"/>
          <w:szCs w:val="24"/>
          <w:u w:val="single"/>
          <w:lang w:val="en-US" w:eastAsia="en-US"/>
        </w:rPr>
        <w:t xml:space="preserve"> </w:t>
      </w:r>
    </w:p>
    <w:p w14:paraId="6068CEB7"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rPr>
          <w:b/>
          <w:bCs/>
          <w:szCs w:val="24"/>
          <w:lang w:val="en-US" w:eastAsia="en-US"/>
        </w:rPr>
      </w:pPr>
    </w:p>
    <w:p w14:paraId="2FCF2C81"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szCs w:val="24"/>
          <w:lang w:val="en-US" w:eastAsia="en-US"/>
        </w:rPr>
      </w:pPr>
    </w:p>
    <w:p w14:paraId="39EB2B87"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rPr>
          <w:b/>
          <w:bCs/>
          <w:iCs/>
          <w:sz w:val="28"/>
          <w:szCs w:val="28"/>
          <w:lang w:val="en-US" w:eastAsia="en-US"/>
        </w:rPr>
      </w:pPr>
    </w:p>
    <w:p w14:paraId="0DF1ABA5"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iCs/>
          <w:szCs w:val="24"/>
          <w:lang w:val="en-US" w:eastAsia="en-US"/>
        </w:rPr>
      </w:pPr>
    </w:p>
    <w:p w14:paraId="0B528501"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b/>
          <w:bCs/>
          <w:iCs/>
          <w:szCs w:val="24"/>
          <w:lang w:val="en-US" w:eastAsia="en-US"/>
        </w:rPr>
      </w:pPr>
    </w:p>
    <w:p w14:paraId="77C52358" w14:textId="77777777" w:rsidR="003A1442" w:rsidRDefault="003A1442" w:rsidP="003A1442">
      <w:pPr>
        <w:jc w:val="center"/>
        <w:rPr>
          <w:b/>
          <w:i/>
        </w:rPr>
      </w:pPr>
      <w:r>
        <w:rPr>
          <w:b/>
          <w:i/>
        </w:rPr>
        <w:t>Prepared by the</w:t>
      </w:r>
    </w:p>
    <w:p w14:paraId="60E9D8B5" w14:textId="77777777" w:rsidR="003A1442" w:rsidRDefault="003A1442" w:rsidP="003A1442">
      <w:pPr>
        <w:jc w:val="center"/>
        <w:rPr>
          <w:b/>
        </w:rPr>
      </w:pPr>
    </w:p>
    <w:p w14:paraId="062B8DC5" w14:textId="77777777" w:rsidR="003A1442" w:rsidRDefault="003A1442" w:rsidP="003A1442">
      <w:pPr>
        <w:jc w:val="center"/>
        <w:rPr>
          <w:b/>
        </w:rPr>
      </w:pPr>
      <w:r>
        <w:rPr>
          <w:b/>
        </w:rPr>
        <w:t xml:space="preserve">Agricultural and Veterinary Chemical Assessment Team </w:t>
      </w:r>
    </w:p>
    <w:p w14:paraId="4FEA7543" w14:textId="77777777" w:rsidR="003A1442" w:rsidRDefault="003A1442" w:rsidP="003A1442">
      <w:pPr>
        <w:jc w:val="center"/>
        <w:rPr>
          <w:b/>
        </w:rPr>
      </w:pPr>
      <w:r>
        <w:rPr>
          <w:b/>
        </w:rPr>
        <w:t>Office of Chemical Safety</w:t>
      </w:r>
    </w:p>
    <w:p w14:paraId="70A17C1B" w14:textId="77777777" w:rsidR="003A1442" w:rsidRDefault="003A1442" w:rsidP="003A1442">
      <w:pPr>
        <w:jc w:val="center"/>
        <w:rPr>
          <w:b/>
        </w:rPr>
      </w:pPr>
    </w:p>
    <w:p w14:paraId="7E22FFCE" w14:textId="77777777" w:rsidR="003A1442" w:rsidRDefault="003A1442" w:rsidP="003A1442">
      <w:pPr>
        <w:jc w:val="center"/>
        <w:rPr>
          <w:b/>
        </w:rPr>
      </w:pPr>
    </w:p>
    <w:p w14:paraId="1FBC8689" w14:textId="77777777" w:rsidR="003A1442" w:rsidRDefault="003A1442" w:rsidP="003A1442">
      <w:pPr>
        <w:jc w:val="center"/>
        <w:rPr>
          <w:b/>
          <w:i/>
        </w:rPr>
      </w:pPr>
      <w:r>
        <w:rPr>
          <w:b/>
          <w:i/>
        </w:rPr>
        <w:t>of the</w:t>
      </w:r>
    </w:p>
    <w:p w14:paraId="1E82039F" w14:textId="77777777" w:rsidR="003A1442" w:rsidRDefault="003A1442" w:rsidP="003A1442">
      <w:pPr>
        <w:jc w:val="center"/>
        <w:rPr>
          <w:b/>
        </w:rPr>
      </w:pPr>
    </w:p>
    <w:p w14:paraId="7CD1BA08" w14:textId="77777777" w:rsidR="003A1442" w:rsidRDefault="003A1442" w:rsidP="003A1442">
      <w:pPr>
        <w:jc w:val="center"/>
        <w:rPr>
          <w:b/>
        </w:rPr>
      </w:pPr>
      <w:r>
        <w:rPr>
          <w:b/>
        </w:rPr>
        <w:t>Department of Health</w:t>
      </w:r>
    </w:p>
    <w:p w14:paraId="14DACBDB" w14:textId="77777777" w:rsidR="003A1442" w:rsidRDefault="003A1442" w:rsidP="003A1442">
      <w:pPr>
        <w:jc w:val="center"/>
        <w:rPr>
          <w:b/>
        </w:rPr>
      </w:pPr>
    </w:p>
    <w:p w14:paraId="28CB4948" w14:textId="77777777" w:rsidR="003A1442" w:rsidRDefault="003A1442" w:rsidP="003A1442">
      <w:pPr>
        <w:jc w:val="center"/>
        <w:rPr>
          <w:b/>
        </w:rPr>
      </w:pPr>
      <w:r>
        <w:rPr>
          <w:b/>
        </w:rPr>
        <w:t>Canberra</w:t>
      </w:r>
    </w:p>
    <w:p w14:paraId="19C715E4" w14:textId="77777777" w:rsidR="002B2CFC" w:rsidRPr="002B2CFC" w:rsidRDefault="002B2CFC" w:rsidP="002B2CFC">
      <w:pPr>
        <w:tabs>
          <w:tab w:val="left" w:pos="-1080"/>
          <w:tab w:val="left" w:pos="1110"/>
          <w:tab w:val="left" w:pos="2187"/>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79" w:lineRule="exact"/>
        <w:jc w:val="center"/>
        <w:rPr>
          <w:b/>
          <w:bCs/>
          <w:szCs w:val="24"/>
          <w:lang w:val="sv-SE" w:eastAsia="en-US"/>
        </w:rPr>
      </w:pPr>
    </w:p>
    <w:p w14:paraId="3A94D8CA" w14:textId="0714EF14" w:rsidR="00D709F1" w:rsidRPr="002B2CFC" w:rsidRDefault="00065BAE" w:rsidP="002B2CFC">
      <w:pPr>
        <w:jc w:val="center"/>
        <w:rPr>
          <w:b/>
          <w:bCs/>
          <w:szCs w:val="24"/>
          <w:lang w:val="sv-SE" w:eastAsia="en-US"/>
        </w:rPr>
      </w:pPr>
      <w:r>
        <w:rPr>
          <w:b/>
          <w:bCs/>
          <w:szCs w:val="24"/>
          <w:lang w:val="sv-SE" w:eastAsia="en-US"/>
        </w:rPr>
        <w:t>October</w:t>
      </w:r>
      <w:r w:rsidR="00236FA3">
        <w:rPr>
          <w:b/>
          <w:bCs/>
          <w:szCs w:val="24"/>
          <w:lang w:val="sv-SE" w:eastAsia="en-US"/>
        </w:rPr>
        <w:t xml:space="preserve"> 2016</w:t>
      </w:r>
    </w:p>
    <w:p w14:paraId="7ECFFC14" w14:textId="77777777" w:rsidR="002B2CFC" w:rsidRPr="002B2CFC" w:rsidRDefault="002B2CFC" w:rsidP="002B2CFC">
      <w:pPr>
        <w:spacing w:before="120"/>
        <w:rPr>
          <w:szCs w:val="24"/>
          <w:lang w:eastAsia="en-US"/>
        </w:rPr>
      </w:pPr>
    </w:p>
    <w:p w14:paraId="161DE003" w14:textId="77777777" w:rsidR="002B2CFC" w:rsidRDefault="002B2CFC" w:rsidP="002B2CFC">
      <w:pPr>
        <w:spacing w:line="280" w:lineRule="exact"/>
        <w:rPr>
          <w:rFonts w:ascii="Times New Roman Bold" w:hAnsi="Times New Roman Bold"/>
          <w:b/>
          <w:caps/>
        </w:rPr>
      </w:pPr>
    </w:p>
    <w:p w14:paraId="14B99434" w14:textId="77777777" w:rsidR="00AE109E" w:rsidRPr="002B2CFC" w:rsidRDefault="00AE109E" w:rsidP="002B2CFC">
      <w:pPr>
        <w:spacing w:line="280" w:lineRule="exact"/>
        <w:rPr>
          <w:szCs w:val="24"/>
          <w:lang w:val="en-US" w:eastAsia="en-US"/>
        </w:rPr>
      </w:pPr>
    </w:p>
    <w:p w14:paraId="13277FFA" w14:textId="77777777" w:rsidR="002B2CFC" w:rsidRPr="002B2CFC" w:rsidRDefault="00CF56FF" w:rsidP="002B2CFC">
      <w:pPr>
        <w:spacing w:line="280" w:lineRule="exact"/>
        <w:rPr>
          <w:szCs w:val="24"/>
          <w:lang w:val="en-US" w:eastAsia="en-US"/>
        </w:rPr>
      </w:pPr>
      <w:r>
        <w:rPr>
          <w:szCs w:val="24"/>
          <w:lang w:val="en-US" w:eastAsia="en-US"/>
        </w:rPr>
        <w:lastRenderedPageBreak/>
        <w:t xml:space="preserve">This report was undertaken by the Office of Chemical Safety (OCS) at the request of the Australian Pesticides and Veterinary Medicines Authority (APVMA), under the Chemical Review Program. </w:t>
      </w:r>
      <w:r w:rsidR="002B2CFC" w:rsidRPr="002B2CFC">
        <w:rPr>
          <w:szCs w:val="24"/>
          <w:lang w:val="en-US" w:eastAsia="en-US"/>
        </w:rPr>
        <w:t xml:space="preserve">Paraquat is under review because of concerns over the potential risk to </w:t>
      </w:r>
      <w:r w:rsidR="009C1B7C">
        <w:rPr>
          <w:szCs w:val="24"/>
          <w:lang w:val="en-US" w:eastAsia="en-US"/>
        </w:rPr>
        <w:t>human health and the environment</w:t>
      </w:r>
      <w:r w:rsidR="00EA160F">
        <w:rPr>
          <w:szCs w:val="24"/>
          <w:lang w:val="en-US" w:eastAsia="en-US"/>
        </w:rPr>
        <w:t xml:space="preserve">. </w:t>
      </w:r>
    </w:p>
    <w:p w14:paraId="6D6545BA" w14:textId="77777777" w:rsidR="002B2CFC" w:rsidRPr="002B2CFC" w:rsidRDefault="002B2CFC" w:rsidP="002B2CFC">
      <w:pPr>
        <w:spacing w:line="280" w:lineRule="exact"/>
        <w:rPr>
          <w:szCs w:val="24"/>
          <w:lang w:val="en-US" w:eastAsia="en-US"/>
        </w:rPr>
      </w:pPr>
    </w:p>
    <w:p w14:paraId="6130DB57" w14:textId="0F907D1F" w:rsidR="002B2CFC" w:rsidRPr="002B2CFC" w:rsidRDefault="00B14188" w:rsidP="002B2CFC">
      <w:pPr>
        <w:keepNext/>
        <w:keepLines/>
        <w:rPr>
          <w:szCs w:val="24"/>
          <w:lang w:val="en-US" w:eastAsia="en-US"/>
        </w:rPr>
      </w:pPr>
      <w:r>
        <w:t>A draft toxicology review was submitted to APVMA in 2003 and was subsequently revised and updated in 2009.</w:t>
      </w:r>
      <w:r w:rsidR="008A46E0">
        <w:rPr>
          <w:szCs w:val="24"/>
          <w:lang w:val="en-US" w:eastAsia="en-US"/>
        </w:rPr>
        <w:t xml:space="preserve"> </w:t>
      </w:r>
      <w:r w:rsidR="002B2CFC" w:rsidRPr="002B2CFC">
        <w:rPr>
          <w:szCs w:val="24"/>
          <w:lang w:val="en-US" w:eastAsia="en-US"/>
        </w:rPr>
        <w:t xml:space="preserve"> </w:t>
      </w:r>
      <w:r>
        <w:rPr>
          <w:szCs w:val="24"/>
          <w:lang w:val="en-US" w:eastAsia="en-US"/>
        </w:rPr>
        <w:t xml:space="preserve">At </w:t>
      </w:r>
      <w:r w:rsidR="00BD666E">
        <w:rPr>
          <w:szCs w:val="24"/>
          <w:lang w:val="en-US" w:eastAsia="en-US"/>
        </w:rPr>
        <w:t xml:space="preserve">that </w:t>
      </w:r>
      <w:r>
        <w:rPr>
          <w:szCs w:val="24"/>
          <w:lang w:val="en-US" w:eastAsia="en-US"/>
        </w:rPr>
        <w:t>stage</w:t>
      </w:r>
      <w:r w:rsidR="002B2CFC" w:rsidRPr="002B2CFC">
        <w:rPr>
          <w:szCs w:val="24"/>
          <w:lang w:val="en-US" w:eastAsia="en-US"/>
        </w:rPr>
        <w:t xml:space="preserve">, the OCS identified </w:t>
      </w:r>
      <w:r w:rsidR="00BD666E">
        <w:rPr>
          <w:szCs w:val="24"/>
          <w:lang w:val="en-US" w:eastAsia="en-US"/>
        </w:rPr>
        <w:t xml:space="preserve">published </w:t>
      </w:r>
      <w:r w:rsidR="002B2CFC" w:rsidRPr="002B2CFC">
        <w:rPr>
          <w:szCs w:val="24"/>
          <w:lang w:val="en-US" w:eastAsia="en-US"/>
        </w:rPr>
        <w:t>reports of neurotoxicity in mice following treatment with paraquat</w:t>
      </w:r>
      <w:r w:rsidR="0030423B">
        <w:rPr>
          <w:szCs w:val="24"/>
          <w:lang w:val="en-US" w:eastAsia="en-US"/>
        </w:rPr>
        <w:t>,</w:t>
      </w:r>
      <w:r w:rsidR="002B2CFC" w:rsidRPr="002B2CFC">
        <w:rPr>
          <w:szCs w:val="24"/>
          <w:lang w:val="en-US" w:eastAsia="en-US"/>
        </w:rPr>
        <w:t xml:space="preserve"> where the histological lesions observed in the </w:t>
      </w:r>
      <w:r w:rsidR="0030423B">
        <w:rPr>
          <w:szCs w:val="24"/>
          <w:lang w:val="en-US" w:eastAsia="en-US"/>
        </w:rPr>
        <w:t xml:space="preserve">brains of </w:t>
      </w:r>
      <w:r w:rsidR="002B2CFC" w:rsidRPr="002B2CFC">
        <w:rPr>
          <w:szCs w:val="24"/>
          <w:lang w:val="en-US" w:eastAsia="en-US"/>
        </w:rPr>
        <w:t>mice had similarities to the neurological lesions observed in patients with Parkinson’s disease.</w:t>
      </w:r>
    </w:p>
    <w:p w14:paraId="2A5B92AA" w14:textId="77777777" w:rsidR="002B2CFC" w:rsidRPr="002B2CFC" w:rsidRDefault="002B2CFC" w:rsidP="002B2CFC">
      <w:pPr>
        <w:keepNext/>
        <w:keepLines/>
        <w:rPr>
          <w:szCs w:val="24"/>
          <w:lang w:val="en-US" w:eastAsia="en-US"/>
        </w:rPr>
      </w:pPr>
    </w:p>
    <w:p w14:paraId="1616597B" w14:textId="5D0C095E" w:rsidR="002B2CFC" w:rsidRPr="002B2CFC" w:rsidRDefault="002B2CFC" w:rsidP="002B2CFC">
      <w:pPr>
        <w:spacing w:line="280" w:lineRule="exact"/>
        <w:rPr>
          <w:szCs w:val="24"/>
          <w:lang w:val="en-US" w:eastAsia="en-US"/>
        </w:rPr>
      </w:pPr>
      <w:r w:rsidRPr="002B2CFC">
        <w:rPr>
          <w:szCs w:val="24"/>
          <w:lang w:val="en-US" w:eastAsia="en-US"/>
        </w:rPr>
        <w:t xml:space="preserve">In 2010, the APVMA requested that OCS prepare </w:t>
      </w:r>
      <w:r w:rsidR="008A46E0">
        <w:rPr>
          <w:szCs w:val="24"/>
          <w:lang w:val="en-US" w:eastAsia="en-US"/>
        </w:rPr>
        <w:t>a supplementary report specifically considering the potential</w:t>
      </w:r>
      <w:r w:rsidR="00232844">
        <w:rPr>
          <w:szCs w:val="24"/>
          <w:lang w:val="en-US" w:eastAsia="en-US"/>
        </w:rPr>
        <w:t xml:space="preserve"> </w:t>
      </w:r>
      <w:r w:rsidRPr="002B2CFC">
        <w:rPr>
          <w:szCs w:val="24"/>
          <w:lang w:val="en-US" w:eastAsia="en-US"/>
        </w:rPr>
        <w:t>neurotoxicity of paraquat, up to and including the latest information, and includ</w:t>
      </w:r>
      <w:r w:rsidR="00232844">
        <w:rPr>
          <w:szCs w:val="24"/>
          <w:lang w:val="en-US" w:eastAsia="en-US"/>
        </w:rPr>
        <w:t>ing</w:t>
      </w:r>
      <w:r w:rsidRPr="002B2CFC">
        <w:rPr>
          <w:szCs w:val="24"/>
          <w:lang w:val="en-US" w:eastAsia="en-US"/>
        </w:rPr>
        <w:t xml:space="preserve"> relevant published literature. </w:t>
      </w:r>
      <w:r w:rsidR="00BD666E">
        <w:rPr>
          <w:szCs w:val="24"/>
          <w:lang w:val="en-US" w:eastAsia="en-US"/>
        </w:rPr>
        <w:t>This assessment was extended in 2013 to include new unpublished studies investigating potential neurological effects in mice,</w:t>
      </w:r>
    </w:p>
    <w:p w14:paraId="59725C96" w14:textId="77777777" w:rsidR="00232844" w:rsidRDefault="00232844" w:rsidP="002B2CFC">
      <w:pPr>
        <w:spacing w:line="280" w:lineRule="exact"/>
        <w:rPr>
          <w:szCs w:val="24"/>
          <w:lang w:val="en-US" w:eastAsia="en-US"/>
        </w:rPr>
      </w:pPr>
    </w:p>
    <w:p w14:paraId="1356C20F" w14:textId="77777777" w:rsidR="002E5B08" w:rsidRDefault="002E5B08" w:rsidP="002E5B08">
      <w:pPr>
        <w:spacing w:line="280" w:lineRule="exact"/>
        <w:rPr>
          <w:szCs w:val="24"/>
          <w:lang w:val="en-US" w:eastAsia="en-US"/>
        </w:rPr>
      </w:pPr>
      <w:r>
        <w:rPr>
          <w:szCs w:val="24"/>
          <w:lang w:val="en-US" w:eastAsia="en-US"/>
        </w:rPr>
        <w:t>In 2015, the complete review of the toxicology of paraquat was finalised and the report structured into three parts:</w:t>
      </w:r>
    </w:p>
    <w:p w14:paraId="025F6B95" w14:textId="77777777" w:rsidR="002E5B08" w:rsidRDefault="002E5B08" w:rsidP="002E5B08">
      <w:pPr>
        <w:spacing w:line="280" w:lineRule="exact"/>
        <w:rPr>
          <w:szCs w:val="24"/>
          <w:lang w:val="en-US" w:eastAsia="en-US"/>
        </w:rPr>
      </w:pPr>
    </w:p>
    <w:p w14:paraId="21AED419" w14:textId="77777777" w:rsidR="002E5B08" w:rsidRPr="00411CE7" w:rsidRDefault="002E5B08" w:rsidP="00DE4D85">
      <w:pPr>
        <w:pStyle w:val="ListParagraph"/>
        <w:numPr>
          <w:ilvl w:val="0"/>
          <w:numId w:val="10"/>
        </w:numPr>
        <w:spacing w:line="280" w:lineRule="exact"/>
        <w:rPr>
          <w:rFonts w:ascii="Times New Roman" w:hAnsi="Times New Roman"/>
          <w:sz w:val="24"/>
          <w:szCs w:val="24"/>
          <w:lang w:val="en-US" w:eastAsia="en-US"/>
        </w:rPr>
      </w:pPr>
      <w:r w:rsidRPr="00411CE7">
        <w:rPr>
          <w:rFonts w:ascii="Times New Roman" w:hAnsi="Times New Roman"/>
          <w:sz w:val="24"/>
          <w:szCs w:val="24"/>
          <w:lang w:val="en-US" w:eastAsia="en-US"/>
        </w:rPr>
        <w:t xml:space="preserve">Summary Report </w:t>
      </w:r>
    </w:p>
    <w:p w14:paraId="4B0B99ED" w14:textId="77777777" w:rsidR="002E5B08" w:rsidRPr="00411CE7" w:rsidRDefault="002E5B08" w:rsidP="00DE4D85">
      <w:pPr>
        <w:pStyle w:val="ListParagraph"/>
        <w:numPr>
          <w:ilvl w:val="0"/>
          <w:numId w:val="12"/>
        </w:numPr>
        <w:spacing w:line="280" w:lineRule="exact"/>
        <w:jc w:val="left"/>
        <w:rPr>
          <w:rFonts w:ascii="Times New Roman" w:hAnsi="Times New Roman"/>
          <w:i/>
          <w:szCs w:val="24"/>
          <w:lang w:val="en-US" w:eastAsia="en-US"/>
        </w:rPr>
      </w:pPr>
      <w:r w:rsidRPr="00411CE7">
        <w:rPr>
          <w:rFonts w:ascii="Times New Roman" w:hAnsi="Times New Roman"/>
          <w:i/>
          <w:szCs w:val="24"/>
          <w:lang w:val="en-US" w:eastAsia="en-US"/>
        </w:rPr>
        <w:t>Comprises an overview of all relevant data available on pa</w:t>
      </w:r>
      <w:r>
        <w:rPr>
          <w:rFonts w:ascii="Times New Roman" w:hAnsi="Times New Roman"/>
          <w:i/>
          <w:szCs w:val="24"/>
          <w:lang w:val="en-US" w:eastAsia="en-US"/>
        </w:rPr>
        <w:t>raquat relating to human health.</w:t>
      </w:r>
      <w:r w:rsidRPr="00411CE7">
        <w:rPr>
          <w:rFonts w:ascii="Times New Roman" w:hAnsi="Times New Roman"/>
          <w:i/>
          <w:szCs w:val="24"/>
          <w:lang w:val="en-US" w:eastAsia="en-US"/>
        </w:rPr>
        <w:t xml:space="preserve"> </w:t>
      </w:r>
    </w:p>
    <w:p w14:paraId="171CF796" w14:textId="77777777" w:rsidR="002E5B08" w:rsidRPr="00411CE7" w:rsidRDefault="002E5B08" w:rsidP="002E5B08">
      <w:pPr>
        <w:pStyle w:val="ListParagraph"/>
        <w:spacing w:line="280" w:lineRule="exact"/>
        <w:ind w:left="1060"/>
        <w:rPr>
          <w:rFonts w:ascii="Times New Roman" w:hAnsi="Times New Roman"/>
          <w:sz w:val="24"/>
          <w:szCs w:val="24"/>
          <w:lang w:val="en-US" w:eastAsia="en-US"/>
        </w:rPr>
      </w:pPr>
    </w:p>
    <w:p w14:paraId="4D52EAD7" w14:textId="77777777" w:rsidR="002E5B08" w:rsidRPr="00411CE7" w:rsidRDefault="002E5B08" w:rsidP="00DE4D85">
      <w:pPr>
        <w:pStyle w:val="ListParagraph"/>
        <w:numPr>
          <w:ilvl w:val="0"/>
          <w:numId w:val="10"/>
        </w:numPr>
        <w:spacing w:line="280" w:lineRule="exact"/>
        <w:rPr>
          <w:rFonts w:ascii="Times New Roman" w:hAnsi="Times New Roman"/>
          <w:sz w:val="24"/>
          <w:szCs w:val="24"/>
          <w:lang w:val="en-US" w:eastAsia="en-US"/>
        </w:rPr>
      </w:pPr>
      <w:r w:rsidRPr="00411CE7">
        <w:rPr>
          <w:rFonts w:ascii="Times New Roman" w:hAnsi="Times New Roman"/>
          <w:sz w:val="24"/>
          <w:szCs w:val="24"/>
          <w:lang w:val="en-US" w:eastAsia="en-US"/>
        </w:rPr>
        <w:t xml:space="preserve">Supplement I: Toxicology </w:t>
      </w:r>
    </w:p>
    <w:p w14:paraId="01082089" w14:textId="77777777" w:rsidR="002E5B08" w:rsidRPr="00411CE7" w:rsidRDefault="002E5B08" w:rsidP="00DE4D85">
      <w:pPr>
        <w:pStyle w:val="ListParagraph"/>
        <w:numPr>
          <w:ilvl w:val="0"/>
          <w:numId w:val="12"/>
        </w:numPr>
        <w:spacing w:line="280" w:lineRule="exact"/>
        <w:jc w:val="left"/>
        <w:rPr>
          <w:rFonts w:ascii="Times New Roman" w:hAnsi="Times New Roman"/>
          <w:i/>
          <w:szCs w:val="24"/>
          <w:lang w:val="en-US" w:eastAsia="en-US"/>
        </w:rPr>
      </w:pPr>
      <w:r w:rsidRPr="00411CE7">
        <w:rPr>
          <w:rFonts w:ascii="Times New Roman" w:hAnsi="Times New Roman"/>
          <w:i/>
          <w:szCs w:val="24"/>
          <w:lang w:val="en-US" w:eastAsia="en-US"/>
        </w:rPr>
        <w:t xml:space="preserve">Comprises a detailed technical report on </w:t>
      </w:r>
      <w:r w:rsidR="0083689C" w:rsidRPr="00411CE7">
        <w:rPr>
          <w:rFonts w:ascii="Times New Roman" w:hAnsi="Times New Roman"/>
          <w:i/>
          <w:szCs w:val="24"/>
          <w:lang w:val="en-US" w:eastAsia="en-US"/>
        </w:rPr>
        <w:t>paraquat</w:t>
      </w:r>
      <w:r w:rsidRPr="00411CE7">
        <w:rPr>
          <w:rFonts w:ascii="Times New Roman" w:hAnsi="Times New Roman"/>
          <w:i/>
          <w:szCs w:val="24"/>
          <w:lang w:val="en-US" w:eastAsia="en-US"/>
        </w:rPr>
        <w:t xml:space="preserve"> toxicology (excluding neurotoxicity)</w:t>
      </w:r>
      <w:r>
        <w:rPr>
          <w:rFonts w:ascii="Times New Roman" w:hAnsi="Times New Roman"/>
          <w:i/>
          <w:szCs w:val="24"/>
          <w:lang w:val="en-US" w:eastAsia="en-US"/>
        </w:rPr>
        <w:t>.</w:t>
      </w:r>
    </w:p>
    <w:p w14:paraId="2FD4E6DC" w14:textId="77777777" w:rsidR="002E5B08" w:rsidRPr="00411CE7" w:rsidRDefault="002E5B08" w:rsidP="002E5B08">
      <w:pPr>
        <w:pStyle w:val="ListParagraph"/>
        <w:spacing w:line="280" w:lineRule="exact"/>
        <w:ind w:left="1060"/>
        <w:rPr>
          <w:rFonts w:ascii="Times New Roman" w:hAnsi="Times New Roman"/>
          <w:sz w:val="24"/>
          <w:szCs w:val="24"/>
          <w:lang w:val="en-US" w:eastAsia="en-US"/>
        </w:rPr>
      </w:pPr>
    </w:p>
    <w:p w14:paraId="15A95D84" w14:textId="77777777" w:rsidR="002E5B08" w:rsidRPr="00411CE7" w:rsidRDefault="002E5B08" w:rsidP="00DE4D85">
      <w:pPr>
        <w:pStyle w:val="ListParagraph"/>
        <w:numPr>
          <w:ilvl w:val="0"/>
          <w:numId w:val="10"/>
        </w:numPr>
        <w:spacing w:line="280" w:lineRule="exact"/>
        <w:rPr>
          <w:rFonts w:ascii="Times New Roman" w:hAnsi="Times New Roman"/>
          <w:sz w:val="24"/>
          <w:szCs w:val="24"/>
          <w:lang w:val="en-US" w:eastAsia="en-US"/>
        </w:rPr>
      </w:pPr>
      <w:r w:rsidRPr="00411CE7">
        <w:rPr>
          <w:rFonts w:ascii="Times New Roman" w:hAnsi="Times New Roman"/>
          <w:sz w:val="24"/>
          <w:szCs w:val="24"/>
          <w:lang w:val="en-US" w:eastAsia="en-US"/>
        </w:rPr>
        <w:t>Supplement II: Neurotoxicity</w:t>
      </w:r>
    </w:p>
    <w:p w14:paraId="1D755CE5" w14:textId="77777777" w:rsidR="002E5B08" w:rsidRPr="00411CE7" w:rsidRDefault="002E5B08" w:rsidP="00DE4D85">
      <w:pPr>
        <w:pStyle w:val="ListParagraph"/>
        <w:numPr>
          <w:ilvl w:val="0"/>
          <w:numId w:val="12"/>
        </w:numPr>
        <w:spacing w:line="280" w:lineRule="exact"/>
        <w:rPr>
          <w:rFonts w:ascii="Times New Roman" w:hAnsi="Times New Roman"/>
          <w:i/>
          <w:szCs w:val="24"/>
          <w:lang w:val="en-US" w:eastAsia="en-US"/>
        </w:rPr>
      </w:pPr>
      <w:r w:rsidRPr="00411CE7">
        <w:rPr>
          <w:rFonts w:ascii="Times New Roman" w:hAnsi="Times New Roman"/>
          <w:i/>
          <w:szCs w:val="24"/>
          <w:lang w:val="en-US" w:eastAsia="en-US"/>
        </w:rPr>
        <w:t xml:space="preserve">Comprises a detailed technical report </w:t>
      </w:r>
      <w:r>
        <w:rPr>
          <w:rFonts w:ascii="Times New Roman" w:hAnsi="Times New Roman"/>
          <w:i/>
          <w:szCs w:val="24"/>
          <w:lang w:val="en-US" w:eastAsia="en-US"/>
        </w:rPr>
        <w:t xml:space="preserve">on paraquat </w:t>
      </w:r>
      <w:r w:rsidRPr="00411CE7">
        <w:rPr>
          <w:rFonts w:ascii="Times New Roman" w:hAnsi="Times New Roman"/>
          <w:i/>
          <w:szCs w:val="24"/>
          <w:lang w:val="en-US" w:eastAsia="en-US"/>
        </w:rPr>
        <w:t>neurotoxicity</w:t>
      </w:r>
      <w:r>
        <w:rPr>
          <w:rFonts w:ascii="Times New Roman" w:hAnsi="Times New Roman"/>
          <w:i/>
          <w:szCs w:val="24"/>
          <w:lang w:val="en-US" w:eastAsia="en-US"/>
        </w:rPr>
        <w:t xml:space="preserve"> </w:t>
      </w:r>
      <w:r w:rsidRPr="00411CE7">
        <w:rPr>
          <w:rFonts w:ascii="Times New Roman" w:hAnsi="Times New Roman"/>
          <w:i/>
          <w:szCs w:val="24"/>
          <w:lang w:val="en-US" w:eastAsia="en-US"/>
        </w:rPr>
        <w:t>[this report]</w:t>
      </w:r>
      <w:r>
        <w:rPr>
          <w:rFonts w:ascii="Times New Roman" w:hAnsi="Times New Roman"/>
          <w:i/>
          <w:szCs w:val="24"/>
          <w:lang w:val="en-US" w:eastAsia="en-US"/>
        </w:rPr>
        <w:t>.</w:t>
      </w:r>
    </w:p>
    <w:p w14:paraId="3A798769" w14:textId="77777777" w:rsidR="00625370" w:rsidRDefault="00625370" w:rsidP="00625370">
      <w:pPr>
        <w:rPr>
          <w:b/>
          <w:szCs w:val="24"/>
        </w:rPr>
      </w:pPr>
    </w:p>
    <w:p w14:paraId="0A6BCBEB" w14:textId="77777777" w:rsidR="00CE5FD2" w:rsidRDefault="00B14188" w:rsidP="00625370">
      <w:pPr>
        <w:rPr>
          <w:szCs w:val="24"/>
        </w:rPr>
      </w:pPr>
      <w:r>
        <w:rPr>
          <w:szCs w:val="24"/>
        </w:rPr>
        <w:t xml:space="preserve">These three reports should be considered together. </w:t>
      </w:r>
      <w:r w:rsidR="00625370">
        <w:rPr>
          <w:szCs w:val="24"/>
        </w:rPr>
        <w:t xml:space="preserve">This report ‘Supplement </w:t>
      </w:r>
      <w:r w:rsidR="00CE5FD2">
        <w:rPr>
          <w:szCs w:val="24"/>
        </w:rPr>
        <w:t>II: Neurotoxicity’</w:t>
      </w:r>
      <w:r w:rsidR="00625370">
        <w:rPr>
          <w:szCs w:val="24"/>
        </w:rPr>
        <w:t xml:space="preserve">, is a complete evaluation of the data </w:t>
      </w:r>
      <w:r w:rsidR="00CE5FD2">
        <w:rPr>
          <w:szCs w:val="24"/>
        </w:rPr>
        <w:t xml:space="preserve">pertaining to the neurotoxicity of paraquat </w:t>
      </w:r>
      <w:r w:rsidR="00625370">
        <w:rPr>
          <w:szCs w:val="24"/>
        </w:rPr>
        <w:t>provided to</w:t>
      </w:r>
      <w:r w:rsidR="00CE5FD2">
        <w:rPr>
          <w:szCs w:val="24"/>
        </w:rPr>
        <w:t xml:space="preserve"> the</w:t>
      </w:r>
      <w:r w:rsidR="00625370">
        <w:rPr>
          <w:szCs w:val="24"/>
        </w:rPr>
        <w:t xml:space="preserve"> OCS, together with new information</w:t>
      </w:r>
      <w:r w:rsidR="00CE5FD2">
        <w:rPr>
          <w:szCs w:val="24"/>
        </w:rPr>
        <w:t xml:space="preserve"> available in the public domain.</w:t>
      </w:r>
    </w:p>
    <w:p w14:paraId="647AAC8B" w14:textId="77777777" w:rsidR="00CE5FD2" w:rsidRDefault="00CE5FD2">
      <w:pPr>
        <w:rPr>
          <w:szCs w:val="24"/>
        </w:rPr>
      </w:pPr>
      <w:r>
        <w:rPr>
          <w:szCs w:val="24"/>
        </w:rPr>
        <w:br w:type="page"/>
      </w:r>
    </w:p>
    <w:p w14:paraId="513A36D9" w14:textId="77777777" w:rsidR="00625370" w:rsidRDefault="00625370" w:rsidP="00625370">
      <w:pPr>
        <w:rPr>
          <w:szCs w:val="24"/>
        </w:rPr>
      </w:pPr>
    </w:p>
    <w:p w14:paraId="41570151" w14:textId="77777777" w:rsidR="00857D38" w:rsidRPr="00306093" w:rsidRDefault="00C01923" w:rsidP="00385097">
      <w:pPr>
        <w:pStyle w:val="Heading1"/>
      </w:pPr>
      <w:bookmarkStart w:id="3" w:name="_Toc459108268"/>
      <w:r>
        <w:t>A</w:t>
      </w:r>
      <w:r w:rsidR="00857D38" w:rsidRPr="002B2CFC">
        <w:t>bbreviations</w:t>
      </w:r>
      <w:bookmarkEnd w:id="3"/>
    </w:p>
    <w:p w14:paraId="41DA5C23" w14:textId="77777777" w:rsidR="00857D38" w:rsidRPr="002B2CFC" w:rsidRDefault="00857D38" w:rsidP="00857D38">
      <w:pPr>
        <w:rPr>
          <w:szCs w:val="24"/>
          <w:lang w:val="en-US" w:eastAsia="en-US"/>
        </w:rPr>
      </w:pPr>
    </w:p>
    <w:tbl>
      <w:tblPr>
        <w:tblW w:w="0" w:type="auto"/>
        <w:tblLayout w:type="fixed"/>
        <w:tblLook w:val="04A0" w:firstRow="1" w:lastRow="0" w:firstColumn="1" w:lastColumn="0" w:noHBand="0" w:noVBand="1"/>
      </w:tblPr>
      <w:tblGrid>
        <w:gridCol w:w="1526"/>
        <w:gridCol w:w="1559"/>
        <w:gridCol w:w="1134"/>
        <w:gridCol w:w="1985"/>
        <w:gridCol w:w="2976"/>
      </w:tblGrid>
      <w:tr w:rsidR="00C01923" w:rsidRPr="005E3183" w14:paraId="3B8CD267" w14:textId="77777777" w:rsidTr="00C01923">
        <w:tc>
          <w:tcPr>
            <w:tcW w:w="1526" w:type="dxa"/>
            <w:hideMark/>
          </w:tcPr>
          <w:p w14:paraId="710D9124" w14:textId="77777777" w:rsidR="00C01923" w:rsidRPr="00867368" w:rsidRDefault="00897462">
            <w:pPr>
              <w:spacing w:before="40" w:after="80"/>
              <w:rPr>
                <w:b/>
                <w:sz w:val="20"/>
                <w:u w:val="single"/>
              </w:rPr>
            </w:pPr>
            <w:r w:rsidRPr="00867368">
              <w:rPr>
                <w:b/>
                <w:sz w:val="20"/>
                <w:u w:val="single"/>
              </w:rPr>
              <w:t>Time</w:t>
            </w:r>
          </w:p>
        </w:tc>
        <w:tc>
          <w:tcPr>
            <w:tcW w:w="2693" w:type="dxa"/>
            <w:gridSpan w:val="2"/>
          </w:tcPr>
          <w:p w14:paraId="3085F788" w14:textId="77777777" w:rsidR="00C01923" w:rsidRPr="00867368" w:rsidRDefault="00C01923">
            <w:pPr>
              <w:tabs>
                <w:tab w:val="left" w:pos="-144"/>
                <w:tab w:val="left" w:pos="2244"/>
                <w:tab w:val="left" w:pos="4795"/>
                <w:tab w:val="left" w:pos="7063"/>
              </w:tabs>
              <w:spacing w:before="40" w:after="80"/>
              <w:rPr>
                <w:sz w:val="20"/>
                <w:u w:val="single"/>
              </w:rPr>
            </w:pPr>
          </w:p>
        </w:tc>
        <w:tc>
          <w:tcPr>
            <w:tcW w:w="1985" w:type="dxa"/>
            <w:vAlign w:val="center"/>
            <w:hideMark/>
          </w:tcPr>
          <w:p w14:paraId="1E75F426" w14:textId="77777777" w:rsidR="00C01923" w:rsidRPr="00867368" w:rsidRDefault="00897462">
            <w:pPr>
              <w:rPr>
                <w:b/>
                <w:sz w:val="20"/>
                <w:u w:val="single"/>
              </w:rPr>
            </w:pPr>
            <w:bookmarkStart w:id="4" w:name="_Toc514217300"/>
            <w:r w:rsidRPr="00867368">
              <w:rPr>
                <w:b/>
                <w:sz w:val="20"/>
                <w:u w:val="single"/>
              </w:rPr>
              <w:t>Weight</w:t>
            </w:r>
            <w:bookmarkEnd w:id="4"/>
          </w:p>
        </w:tc>
        <w:tc>
          <w:tcPr>
            <w:tcW w:w="2976" w:type="dxa"/>
          </w:tcPr>
          <w:p w14:paraId="2E24242E" w14:textId="77777777" w:rsidR="00C01923" w:rsidRPr="00867368" w:rsidRDefault="00C01923">
            <w:pPr>
              <w:tabs>
                <w:tab w:val="left" w:pos="-144"/>
                <w:tab w:val="left" w:pos="2244"/>
                <w:tab w:val="left" w:pos="4795"/>
                <w:tab w:val="left" w:pos="7063"/>
              </w:tabs>
              <w:spacing w:before="40" w:after="80"/>
              <w:rPr>
                <w:sz w:val="20"/>
              </w:rPr>
            </w:pPr>
          </w:p>
        </w:tc>
      </w:tr>
      <w:tr w:rsidR="00C01923" w:rsidRPr="005E3183" w14:paraId="4163E7BA" w14:textId="77777777" w:rsidTr="00C01923">
        <w:tc>
          <w:tcPr>
            <w:tcW w:w="1526" w:type="dxa"/>
            <w:hideMark/>
          </w:tcPr>
          <w:p w14:paraId="24707D28" w14:textId="77777777" w:rsidR="00C01923" w:rsidRPr="00867368" w:rsidRDefault="00897462">
            <w:pPr>
              <w:widowControl w:val="0"/>
              <w:rPr>
                <w:b/>
                <w:sz w:val="20"/>
                <w:lang w:val="en-US"/>
              </w:rPr>
            </w:pPr>
            <w:r w:rsidRPr="00867368">
              <w:rPr>
                <w:b/>
                <w:sz w:val="20"/>
                <w:lang w:val="en-US"/>
              </w:rPr>
              <w:t>d</w:t>
            </w:r>
          </w:p>
        </w:tc>
        <w:tc>
          <w:tcPr>
            <w:tcW w:w="2693" w:type="dxa"/>
            <w:gridSpan w:val="2"/>
            <w:hideMark/>
          </w:tcPr>
          <w:p w14:paraId="0A7E22CE" w14:textId="77777777" w:rsidR="00C01923" w:rsidRPr="00867368" w:rsidRDefault="00897462">
            <w:pPr>
              <w:tabs>
                <w:tab w:val="left" w:pos="-144"/>
                <w:tab w:val="left" w:pos="2244"/>
                <w:tab w:val="left" w:pos="4795"/>
                <w:tab w:val="left" w:pos="7063"/>
              </w:tabs>
              <w:rPr>
                <w:sz w:val="20"/>
              </w:rPr>
            </w:pPr>
            <w:r w:rsidRPr="00867368">
              <w:rPr>
                <w:sz w:val="20"/>
              </w:rPr>
              <w:t>Day</w:t>
            </w:r>
          </w:p>
        </w:tc>
        <w:tc>
          <w:tcPr>
            <w:tcW w:w="1985" w:type="dxa"/>
            <w:hideMark/>
          </w:tcPr>
          <w:p w14:paraId="2409DFF3" w14:textId="77777777" w:rsidR="00C01923" w:rsidRPr="00867368" w:rsidRDefault="00897462">
            <w:pPr>
              <w:rPr>
                <w:b/>
                <w:sz w:val="20"/>
              </w:rPr>
            </w:pPr>
            <w:r w:rsidRPr="00867368">
              <w:rPr>
                <w:b/>
                <w:sz w:val="20"/>
              </w:rPr>
              <w:t>bw</w:t>
            </w:r>
          </w:p>
        </w:tc>
        <w:tc>
          <w:tcPr>
            <w:tcW w:w="2976" w:type="dxa"/>
            <w:hideMark/>
          </w:tcPr>
          <w:p w14:paraId="29E14013" w14:textId="77777777" w:rsidR="00C01923" w:rsidRPr="00867368" w:rsidRDefault="00897462">
            <w:pPr>
              <w:tabs>
                <w:tab w:val="left" w:pos="-144"/>
                <w:tab w:val="left" w:pos="2244"/>
                <w:tab w:val="left" w:pos="4795"/>
                <w:tab w:val="left" w:pos="7063"/>
              </w:tabs>
              <w:rPr>
                <w:sz w:val="20"/>
              </w:rPr>
            </w:pPr>
            <w:r w:rsidRPr="00867368">
              <w:rPr>
                <w:sz w:val="20"/>
              </w:rPr>
              <w:t>Body weight</w:t>
            </w:r>
          </w:p>
        </w:tc>
      </w:tr>
      <w:tr w:rsidR="00C01923" w:rsidRPr="005E3183" w14:paraId="7595AB86" w14:textId="77777777" w:rsidTr="00C01923">
        <w:tc>
          <w:tcPr>
            <w:tcW w:w="1526" w:type="dxa"/>
            <w:hideMark/>
          </w:tcPr>
          <w:p w14:paraId="30BDA7B5" w14:textId="77777777" w:rsidR="00C01923" w:rsidRPr="00867368" w:rsidRDefault="00897462">
            <w:pPr>
              <w:rPr>
                <w:b/>
                <w:sz w:val="20"/>
              </w:rPr>
            </w:pPr>
            <w:r w:rsidRPr="00867368">
              <w:rPr>
                <w:b/>
                <w:sz w:val="20"/>
              </w:rPr>
              <w:t>h</w:t>
            </w:r>
          </w:p>
        </w:tc>
        <w:tc>
          <w:tcPr>
            <w:tcW w:w="2693" w:type="dxa"/>
            <w:gridSpan w:val="2"/>
            <w:hideMark/>
          </w:tcPr>
          <w:p w14:paraId="76D79C1F" w14:textId="77777777" w:rsidR="00C01923" w:rsidRPr="00867368" w:rsidRDefault="00897462">
            <w:pPr>
              <w:tabs>
                <w:tab w:val="left" w:pos="-144"/>
                <w:tab w:val="left" w:pos="2244"/>
                <w:tab w:val="left" w:pos="4795"/>
                <w:tab w:val="left" w:pos="7063"/>
              </w:tabs>
              <w:rPr>
                <w:sz w:val="20"/>
              </w:rPr>
            </w:pPr>
            <w:r w:rsidRPr="00867368">
              <w:rPr>
                <w:sz w:val="20"/>
              </w:rPr>
              <w:t>Hour</w:t>
            </w:r>
          </w:p>
        </w:tc>
        <w:tc>
          <w:tcPr>
            <w:tcW w:w="1985" w:type="dxa"/>
            <w:hideMark/>
          </w:tcPr>
          <w:p w14:paraId="488D5B81" w14:textId="77777777" w:rsidR="00C01923" w:rsidRPr="00867368" w:rsidRDefault="00897462">
            <w:pPr>
              <w:rPr>
                <w:b/>
                <w:sz w:val="20"/>
              </w:rPr>
            </w:pPr>
            <w:r w:rsidRPr="00867368">
              <w:rPr>
                <w:b/>
                <w:sz w:val="20"/>
              </w:rPr>
              <w:t>g</w:t>
            </w:r>
          </w:p>
        </w:tc>
        <w:tc>
          <w:tcPr>
            <w:tcW w:w="2976" w:type="dxa"/>
            <w:hideMark/>
          </w:tcPr>
          <w:p w14:paraId="71FC42A5" w14:textId="77777777" w:rsidR="00C01923" w:rsidRPr="00867368" w:rsidRDefault="00897462">
            <w:pPr>
              <w:tabs>
                <w:tab w:val="left" w:pos="-144"/>
                <w:tab w:val="left" w:pos="2244"/>
                <w:tab w:val="left" w:pos="4795"/>
                <w:tab w:val="left" w:pos="7063"/>
              </w:tabs>
              <w:rPr>
                <w:sz w:val="20"/>
              </w:rPr>
            </w:pPr>
            <w:r w:rsidRPr="00867368">
              <w:rPr>
                <w:sz w:val="20"/>
              </w:rPr>
              <w:t>Gram</w:t>
            </w:r>
          </w:p>
        </w:tc>
      </w:tr>
      <w:tr w:rsidR="00C01923" w:rsidRPr="005E3183" w14:paraId="7CC12938" w14:textId="77777777" w:rsidTr="00C01923">
        <w:tc>
          <w:tcPr>
            <w:tcW w:w="1526" w:type="dxa"/>
            <w:hideMark/>
          </w:tcPr>
          <w:p w14:paraId="09E22FFD" w14:textId="77777777" w:rsidR="00C01923" w:rsidRPr="00867368" w:rsidRDefault="00897462">
            <w:pPr>
              <w:rPr>
                <w:b/>
                <w:sz w:val="20"/>
              </w:rPr>
            </w:pPr>
            <w:r w:rsidRPr="00867368">
              <w:rPr>
                <w:b/>
                <w:sz w:val="20"/>
              </w:rPr>
              <w:t>min</w:t>
            </w:r>
          </w:p>
        </w:tc>
        <w:tc>
          <w:tcPr>
            <w:tcW w:w="2693" w:type="dxa"/>
            <w:gridSpan w:val="2"/>
            <w:hideMark/>
          </w:tcPr>
          <w:p w14:paraId="4557BD93" w14:textId="77777777" w:rsidR="00C01923" w:rsidRPr="00867368" w:rsidRDefault="00897462">
            <w:pPr>
              <w:tabs>
                <w:tab w:val="left" w:pos="-144"/>
                <w:tab w:val="left" w:pos="2244"/>
                <w:tab w:val="left" w:pos="4795"/>
                <w:tab w:val="left" w:pos="7063"/>
              </w:tabs>
              <w:rPr>
                <w:sz w:val="20"/>
              </w:rPr>
            </w:pPr>
            <w:r w:rsidRPr="00867368">
              <w:rPr>
                <w:sz w:val="20"/>
              </w:rPr>
              <w:t>Minute</w:t>
            </w:r>
          </w:p>
        </w:tc>
        <w:tc>
          <w:tcPr>
            <w:tcW w:w="1985" w:type="dxa"/>
            <w:hideMark/>
          </w:tcPr>
          <w:p w14:paraId="521080E0" w14:textId="77777777" w:rsidR="00C01923" w:rsidRPr="00867368" w:rsidRDefault="00897462">
            <w:pPr>
              <w:rPr>
                <w:b/>
                <w:sz w:val="20"/>
              </w:rPr>
            </w:pPr>
            <w:r w:rsidRPr="00867368">
              <w:rPr>
                <w:b/>
                <w:sz w:val="20"/>
              </w:rPr>
              <w:t>kg</w:t>
            </w:r>
          </w:p>
        </w:tc>
        <w:tc>
          <w:tcPr>
            <w:tcW w:w="2976" w:type="dxa"/>
            <w:hideMark/>
          </w:tcPr>
          <w:p w14:paraId="5E2CEE5C" w14:textId="77777777" w:rsidR="00C01923" w:rsidRPr="00867368" w:rsidRDefault="00897462">
            <w:pPr>
              <w:tabs>
                <w:tab w:val="left" w:pos="-144"/>
                <w:tab w:val="left" w:pos="2244"/>
                <w:tab w:val="left" w:pos="4795"/>
                <w:tab w:val="left" w:pos="7063"/>
              </w:tabs>
              <w:rPr>
                <w:sz w:val="20"/>
              </w:rPr>
            </w:pPr>
            <w:r w:rsidRPr="00867368">
              <w:rPr>
                <w:sz w:val="20"/>
              </w:rPr>
              <w:t>Kilogram</w:t>
            </w:r>
          </w:p>
        </w:tc>
      </w:tr>
      <w:tr w:rsidR="00C01923" w:rsidRPr="005E3183" w14:paraId="1999874F" w14:textId="77777777" w:rsidTr="00C01923">
        <w:tc>
          <w:tcPr>
            <w:tcW w:w="1526" w:type="dxa"/>
            <w:hideMark/>
          </w:tcPr>
          <w:p w14:paraId="19573578" w14:textId="77777777" w:rsidR="00C01923" w:rsidRPr="00867368" w:rsidRDefault="00897462">
            <w:pPr>
              <w:rPr>
                <w:b/>
                <w:sz w:val="20"/>
              </w:rPr>
            </w:pPr>
            <w:r w:rsidRPr="00867368">
              <w:rPr>
                <w:b/>
                <w:sz w:val="20"/>
              </w:rPr>
              <w:t>mo</w:t>
            </w:r>
          </w:p>
        </w:tc>
        <w:tc>
          <w:tcPr>
            <w:tcW w:w="2693" w:type="dxa"/>
            <w:gridSpan w:val="2"/>
            <w:hideMark/>
          </w:tcPr>
          <w:p w14:paraId="41AAF444" w14:textId="77777777" w:rsidR="00C01923" w:rsidRPr="00867368" w:rsidRDefault="00897462">
            <w:pPr>
              <w:tabs>
                <w:tab w:val="left" w:pos="-144"/>
                <w:tab w:val="left" w:pos="2244"/>
                <w:tab w:val="left" w:pos="4795"/>
                <w:tab w:val="left" w:pos="7063"/>
              </w:tabs>
              <w:rPr>
                <w:sz w:val="20"/>
              </w:rPr>
            </w:pPr>
            <w:r w:rsidRPr="00867368">
              <w:rPr>
                <w:sz w:val="20"/>
              </w:rPr>
              <w:t>Month</w:t>
            </w:r>
          </w:p>
        </w:tc>
        <w:tc>
          <w:tcPr>
            <w:tcW w:w="1985" w:type="dxa"/>
            <w:hideMark/>
          </w:tcPr>
          <w:p w14:paraId="5669ACF8" w14:textId="77777777" w:rsidR="00C01923" w:rsidRPr="00867368" w:rsidRDefault="00897462">
            <w:pPr>
              <w:rPr>
                <w:b/>
                <w:sz w:val="20"/>
              </w:rPr>
            </w:pPr>
            <w:r w:rsidRPr="00867368">
              <w:rPr>
                <w:b/>
                <w:sz w:val="20"/>
              </w:rPr>
              <w:t>mg</w:t>
            </w:r>
          </w:p>
        </w:tc>
        <w:tc>
          <w:tcPr>
            <w:tcW w:w="2976" w:type="dxa"/>
            <w:hideMark/>
          </w:tcPr>
          <w:p w14:paraId="2F1D7EE3" w14:textId="77777777" w:rsidR="00C01923" w:rsidRPr="00867368" w:rsidRDefault="00897462">
            <w:pPr>
              <w:tabs>
                <w:tab w:val="left" w:pos="-144"/>
                <w:tab w:val="left" w:pos="2244"/>
                <w:tab w:val="left" w:pos="4795"/>
                <w:tab w:val="left" w:pos="7063"/>
              </w:tabs>
              <w:rPr>
                <w:sz w:val="20"/>
              </w:rPr>
            </w:pPr>
            <w:r w:rsidRPr="00867368">
              <w:rPr>
                <w:sz w:val="20"/>
              </w:rPr>
              <w:t>Milligram</w:t>
            </w:r>
          </w:p>
        </w:tc>
      </w:tr>
      <w:tr w:rsidR="00C01923" w:rsidRPr="005E3183" w14:paraId="6DAF346C" w14:textId="77777777" w:rsidTr="00C01923">
        <w:tc>
          <w:tcPr>
            <w:tcW w:w="1526" w:type="dxa"/>
            <w:hideMark/>
          </w:tcPr>
          <w:p w14:paraId="31E8A80F" w14:textId="77777777" w:rsidR="00C01923" w:rsidRPr="00867368" w:rsidRDefault="00897462">
            <w:pPr>
              <w:rPr>
                <w:b/>
                <w:sz w:val="20"/>
              </w:rPr>
            </w:pPr>
            <w:r w:rsidRPr="00867368">
              <w:rPr>
                <w:b/>
                <w:sz w:val="20"/>
              </w:rPr>
              <w:t>wk</w:t>
            </w:r>
          </w:p>
        </w:tc>
        <w:tc>
          <w:tcPr>
            <w:tcW w:w="2693" w:type="dxa"/>
            <w:gridSpan w:val="2"/>
            <w:hideMark/>
          </w:tcPr>
          <w:p w14:paraId="4584106E" w14:textId="77777777" w:rsidR="00C01923" w:rsidRPr="00867368" w:rsidRDefault="00897462">
            <w:pPr>
              <w:tabs>
                <w:tab w:val="left" w:pos="-144"/>
                <w:tab w:val="left" w:pos="2244"/>
                <w:tab w:val="left" w:pos="4795"/>
                <w:tab w:val="left" w:pos="7063"/>
              </w:tabs>
              <w:rPr>
                <w:sz w:val="20"/>
              </w:rPr>
            </w:pPr>
            <w:r w:rsidRPr="00867368">
              <w:rPr>
                <w:sz w:val="20"/>
              </w:rPr>
              <w:t>Week</w:t>
            </w:r>
          </w:p>
        </w:tc>
        <w:tc>
          <w:tcPr>
            <w:tcW w:w="1985" w:type="dxa"/>
            <w:hideMark/>
          </w:tcPr>
          <w:p w14:paraId="767722A6" w14:textId="77777777" w:rsidR="00C01923" w:rsidRPr="00867368" w:rsidRDefault="00897462">
            <w:pPr>
              <w:rPr>
                <w:b/>
                <w:sz w:val="20"/>
              </w:rPr>
            </w:pPr>
            <w:r w:rsidRPr="00867368">
              <w:rPr>
                <w:b/>
                <w:sz w:val="20"/>
              </w:rPr>
              <w:sym w:font="Symbol" w:char="F06D"/>
            </w:r>
            <w:r w:rsidRPr="00867368">
              <w:rPr>
                <w:b/>
                <w:sz w:val="20"/>
              </w:rPr>
              <w:t>g</w:t>
            </w:r>
          </w:p>
        </w:tc>
        <w:tc>
          <w:tcPr>
            <w:tcW w:w="2976" w:type="dxa"/>
            <w:hideMark/>
          </w:tcPr>
          <w:p w14:paraId="53794093" w14:textId="77777777" w:rsidR="00C01923" w:rsidRPr="00867368" w:rsidRDefault="00897462">
            <w:pPr>
              <w:tabs>
                <w:tab w:val="left" w:pos="-144"/>
                <w:tab w:val="left" w:pos="2244"/>
                <w:tab w:val="left" w:pos="4795"/>
                <w:tab w:val="left" w:pos="7063"/>
              </w:tabs>
              <w:rPr>
                <w:sz w:val="20"/>
              </w:rPr>
            </w:pPr>
            <w:r w:rsidRPr="00867368">
              <w:rPr>
                <w:sz w:val="20"/>
              </w:rPr>
              <w:t>Microgram</w:t>
            </w:r>
          </w:p>
        </w:tc>
      </w:tr>
      <w:tr w:rsidR="00C01923" w:rsidRPr="005E3183" w14:paraId="362D35C0" w14:textId="77777777" w:rsidTr="00C01923">
        <w:tc>
          <w:tcPr>
            <w:tcW w:w="1526" w:type="dxa"/>
            <w:hideMark/>
          </w:tcPr>
          <w:p w14:paraId="757AF816" w14:textId="77777777" w:rsidR="00C01923" w:rsidRPr="00867368" w:rsidRDefault="00897462">
            <w:pPr>
              <w:rPr>
                <w:b/>
                <w:sz w:val="20"/>
              </w:rPr>
            </w:pPr>
            <w:r w:rsidRPr="00867368">
              <w:rPr>
                <w:b/>
                <w:sz w:val="20"/>
              </w:rPr>
              <w:t>s</w:t>
            </w:r>
          </w:p>
        </w:tc>
        <w:tc>
          <w:tcPr>
            <w:tcW w:w="2693" w:type="dxa"/>
            <w:gridSpan w:val="2"/>
            <w:hideMark/>
          </w:tcPr>
          <w:p w14:paraId="098C50B7" w14:textId="77777777" w:rsidR="00C01923" w:rsidRPr="00867368" w:rsidRDefault="00897462">
            <w:pPr>
              <w:tabs>
                <w:tab w:val="left" w:pos="-144"/>
                <w:tab w:val="left" w:pos="2244"/>
                <w:tab w:val="left" w:pos="4795"/>
                <w:tab w:val="left" w:pos="7063"/>
              </w:tabs>
              <w:rPr>
                <w:sz w:val="20"/>
              </w:rPr>
            </w:pPr>
            <w:r w:rsidRPr="00867368">
              <w:rPr>
                <w:sz w:val="20"/>
              </w:rPr>
              <w:t>Second</w:t>
            </w:r>
          </w:p>
        </w:tc>
        <w:tc>
          <w:tcPr>
            <w:tcW w:w="1985" w:type="dxa"/>
            <w:hideMark/>
          </w:tcPr>
          <w:p w14:paraId="67014589" w14:textId="77777777" w:rsidR="00C01923" w:rsidRPr="00867368" w:rsidRDefault="00897462">
            <w:pPr>
              <w:rPr>
                <w:b/>
                <w:sz w:val="20"/>
              </w:rPr>
            </w:pPr>
            <w:r w:rsidRPr="00867368">
              <w:rPr>
                <w:b/>
                <w:sz w:val="20"/>
              </w:rPr>
              <w:t>ng</w:t>
            </w:r>
          </w:p>
        </w:tc>
        <w:tc>
          <w:tcPr>
            <w:tcW w:w="2976" w:type="dxa"/>
            <w:hideMark/>
          </w:tcPr>
          <w:p w14:paraId="36D5766E" w14:textId="77777777" w:rsidR="00C01923" w:rsidRPr="00867368" w:rsidRDefault="00897462">
            <w:pPr>
              <w:tabs>
                <w:tab w:val="left" w:pos="-144"/>
                <w:tab w:val="left" w:pos="2244"/>
                <w:tab w:val="left" w:pos="4795"/>
                <w:tab w:val="left" w:pos="7063"/>
              </w:tabs>
              <w:rPr>
                <w:sz w:val="20"/>
              </w:rPr>
            </w:pPr>
            <w:r w:rsidRPr="00867368">
              <w:rPr>
                <w:sz w:val="20"/>
              </w:rPr>
              <w:t>Nanogram</w:t>
            </w:r>
          </w:p>
        </w:tc>
      </w:tr>
      <w:tr w:rsidR="00C01923" w:rsidRPr="005E3183" w14:paraId="423EAB40" w14:textId="77777777" w:rsidTr="00C01923">
        <w:tc>
          <w:tcPr>
            <w:tcW w:w="1526" w:type="dxa"/>
            <w:hideMark/>
          </w:tcPr>
          <w:p w14:paraId="7F73CDC7" w14:textId="77777777" w:rsidR="00C01923" w:rsidRPr="00867368" w:rsidRDefault="00897462">
            <w:pPr>
              <w:rPr>
                <w:b/>
                <w:sz w:val="20"/>
              </w:rPr>
            </w:pPr>
            <w:r w:rsidRPr="00867368">
              <w:rPr>
                <w:b/>
                <w:sz w:val="20"/>
              </w:rPr>
              <w:t>yr</w:t>
            </w:r>
          </w:p>
        </w:tc>
        <w:tc>
          <w:tcPr>
            <w:tcW w:w="2693" w:type="dxa"/>
            <w:gridSpan w:val="2"/>
            <w:hideMark/>
          </w:tcPr>
          <w:p w14:paraId="18AA52FE" w14:textId="77777777" w:rsidR="00C01923" w:rsidRPr="00867368" w:rsidRDefault="00897462">
            <w:pPr>
              <w:tabs>
                <w:tab w:val="left" w:pos="-144"/>
                <w:tab w:val="left" w:pos="2244"/>
                <w:tab w:val="left" w:pos="4795"/>
                <w:tab w:val="left" w:pos="7063"/>
              </w:tabs>
              <w:rPr>
                <w:sz w:val="20"/>
              </w:rPr>
            </w:pPr>
            <w:r w:rsidRPr="00867368">
              <w:rPr>
                <w:sz w:val="20"/>
              </w:rPr>
              <w:t>Year</w:t>
            </w:r>
          </w:p>
        </w:tc>
        <w:tc>
          <w:tcPr>
            <w:tcW w:w="1985" w:type="dxa"/>
            <w:hideMark/>
          </w:tcPr>
          <w:p w14:paraId="593E8BF3" w14:textId="77777777" w:rsidR="00C01923" w:rsidRPr="00867368" w:rsidRDefault="00897462">
            <w:pPr>
              <w:rPr>
                <w:b/>
                <w:sz w:val="20"/>
              </w:rPr>
            </w:pPr>
            <w:r w:rsidRPr="00867368">
              <w:rPr>
                <w:b/>
                <w:sz w:val="20"/>
              </w:rPr>
              <w:t>wt</w:t>
            </w:r>
          </w:p>
        </w:tc>
        <w:tc>
          <w:tcPr>
            <w:tcW w:w="2976" w:type="dxa"/>
            <w:hideMark/>
          </w:tcPr>
          <w:p w14:paraId="4F8BD386" w14:textId="77777777" w:rsidR="00C01923" w:rsidRPr="00867368" w:rsidRDefault="00897462">
            <w:pPr>
              <w:pStyle w:val="Header"/>
              <w:tabs>
                <w:tab w:val="left" w:pos="-144"/>
                <w:tab w:val="left" w:pos="2244"/>
                <w:tab w:val="left" w:pos="4795"/>
                <w:tab w:val="left" w:pos="7063"/>
              </w:tabs>
              <w:rPr>
                <w:sz w:val="20"/>
              </w:rPr>
            </w:pPr>
            <w:r w:rsidRPr="00867368">
              <w:rPr>
                <w:sz w:val="20"/>
              </w:rPr>
              <w:t>Weight</w:t>
            </w:r>
          </w:p>
        </w:tc>
      </w:tr>
      <w:tr w:rsidR="00C01923" w:rsidRPr="005E3183" w14:paraId="7E9E41E3" w14:textId="77777777" w:rsidTr="00C01923">
        <w:tc>
          <w:tcPr>
            <w:tcW w:w="1526" w:type="dxa"/>
          </w:tcPr>
          <w:p w14:paraId="793C7B7B" w14:textId="77777777" w:rsidR="00C01923" w:rsidRPr="00867368" w:rsidRDefault="00C01923">
            <w:pPr>
              <w:jc w:val="center"/>
              <w:rPr>
                <w:b/>
                <w:sz w:val="20"/>
              </w:rPr>
            </w:pPr>
          </w:p>
        </w:tc>
        <w:tc>
          <w:tcPr>
            <w:tcW w:w="2693" w:type="dxa"/>
            <w:gridSpan w:val="2"/>
          </w:tcPr>
          <w:p w14:paraId="205A1798" w14:textId="77777777" w:rsidR="00C01923" w:rsidRPr="00867368" w:rsidRDefault="00C01923">
            <w:pPr>
              <w:tabs>
                <w:tab w:val="left" w:pos="-144"/>
                <w:tab w:val="left" w:pos="2244"/>
                <w:tab w:val="left" w:pos="4795"/>
                <w:tab w:val="left" w:pos="7063"/>
              </w:tabs>
              <w:rPr>
                <w:sz w:val="20"/>
              </w:rPr>
            </w:pPr>
          </w:p>
        </w:tc>
        <w:tc>
          <w:tcPr>
            <w:tcW w:w="1985" w:type="dxa"/>
          </w:tcPr>
          <w:p w14:paraId="3B47EA13" w14:textId="77777777" w:rsidR="00C01923" w:rsidRPr="00867368" w:rsidRDefault="00C01923" w:rsidP="000B0AE3">
            <w:pPr>
              <w:rPr>
                <w:sz w:val="20"/>
              </w:rPr>
            </w:pPr>
          </w:p>
        </w:tc>
        <w:tc>
          <w:tcPr>
            <w:tcW w:w="2976" w:type="dxa"/>
          </w:tcPr>
          <w:p w14:paraId="50EBBC29" w14:textId="77777777" w:rsidR="00C01923" w:rsidRPr="00867368" w:rsidRDefault="00C01923">
            <w:pPr>
              <w:tabs>
                <w:tab w:val="left" w:pos="-144"/>
                <w:tab w:val="left" w:pos="2244"/>
                <w:tab w:val="left" w:pos="4795"/>
                <w:tab w:val="left" w:pos="7063"/>
              </w:tabs>
              <w:rPr>
                <w:sz w:val="20"/>
              </w:rPr>
            </w:pPr>
          </w:p>
        </w:tc>
      </w:tr>
      <w:tr w:rsidR="00C01923" w:rsidRPr="005E3183" w14:paraId="7D6E5E17" w14:textId="77777777" w:rsidTr="00C01923">
        <w:tc>
          <w:tcPr>
            <w:tcW w:w="1526" w:type="dxa"/>
            <w:vAlign w:val="center"/>
            <w:hideMark/>
          </w:tcPr>
          <w:p w14:paraId="1852AF3B" w14:textId="77777777" w:rsidR="00C01923" w:rsidRPr="00867368" w:rsidRDefault="00897462">
            <w:pPr>
              <w:spacing w:before="40" w:after="80"/>
              <w:rPr>
                <w:b/>
                <w:sz w:val="20"/>
                <w:u w:val="single"/>
              </w:rPr>
            </w:pPr>
            <w:r w:rsidRPr="00867368">
              <w:rPr>
                <w:b/>
                <w:sz w:val="20"/>
                <w:u w:val="single"/>
              </w:rPr>
              <w:t>Length</w:t>
            </w:r>
          </w:p>
        </w:tc>
        <w:tc>
          <w:tcPr>
            <w:tcW w:w="2693" w:type="dxa"/>
            <w:gridSpan w:val="2"/>
          </w:tcPr>
          <w:p w14:paraId="37193763" w14:textId="77777777" w:rsidR="00C01923" w:rsidRPr="00867368" w:rsidRDefault="00C01923">
            <w:pPr>
              <w:spacing w:before="40" w:after="80"/>
              <w:jc w:val="center"/>
              <w:rPr>
                <w:b/>
                <w:sz w:val="20"/>
                <w:u w:val="single"/>
              </w:rPr>
            </w:pPr>
          </w:p>
        </w:tc>
        <w:tc>
          <w:tcPr>
            <w:tcW w:w="1985" w:type="dxa"/>
            <w:vAlign w:val="center"/>
            <w:hideMark/>
          </w:tcPr>
          <w:p w14:paraId="5D6E9958" w14:textId="77777777" w:rsidR="00C01923" w:rsidRPr="00867368" w:rsidRDefault="00897462">
            <w:pPr>
              <w:pStyle w:val="BoldNormal"/>
              <w:rPr>
                <w:sz w:val="20"/>
                <w:u w:val="single"/>
              </w:rPr>
            </w:pPr>
            <w:r w:rsidRPr="00867368">
              <w:rPr>
                <w:sz w:val="20"/>
                <w:u w:val="single"/>
              </w:rPr>
              <w:t>Dosing</w:t>
            </w:r>
          </w:p>
        </w:tc>
        <w:tc>
          <w:tcPr>
            <w:tcW w:w="2976" w:type="dxa"/>
          </w:tcPr>
          <w:p w14:paraId="76FDB0A3" w14:textId="77777777" w:rsidR="00C01923" w:rsidRPr="00867368" w:rsidRDefault="00C01923">
            <w:pPr>
              <w:spacing w:before="40" w:after="80"/>
              <w:jc w:val="center"/>
              <w:rPr>
                <w:b/>
                <w:sz w:val="20"/>
                <w:u w:val="single"/>
              </w:rPr>
            </w:pPr>
          </w:p>
        </w:tc>
      </w:tr>
      <w:tr w:rsidR="00C01923" w:rsidRPr="005E3183" w14:paraId="41C76F2A" w14:textId="77777777" w:rsidTr="00C01923">
        <w:tc>
          <w:tcPr>
            <w:tcW w:w="1526" w:type="dxa"/>
            <w:hideMark/>
          </w:tcPr>
          <w:p w14:paraId="0E1C8262" w14:textId="77777777" w:rsidR="00C01923" w:rsidRPr="00867368" w:rsidRDefault="00897462">
            <w:pPr>
              <w:rPr>
                <w:b/>
                <w:sz w:val="20"/>
              </w:rPr>
            </w:pPr>
            <w:r w:rsidRPr="00867368">
              <w:rPr>
                <w:b/>
                <w:sz w:val="20"/>
              </w:rPr>
              <w:t>cm</w:t>
            </w:r>
          </w:p>
        </w:tc>
        <w:tc>
          <w:tcPr>
            <w:tcW w:w="2693" w:type="dxa"/>
            <w:gridSpan w:val="2"/>
            <w:hideMark/>
          </w:tcPr>
          <w:p w14:paraId="76C29DF9" w14:textId="77777777" w:rsidR="00C01923" w:rsidRPr="00867368" w:rsidRDefault="00897462">
            <w:pPr>
              <w:rPr>
                <w:sz w:val="20"/>
              </w:rPr>
            </w:pPr>
            <w:r w:rsidRPr="00867368">
              <w:rPr>
                <w:sz w:val="20"/>
              </w:rPr>
              <w:t>Centimetre</w:t>
            </w:r>
          </w:p>
        </w:tc>
        <w:tc>
          <w:tcPr>
            <w:tcW w:w="1985" w:type="dxa"/>
            <w:hideMark/>
          </w:tcPr>
          <w:p w14:paraId="23335863" w14:textId="77777777" w:rsidR="00C01923" w:rsidRPr="00867368" w:rsidRDefault="00897462">
            <w:pPr>
              <w:rPr>
                <w:sz w:val="20"/>
              </w:rPr>
            </w:pPr>
            <w:r w:rsidRPr="00867368">
              <w:rPr>
                <w:b/>
                <w:sz w:val="20"/>
              </w:rPr>
              <w:t>id</w:t>
            </w:r>
          </w:p>
        </w:tc>
        <w:tc>
          <w:tcPr>
            <w:tcW w:w="2976" w:type="dxa"/>
            <w:hideMark/>
          </w:tcPr>
          <w:p w14:paraId="03D29C6B" w14:textId="77777777" w:rsidR="00C01923" w:rsidRPr="00867368" w:rsidRDefault="00897462">
            <w:pPr>
              <w:rPr>
                <w:sz w:val="20"/>
              </w:rPr>
            </w:pPr>
            <w:r w:rsidRPr="00867368">
              <w:rPr>
                <w:sz w:val="20"/>
              </w:rPr>
              <w:t>Intradermal</w:t>
            </w:r>
          </w:p>
        </w:tc>
      </w:tr>
      <w:tr w:rsidR="00C01923" w:rsidRPr="005E3183" w14:paraId="757393C1" w14:textId="77777777" w:rsidTr="00C01923">
        <w:tc>
          <w:tcPr>
            <w:tcW w:w="1526" w:type="dxa"/>
            <w:hideMark/>
          </w:tcPr>
          <w:p w14:paraId="1B00843D" w14:textId="77777777" w:rsidR="00C01923" w:rsidRPr="00867368" w:rsidRDefault="00897462">
            <w:pPr>
              <w:rPr>
                <w:b/>
                <w:sz w:val="20"/>
              </w:rPr>
            </w:pPr>
            <w:r w:rsidRPr="00867368">
              <w:rPr>
                <w:b/>
                <w:sz w:val="20"/>
              </w:rPr>
              <w:t>m</w:t>
            </w:r>
          </w:p>
        </w:tc>
        <w:tc>
          <w:tcPr>
            <w:tcW w:w="2693" w:type="dxa"/>
            <w:gridSpan w:val="2"/>
            <w:hideMark/>
          </w:tcPr>
          <w:p w14:paraId="7DDDD3CD" w14:textId="77777777" w:rsidR="00C01923" w:rsidRPr="00867368" w:rsidRDefault="00897462">
            <w:pPr>
              <w:rPr>
                <w:sz w:val="20"/>
              </w:rPr>
            </w:pPr>
            <w:r w:rsidRPr="00867368">
              <w:rPr>
                <w:sz w:val="20"/>
              </w:rPr>
              <w:t>Metre</w:t>
            </w:r>
          </w:p>
        </w:tc>
        <w:tc>
          <w:tcPr>
            <w:tcW w:w="1985" w:type="dxa"/>
            <w:hideMark/>
          </w:tcPr>
          <w:p w14:paraId="42134FCA" w14:textId="77777777" w:rsidR="00C01923" w:rsidRPr="00867368" w:rsidRDefault="00897462">
            <w:pPr>
              <w:rPr>
                <w:sz w:val="20"/>
              </w:rPr>
            </w:pPr>
            <w:r w:rsidRPr="00867368">
              <w:rPr>
                <w:b/>
                <w:sz w:val="20"/>
              </w:rPr>
              <w:t>im</w:t>
            </w:r>
          </w:p>
        </w:tc>
        <w:tc>
          <w:tcPr>
            <w:tcW w:w="2976" w:type="dxa"/>
            <w:hideMark/>
          </w:tcPr>
          <w:p w14:paraId="79E8DD02" w14:textId="77777777" w:rsidR="00C01923" w:rsidRPr="00867368" w:rsidRDefault="00897462">
            <w:pPr>
              <w:rPr>
                <w:sz w:val="20"/>
              </w:rPr>
            </w:pPr>
            <w:r w:rsidRPr="00867368">
              <w:rPr>
                <w:sz w:val="20"/>
              </w:rPr>
              <w:t>Intramuscular</w:t>
            </w:r>
          </w:p>
        </w:tc>
      </w:tr>
      <w:tr w:rsidR="00C01923" w:rsidRPr="005E3183" w14:paraId="1C7B5EE3" w14:textId="77777777" w:rsidTr="00C01923">
        <w:tc>
          <w:tcPr>
            <w:tcW w:w="1526" w:type="dxa"/>
            <w:hideMark/>
          </w:tcPr>
          <w:p w14:paraId="6DF84108" w14:textId="77777777" w:rsidR="00C01923" w:rsidRPr="00867368" w:rsidRDefault="00897462">
            <w:pPr>
              <w:rPr>
                <w:b/>
                <w:sz w:val="20"/>
              </w:rPr>
            </w:pPr>
            <w:r w:rsidRPr="00867368">
              <w:rPr>
                <w:b/>
                <w:sz w:val="20"/>
              </w:rPr>
              <w:t>μm</w:t>
            </w:r>
          </w:p>
        </w:tc>
        <w:tc>
          <w:tcPr>
            <w:tcW w:w="2693" w:type="dxa"/>
            <w:gridSpan w:val="2"/>
            <w:hideMark/>
          </w:tcPr>
          <w:p w14:paraId="67E3BBBA" w14:textId="77777777" w:rsidR="00C01923" w:rsidRPr="00867368" w:rsidRDefault="00897462">
            <w:pPr>
              <w:rPr>
                <w:sz w:val="20"/>
              </w:rPr>
            </w:pPr>
            <w:r w:rsidRPr="00867368">
              <w:rPr>
                <w:sz w:val="20"/>
              </w:rPr>
              <w:t>Micrometre</w:t>
            </w:r>
          </w:p>
        </w:tc>
        <w:tc>
          <w:tcPr>
            <w:tcW w:w="1985" w:type="dxa"/>
            <w:hideMark/>
          </w:tcPr>
          <w:p w14:paraId="26A5B719" w14:textId="77777777" w:rsidR="00C01923" w:rsidRPr="00867368" w:rsidRDefault="00897462">
            <w:pPr>
              <w:rPr>
                <w:b/>
                <w:sz w:val="20"/>
              </w:rPr>
            </w:pPr>
            <w:r w:rsidRPr="00867368">
              <w:rPr>
                <w:b/>
                <w:sz w:val="20"/>
              </w:rPr>
              <w:t>inh</w:t>
            </w:r>
          </w:p>
        </w:tc>
        <w:tc>
          <w:tcPr>
            <w:tcW w:w="2976" w:type="dxa"/>
            <w:hideMark/>
          </w:tcPr>
          <w:p w14:paraId="3E6DFC78" w14:textId="77777777" w:rsidR="00C01923" w:rsidRPr="00867368" w:rsidRDefault="00897462">
            <w:pPr>
              <w:rPr>
                <w:sz w:val="20"/>
              </w:rPr>
            </w:pPr>
            <w:r w:rsidRPr="00867368">
              <w:rPr>
                <w:sz w:val="20"/>
              </w:rPr>
              <w:t>Inhalation</w:t>
            </w:r>
          </w:p>
        </w:tc>
      </w:tr>
      <w:tr w:rsidR="00C01923" w:rsidRPr="005E3183" w14:paraId="21FFD56A" w14:textId="77777777" w:rsidTr="00C01923">
        <w:tc>
          <w:tcPr>
            <w:tcW w:w="1526" w:type="dxa"/>
            <w:hideMark/>
          </w:tcPr>
          <w:p w14:paraId="43F3F565" w14:textId="77777777" w:rsidR="00C01923" w:rsidRPr="00867368" w:rsidRDefault="00897462">
            <w:pPr>
              <w:rPr>
                <w:b/>
                <w:sz w:val="20"/>
              </w:rPr>
            </w:pPr>
            <w:r w:rsidRPr="00867368">
              <w:rPr>
                <w:b/>
                <w:sz w:val="20"/>
              </w:rPr>
              <w:t>mm</w:t>
            </w:r>
          </w:p>
        </w:tc>
        <w:tc>
          <w:tcPr>
            <w:tcW w:w="2693" w:type="dxa"/>
            <w:gridSpan w:val="2"/>
            <w:hideMark/>
          </w:tcPr>
          <w:p w14:paraId="0119EFBF" w14:textId="77777777" w:rsidR="00C01923" w:rsidRPr="00867368" w:rsidRDefault="00897462">
            <w:pPr>
              <w:rPr>
                <w:sz w:val="20"/>
              </w:rPr>
            </w:pPr>
            <w:r w:rsidRPr="00867368">
              <w:rPr>
                <w:sz w:val="20"/>
              </w:rPr>
              <w:t>Millimetre</w:t>
            </w:r>
          </w:p>
        </w:tc>
        <w:tc>
          <w:tcPr>
            <w:tcW w:w="1985" w:type="dxa"/>
            <w:hideMark/>
          </w:tcPr>
          <w:p w14:paraId="5B0F33DF" w14:textId="77777777" w:rsidR="00C01923" w:rsidRPr="00867368" w:rsidRDefault="00897462">
            <w:pPr>
              <w:rPr>
                <w:sz w:val="20"/>
              </w:rPr>
            </w:pPr>
            <w:r w:rsidRPr="00867368">
              <w:rPr>
                <w:b/>
                <w:sz w:val="20"/>
              </w:rPr>
              <w:t>ip</w:t>
            </w:r>
          </w:p>
        </w:tc>
        <w:tc>
          <w:tcPr>
            <w:tcW w:w="2976" w:type="dxa"/>
            <w:hideMark/>
          </w:tcPr>
          <w:p w14:paraId="7145E8C6" w14:textId="77777777" w:rsidR="00C01923" w:rsidRPr="00867368" w:rsidRDefault="00897462">
            <w:pPr>
              <w:rPr>
                <w:sz w:val="20"/>
              </w:rPr>
            </w:pPr>
            <w:r w:rsidRPr="00867368">
              <w:rPr>
                <w:sz w:val="20"/>
              </w:rPr>
              <w:t>Intraperitoneal</w:t>
            </w:r>
          </w:p>
        </w:tc>
      </w:tr>
      <w:tr w:rsidR="00C01923" w:rsidRPr="005E3183" w14:paraId="728FA05B" w14:textId="77777777" w:rsidTr="00C01923">
        <w:tc>
          <w:tcPr>
            <w:tcW w:w="1526" w:type="dxa"/>
            <w:hideMark/>
          </w:tcPr>
          <w:p w14:paraId="6EAB031F" w14:textId="77777777" w:rsidR="00C01923" w:rsidRPr="00867368" w:rsidRDefault="00897462">
            <w:pPr>
              <w:rPr>
                <w:b/>
                <w:sz w:val="20"/>
              </w:rPr>
            </w:pPr>
            <w:r w:rsidRPr="00867368">
              <w:rPr>
                <w:b/>
                <w:sz w:val="20"/>
              </w:rPr>
              <w:t>Nm</w:t>
            </w:r>
          </w:p>
        </w:tc>
        <w:tc>
          <w:tcPr>
            <w:tcW w:w="2693" w:type="dxa"/>
            <w:gridSpan w:val="2"/>
            <w:hideMark/>
          </w:tcPr>
          <w:p w14:paraId="31A39E45" w14:textId="77777777" w:rsidR="00C01923" w:rsidRPr="00867368" w:rsidRDefault="00897462">
            <w:pPr>
              <w:rPr>
                <w:sz w:val="20"/>
              </w:rPr>
            </w:pPr>
            <w:r w:rsidRPr="00867368">
              <w:rPr>
                <w:sz w:val="20"/>
              </w:rPr>
              <w:t>Nanometre</w:t>
            </w:r>
          </w:p>
        </w:tc>
        <w:tc>
          <w:tcPr>
            <w:tcW w:w="1985" w:type="dxa"/>
            <w:hideMark/>
          </w:tcPr>
          <w:p w14:paraId="6CFB8705" w14:textId="77777777" w:rsidR="00C01923" w:rsidRPr="00867368" w:rsidRDefault="00897462">
            <w:pPr>
              <w:rPr>
                <w:sz w:val="20"/>
              </w:rPr>
            </w:pPr>
            <w:r w:rsidRPr="00867368">
              <w:rPr>
                <w:b/>
                <w:sz w:val="20"/>
              </w:rPr>
              <w:t>iv</w:t>
            </w:r>
          </w:p>
        </w:tc>
        <w:tc>
          <w:tcPr>
            <w:tcW w:w="2976" w:type="dxa"/>
            <w:hideMark/>
          </w:tcPr>
          <w:p w14:paraId="0877AF60" w14:textId="77777777" w:rsidR="00C01923" w:rsidRPr="00867368" w:rsidRDefault="00897462">
            <w:pPr>
              <w:rPr>
                <w:sz w:val="20"/>
              </w:rPr>
            </w:pPr>
            <w:r w:rsidRPr="00867368">
              <w:rPr>
                <w:sz w:val="20"/>
              </w:rPr>
              <w:t>Intravenous</w:t>
            </w:r>
          </w:p>
        </w:tc>
      </w:tr>
      <w:tr w:rsidR="00C01923" w:rsidRPr="005E3183" w14:paraId="788F18F4" w14:textId="77777777" w:rsidTr="00C01923">
        <w:tc>
          <w:tcPr>
            <w:tcW w:w="1526" w:type="dxa"/>
          </w:tcPr>
          <w:p w14:paraId="0B07C2E4" w14:textId="77777777" w:rsidR="00C01923" w:rsidRPr="00867368" w:rsidRDefault="00C01923">
            <w:pPr>
              <w:rPr>
                <w:sz w:val="20"/>
              </w:rPr>
            </w:pPr>
          </w:p>
        </w:tc>
        <w:tc>
          <w:tcPr>
            <w:tcW w:w="2693" w:type="dxa"/>
            <w:gridSpan w:val="2"/>
          </w:tcPr>
          <w:p w14:paraId="43CC53CF" w14:textId="77777777" w:rsidR="00C01923" w:rsidRPr="00867368" w:rsidRDefault="00C01923">
            <w:pPr>
              <w:rPr>
                <w:sz w:val="20"/>
              </w:rPr>
            </w:pPr>
          </w:p>
        </w:tc>
        <w:tc>
          <w:tcPr>
            <w:tcW w:w="1985" w:type="dxa"/>
            <w:hideMark/>
          </w:tcPr>
          <w:p w14:paraId="10B801C5" w14:textId="77777777" w:rsidR="00C01923" w:rsidRPr="00867368" w:rsidRDefault="00897462">
            <w:pPr>
              <w:rPr>
                <w:sz w:val="20"/>
              </w:rPr>
            </w:pPr>
            <w:r w:rsidRPr="00867368">
              <w:rPr>
                <w:b/>
                <w:sz w:val="20"/>
              </w:rPr>
              <w:t>po</w:t>
            </w:r>
          </w:p>
        </w:tc>
        <w:tc>
          <w:tcPr>
            <w:tcW w:w="2976" w:type="dxa"/>
            <w:hideMark/>
          </w:tcPr>
          <w:p w14:paraId="7E28A6AC" w14:textId="77777777" w:rsidR="00C01923" w:rsidRPr="00867368" w:rsidRDefault="00897462">
            <w:pPr>
              <w:rPr>
                <w:sz w:val="20"/>
              </w:rPr>
            </w:pPr>
            <w:r w:rsidRPr="00867368">
              <w:rPr>
                <w:sz w:val="20"/>
              </w:rPr>
              <w:t>Oral</w:t>
            </w:r>
          </w:p>
        </w:tc>
      </w:tr>
      <w:tr w:rsidR="00C01923" w:rsidRPr="005E3183" w14:paraId="6EB491D0" w14:textId="77777777" w:rsidTr="00C01923">
        <w:tc>
          <w:tcPr>
            <w:tcW w:w="1526" w:type="dxa"/>
          </w:tcPr>
          <w:p w14:paraId="24BD4E3D" w14:textId="77777777" w:rsidR="00C01923" w:rsidRPr="00867368" w:rsidRDefault="00C01923">
            <w:pPr>
              <w:rPr>
                <w:sz w:val="20"/>
              </w:rPr>
            </w:pPr>
          </w:p>
        </w:tc>
        <w:tc>
          <w:tcPr>
            <w:tcW w:w="2693" w:type="dxa"/>
            <w:gridSpan w:val="2"/>
          </w:tcPr>
          <w:p w14:paraId="0D6F4EE8" w14:textId="77777777" w:rsidR="00C01923" w:rsidRPr="00867368" w:rsidRDefault="00C01923">
            <w:pPr>
              <w:rPr>
                <w:sz w:val="20"/>
              </w:rPr>
            </w:pPr>
          </w:p>
        </w:tc>
        <w:tc>
          <w:tcPr>
            <w:tcW w:w="1985" w:type="dxa"/>
            <w:hideMark/>
          </w:tcPr>
          <w:p w14:paraId="0232DE78" w14:textId="77777777" w:rsidR="00C01923" w:rsidRPr="00867368" w:rsidRDefault="00897462">
            <w:pPr>
              <w:rPr>
                <w:sz w:val="20"/>
              </w:rPr>
            </w:pPr>
            <w:r w:rsidRPr="00867368">
              <w:rPr>
                <w:b/>
                <w:sz w:val="20"/>
              </w:rPr>
              <w:t>sc</w:t>
            </w:r>
          </w:p>
        </w:tc>
        <w:tc>
          <w:tcPr>
            <w:tcW w:w="2976" w:type="dxa"/>
            <w:hideMark/>
          </w:tcPr>
          <w:p w14:paraId="748D604E" w14:textId="77777777" w:rsidR="00C01923" w:rsidRPr="00867368" w:rsidRDefault="00897462">
            <w:pPr>
              <w:rPr>
                <w:sz w:val="20"/>
              </w:rPr>
            </w:pPr>
            <w:r w:rsidRPr="00867368">
              <w:rPr>
                <w:sz w:val="20"/>
              </w:rPr>
              <w:t>Subcutaneous</w:t>
            </w:r>
          </w:p>
        </w:tc>
      </w:tr>
      <w:tr w:rsidR="00C01923" w:rsidRPr="005E3183" w14:paraId="0816BBC5" w14:textId="77777777" w:rsidTr="00C01923">
        <w:trPr>
          <w:cantSplit/>
        </w:trPr>
        <w:tc>
          <w:tcPr>
            <w:tcW w:w="1526" w:type="dxa"/>
          </w:tcPr>
          <w:p w14:paraId="204AC4B0" w14:textId="77777777" w:rsidR="00C01923" w:rsidRPr="00867368" w:rsidRDefault="00C01923">
            <w:pPr>
              <w:rPr>
                <w:sz w:val="20"/>
              </w:rPr>
            </w:pPr>
          </w:p>
        </w:tc>
        <w:tc>
          <w:tcPr>
            <w:tcW w:w="2693" w:type="dxa"/>
            <w:gridSpan w:val="2"/>
          </w:tcPr>
          <w:p w14:paraId="6F684B9B" w14:textId="77777777" w:rsidR="00C01923" w:rsidRPr="00867368" w:rsidRDefault="00C01923">
            <w:pPr>
              <w:rPr>
                <w:sz w:val="20"/>
              </w:rPr>
            </w:pPr>
          </w:p>
        </w:tc>
        <w:tc>
          <w:tcPr>
            <w:tcW w:w="1985" w:type="dxa"/>
            <w:hideMark/>
          </w:tcPr>
          <w:p w14:paraId="0F2977F1" w14:textId="77777777" w:rsidR="00C01923" w:rsidRPr="00867368" w:rsidRDefault="00897462">
            <w:pPr>
              <w:rPr>
                <w:b/>
                <w:sz w:val="20"/>
              </w:rPr>
            </w:pPr>
            <w:r w:rsidRPr="00867368">
              <w:rPr>
                <w:b/>
                <w:sz w:val="20"/>
              </w:rPr>
              <w:t>mg/kg bw/d</w:t>
            </w:r>
          </w:p>
        </w:tc>
        <w:tc>
          <w:tcPr>
            <w:tcW w:w="2976" w:type="dxa"/>
            <w:hideMark/>
          </w:tcPr>
          <w:p w14:paraId="44EB0B21" w14:textId="77777777" w:rsidR="00C01923" w:rsidRPr="00867368" w:rsidRDefault="00897462">
            <w:pPr>
              <w:rPr>
                <w:sz w:val="20"/>
              </w:rPr>
            </w:pPr>
            <w:r w:rsidRPr="00867368">
              <w:rPr>
                <w:sz w:val="20"/>
              </w:rPr>
              <w:t>mg/kg body weight/day</w:t>
            </w:r>
          </w:p>
        </w:tc>
      </w:tr>
      <w:tr w:rsidR="00C01923" w:rsidRPr="005E3183" w14:paraId="6F36E313" w14:textId="77777777" w:rsidTr="00C01923">
        <w:trPr>
          <w:cantSplit/>
        </w:trPr>
        <w:tc>
          <w:tcPr>
            <w:tcW w:w="1526" w:type="dxa"/>
          </w:tcPr>
          <w:p w14:paraId="6B2E32AE" w14:textId="77777777" w:rsidR="00C01923" w:rsidRPr="00867368" w:rsidRDefault="00C01923">
            <w:pPr>
              <w:rPr>
                <w:sz w:val="20"/>
                <w:u w:val="single"/>
              </w:rPr>
            </w:pPr>
          </w:p>
        </w:tc>
        <w:tc>
          <w:tcPr>
            <w:tcW w:w="2693" w:type="dxa"/>
            <w:gridSpan w:val="2"/>
          </w:tcPr>
          <w:p w14:paraId="665B2D4D" w14:textId="77777777" w:rsidR="00C01923" w:rsidRPr="00867368" w:rsidRDefault="00C01923">
            <w:pPr>
              <w:rPr>
                <w:sz w:val="20"/>
              </w:rPr>
            </w:pPr>
          </w:p>
        </w:tc>
        <w:tc>
          <w:tcPr>
            <w:tcW w:w="1985" w:type="dxa"/>
          </w:tcPr>
          <w:p w14:paraId="52E5D8FC" w14:textId="77777777" w:rsidR="00C01923" w:rsidRPr="00867368" w:rsidRDefault="00C01923">
            <w:pPr>
              <w:rPr>
                <w:sz w:val="20"/>
                <w:u w:val="single"/>
              </w:rPr>
            </w:pPr>
          </w:p>
        </w:tc>
        <w:tc>
          <w:tcPr>
            <w:tcW w:w="2976" w:type="dxa"/>
          </w:tcPr>
          <w:p w14:paraId="56C2189B" w14:textId="77777777" w:rsidR="00C01923" w:rsidRPr="00867368" w:rsidRDefault="00C01923">
            <w:pPr>
              <w:rPr>
                <w:sz w:val="20"/>
              </w:rPr>
            </w:pPr>
          </w:p>
        </w:tc>
      </w:tr>
      <w:tr w:rsidR="00C01923" w:rsidRPr="005E3183" w14:paraId="0318954D" w14:textId="77777777" w:rsidTr="00C01923">
        <w:trPr>
          <w:cantSplit/>
        </w:trPr>
        <w:tc>
          <w:tcPr>
            <w:tcW w:w="1526" w:type="dxa"/>
            <w:hideMark/>
          </w:tcPr>
          <w:p w14:paraId="27B237E8" w14:textId="77777777" w:rsidR="00C01923" w:rsidRPr="00867368" w:rsidRDefault="00897462">
            <w:pPr>
              <w:spacing w:before="40" w:after="80"/>
              <w:rPr>
                <w:b/>
                <w:sz w:val="20"/>
                <w:u w:val="single"/>
              </w:rPr>
            </w:pPr>
            <w:r w:rsidRPr="00867368">
              <w:rPr>
                <w:b/>
                <w:sz w:val="20"/>
                <w:u w:val="single"/>
              </w:rPr>
              <w:t>Volume</w:t>
            </w:r>
          </w:p>
        </w:tc>
        <w:tc>
          <w:tcPr>
            <w:tcW w:w="2693" w:type="dxa"/>
            <w:gridSpan w:val="2"/>
          </w:tcPr>
          <w:p w14:paraId="7B177740" w14:textId="77777777" w:rsidR="00C01923" w:rsidRPr="00867368" w:rsidRDefault="00C01923">
            <w:pPr>
              <w:spacing w:before="40" w:after="80"/>
              <w:jc w:val="center"/>
              <w:rPr>
                <w:b/>
                <w:sz w:val="20"/>
                <w:u w:val="single"/>
              </w:rPr>
            </w:pPr>
          </w:p>
        </w:tc>
        <w:tc>
          <w:tcPr>
            <w:tcW w:w="1985" w:type="dxa"/>
            <w:hideMark/>
          </w:tcPr>
          <w:p w14:paraId="4E46C663" w14:textId="77777777" w:rsidR="00C01923" w:rsidRPr="00867368" w:rsidRDefault="00897462">
            <w:pPr>
              <w:spacing w:before="40" w:after="80"/>
              <w:rPr>
                <w:b/>
                <w:sz w:val="20"/>
                <w:u w:val="single"/>
              </w:rPr>
            </w:pPr>
            <w:r w:rsidRPr="00867368">
              <w:rPr>
                <w:b/>
                <w:sz w:val="20"/>
                <w:u w:val="single"/>
              </w:rPr>
              <w:t>Concentration</w:t>
            </w:r>
          </w:p>
        </w:tc>
        <w:tc>
          <w:tcPr>
            <w:tcW w:w="2976" w:type="dxa"/>
          </w:tcPr>
          <w:p w14:paraId="0C35B2CA" w14:textId="77777777" w:rsidR="00C01923" w:rsidRPr="00867368" w:rsidRDefault="00C01923">
            <w:pPr>
              <w:spacing w:before="40" w:after="80"/>
              <w:jc w:val="center"/>
              <w:rPr>
                <w:b/>
                <w:sz w:val="20"/>
              </w:rPr>
            </w:pPr>
          </w:p>
        </w:tc>
      </w:tr>
      <w:tr w:rsidR="00C01923" w:rsidRPr="005E3183" w14:paraId="6E6FF90B" w14:textId="77777777" w:rsidTr="00C01923">
        <w:tc>
          <w:tcPr>
            <w:tcW w:w="1526" w:type="dxa"/>
            <w:hideMark/>
          </w:tcPr>
          <w:p w14:paraId="61245B00" w14:textId="77777777" w:rsidR="00C01923" w:rsidRPr="00867368" w:rsidRDefault="00897462">
            <w:pPr>
              <w:rPr>
                <w:b/>
                <w:sz w:val="20"/>
              </w:rPr>
            </w:pPr>
            <w:r w:rsidRPr="00867368">
              <w:rPr>
                <w:b/>
                <w:sz w:val="20"/>
              </w:rPr>
              <w:t>L</w:t>
            </w:r>
          </w:p>
        </w:tc>
        <w:tc>
          <w:tcPr>
            <w:tcW w:w="2693" w:type="dxa"/>
            <w:gridSpan w:val="2"/>
            <w:hideMark/>
          </w:tcPr>
          <w:p w14:paraId="4AC3F966" w14:textId="77777777" w:rsidR="00C01923" w:rsidRPr="00867368" w:rsidRDefault="00897462">
            <w:pPr>
              <w:rPr>
                <w:sz w:val="20"/>
              </w:rPr>
            </w:pPr>
            <w:r w:rsidRPr="00867368">
              <w:rPr>
                <w:sz w:val="20"/>
              </w:rPr>
              <w:t>Litre</w:t>
            </w:r>
          </w:p>
        </w:tc>
        <w:tc>
          <w:tcPr>
            <w:tcW w:w="1985" w:type="dxa"/>
            <w:hideMark/>
          </w:tcPr>
          <w:p w14:paraId="5B43AC33" w14:textId="77777777" w:rsidR="00C01923" w:rsidRPr="00867368" w:rsidRDefault="00897462">
            <w:pPr>
              <w:rPr>
                <w:b/>
                <w:sz w:val="20"/>
              </w:rPr>
            </w:pPr>
            <w:r w:rsidRPr="00867368">
              <w:rPr>
                <w:b/>
                <w:sz w:val="20"/>
              </w:rPr>
              <w:t>M</w:t>
            </w:r>
          </w:p>
        </w:tc>
        <w:tc>
          <w:tcPr>
            <w:tcW w:w="2976" w:type="dxa"/>
            <w:hideMark/>
          </w:tcPr>
          <w:p w14:paraId="4E31FAD1" w14:textId="77777777" w:rsidR="00C01923" w:rsidRPr="00867368" w:rsidRDefault="00897462">
            <w:pPr>
              <w:rPr>
                <w:sz w:val="20"/>
              </w:rPr>
            </w:pPr>
            <w:r w:rsidRPr="00867368">
              <w:rPr>
                <w:sz w:val="20"/>
              </w:rPr>
              <w:t>Molar</w:t>
            </w:r>
          </w:p>
        </w:tc>
      </w:tr>
      <w:tr w:rsidR="00C01923" w:rsidRPr="005E3183" w14:paraId="4ABFAC8E" w14:textId="77777777" w:rsidTr="00C01923">
        <w:tc>
          <w:tcPr>
            <w:tcW w:w="1526" w:type="dxa"/>
            <w:hideMark/>
          </w:tcPr>
          <w:p w14:paraId="58B20205" w14:textId="77777777" w:rsidR="00C01923" w:rsidRPr="00867368" w:rsidRDefault="00897462">
            <w:pPr>
              <w:rPr>
                <w:b/>
                <w:sz w:val="20"/>
              </w:rPr>
            </w:pPr>
            <w:r w:rsidRPr="00867368">
              <w:rPr>
                <w:b/>
                <w:sz w:val="20"/>
              </w:rPr>
              <w:t>mL</w:t>
            </w:r>
          </w:p>
        </w:tc>
        <w:tc>
          <w:tcPr>
            <w:tcW w:w="2693" w:type="dxa"/>
            <w:gridSpan w:val="2"/>
            <w:hideMark/>
          </w:tcPr>
          <w:p w14:paraId="400470BA" w14:textId="77777777" w:rsidR="00C01923" w:rsidRPr="00867368" w:rsidRDefault="00897462">
            <w:pPr>
              <w:rPr>
                <w:sz w:val="20"/>
              </w:rPr>
            </w:pPr>
            <w:r w:rsidRPr="00867368">
              <w:rPr>
                <w:sz w:val="20"/>
              </w:rPr>
              <w:t>Millilitre</w:t>
            </w:r>
          </w:p>
        </w:tc>
        <w:tc>
          <w:tcPr>
            <w:tcW w:w="1985" w:type="dxa"/>
            <w:hideMark/>
          </w:tcPr>
          <w:p w14:paraId="05657387" w14:textId="77777777" w:rsidR="00C01923" w:rsidRPr="00867368" w:rsidRDefault="00897462">
            <w:pPr>
              <w:rPr>
                <w:b/>
                <w:sz w:val="20"/>
              </w:rPr>
            </w:pPr>
            <w:r w:rsidRPr="00867368">
              <w:rPr>
                <w:b/>
                <w:sz w:val="20"/>
              </w:rPr>
              <w:t>ppb</w:t>
            </w:r>
          </w:p>
        </w:tc>
        <w:tc>
          <w:tcPr>
            <w:tcW w:w="2976" w:type="dxa"/>
            <w:hideMark/>
          </w:tcPr>
          <w:p w14:paraId="200DC15C" w14:textId="77777777" w:rsidR="00C01923" w:rsidRPr="00867368" w:rsidRDefault="00897462">
            <w:pPr>
              <w:rPr>
                <w:sz w:val="20"/>
              </w:rPr>
            </w:pPr>
            <w:r w:rsidRPr="00867368">
              <w:rPr>
                <w:sz w:val="20"/>
              </w:rPr>
              <w:t>Parts per billion</w:t>
            </w:r>
          </w:p>
        </w:tc>
      </w:tr>
      <w:tr w:rsidR="00C01923" w:rsidRPr="005E3183" w14:paraId="318D6AA4" w14:textId="77777777" w:rsidTr="00C01923">
        <w:tc>
          <w:tcPr>
            <w:tcW w:w="1526" w:type="dxa"/>
            <w:hideMark/>
          </w:tcPr>
          <w:p w14:paraId="364B9E06" w14:textId="77777777" w:rsidR="00C01923" w:rsidRPr="00867368" w:rsidRDefault="00897462">
            <w:pPr>
              <w:rPr>
                <w:b/>
                <w:sz w:val="20"/>
              </w:rPr>
            </w:pPr>
            <w:r w:rsidRPr="00867368">
              <w:rPr>
                <w:b/>
                <w:sz w:val="20"/>
              </w:rPr>
              <w:t>µL</w:t>
            </w:r>
          </w:p>
        </w:tc>
        <w:tc>
          <w:tcPr>
            <w:tcW w:w="2693" w:type="dxa"/>
            <w:gridSpan w:val="2"/>
            <w:hideMark/>
          </w:tcPr>
          <w:p w14:paraId="0DFA2F3D" w14:textId="77777777" w:rsidR="00C01923" w:rsidRPr="00867368" w:rsidRDefault="00897462">
            <w:pPr>
              <w:rPr>
                <w:sz w:val="20"/>
              </w:rPr>
            </w:pPr>
            <w:r w:rsidRPr="00867368">
              <w:rPr>
                <w:sz w:val="20"/>
              </w:rPr>
              <w:t>Microlitre</w:t>
            </w:r>
          </w:p>
        </w:tc>
        <w:tc>
          <w:tcPr>
            <w:tcW w:w="1985" w:type="dxa"/>
            <w:hideMark/>
          </w:tcPr>
          <w:p w14:paraId="51F2EF95" w14:textId="77777777" w:rsidR="00C01923" w:rsidRPr="00867368" w:rsidRDefault="00897462">
            <w:pPr>
              <w:rPr>
                <w:b/>
                <w:sz w:val="20"/>
              </w:rPr>
            </w:pPr>
            <w:r w:rsidRPr="00867368">
              <w:rPr>
                <w:b/>
                <w:sz w:val="20"/>
              </w:rPr>
              <w:t>ppm</w:t>
            </w:r>
          </w:p>
        </w:tc>
        <w:tc>
          <w:tcPr>
            <w:tcW w:w="2976" w:type="dxa"/>
            <w:hideMark/>
          </w:tcPr>
          <w:p w14:paraId="6FDDF859" w14:textId="77777777" w:rsidR="00C01923" w:rsidRPr="00867368" w:rsidRDefault="00897462">
            <w:pPr>
              <w:rPr>
                <w:sz w:val="20"/>
              </w:rPr>
            </w:pPr>
            <w:r w:rsidRPr="00867368">
              <w:rPr>
                <w:sz w:val="20"/>
              </w:rPr>
              <w:t>Parts per million</w:t>
            </w:r>
          </w:p>
        </w:tc>
      </w:tr>
      <w:tr w:rsidR="00BA58FE" w:rsidRPr="005E3183" w14:paraId="6767D8FF" w14:textId="77777777" w:rsidTr="00867368">
        <w:trPr>
          <w:cantSplit/>
          <w:trHeight w:val="269"/>
        </w:trPr>
        <w:tc>
          <w:tcPr>
            <w:tcW w:w="9180" w:type="dxa"/>
            <w:gridSpan w:val="5"/>
          </w:tcPr>
          <w:p w14:paraId="1940D63E" w14:textId="77777777" w:rsidR="00BA58FE" w:rsidRPr="00867368" w:rsidRDefault="00BA58FE" w:rsidP="0056718F">
            <w:pPr>
              <w:spacing w:before="40" w:after="80"/>
              <w:rPr>
                <w:b/>
                <w:sz w:val="20"/>
              </w:rPr>
            </w:pPr>
          </w:p>
        </w:tc>
      </w:tr>
      <w:tr w:rsidR="00BA58FE" w:rsidRPr="005E3183" w14:paraId="14853C90" w14:textId="77777777" w:rsidTr="0056718F">
        <w:trPr>
          <w:cantSplit/>
        </w:trPr>
        <w:tc>
          <w:tcPr>
            <w:tcW w:w="9180" w:type="dxa"/>
            <w:gridSpan w:val="5"/>
            <w:hideMark/>
          </w:tcPr>
          <w:p w14:paraId="15FC8BA0" w14:textId="77777777" w:rsidR="00BA58FE" w:rsidRPr="00867368" w:rsidRDefault="00897462" w:rsidP="0056718F">
            <w:pPr>
              <w:spacing w:before="40" w:after="80"/>
              <w:rPr>
                <w:sz w:val="20"/>
                <w:u w:val="single"/>
              </w:rPr>
            </w:pPr>
            <w:r w:rsidRPr="00867368">
              <w:rPr>
                <w:b/>
                <w:sz w:val="20"/>
                <w:u w:val="single"/>
              </w:rPr>
              <w:t>Brain - dopamine metabolites, enzymes and neurotransmitters</w:t>
            </w:r>
          </w:p>
        </w:tc>
      </w:tr>
      <w:tr w:rsidR="00BA58FE" w:rsidRPr="005E3183" w14:paraId="010C25CD" w14:textId="77777777" w:rsidTr="0056718F">
        <w:trPr>
          <w:cantSplit/>
        </w:trPr>
        <w:tc>
          <w:tcPr>
            <w:tcW w:w="3085" w:type="dxa"/>
            <w:gridSpan w:val="2"/>
            <w:hideMark/>
          </w:tcPr>
          <w:p w14:paraId="56712612" w14:textId="77777777" w:rsidR="00BA58FE" w:rsidRPr="00867368" w:rsidRDefault="00897462" w:rsidP="0056718F">
            <w:pPr>
              <w:rPr>
                <w:b/>
                <w:sz w:val="20"/>
              </w:rPr>
            </w:pPr>
            <w:r w:rsidRPr="00867368">
              <w:rPr>
                <w:b/>
                <w:sz w:val="20"/>
              </w:rPr>
              <w:t>DA</w:t>
            </w:r>
          </w:p>
        </w:tc>
        <w:tc>
          <w:tcPr>
            <w:tcW w:w="6095" w:type="dxa"/>
            <w:gridSpan w:val="3"/>
            <w:hideMark/>
          </w:tcPr>
          <w:p w14:paraId="4DCE5E80" w14:textId="77777777" w:rsidR="00BA58FE" w:rsidRPr="00867368" w:rsidRDefault="00897462" w:rsidP="0056718F">
            <w:pPr>
              <w:rPr>
                <w:sz w:val="20"/>
              </w:rPr>
            </w:pPr>
            <w:r w:rsidRPr="00867368">
              <w:rPr>
                <w:sz w:val="20"/>
              </w:rPr>
              <w:t>Dopamine</w:t>
            </w:r>
          </w:p>
        </w:tc>
      </w:tr>
      <w:tr w:rsidR="00A0640A" w:rsidRPr="005E3183" w14:paraId="2D576FA6" w14:textId="77777777" w:rsidTr="0056718F">
        <w:trPr>
          <w:cantSplit/>
        </w:trPr>
        <w:tc>
          <w:tcPr>
            <w:tcW w:w="3085" w:type="dxa"/>
            <w:gridSpan w:val="2"/>
          </w:tcPr>
          <w:p w14:paraId="4A12E005" w14:textId="77777777" w:rsidR="00A0640A" w:rsidRPr="00867368" w:rsidRDefault="00897462" w:rsidP="0056718F">
            <w:pPr>
              <w:rPr>
                <w:b/>
                <w:sz w:val="20"/>
              </w:rPr>
            </w:pPr>
            <w:r w:rsidRPr="00867368">
              <w:rPr>
                <w:b/>
                <w:sz w:val="20"/>
                <w:lang w:val="en-US"/>
              </w:rPr>
              <w:t>DAT</w:t>
            </w:r>
          </w:p>
        </w:tc>
        <w:tc>
          <w:tcPr>
            <w:tcW w:w="6095" w:type="dxa"/>
            <w:gridSpan w:val="3"/>
          </w:tcPr>
          <w:p w14:paraId="512902A6" w14:textId="77777777" w:rsidR="00A0640A" w:rsidRPr="00867368" w:rsidRDefault="00897462" w:rsidP="0056718F">
            <w:pPr>
              <w:rPr>
                <w:sz w:val="20"/>
              </w:rPr>
            </w:pPr>
            <w:r w:rsidRPr="00867368">
              <w:rPr>
                <w:color w:val="000000"/>
                <w:sz w:val="20"/>
                <w:lang w:val="en-US"/>
              </w:rPr>
              <w:t>Dopamine transporter</w:t>
            </w:r>
          </w:p>
        </w:tc>
      </w:tr>
      <w:tr w:rsidR="00BA58FE" w:rsidRPr="005E3183" w14:paraId="3C3B9C28" w14:textId="77777777" w:rsidTr="0056718F">
        <w:trPr>
          <w:cantSplit/>
        </w:trPr>
        <w:tc>
          <w:tcPr>
            <w:tcW w:w="3085" w:type="dxa"/>
            <w:gridSpan w:val="2"/>
            <w:hideMark/>
          </w:tcPr>
          <w:p w14:paraId="0E6308E0" w14:textId="77777777" w:rsidR="00BA58FE" w:rsidRPr="00867368" w:rsidRDefault="00897462" w:rsidP="0056718F">
            <w:pPr>
              <w:rPr>
                <w:b/>
                <w:sz w:val="20"/>
              </w:rPr>
            </w:pPr>
            <w:r w:rsidRPr="00867368">
              <w:rPr>
                <w:b/>
                <w:sz w:val="20"/>
              </w:rPr>
              <w:t>DOPAC</w:t>
            </w:r>
          </w:p>
        </w:tc>
        <w:tc>
          <w:tcPr>
            <w:tcW w:w="6095" w:type="dxa"/>
            <w:gridSpan w:val="3"/>
            <w:hideMark/>
          </w:tcPr>
          <w:p w14:paraId="08583D7D" w14:textId="77777777" w:rsidR="00BA58FE" w:rsidRPr="00867368" w:rsidRDefault="00897462" w:rsidP="0056718F">
            <w:pPr>
              <w:rPr>
                <w:sz w:val="20"/>
              </w:rPr>
            </w:pPr>
            <w:r w:rsidRPr="00867368">
              <w:rPr>
                <w:sz w:val="20"/>
              </w:rPr>
              <w:t>3,4-dihydroxyphentlacetic acid</w:t>
            </w:r>
          </w:p>
        </w:tc>
      </w:tr>
      <w:tr w:rsidR="00BA58FE" w:rsidRPr="005E3183" w14:paraId="22176698" w14:textId="77777777" w:rsidTr="0056718F">
        <w:trPr>
          <w:cantSplit/>
        </w:trPr>
        <w:tc>
          <w:tcPr>
            <w:tcW w:w="3085" w:type="dxa"/>
            <w:gridSpan w:val="2"/>
            <w:hideMark/>
          </w:tcPr>
          <w:p w14:paraId="55E289C4" w14:textId="77777777" w:rsidR="00BA58FE" w:rsidRPr="00867368" w:rsidRDefault="00897462" w:rsidP="0056718F">
            <w:pPr>
              <w:rPr>
                <w:b/>
                <w:sz w:val="20"/>
              </w:rPr>
            </w:pPr>
            <w:r w:rsidRPr="00867368">
              <w:rPr>
                <w:b/>
                <w:sz w:val="20"/>
              </w:rPr>
              <w:t>3-MT</w:t>
            </w:r>
          </w:p>
        </w:tc>
        <w:tc>
          <w:tcPr>
            <w:tcW w:w="6095" w:type="dxa"/>
            <w:gridSpan w:val="3"/>
            <w:hideMark/>
          </w:tcPr>
          <w:p w14:paraId="6ECBF8DF" w14:textId="77777777" w:rsidR="00BA58FE" w:rsidRPr="00867368" w:rsidRDefault="00897462" w:rsidP="0056718F">
            <w:pPr>
              <w:rPr>
                <w:sz w:val="20"/>
              </w:rPr>
            </w:pPr>
            <w:r w:rsidRPr="00867368">
              <w:rPr>
                <w:sz w:val="20"/>
              </w:rPr>
              <w:t>3-methoxytyramine</w:t>
            </w:r>
          </w:p>
        </w:tc>
      </w:tr>
      <w:tr w:rsidR="00BA58FE" w:rsidRPr="005E3183" w14:paraId="1BE1801C" w14:textId="77777777" w:rsidTr="0056718F">
        <w:trPr>
          <w:cantSplit/>
        </w:trPr>
        <w:tc>
          <w:tcPr>
            <w:tcW w:w="3085" w:type="dxa"/>
            <w:gridSpan w:val="2"/>
            <w:hideMark/>
          </w:tcPr>
          <w:p w14:paraId="76C79820" w14:textId="77777777" w:rsidR="00BA58FE" w:rsidRPr="00867368" w:rsidRDefault="00897462" w:rsidP="0056718F">
            <w:pPr>
              <w:rPr>
                <w:b/>
                <w:sz w:val="20"/>
              </w:rPr>
            </w:pPr>
            <w:r w:rsidRPr="00867368">
              <w:rPr>
                <w:b/>
                <w:sz w:val="20"/>
              </w:rPr>
              <w:t>HVA</w:t>
            </w:r>
          </w:p>
        </w:tc>
        <w:tc>
          <w:tcPr>
            <w:tcW w:w="6095" w:type="dxa"/>
            <w:gridSpan w:val="3"/>
            <w:hideMark/>
          </w:tcPr>
          <w:p w14:paraId="62240BB1" w14:textId="77777777" w:rsidR="00BA58FE" w:rsidRPr="00867368" w:rsidRDefault="00897462" w:rsidP="0056718F">
            <w:pPr>
              <w:rPr>
                <w:sz w:val="20"/>
              </w:rPr>
            </w:pPr>
            <w:r w:rsidRPr="00867368">
              <w:rPr>
                <w:sz w:val="20"/>
              </w:rPr>
              <w:t>Homovanillic acid</w:t>
            </w:r>
          </w:p>
        </w:tc>
      </w:tr>
      <w:tr w:rsidR="00BA58FE" w:rsidRPr="005E3183" w14:paraId="39BE1085" w14:textId="77777777" w:rsidTr="0056718F">
        <w:trPr>
          <w:cantSplit/>
        </w:trPr>
        <w:tc>
          <w:tcPr>
            <w:tcW w:w="3085" w:type="dxa"/>
            <w:gridSpan w:val="2"/>
            <w:hideMark/>
          </w:tcPr>
          <w:p w14:paraId="34FC80D9" w14:textId="77777777" w:rsidR="00BA58FE" w:rsidRPr="00867368" w:rsidRDefault="00897462" w:rsidP="0056718F">
            <w:pPr>
              <w:rPr>
                <w:b/>
                <w:sz w:val="20"/>
              </w:rPr>
            </w:pPr>
            <w:r w:rsidRPr="00867368">
              <w:rPr>
                <w:b/>
                <w:sz w:val="20"/>
              </w:rPr>
              <w:t>5-HT</w:t>
            </w:r>
          </w:p>
        </w:tc>
        <w:tc>
          <w:tcPr>
            <w:tcW w:w="6095" w:type="dxa"/>
            <w:gridSpan w:val="3"/>
            <w:hideMark/>
          </w:tcPr>
          <w:p w14:paraId="55E7D408" w14:textId="77777777" w:rsidR="00BA58FE" w:rsidRPr="00867368" w:rsidRDefault="00897462" w:rsidP="0056718F">
            <w:pPr>
              <w:rPr>
                <w:sz w:val="20"/>
              </w:rPr>
            </w:pPr>
            <w:r w:rsidRPr="00867368">
              <w:rPr>
                <w:sz w:val="20"/>
              </w:rPr>
              <w:t>Serotonin</w:t>
            </w:r>
          </w:p>
        </w:tc>
      </w:tr>
      <w:tr w:rsidR="00BA58FE" w:rsidRPr="005E3183" w14:paraId="2B80D6B9" w14:textId="77777777" w:rsidTr="0056718F">
        <w:trPr>
          <w:cantSplit/>
        </w:trPr>
        <w:tc>
          <w:tcPr>
            <w:tcW w:w="3085" w:type="dxa"/>
            <w:gridSpan w:val="2"/>
            <w:hideMark/>
          </w:tcPr>
          <w:p w14:paraId="4B8CA172" w14:textId="77777777" w:rsidR="00BA58FE" w:rsidRPr="00867368" w:rsidRDefault="00897462" w:rsidP="0056718F">
            <w:pPr>
              <w:rPr>
                <w:b/>
                <w:sz w:val="20"/>
              </w:rPr>
            </w:pPr>
            <w:r w:rsidRPr="00867368">
              <w:rPr>
                <w:b/>
                <w:sz w:val="20"/>
              </w:rPr>
              <w:t>5-HIAA</w:t>
            </w:r>
          </w:p>
        </w:tc>
        <w:tc>
          <w:tcPr>
            <w:tcW w:w="6095" w:type="dxa"/>
            <w:gridSpan w:val="3"/>
            <w:hideMark/>
          </w:tcPr>
          <w:p w14:paraId="6D1A782A" w14:textId="77777777" w:rsidR="00BA58FE" w:rsidRPr="00867368" w:rsidRDefault="00897462" w:rsidP="0056718F">
            <w:pPr>
              <w:rPr>
                <w:sz w:val="20"/>
              </w:rPr>
            </w:pPr>
            <w:r w:rsidRPr="00867368">
              <w:rPr>
                <w:sz w:val="20"/>
              </w:rPr>
              <w:t>5-hydroxyindoleacetic acid</w:t>
            </w:r>
          </w:p>
        </w:tc>
      </w:tr>
      <w:tr w:rsidR="00BA58FE" w:rsidRPr="005E3183" w14:paraId="21410454" w14:textId="77777777" w:rsidTr="0056718F">
        <w:trPr>
          <w:cantSplit/>
        </w:trPr>
        <w:tc>
          <w:tcPr>
            <w:tcW w:w="3085" w:type="dxa"/>
            <w:gridSpan w:val="2"/>
            <w:hideMark/>
          </w:tcPr>
          <w:p w14:paraId="08BA4D9A" w14:textId="77777777" w:rsidR="00BA58FE" w:rsidRPr="00867368" w:rsidRDefault="00897462" w:rsidP="0056718F">
            <w:pPr>
              <w:rPr>
                <w:b/>
                <w:sz w:val="20"/>
              </w:rPr>
            </w:pPr>
            <w:r w:rsidRPr="00867368">
              <w:rPr>
                <w:b/>
                <w:sz w:val="20"/>
              </w:rPr>
              <w:t>GABA</w:t>
            </w:r>
          </w:p>
        </w:tc>
        <w:tc>
          <w:tcPr>
            <w:tcW w:w="6095" w:type="dxa"/>
            <w:gridSpan w:val="3"/>
            <w:hideMark/>
          </w:tcPr>
          <w:p w14:paraId="6E3FD0FA" w14:textId="77777777" w:rsidR="00BA58FE" w:rsidRPr="00867368" w:rsidRDefault="00897462" w:rsidP="0056718F">
            <w:pPr>
              <w:rPr>
                <w:sz w:val="20"/>
              </w:rPr>
            </w:pPr>
            <w:r w:rsidRPr="00867368">
              <w:rPr>
                <w:sz w:val="20"/>
              </w:rPr>
              <w:sym w:font="Symbol" w:char="F067"/>
            </w:r>
            <w:r w:rsidRPr="00867368">
              <w:rPr>
                <w:sz w:val="20"/>
              </w:rPr>
              <w:t>-aminobutyric acid</w:t>
            </w:r>
          </w:p>
        </w:tc>
      </w:tr>
      <w:tr w:rsidR="00BA58FE" w:rsidRPr="005E3183" w14:paraId="536C314F" w14:textId="77777777" w:rsidTr="0056718F">
        <w:trPr>
          <w:cantSplit/>
        </w:trPr>
        <w:tc>
          <w:tcPr>
            <w:tcW w:w="3085" w:type="dxa"/>
            <w:gridSpan w:val="2"/>
            <w:hideMark/>
          </w:tcPr>
          <w:p w14:paraId="564FC795" w14:textId="77777777" w:rsidR="00BA58FE" w:rsidRPr="00867368" w:rsidRDefault="00897462" w:rsidP="0056718F">
            <w:pPr>
              <w:rPr>
                <w:b/>
                <w:sz w:val="20"/>
              </w:rPr>
            </w:pPr>
            <w:r w:rsidRPr="00867368">
              <w:rPr>
                <w:b/>
                <w:sz w:val="20"/>
              </w:rPr>
              <w:t>GAD</w:t>
            </w:r>
          </w:p>
        </w:tc>
        <w:tc>
          <w:tcPr>
            <w:tcW w:w="6095" w:type="dxa"/>
            <w:gridSpan w:val="3"/>
            <w:hideMark/>
          </w:tcPr>
          <w:p w14:paraId="4DA87A64" w14:textId="77777777" w:rsidR="00BA58FE" w:rsidRPr="00867368" w:rsidRDefault="00897462" w:rsidP="0056718F">
            <w:pPr>
              <w:rPr>
                <w:sz w:val="20"/>
              </w:rPr>
            </w:pPr>
            <w:r w:rsidRPr="00867368">
              <w:rPr>
                <w:sz w:val="20"/>
              </w:rPr>
              <w:t>Glutamic acid decarboxylase</w:t>
            </w:r>
          </w:p>
        </w:tc>
      </w:tr>
      <w:tr w:rsidR="00BA58FE" w:rsidRPr="005E3183" w14:paraId="287AD541" w14:textId="77777777" w:rsidTr="0056718F">
        <w:trPr>
          <w:cantSplit/>
        </w:trPr>
        <w:tc>
          <w:tcPr>
            <w:tcW w:w="3085" w:type="dxa"/>
            <w:gridSpan w:val="2"/>
            <w:hideMark/>
          </w:tcPr>
          <w:p w14:paraId="78AC7B83" w14:textId="77777777" w:rsidR="00BA58FE" w:rsidRPr="00867368" w:rsidRDefault="00897462" w:rsidP="0056718F">
            <w:pPr>
              <w:rPr>
                <w:b/>
                <w:sz w:val="20"/>
              </w:rPr>
            </w:pPr>
            <w:r w:rsidRPr="00867368">
              <w:rPr>
                <w:b/>
                <w:sz w:val="20"/>
              </w:rPr>
              <w:t>PENK</w:t>
            </w:r>
          </w:p>
        </w:tc>
        <w:tc>
          <w:tcPr>
            <w:tcW w:w="6095" w:type="dxa"/>
            <w:gridSpan w:val="3"/>
            <w:hideMark/>
          </w:tcPr>
          <w:p w14:paraId="0C0B4C4D" w14:textId="77777777" w:rsidR="00BA58FE" w:rsidRPr="00867368" w:rsidRDefault="00897462" w:rsidP="0056718F">
            <w:pPr>
              <w:rPr>
                <w:sz w:val="20"/>
              </w:rPr>
            </w:pPr>
            <w:r w:rsidRPr="00867368">
              <w:rPr>
                <w:sz w:val="20"/>
              </w:rPr>
              <w:t>Proenkephalin</w:t>
            </w:r>
          </w:p>
        </w:tc>
      </w:tr>
      <w:tr w:rsidR="00BA58FE" w:rsidRPr="005E3183" w14:paraId="7F8CC77D" w14:textId="77777777" w:rsidTr="0056718F">
        <w:trPr>
          <w:cantSplit/>
        </w:trPr>
        <w:tc>
          <w:tcPr>
            <w:tcW w:w="3085" w:type="dxa"/>
            <w:gridSpan w:val="2"/>
            <w:hideMark/>
          </w:tcPr>
          <w:p w14:paraId="0B53E9B2" w14:textId="77777777" w:rsidR="00BA58FE" w:rsidRPr="00867368" w:rsidRDefault="00897462" w:rsidP="0056718F">
            <w:pPr>
              <w:rPr>
                <w:b/>
                <w:sz w:val="20"/>
              </w:rPr>
            </w:pPr>
            <w:r w:rsidRPr="00867368">
              <w:rPr>
                <w:b/>
                <w:sz w:val="20"/>
              </w:rPr>
              <w:t>NA</w:t>
            </w:r>
          </w:p>
        </w:tc>
        <w:tc>
          <w:tcPr>
            <w:tcW w:w="6095" w:type="dxa"/>
            <w:gridSpan w:val="3"/>
            <w:hideMark/>
          </w:tcPr>
          <w:p w14:paraId="2D39054B" w14:textId="77777777" w:rsidR="00BA58FE" w:rsidRPr="00867368" w:rsidRDefault="00897462" w:rsidP="0056718F">
            <w:pPr>
              <w:rPr>
                <w:sz w:val="20"/>
              </w:rPr>
            </w:pPr>
            <w:r w:rsidRPr="00867368">
              <w:rPr>
                <w:sz w:val="20"/>
              </w:rPr>
              <w:t>Noradrenaline</w:t>
            </w:r>
          </w:p>
        </w:tc>
      </w:tr>
      <w:tr w:rsidR="0035588E" w:rsidRPr="005E3183" w14:paraId="20B78BB3" w14:textId="77777777" w:rsidTr="0056718F">
        <w:trPr>
          <w:cantSplit/>
        </w:trPr>
        <w:tc>
          <w:tcPr>
            <w:tcW w:w="3085" w:type="dxa"/>
            <w:gridSpan w:val="2"/>
          </w:tcPr>
          <w:p w14:paraId="56CDFDEB" w14:textId="77777777" w:rsidR="0035588E" w:rsidRPr="00867368" w:rsidRDefault="00897462" w:rsidP="0056718F">
            <w:pPr>
              <w:rPr>
                <w:b/>
                <w:sz w:val="20"/>
              </w:rPr>
            </w:pPr>
            <w:r w:rsidRPr="00867368">
              <w:rPr>
                <w:b/>
                <w:sz w:val="20"/>
              </w:rPr>
              <w:t>NMDA</w:t>
            </w:r>
          </w:p>
        </w:tc>
        <w:tc>
          <w:tcPr>
            <w:tcW w:w="6095" w:type="dxa"/>
            <w:gridSpan w:val="3"/>
          </w:tcPr>
          <w:p w14:paraId="379315C9" w14:textId="77777777" w:rsidR="0035588E" w:rsidRPr="00867368" w:rsidRDefault="0035588E" w:rsidP="0056718F">
            <w:pPr>
              <w:rPr>
                <w:sz w:val="20"/>
              </w:rPr>
            </w:pPr>
            <w:r w:rsidRPr="005E3183">
              <w:rPr>
                <w:sz w:val="20"/>
              </w:rPr>
              <w:t>N</w:t>
            </w:r>
            <w:r w:rsidR="00897462" w:rsidRPr="00867368">
              <w:rPr>
                <w:sz w:val="20"/>
              </w:rPr>
              <w:t>-methyl-</w:t>
            </w:r>
            <w:r w:rsidRPr="005E3183">
              <w:rPr>
                <w:sz w:val="20"/>
              </w:rPr>
              <w:t>D</w:t>
            </w:r>
            <w:r w:rsidR="00897462" w:rsidRPr="00867368">
              <w:rPr>
                <w:sz w:val="20"/>
              </w:rPr>
              <w:t>-aspartate</w:t>
            </w:r>
          </w:p>
        </w:tc>
      </w:tr>
      <w:tr w:rsidR="00BA58FE" w:rsidRPr="005E3183" w14:paraId="1AF3E694" w14:textId="77777777" w:rsidTr="0056718F">
        <w:trPr>
          <w:cantSplit/>
        </w:trPr>
        <w:tc>
          <w:tcPr>
            <w:tcW w:w="3085" w:type="dxa"/>
            <w:gridSpan w:val="2"/>
            <w:hideMark/>
          </w:tcPr>
          <w:p w14:paraId="3C771709" w14:textId="77777777" w:rsidR="00BA58FE" w:rsidRPr="00867368" w:rsidRDefault="00897462" w:rsidP="0056718F">
            <w:pPr>
              <w:rPr>
                <w:b/>
                <w:sz w:val="20"/>
              </w:rPr>
            </w:pPr>
            <w:r w:rsidRPr="00867368">
              <w:rPr>
                <w:b/>
                <w:sz w:val="20"/>
              </w:rPr>
              <w:t>TH/TH+ or TH-</w:t>
            </w:r>
          </w:p>
        </w:tc>
        <w:tc>
          <w:tcPr>
            <w:tcW w:w="6095" w:type="dxa"/>
            <w:gridSpan w:val="3"/>
            <w:hideMark/>
          </w:tcPr>
          <w:p w14:paraId="3FBB9946" w14:textId="77777777" w:rsidR="00BA58FE" w:rsidRPr="00867368" w:rsidRDefault="00897462" w:rsidP="0056718F">
            <w:pPr>
              <w:rPr>
                <w:sz w:val="20"/>
              </w:rPr>
            </w:pPr>
            <w:r w:rsidRPr="00867368">
              <w:rPr>
                <w:sz w:val="20"/>
              </w:rPr>
              <w:t>Tyrosine hydroxylase/ tyrosine hydroxylase positive or negative</w:t>
            </w:r>
          </w:p>
        </w:tc>
      </w:tr>
      <w:tr w:rsidR="00BA58FE" w:rsidRPr="005E3183" w14:paraId="6BBDF189" w14:textId="77777777" w:rsidTr="0056718F">
        <w:trPr>
          <w:cantSplit/>
        </w:trPr>
        <w:tc>
          <w:tcPr>
            <w:tcW w:w="3085" w:type="dxa"/>
            <w:gridSpan w:val="2"/>
            <w:hideMark/>
          </w:tcPr>
          <w:p w14:paraId="19E16E92" w14:textId="77777777" w:rsidR="00BA58FE" w:rsidRPr="00867368" w:rsidRDefault="00897462" w:rsidP="0056718F">
            <w:pPr>
              <w:rPr>
                <w:b/>
                <w:sz w:val="20"/>
              </w:rPr>
            </w:pPr>
            <w:r w:rsidRPr="00867368">
              <w:rPr>
                <w:b/>
                <w:sz w:val="20"/>
              </w:rPr>
              <w:t>TH-ir</w:t>
            </w:r>
          </w:p>
        </w:tc>
        <w:tc>
          <w:tcPr>
            <w:tcW w:w="6095" w:type="dxa"/>
            <w:gridSpan w:val="3"/>
            <w:hideMark/>
          </w:tcPr>
          <w:p w14:paraId="785B905B" w14:textId="77777777" w:rsidR="00BA58FE" w:rsidRPr="00867368" w:rsidRDefault="00897462" w:rsidP="0056718F">
            <w:pPr>
              <w:rPr>
                <w:sz w:val="20"/>
              </w:rPr>
            </w:pPr>
            <w:r w:rsidRPr="00867368">
              <w:rPr>
                <w:sz w:val="20"/>
              </w:rPr>
              <w:t>Tyrosine hydroxylase immunoreactivity</w:t>
            </w:r>
          </w:p>
        </w:tc>
      </w:tr>
      <w:tr w:rsidR="00A343C0" w:rsidRPr="005E3183" w14:paraId="2F4FFF31" w14:textId="77777777" w:rsidTr="00867368">
        <w:trPr>
          <w:cantSplit/>
          <w:trHeight w:val="129"/>
        </w:trPr>
        <w:tc>
          <w:tcPr>
            <w:tcW w:w="3085" w:type="dxa"/>
            <w:gridSpan w:val="2"/>
          </w:tcPr>
          <w:p w14:paraId="70E805FC" w14:textId="77777777" w:rsidR="00A343C0" w:rsidRPr="00867368" w:rsidRDefault="00A343C0">
            <w:pPr>
              <w:spacing w:before="40" w:after="80"/>
              <w:rPr>
                <w:b/>
                <w:sz w:val="20"/>
              </w:rPr>
            </w:pPr>
          </w:p>
        </w:tc>
        <w:tc>
          <w:tcPr>
            <w:tcW w:w="6095" w:type="dxa"/>
            <w:gridSpan w:val="3"/>
          </w:tcPr>
          <w:p w14:paraId="103A8012" w14:textId="77777777" w:rsidR="00A343C0" w:rsidRPr="00867368" w:rsidRDefault="00A343C0">
            <w:pPr>
              <w:spacing w:before="40" w:after="80"/>
              <w:rPr>
                <w:sz w:val="20"/>
              </w:rPr>
            </w:pPr>
          </w:p>
        </w:tc>
      </w:tr>
      <w:tr w:rsidR="00C01923" w:rsidRPr="005E3183" w14:paraId="47E51DCF" w14:textId="77777777" w:rsidTr="00C01923">
        <w:trPr>
          <w:cantSplit/>
        </w:trPr>
        <w:tc>
          <w:tcPr>
            <w:tcW w:w="3085" w:type="dxa"/>
            <w:gridSpan w:val="2"/>
            <w:hideMark/>
          </w:tcPr>
          <w:p w14:paraId="2AFDCDAC" w14:textId="77777777" w:rsidR="00C01923" w:rsidRPr="00867368" w:rsidRDefault="00897462">
            <w:pPr>
              <w:spacing w:before="40" w:after="80"/>
              <w:rPr>
                <w:b/>
                <w:sz w:val="20"/>
                <w:u w:val="single"/>
              </w:rPr>
            </w:pPr>
            <w:r w:rsidRPr="00867368">
              <w:rPr>
                <w:b/>
                <w:sz w:val="20"/>
                <w:u w:val="single"/>
              </w:rPr>
              <w:t>Anatomy</w:t>
            </w:r>
          </w:p>
        </w:tc>
        <w:tc>
          <w:tcPr>
            <w:tcW w:w="6095" w:type="dxa"/>
            <w:gridSpan w:val="3"/>
          </w:tcPr>
          <w:p w14:paraId="65C81546" w14:textId="77777777" w:rsidR="00C01923" w:rsidRPr="00867368" w:rsidRDefault="00C01923">
            <w:pPr>
              <w:spacing w:before="40" w:after="80"/>
              <w:rPr>
                <w:sz w:val="20"/>
              </w:rPr>
            </w:pPr>
          </w:p>
        </w:tc>
      </w:tr>
      <w:tr w:rsidR="0008427E" w:rsidRPr="005E3183" w14:paraId="70D3F288" w14:textId="77777777" w:rsidTr="00C01923">
        <w:trPr>
          <w:cantSplit/>
        </w:trPr>
        <w:tc>
          <w:tcPr>
            <w:tcW w:w="3085" w:type="dxa"/>
            <w:gridSpan w:val="2"/>
          </w:tcPr>
          <w:p w14:paraId="3BB55FF2" w14:textId="77777777" w:rsidR="0008427E" w:rsidRPr="00867368" w:rsidRDefault="00897462">
            <w:pPr>
              <w:rPr>
                <w:b/>
                <w:sz w:val="20"/>
              </w:rPr>
            </w:pPr>
            <w:r w:rsidRPr="00867368">
              <w:rPr>
                <w:b/>
                <w:sz w:val="20"/>
              </w:rPr>
              <w:t>BBB</w:t>
            </w:r>
          </w:p>
        </w:tc>
        <w:tc>
          <w:tcPr>
            <w:tcW w:w="6095" w:type="dxa"/>
            <w:gridSpan w:val="3"/>
          </w:tcPr>
          <w:p w14:paraId="382EA746" w14:textId="77777777" w:rsidR="0008427E" w:rsidRPr="00867368" w:rsidRDefault="00897462" w:rsidP="00F271D6">
            <w:pPr>
              <w:rPr>
                <w:sz w:val="20"/>
              </w:rPr>
            </w:pPr>
            <w:r w:rsidRPr="00867368">
              <w:rPr>
                <w:sz w:val="20"/>
              </w:rPr>
              <w:t>Blood brain barrier</w:t>
            </w:r>
          </w:p>
        </w:tc>
      </w:tr>
      <w:tr w:rsidR="00C01923" w:rsidRPr="005E3183" w14:paraId="125C645F" w14:textId="77777777" w:rsidTr="00C01923">
        <w:trPr>
          <w:cantSplit/>
        </w:trPr>
        <w:tc>
          <w:tcPr>
            <w:tcW w:w="3085" w:type="dxa"/>
            <w:gridSpan w:val="2"/>
            <w:hideMark/>
          </w:tcPr>
          <w:p w14:paraId="0E0C3DE6" w14:textId="77777777" w:rsidR="00C01923" w:rsidRPr="00867368" w:rsidRDefault="00897462">
            <w:pPr>
              <w:rPr>
                <w:sz w:val="20"/>
              </w:rPr>
            </w:pPr>
            <w:r w:rsidRPr="00867368">
              <w:rPr>
                <w:b/>
                <w:sz w:val="20"/>
              </w:rPr>
              <w:t>CNS</w:t>
            </w:r>
          </w:p>
        </w:tc>
        <w:tc>
          <w:tcPr>
            <w:tcW w:w="6095" w:type="dxa"/>
            <w:gridSpan w:val="3"/>
            <w:hideMark/>
          </w:tcPr>
          <w:p w14:paraId="06AF6904" w14:textId="77777777" w:rsidR="00C01923" w:rsidRPr="00867368" w:rsidRDefault="00897462">
            <w:pPr>
              <w:rPr>
                <w:sz w:val="20"/>
              </w:rPr>
            </w:pPr>
            <w:r w:rsidRPr="00867368">
              <w:rPr>
                <w:sz w:val="20"/>
              </w:rPr>
              <w:t>Central nervous system</w:t>
            </w:r>
          </w:p>
        </w:tc>
      </w:tr>
      <w:tr w:rsidR="00C01923" w:rsidRPr="005E3183" w14:paraId="2532B08D" w14:textId="77777777" w:rsidTr="00C01923">
        <w:trPr>
          <w:cantSplit/>
        </w:trPr>
        <w:tc>
          <w:tcPr>
            <w:tcW w:w="3085" w:type="dxa"/>
            <w:gridSpan w:val="2"/>
            <w:hideMark/>
          </w:tcPr>
          <w:p w14:paraId="7D83408A" w14:textId="77777777" w:rsidR="00C01923" w:rsidRPr="00867368" w:rsidRDefault="00897462">
            <w:pPr>
              <w:rPr>
                <w:b/>
                <w:sz w:val="20"/>
              </w:rPr>
            </w:pPr>
            <w:r w:rsidRPr="00867368">
              <w:rPr>
                <w:b/>
                <w:sz w:val="20"/>
              </w:rPr>
              <w:t>CP</w:t>
            </w:r>
          </w:p>
        </w:tc>
        <w:tc>
          <w:tcPr>
            <w:tcW w:w="6095" w:type="dxa"/>
            <w:gridSpan w:val="3"/>
            <w:hideMark/>
          </w:tcPr>
          <w:p w14:paraId="2F4FD888" w14:textId="77777777" w:rsidR="00C01923" w:rsidRPr="00867368" w:rsidRDefault="00897462">
            <w:pPr>
              <w:rPr>
                <w:sz w:val="20"/>
              </w:rPr>
            </w:pPr>
            <w:r w:rsidRPr="00867368">
              <w:rPr>
                <w:sz w:val="20"/>
              </w:rPr>
              <w:t>Caudate putamen</w:t>
            </w:r>
          </w:p>
        </w:tc>
      </w:tr>
      <w:tr w:rsidR="00C01923" w:rsidRPr="005E3183" w14:paraId="6665AC87" w14:textId="77777777" w:rsidTr="00C01923">
        <w:trPr>
          <w:cantSplit/>
        </w:trPr>
        <w:tc>
          <w:tcPr>
            <w:tcW w:w="3085" w:type="dxa"/>
            <w:gridSpan w:val="2"/>
            <w:hideMark/>
          </w:tcPr>
          <w:p w14:paraId="24ABCE37" w14:textId="77777777" w:rsidR="00C01923" w:rsidRPr="00867368" w:rsidRDefault="00897462">
            <w:pPr>
              <w:rPr>
                <w:b/>
                <w:sz w:val="20"/>
              </w:rPr>
            </w:pPr>
            <w:r w:rsidRPr="00867368">
              <w:rPr>
                <w:b/>
                <w:sz w:val="20"/>
              </w:rPr>
              <w:t>PFC</w:t>
            </w:r>
          </w:p>
        </w:tc>
        <w:tc>
          <w:tcPr>
            <w:tcW w:w="6095" w:type="dxa"/>
            <w:gridSpan w:val="3"/>
            <w:hideMark/>
          </w:tcPr>
          <w:p w14:paraId="6E12E846" w14:textId="77777777" w:rsidR="00C01923" w:rsidRPr="00867368" w:rsidRDefault="00897462">
            <w:pPr>
              <w:rPr>
                <w:sz w:val="20"/>
              </w:rPr>
            </w:pPr>
            <w:r w:rsidRPr="00867368">
              <w:rPr>
                <w:sz w:val="20"/>
              </w:rPr>
              <w:t>Prefrontal cortex</w:t>
            </w:r>
          </w:p>
        </w:tc>
      </w:tr>
      <w:tr w:rsidR="00C01923" w:rsidRPr="005E3183" w14:paraId="0439B3D7" w14:textId="77777777" w:rsidTr="00C01923">
        <w:trPr>
          <w:cantSplit/>
        </w:trPr>
        <w:tc>
          <w:tcPr>
            <w:tcW w:w="3085" w:type="dxa"/>
            <w:gridSpan w:val="2"/>
            <w:hideMark/>
          </w:tcPr>
          <w:p w14:paraId="6598B4D8" w14:textId="77777777" w:rsidR="00C01923" w:rsidRPr="00867368" w:rsidRDefault="00897462">
            <w:pPr>
              <w:rPr>
                <w:b/>
                <w:sz w:val="20"/>
              </w:rPr>
            </w:pPr>
            <w:r w:rsidRPr="00867368">
              <w:rPr>
                <w:b/>
                <w:sz w:val="20"/>
              </w:rPr>
              <w:t>SN</w:t>
            </w:r>
          </w:p>
        </w:tc>
        <w:tc>
          <w:tcPr>
            <w:tcW w:w="6095" w:type="dxa"/>
            <w:gridSpan w:val="3"/>
            <w:hideMark/>
          </w:tcPr>
          <w:p w14:paraId="2E5EC1B3" w14:textId="77777777" w:rsidR="00C01923" w:rsidRPr="00867368" w:rsidRDefault="00897462">
            <w:pPr>
              <w:rPr>
                <w:sz w:val="20"/>
              </w:rPr>
            </w:pPr>
            <w:r w:rsidRPr="00867368">
              <w:rPr>
                <w:sz w:val="20"/>
              </w:rPr>
              <w:t>Substantia nigra</w:t>
            </w:r>
          </w:p>
        </w:tc>
      </w:tr>
      <w:tr w:rsidR="00C01923" w:rsidRPr="005E3183" w14:paraId="11598153" w14:textId="77777777" w:rsidTr="00C01923">
        <w:trPr>
          <w:cantSplit/>
        </w:trPr>
        <w:tc>
          <w:tcPr>
            <w:tcW w:w="3085" w:type="dxa"/>
            <w:gridSpan w:val="2"/>
            <w:hideMark/>
          </w:tcPr>
          <w:p w14:paraId="34B50158" w14:textId="77777777" w:rsidR="00C01923" w:rsidRPr="00867368" w:rsidRDefault="00897462">
            <w:pPr>
              <w:rPr>
                <w:b/>
                <w:sz w:val="20"/>
              </w:rPr>
            </w:pPr>
            <w:r w:rsidRPr="00867368">
              <w:rPr>
                <w:b/>
                <w:sz w:val="20"/>
              </w:rPr>
              <w:t>SN pc</w:t>
            </w:r>
          </w:p>
        </w:tc>
        <w:tc>
          <w:tcPr>
            <w:tcW w:w="6095" w:type="dxa"/>
            <w:gridSpan w:val="3"/>
            <w:hideMark/>
          </w:tcPr>
          <w:p w14:paraId="1F015653" w14:textId="77777777" w:rsidR="00C01923" w:rsidRPr="00867368" w:rsidRDefault="00897462">
            <w:pPr>
              <w:rPr>
                <w:sz w:val="20"/>
              </w:rPr>
            </w:pPr>
            <w:r w:rsidRPr="00867368">
              <w:rPr>
                <w:sz w:val="20"/>
              </w:rPr>
              <w:t>Substantia nigra pars compacta</w:t>
            </w:r>
          </w:p>
        </w:tc>
      </w:tr>
      <w:tr w:rsidR="00C01923" w:rsidRPr="005E3183" w14:paraId="77FD7183" w14:textId="77777777" w:rsidTr="00C01923">
        <w:trPr>
          <w:cantSplit/>
        </w:trPr>
        <w:tc>
          <w:tcPr>
            <w:tcW w:w="3085" w:type="dxa"/>
            <w:gridSpan w:val="2"/>
            <w:hideMark/>
          </w:tcPr>
          <w:p w14:paraId="31C31875" w14:textId="77777777" w:rsidR="00C01923" w:rsidRPr="00867368" w:rsidRDefault="00897462">
            <w:pPr>
              <w:rPr>
                <w:sz w:val="20"/>
              </w:rPr>
            </w:pPr>
            <w:r w:rsidRPr="00867368">
              <w:rPr>
                <w:b/>
                <w:sz w:val="20"/>
              </w:rPr>
              <w:t>VTA</w:t>
            </w:r>
          </w:p>
        </w:tc>
        <w:tc>
          <w:tcPr>
            <w:tcW w:w="6095" w:type="dxa"/>
            <w:gridSpan w:val="3"/>
            <w:hideMark/>
          </w:tcPr>
          <w:p w14:paraId="248E0909" w14:textId="77777777" w:rsidR="00C01923" w:rsidRPr="00867368" w:rsidRDefault="00897462">
            <w:pPr>
              <w:rPr>
                <w:sz w:val="20"/>
              </w:rPr>
            </w:pPr>
            <w:r w:rsidRPr="00867368">
              <w:rPr>
                <w:sz w:val="20"/>
              </w:rPr>
              <w:t>Ventral tegmental area</w:t>
            </w:r>
          </w:p>
        </w:tc>
      </w:tr>
      <w:tr w:rsidR="00C01923" w:rsidRPr="005E3183" w14:paraId="60D4A20B" w14:textId="77777777" w:rsidTr="00C01923">
        <w:trPr>
          <w:cantSplit/>
        </w:trPr>
        <w:tc>
          <w:tcPr>
            <w:tcW w:w="3085" w:type="dxa"/>
            <w:gridSpan w:val="2"/>
            <w:hideMark/>
          </w:tcPr>
          <w:p w14:paraId="50F8A739" w14:textId="77777777" w:rsidR="00C01923" w:rsidRPr="00867368" w:rsidRDefault="00897462">
            <w:pPr>
              <w:rPr>
                <w:b/>
                <w:sz w:val="20"/>
              </w:rPr>
            </w:pPr>
            <w:r w:rsidRPr="00867368">
              <w:rPr>
                <w:b/>
                <w:sz w:val="20"/>
              </w:rPr>
              <w:t>VM</w:t>
            </w:r>
          </w:p>
        </w:tc>
        <w:tc>
          <w:tcPr>
            <w:tcW w:w="6095" w:type="dxa"/>
            <w:gridSpan w:val="3"/>
            <w:hideMark/>
          </w:tcPr>
          <w:p w14:paraId="6E3420A1" w14:textId="77777777" w:rsidR="00C01923" w:rsidRPr="00867368" w:rsidRDefault="00897462">
            <w:pPr>
              <w:rPr>
                <w:sz w:val="20"/>
              </w:rPr>
            </w:pPr>
            <w:r w:rsidRPr="00867368">
              <w:rPr>
                <w:sz w:val="20"/>
              </w:rPr>
              <w:t>Ventral mesencephalic</w:t>
            </w:r>
          </w:p>
        </w:tc>
      </w:tr>
      <w:tr w:rsidR="00C01923" w:rsidRPr="005E3183" w14:paraId="2662F7E9" w14:textId="77777777" w:rsidTr="00C01923">
        <w:trPr>
          <w:cantSplit/>
        </w:trPr>
        <w:tc>
          <w:tcPr>
            <w:tcW w:w="3085" w:type="dxa"/>
            <w:gridSpan w:val="2"/>
          </w:tcPr>
          <w:p w14:paraId="58596D04" w14:textId="77777777" w:rsidR="00C01923" w:rsidRPr="00867368" w:rsidRDefault="00C01923">
            <w:pPr>
              <w:rPr>
                <w:sz w:val="20"/>
              </w:rPr>
            </w:pPr>
          </w:p>
        </w:tc>
        <w:tc>
          <w:tcPr>
            <w:tcW w:w="6095" w:type="dxa"/>
            <w:gridSpan w:val="3"/>
          </w:tcPr>
          <w:p w14:paraId="79B8174E" w14:textId="77777777" w:rsidR="00C01923" w:rsidRPr="00867368" w:rsidRDefault="00C01923">
            <w:pPr>
              <w:rPr>
                <w:sz w:val="20"/>
              </w:rPr>
            </w:pPr>
          </w:p>
        </w:tc>
      </w:tr>
      <w:tr w:rsidR="00C01923" w:rsidRPr="005E3183" w14:paraId="000A9A11" w14:textId="77777777" w:rsidTr="00C01923">
        <w:trPr>
          <w:cantSplit/>
        </w:trPr>
        <w:tc>
          <w:tcPr>
            <w:tcW w:w="3085" w:type="dxa"/>
            <w:gridSpan w:val="2"/>
            <w:hideMark/>
          </w:tcPr>
          <w:p w14:paraId="3DCD60C3" w14:textId="77777777" w:rsidR="00C01923" w:rsidRPr="00867368" w:rsidRDefault="00897462">
            <w:pPr>
              <w:spacing w:before="40" w:after="80"/>
              <w:rPr>
                <w:b/>
                <w:sz w:val="20"/>
                <w:u w:val="single"/>
              </w:rPr>
            </w:pPr>
            <w:r w:rsidRPr="00867368">
              <w:rPr>
                <w:b/>
                <w:sz w:val="20"/>
                <w:u w:val="single"/>
              </w:rPr>
              <w:t>Chemistry</w:t>
            </w:r>
          </w:p>
        </w:tc>
        <w:tc>
          <w:tcPr>
            <w:tcW w:w="6095" w:type="dxa"/>
            <w:gridSpan w:val="3"/>
          </w:tcPr>
          <w:p w14:paraId="0B05FEBF" w14:textId="77777777" w:rsidR="00C01923" w:rsidRPr="00867368" w:rsidRDefault="00C01923">
            <w:pPr>
              <w:spacing w:before="40" w:after="80"/>
              <w:rPr>
                <w:sz w:val="20"/>
              </w:rPr>
            </w:pPr>
          </w:p>
        </w:tc>
      </w:tr>
      <w:tr w:rsidR="00FE5B59" w:rsidRPr="005E3183" w14:paraId="2CBAF0CD" w14:textId="77777777" w:rsidTr="00C46E43">
        <w:trPr>
          <w:cantSplit/>
        </w:trPr>
        <w:tc>
          <w:tcPr>
            <w:tcW w:w="3085" w:type="dxa"/>
            <w:gridSpan w:val="2"/>
            <w:vAlign w:val="center"/>
          </w:tcPr>
          <w:p w14:paraId="31C525E4" w14:textId="77777777" w:rsidR="00FE5B59" w:rsidRPr="00867368" w:rsidRDefault="00897462" w:rsidP="00C46E43">
            <w:pPr>
              <w:jc w:val="left"/>
              <w:rPr>
                <w:b/>
                <w:sz w:val="20"/>
                <w:lang w:val="en-US"/>
              </w:rPr>
            </w:pPr>
            <w:r w:rsidRPr="00867368">
              <w:rPr>
                <w:b/>
                <w:sz w:val="20"/>
              </w:rPr>
              <w:t>Am Cu Ag</w:t>
            </w:r>
          </w:p>
        </w:tc>
        <w:tc>
          <w:tcPr>
            <w:tcW w:w="6095" w:type="dxa"/>
            <w:gridSpan w:val="3"/>
          </w:tcPr>
          <w:p w14:paraId="734B59A4" w14:textId="77777777" w:rsidR="00FE5B59" w:rsidRPr="00867368" w:rsidRDefault="00897462" w:rsidP="00F271D6">
            <w:pPr>
              <w:rPr>
                <w:sz w:val="20"/>
              </w:rPr>
            </w:pPr>
            <w:r w:rsidRPr="00867368">
              <w:rPr>
                <w:sz w:val="20"/>
              </w:rPr>
              <w:t>Amino Cupric Silver</w:t>
            </w:r>
          </w:p>
        </w:tc>
      </w:tr>
      <w:tr w:rsidR="00FE5B59" w:rsidRPr="005E3183" w14:paraId="35FA60FC" w14:textId="77777777" w:rsidTr="00C46E43">
        <w:trPr>
          <w:cantSplit/>
        </w:trPr>
        <w:tc>
          <w:tcPr>
            <w:tcW w:w="3085" w:type="dxa"/>
            <w:gridSpan w:val="2"/>
            <w:vAlign w:val="center"/>
          </w:tcPr>
          <w:p w14:paraId="1AB4A4A5" w14:textId="77777777" w:rsidR="00FE5B59" w:rsidRPr="00867368" w:rsidRDefault="00897462" w:rsidP="00C46E43">
            <w:pPr>
              <w:jc w:val="left"/>
              <w:rPr>
                <w:b/>
                <w:sz w:val="20"/>
                <w:lang w:val="en-US"/>
              </w:rPr>
            </w:pPr>
            <w:r w:rsidRPr="00867368">
              <w:rPr>
                <w:b/>
                <w:sz w:val="20"/>
              </w:rPr>
              <w:t>DAPI</w:t>
            </w:r>
          </w:p>
        </w:tc>
        <w:tc>
          <w:tcPr>
            <w:tcW w:w="6095" w:type="dxa"/>
            <w:gridSpan w:val="3"/>
          </w:tcPr>
          <w:p w14:paraId="1F1CFBF3" w14:textId="77777777" w:rsidR="00FE5B59" w:rsidRPr="00867368" w:rsidRDefault="00897462">
            <w:pPr>
              <w:rPr>
                <w:sz w:val="20"/>
              </w:rPr>
            </w:pPr>
            <w:r w:rsidRPr="00867368">
              <w:rPr>
                <w:sz w:val="20"/>
              </w:rPr>
              <w:t>4’,6’-diamidino-2-plenylindole</w:t>
            </w:r>
          </w:p>
        </w:tc>
      </w:tr>
      <w:tr w:rsidR="00A0640A" w:rsidRPr="005E3183" w14:paraId="39971A1E" w14:textId="77777777" w:rsidTr="00C01923">
        <w:trPr>
          <w:cantSplit/>
        </w:trPr>
        <w:tc>
          <w:tcPr>
            <w:tcW w:w="3085" w:type="dxa"/>
            <w:gridSpan w:val="2"/>
          </w:tcPr>
          <w:p w14:paraId="616776DE" w14:textId="77777777" w:rsidR="00A0640A" w:rsidRPr="00867368" w:rsidRDefault="00897462">
            <w:pPr>
              <w:rPr>
                <w:b/>
                <w:sz w:val="20"/>
                <w:lang w:val="en-US"/>
              </w:rPr>
            </w:pPr>
            <w:r w:rsidRPr="00867368">
              <w:rPr>
                <w:b/>
                <w:sz w:val="20"/>
                <w:lang w:val="en-US"/>
              </w:rPr>
              <w:t>ECD</w:t>
            </w:r>
          </w:p>
        </w:tc>
        <w:tc>
          <w:tcPr>
            <w:tcW w:w="6095" w:type="dxa"/>
            <w:gridSpan w:val="3"/>
          </w:tcPr>
          <w:p w14:paraId="5947FBE3" w14:textId="77777777" w:rsidR="00A0640A" w:rsidRPr="00867368" w:rsidRDefault="00897462">
            <w:pPr>
              <w:rPr>
                <w:sz w:val="20"/>
              </w:rPr>
            </w:pPr>
            <w:r w:rsidRPr="00867368">
              <w:rPr>
                <w:sz w:val="20"/>
              </w:rPr>
              <w:t>Electrochemical detection</w:t>
            </w:r>
          </w:p>
        </w:tc>
      </w:tr>
      <w:tr w:rsidR="00A343C0" w:rsidRPr="005E3183" w14:paraId="4BC900CC" w14:textId="77777777" w:rsidTr="00C01923">
        <w:trPr>
          <w:cantSplit/>
        </w:trPr>
        <w:tc>
          <w:tcPr>
            <w:tcW w:w="3085" w:type="dxa"/>
            <w:gridSpan w:val="2"/>
          </w:tcPr>
          <w:p w14:paraId="74D1C4E4" w14:textId="77777777" w:rsidR="00A343C0" w:rsidRPr="00867368" w:rsidRDefault="00897462">
            <w:pPr>
              <w:rPr>
                <w:b/>
                <w:sz w:val="20"/>
              </w:rPr>
            </w:pPr>
            <w:r w:rsidRPr="00867368">
              <w:rPr>
                <w:b/>
                <w:sz w:val="20"/>
                <w:lang w:val="en-US"/>
              </w:rPr>
              <w:t>ETC</w:t>
            </w:r>
          </w:p>
        </w:tc>
        <w:tc>
          <w:tcPr>
            <w:tcW w:w="6095" w:type="dxa"/>
            <w:gridSpan w:val="3"/>
          </w:tcPr>
          <w:p w14:paraId="2E7B506C" w14:textId="77777777" w:rsidR="00A343C0" w:rsidRPr="00867368" w:rsidRDefault="00897462">
            <w:pPr>
              <w:rPr>
                <w:sz w:val="20"/>
              </w:rPr>
            </w:pPr>
            <w:r w:rsidRPr="00867368">
              <w:rPr>
                <w:sz w:val="20"/>
              </w:rPr>
              <w:t>Electron transport chain</w:t>
            </w:r>
          </w:p>
        </w:tc>
      </w:tr>
      <w:tr w:rsidR="00FE5B59" w:rsidRPr="005E3183" w14:paraId="4EC50F59" w14:textId="77777777" w:rsidTr="00C01923">
        <w:trPr>
          <w:cantSplit/>
        </w:trPr>
        <w:tc>
          <w:tcPr>
            <w:tcW w:w="3085" w:type="dxa"/>
            <w:gridSpan w:val="2"/>
          </w:tcPr>
          <w:p w14:paraId="79306979" w14:textId="77777777" w:rsidR="00FE5B59" w:rsidRPr="00867368" w:rsidRDefault="00897462">
            <w:pPr>
              <w:rPr>
                <w:b/>
                <w:sz w:val="20"/>
              </w:rPr>
            </w:pPr>
            <w:r w:rsidRPr="00867368">
              <w:rPr>
                <w:b/>
                <w:sz w:val="20"/>
              </w:rPr>
              <w:t>GFAP</w:t>
            </w:r>
          </w:p>
        </w:tc>
        <w:tc>
          <w:tcPr>
            <w:tcW w:w="6095" w:type="dxa"/>
            <w:gridSpan w:val="3"/>
          </w:tcPr>
          <w:p w14:paraId="514B3F37" w14:textId="77777777" w:rsidR="00FE5B59" w:rsidRPr="00867368" w:rsidRDefault="00897462">
            <w:pPr>
              <w:rPr>
                <w:sz w:val="20"/>
              </w:rPr>
            </w:pPr>
            <w:r w:rsidRPr="00867368">
              <w:rPr>
                <w:sz w:val="20"/>
              </w:rPr>
              <w:t>Glial fibrillary acidic protein</w:t>
            </w:r>
          </w:p>
        </w:tc>
      </w:tr>
      <w:tr w:rsidR="00C01923" w:rsidRPr="005E3183" w14:paraId="5EBE0955" w14:textId="77777777" w:rsidTr="00C01923">
        <w:trPr>
          <w:cantSplit/>
        </w:trPr>
        <w:tc>
          <w:tcPr>
            <w:tcW w:w="3085" w:type="dxa"/>
            <w:gridSpan w:val="2"/>
            <w:hideMark/>
          </w:tcPr>
          <w:p w14:paraId="78EAB886" w14:textId="77777777" w:rsidR="00C01923" w:rsidRPr="00867368" w:rsidRDefault="00897462">
            <w:pPr>
              <w:rPr>
                <w:b/>
                <w:sz w:val="20"/>
              </w:rPr>
            </w:pPr>
            <w:r w:rsidRPr="00867368">
              <w:rPr>
                <w:b/>
                <w:sz w:val="20"/>
              </w:rPr>
              <w:t>HPLC</w:t>
            </w:r>
          </w:p>
        </w:tc>
        <w:tc>
          <w:tcPr>
            <w:tcW w:w="6095" w:type="dxa"/>
            <w:gridSpan w:val="3"/>
            <w:hideMark/>
          </w:tcPr>
          <w:p w14:paraId="5FB5DBCC" w14:textId="77777777" w:rsidR="00C01923" w:rsidRPr="00867368" w:rsidRDefault="00897462">
            <w:pPr>
              <w:rPr>
                <w:sz w:val="20"/>
              </w:rPr>
            </w:pPr>
            <w:r w:rsidRPr="00867368">
              <w:rPr>
                <w:sz w:val="20"/>
              </w:rPr>
              <w:t>High performance (or pressure) liquid chromatography</w:t>
            </w:r>
          </w:p>
        </w:tc>
      </w:tr>
      <w:tr w:rsidR="00FE5B59" w:rsidRPr="005E3183" w14:paraId="4F762147" w14:textId="77777777" w:rsidTr="00C01923">
        <w:trPr>
          <w:cantSplit/>
        </w:trPr>
        <w:tc>
          <w:tcPr>
            <w:tcW w:w="3085" w:type="dxa"/>
            <w:gridSpan w:val="2"/>
          </w:tcPr>
          <w:p w14:paraId="3B78F51F" w14:textId="77777777" w:rsidR="00FE5B59" w:rsidRPr="00867368" w:rsidRDefault="00897462">
            <w:pPr>
              <w:rPr>
                <w:b/>
                <w:sz w:val="20"/>
              </w:rPr>
            </w:pPr>
            <w:r w:rsidRPr="00867368">
              <w:rPr>
                <w:b/>
                <w:sz w:val="20"/>
              </w:rPr>
              <w:t>IBA-1</w:t>
            </w:r>
          </w:p>
        </w:tc>
        <w:tc>
          <w:tcPr>
            <w:tcW w:w="6095" w:type="dxa"/>
            <w:gridSpan w:val="3"/>
          </w:tcPr>
          <w:p w14:paraId="2A6067AD" w14:textId="77777777" w:rsidR="00FE5B59" w:rsidRPr="00867368" w:rsidRDefault="00897462">
            <w:pPr>
              <w:rPr>
                <w:sz w:val="20"/>
              </w:rPr>
            </w:pPr>
            <w:r w:rsidRPr="00867368">
              <w:rPr>
                <w:sz w:val="20"/>
              </w:rPr>
              <w:t>Ionised Calcium Binding Adaptor Molecule 1</w:t>
            </w:r>
          </w:p>
        </w:tc>
      </w:tr>
      <w:tr w:rsidR="007D3CB1" w:rsidRPr="005E3183" w14:paraId="1C1517A3" w14:textId="77777777" w:rsidTr="00C01923">
        <w:trPr>
          <w:cantSplit/>
        </w:trPr>
        <w:tc>
          <w:tcPr>
            <w:tcW w:w="3085" w:type="dxa"/>
            <w:gridSpan w:val="2"/>
          </w:tcPr>
          <w:p w14:paraId="01E77AF0" w14:textId="77777777" w:rsidR="007D3CB1" w:rsidRPr="00867368" w:rsidRDefault="00897462">
            <w:pPr>
              <w:rPr>
                <w:b/>
                <w:sz w:val="20"/>
              </w:rPr>
            </w:pPr>
            <w:r w:rsidRPr="00867368">
              <w:rPr>
                <w:b/>
                <w:sz w:val="20"/>
              </w:rPr>
              <w:t>IgG</w:t>
            </w:r>
          </w:p>
        </w:tc>
        <w:tc>
          <w:tcPr>
            <w:tcW w:w="6095" w:type="dxa"/>
            <w:gridSpan w:val="3"/>
          </w:tcPr>
          <w:p w14:paraId="2863EA02" w14:textId="77777777" w:rsidR="007D3CB1" w:rsidRPr="00867368" w:rsidRDefault="00897462">
            <w:pPr>
              <w:rPr>
                <w:sz w:val="20"/>
              </w:rPr>
            </w:pPr>
            <w:r w:rsidRPr="00867368">
              <w:rPr>
                <w:sz w:val="20"/>
              </w:rPr>
              <w:t>Immunoglobulin G</w:t>
            </w:r>
          </w:p>
        </w:tc>
      </w:tr>
      <w:tr w:rsidR="00C01923" w:rsidRPr="005E3183" w14:paraId="7ADD7D30" w14:textId="77777777" w:rsidTr="00C01923">
        <w:trPr>
          <w:cantSplit/>
        </w:trPr>
        <w:tc>
          <w:tcPr>
            <w:tcW w:w="3085" w:type="dxa"/>
            <w:gridSpan w:val="2"/>
            <w:hideMark/>
          </w:tcPr>
          <w:p w14:paraId="70388893" w14:textId="77777777" w:rsidR="00C01923" w:rsidRPr="00867368" w:rsidRDefault="00897462">
            <w:pPr>
              <w:rPr>
                <w:b/>
                <w:sz w:val="20"/>
              </w:rPr>
            </w:pPr>
            <w:r w:rsidRPr="00867368">
              <w:rPr>
                <w:b/>
                <w:sz w:val="20"/>
              </w:rPr>
              <w:t>LSC</w:t>
            </w:r>
          </w:p>
        </w:tc>
        <w:tc>
          <w:tcPr>
            <w:tcW w:w="6095" w:type="dxa"/>
            <w:gridSpan w:val="3"/>
            <w:hideMark/>
          </w:tcPr>
          <w:p w14:paraId="43DC70BB" w14:textId="77777777" w:rsidR="00C01923" w:rsidRPr="00867368" w:rsidRDefault="00897462">
            <w:pPr>
              <w:rPr>
                <w:sz w:val="20"/>
              </w:rPr>
            </w:pPr>
            <w:r w:rsidRPr="00867368">
              <w:rPr>
                <w:sz w:val="20"/>
              </w:rPr>
              <w:t>Liquid scintillation counting</w:t>
            </w:r>
          </w:p>
        </w:tc>
      </w:tr>
      <w:tr w:rsidR="00C01923" w:rsidRPr="005E3183" w14:paraId="6B1DC7EC" w14:textId="77777777" w:rsidTr="00C01923">
        <w:trPr>
          <w:cantSplit/>
        </w:trPr>
        <w:tc>
          <w:tcPr>
            <w:tcW w:w="3085" w:type="dxa"/>
            <w:gridSpan w:val="2"/>
            <w:hideMark/>
          </w:tcPr>
          <w:p w14:paraId="1E1890AD" w14:textId="77777777" w:rsidR="00C01923" w:rsidRPr="00867368" w:rsidRDefault="00897462">
            <w:pPr>
              <w:rPr>
                <w:b/>
                <w:sz w:val="20"/>
              </w:rPr>
            </w:pPr>
            <w:r w:rsidRPr="00867368">
              <w:rPr>
                <w:b/>
                <w:sz w:val="20"/>
              </w:rPr>
              <w:t>MS</w:t>
            </w:r>
          </w:p>
        </w:tc>
        <w:tc>
          <w:tcPr>
            <w:tcW w:w="6095" w:type="dxa"/>
            <w:gridSpan w:val="3"/>
            <w:hideMark/>
          </w:tcPr>
          <w:p w14:paraId="2F73089A" w14:textId="77777777" w:rsidR="00C01923" w:rsidRPr="00867368" w:rsidRDefault="00897462">
            <w:pPr>
              <w:rPr>
                <w:sz w:val="20"/>
              </w:rPr>
            </w:pPr>
            <w:r w:rsidRPr="00867368">
              <w:rPr>
                <w:sz w:val="20"/>
              </w:rPr>
              <w:t>Mass spectrometry</w:t>
            </w:r>
          </w:p>
        </w:tc>
      </w:tr>
      <w:tr w:rsidR="0035588E" w:rsidRPr="005E3183" w14:paraId="7B4F5AF5" w14:textId="77777777" w:rsidTr="00C01923">
        <w:trPr>
          <w:cantSplit/>
        </w:trPr>
        <w:tc>
          <w:tcPr>
            <w:tcW w:w="3085" w:type="dxa"/>
            <w:gridSpan w:val="2"/>
          </w:tcPr>
          <w:p w14:paraId="708B899D" w14:textId="77777777" w:rsidR="0035588E" w:rsidRPr="00867368" w:rsidRDefault="00897462">
            <w:pPr>
              <w:rPr>
                <w:b/>
                <w:sz w:val="20"/>
              </w:rPr>
            </w:pPr>
            <w:r w:rsidRPr="00867368">
              <w:rPr>
                <w:b/>
                <w:sz w:val="20"/>
              </w:rPr>
              <w:t>MPP+</w:t>
            </w:r>
          </w:p>
        </w:tc>
        <w:tc>
          <w:tcPr>
            <w:tcW w:w="6095" w:type="dxa"/>
            <w:gridSpan w:val="3"/>
          </w:tcPr>
          <w:p w14:paraId="342B46FE" w14:textId="77777777" w:rsidR="0035588E" w:rsidRPr="00867368" w:rsidRDefault="00897462">
            <w:pPr>
              <w:rPr>
                <w:sz w:val="20"/>
              </w:rPr>
            </w:pPr>
            <w:r w:rsidRPr="00867368">
              <w:rPr>
                <w:sz w:val="20"/>
              </w:rPr>
              <w:t>1-methyl-4-phenyl-pyridinium ion</w:t>
            </w:r>
          </w:p>
        </w:tc>
      </w:tr>
      <w:tr w:rsidR="00BA58FE" w:rsidRPr="005E3183" w14:paraId="34CB83DF" w14:textId="77777777" w:rsidTr="00C01923">
        <w:trPr>
          <w:cantSplit/>
        </w:trPr>
        <w:tc>
          <w:tcPr>
            <w:tcW w:w="3085" w:type="dxa"/>
            <w:gridSpan w:val="2"/>
          </w:tcPr>
          <w:p w14:paraId="2E615D4B" w14:textId="77777777" w:rsidR="00BA58FE" w:rsidRPr="00867368" w:rsidRDefault="00897462">
            <w:pPr>
              <w:rPr>
                <w:b/>
                <w:sz w:val="20"/>
              </w:rPr>
            </w:pPr>
            <w:r w:rsidRPr="00867368">
              <w:rPr>
                <w:b/>
                <w:sz w:val="20"/>
              </w:rPr>
              <w:t>MPTP</w:t>
            </w:r>
          </w:p>
        </w:tc>
        <w:tc>
          <w:tcPr>
            <w:tcW w:w="6095" w:type="dxa"/>
            <w:gridSpan w:val="3"/>
          </w:tcPr>
          <w:p w14:paraId="6844DC7D" w14:textId="77777777" w:rsidR="00BA58FE" w:rsidRPr="00867368" w:rsidRDefault="00897462">
            <w:pPr>
              <w:rPr>
                <w:sz w:val="20"/>
              </w:rPr>
            </w:pPr>
            <w:r w:rsidRPr="00867368">
              <w:rPr>
                <w:sz w:val="20"/>
              </w:rPr>
              <w:t>1-methyl-4-phenyl-1,2,3,6-tetrahdyropyridine</w:t>
            </w:r>
          </w:p>
        </w:tc>
      </w:tr>
      <w:tr w:rsidR="00A343C0" w:rsidRPr="005E3183" w14:paraId="564FB8F2" w14:textId="77777777" w:rsidTr="00A343C0">
        <w:trPr>
          <w:cantSplit/>
        </w:trPr>
        <w:tc>
          <w:tcPr>
            <w:tcW w:w="3085" w:type="dxa"/>
            <w:gridSpan w:val="2"/>
            <w:hideMark/>
          </w:tcPr>
          <w:p w14:paraId="7E8EE164" w14:textId="77777777" w:rsidR="00A343C0" w:rsidRPr="00867368" w:rsidRDefault="00897462">
            <w:pPr>
              <w:rPr>
                <w:b/>
                <w:sz w:val="20"/>
              </w:rPr>
            </w:pPr>
            <w:r w:rsidRPr="00867368">
              <w:rPr>
                <w:b/>
                <w:sz w:val="20"/>
              </w:rPr>
              <w:t>NAD(PH)</w:t>
            </w:r>
          </w:p>
        </w:tc>
        <w:tc>
          <w:tcPr>
            <w:tcW w:w="6095" w:type="dxa"/>
            <w:gridSpan w:val="3"/>
            <w:hideMark/>
          </w:tcPr>
          <w:p w14:paraId="4A69C24C" w14:textId="77777777" w:rsidR="00A343C0" w:rsidRPr="00867368" w:rsidRDefault="00897462">
            <w:pPr>
              <w:rPr>
                <w:sz w:val="20"/>
              </w:rPr>
            </w:pPr>
            <w:r w:rsidRPr="00867368">
              <w:rPr>
                <w:sz w:val="20"/>
              </w:rPr>
              <w:t>Nicotinamide adenine dinucleotide (phosphate)</w:t>
            </w:r>
          </w:p>
        </w:tc>
      </w:tr>
      <w:tr w:rsidR="00A343C0" w:rsidRPr="005E3183" w14:paraId="26CCECE7" w14:textId="77777777" w:rsidTr="00C01923">
        <w:trPr>
          <w:cantSplit/>
        </w:trPr>
        <w:tc>
          <w:tcPr>
            <w:tcW w:w="3085" w:type="dxa"/>
            <w:gridSpan w:val="2"/>
          </w:tcPr>
          <w:p w14:paraId="4B7705DD" w14:textId="77777777" w:rsidR="00A343C0" w:rsidRPr="00867368" w:rsidRDefault="00897462">
            <w:pPr>
              <w:rPr>
                <w:b/>
                <w:sz w:val="20"/>
              </w:rPr>
            </w:pPr>
            <w:r w:rsidRPr="00867368">
              <w:rPr>
                <w:b/>
                <w:sz w:val="20"/>
              </w:rPr>
              <w:t>NM</w:t>
            </w:r>
          </w:p>
        </w:tc>
        <w:tc>
          <w:tcPr>
            <w:tcW w:w="6095" w:type="dxa"/>
            <w:gridSpan w:val="3"/>
          </w:tcPr>
          <w:p w14:paraId="3028C2FB" w14:textId="77777777" w:rsidR="00A343C0" w:rsidRPr="00867368" w:rsidRDefault="00897462">
            <w:pPr>
              <w:rPr>
                <w:sz w:val="20"/>
              </w:rPr>
            </w:pPr>
            <w:r w:rsidRPr="00867368">
              <w:rPr>
                <w:sz w:val="20"/>
                <w:lang w:val="en-US" w:eastAsia="en-US"/>
              </w:rPr>
              <w:t>Neuromelanin</w:t>
            </w:r>
          </w:p>
        </w:tc>
      </w:tr>
      <w:tr w:rsidR="00A343C0" w:rsidRPr="005E3183" w14:paraId="6F076590" w14:textId="77777777" w:rsidTr="00C01923">
        <w:trPr>
          <w:cantSplit/>
        </w:trPr>
        <w:tc>
          <w:tcPr>
            <w:tcW w:w="3085" w:type="dxa"/>
            <w:gridSpan w:val="2"/>
          </w:tcPr>
          <w:p w14:paraId="1EA92BF8" w14:textId="77777777" w:rsidR="00A343C0" w:rsidRPr="00867368" w:rsidRDefault="00897462">
            <w:pPr>
              <w:rPr>
                <w:b/>
                <w:sz w:val="20"/>
              </w:rPr>
            </w:pPr>
            <w:r w:rsidRPr="00867368">
              <w:rPr>
                <w:b/>
                <w:sz w:val="20"/>
              </w:rPr>
              <w:t>PQ/PQ+</w:t>
            </w:r>
          </w:p>
        </w:tc>
        <w:tc>
          <w:tcPr>
            <w:tcW w:w="6095" w:type="dxa"/>
            <w:gridSpan w:val="3"/>
          </w:tcPr>
          <w:p w14:paraId="5B087899" w14:textId="77777777" w:rsidR="00A343C0" w:rsidRPr="00867368" w:rsidRDefault="00897462">
            <w:pPr>
              <w:rPr>
                <w:sz w:val="20"/>
              </w:rPr>
            </w:pPr>
            <w:r w:rsidRPr="00867368">
              <w:rPr>
                <w:sz w:val="20"/>
              </w:rPr>
              <w:t>Paraquat/paraquat cation</w:t>
            </w:r>
          </w:p>
        </w:tc>
      </w:tr>
      <w:tr w:rsidR="00C01923" w:rsidRPr="005E3183" w14:paraId="08542957" w14:textId="77777777" w:rsidTr="00C01923">
        <w:trPr>
          <w:cantSplit/>
        </w:trPr>
        <w:tc>
          <w:tcPr>
            <w:tcW w:w="3085" w:type="dxa"/>
            <w:gridSpan w:val="2"/>
            <w:hideMark/>
          </w:tcPr>
          <w:p w14:paraId="09D0394E" w14:textId="77777777" w:rsidR="00C01923" w:rsidRPr="00867368" w:rsidRDefault="00897462">
            <w:pPr>
              <w:rPr>
                <w:b/>
                <w:sz w:val="20"/>
              </w:rPr>
            </w:pPr>
            <w:r w:rsidRPr="00867368">
              <w:rPr>
                <w:b/>
                <w:sz w:val="20"/>
              </w:rPr>
              <w:t>RIA</w:t>
            </w:r>
          </w:p>
        </w:tc>
        <w:tc>
          <w:tcPr>
            <w:tcW w:w="6095" w:type="dxa"/>
            <w:gridSpan w:val="3"/>
            <w:hideMark/>
          </w:tcPr>
          <w:p w14:paraId="14331FB5" w14:textId="77777777" w:rsidR="00C01923" w:rsidRPr="00867368" w:rsidRDefault="00897462">
            <w:pPr>
              <w:rPr>
                <w:sz w:val="20"/>
              </w:rPr>
            </w:pPr>
            <w:r w:rsidRPr="00867368">
              <w:rPr>
                <w:sz w:val="20"/>
              </w:rPr>
              <w:t>Radioimmunoassay</w:t>
            </w:r>
          </w:p>
        </w:tc>
      </w:tr>
      <w:tr w:rsidR="00C01923" w:rsidRPr="005E3183" w14:paraId="10D4A676" w14:textId="77777777" w:rsidTr="00C01923">
        <w:trPr>
          <w:cantSplit/>
        </w:trPr>
        <w:tc>
          <w:tcPr>
            <w:tcW w:w="3085" w:type="dxa"/>
            <w:gridSpan w:val="2"/>
            <w:hideMark/>
          </w:tcPr>
          <w:p w14:paraId="1FC2A621" w14:textId="77777777" w:rsidR="00C01923" w:rsidRPr="00867368" w:rsidRDefault="00897462">
            <w:pPr>
              <w:rPr>
                <w:b/>
                <w:sz w:val="20"/>
              </w:rPr>
            </w:pPr>
            <w:r w:rsidRPr="00867368">
              <w:rPr>
                <w:b/>
                <w:sz w:val="20"/>
              </w:rPr>
              <w:t>TLC</w:t>
            </w:r>
          </w:p>
        </w:tc>
        <w:tc>
          <w:tcPr>
            <w:tcW w:w="6095" w:type="dxa"/>
            <w:gridSpan w:val="3"/>
            <w:hideMark/>
          </w:tcPr>
          <w:p w14:paraId="096C0A52" w14:textId="77777777" w:rsidR="00C01923" w:rsidRPr="00867368" w:rsidRDefault="00897462">
            <w:pPr>
              <w:rPr>
                <w:sz w:val="20"/>
              </w:rPr>
            </w:pPr>
            <w:r w:rsidRPr="00867368">
              <w:rPr>
                <w:sz w:val="20"/>
              </w:rPr>
              <w:t>Thin layer chromatography</w:t>
            </w:r>
          </w:p>
        </w:tc>
      </w:tr>
      <w:tr w:rsidR="00FE5B59" w:rsidRPr="005E3183" w14:paraId="786B8B64" w14:textId="77777777" w:rsidTr="00C01923">
        <w:trPr>
          <w:cantSplit/>
        </w:trPr>
        <w:tc>
          <w:tcPr>
            <w:tcW w:w="3085" w:type="dxa"/>
            <w:gridSpan w:val="2"/>
          </w:tcPr>
          <w:p w14:paraId="4902B8F6" w14:textId="77777777" w:rsidR="00FE5B59" w:rsidRPr="00867368" w:rsidRDefault="00897462">
            <w:pPr>
              <w:rPr>
                <w:b/>
                <w:sz w:val="20"/>
              </w:rPr>
            </w:pPr>
            <w:r w:rsidRPr="00867368">
              <w:rPr>
                <w:b/>
                <w:sz w:val="20"/>
              </w:rPr>
              <w:t>TUNEL</w:t>
            </w:r>
          </w:p>
        </w:tc>
        <w:tc>
          <w:tcPr>
            <w:tcW w:w="6095" w:type="dxa"/>
            <w:gridSpan w:val="3"/>
          </w:tcPr>
          <w:p w14:paraId="087E82C6" w14:textId="77777777" w:rsidR="00FE5B59" w:rsidRPr="00867368" w:rsidRDefault="00897462">
            <w:pPr>
              <w:rPr>
                <w:sz w:val="20"/>
              </w:rPr>
            </w:pPr>
            <w:r w:rsidRPr="00867368">
              <w:rPr>
                <w:sz w:val="20"/>
              </w:rPr>
              <w:t>Terminal deoxynucleotidyl transferase dUTP nick end labelling</w:t>
            </w:r>
          </w:p>
        </w:tc>
      </w:tr>
      <w:tr w:rsidR="00C01923" w:rsidRPr="005E3183" w14:paraId="281CC496" w14:textId="77777777" w:rsidTr="00C01923">
        <w:trPr>
          <w:cantSplit/>
        </w:trPr>
        <w:tc>
          <w:tcPr>
            <w:tcW w:w="3085" w:type="dxa"/>
            <w:gridSpan w:val="2"/>
          </w:tcPr>
          <w:p w14:paraId="50CF74A3" w14:textId="77777777" w:rsidR="00C01923" w:rsidRPr="00867368" w:rsidRDefault="00C01923">
            <w:pPr>
              <w:rPr>
                <w:sz w:val="20"/>
              </w:rPr>
            </w:pPr>
          </w:p>
        </w:tc>
        <w:tc>
          <w:tcPr>
            <w:tcW w:w="6095" w:type="dxa"/>
            <w:gridSpan w:val="3"/>
          </w:tcPr>
          <w:p w14:paraId="41BA6E0D" w14:textId="77777777" w:rsidR="00C01923" w:rsidRPr="00867368" w:rsidRDefault="00C01923">
            <w:pPr>
              <w:rPr>
                <w:sz w:val="20"/>
              </w:rPr>
            </w:pPr>
          </w:p>
        </w:tc>
      </w:tr>
      <w:tr w:rsidR="00C01923" w:rsidRPr="005E3183" w14:paraId="0C79FDE4" w14:textId="77777777" w:rsidTr="00C01923">
        <w:trPr>
          <w:cantSplit/>
        </w:trPr>
        <w:tc>
          <w:tcPr>
            <w:tcW w:w="3085" w:type="dxa"/>
            <w:gridSpan w:val="2"/>
            <w:hideMark/>
          </w:tcPr>
          <w:p w14:paraId="72AE7C7D" w14:textId="77777777" w:rsidR="00C01923" w:rsidRPr="00867368" w:rsidRDefault="00897462">
            <w:pPr>
              <w:spacing w:before="40" w:after="80"/>
              <w:rPr>
                <w:b/>
                <w:sz w:val="20"/>
                <w:u w:val="single"/>
              </w:rPr>
            </w:pPr>
            <w:r w:rsidRPr="00867368">
              <w:rPr>
                <w:b/>
                <w:sz w:val="20"/>
                <w:u w:val="single"/>
              </w:rPr>
              <w:t>Terminology</w:t>
            </w:r>
          </w:p>
        </w:tc>
        <w:tc>
          <w:tcPr>
            <w:tcW w:w="6095" w:type="dxa"/>
            <w:gridSpan w:val="3"/>
          </w:tcPr>
          <w:p w14:paraId="2AEACAFC" w14:textId="77777777" w:rsidR="00C01923" w:rsidRPr="00867368" w:rsidRDefault="00C01923">
            <w:pPr>
              <w:spacing w:before="40" w:after="80"/>
              <w:rPr>
                <w:sz w:val="20"/>
              </w:rPr>
            </w:pPr>
          </w:p>
        </w:tc>
      </w:tr>
      <w:tr w:rsidR="00D9575F" w:rsidRPr="005E3183" w14:paraId="44B74C7A" w14:textId="77777777" w:rsidTr="00C01923">
        <w:trPr>
          <w:cantSplit/>
        </w:trPr>
        <w:tc>
          <w:tcPr>
            <w:tcW w:w="3085" w:type="dxa"/>
            <w:gridSpan w:val="2"/>
          </w:tcPr>
          <w:p w14:paraId="3F0DCD39" w14:textId="77777777" w:rsidR="00D9575F" w:rsidRPr="00867368" w:rsidRDefault="00897462">
            <w:pPr>
              <w:rPr>
                <w:b/>
                <w:sz w:val="20"/>
              </w:rPr>
            </w:pPr>
            <w:r w:rsidRPr="00867368">
              <w:rPr>
                <w:b/>
                <w:sz w:val="20"/>
              </w:rPr>
              <w:t>AUC</w:t>
            </w:r>
          </w:p>
        </w:tc>
        <w:tc>
          <w:tcPr>
            <w:tcW w:w="6095" w:type="dxa"/>
            <w:gridSpan w:val="3"/>
          </w:tcPr>
          <w:p w14:paraId="0F86E2CB" w14:textId="77777777" w:rsidR="00D9575F" w:rsidRPr="00867368" w:rsidRDefault="00897462">
            <w:pPr>
              <w:rPr>
                <w:sz w:val="20"/>
                <w:lang w:val="en-US" w:eastAsia="en-US"/>
              </w:rPr>
            </w:pPr>
            <w:r w:rsidRPr="00867368">
              <w:rPr>
                <w:sz w:val="20"/>
                <w:lang w:val="en-US" w:eastAsia="en-US"/>
              </w:rPr>
              <w:t>Area under the curve</w:t>
            </w:r>
          </w:p>
        </w:tc>
      </w:tr>
      <w:tr w:rsidR="00D9575F" w:rsidRPr="005E3183" w14:paraId="780D65D2" w14:textId="77777777" w:rsidTr="00C01923">
        <w:trPr>
          <w:cantSplit/>
        </w:trPr>
        <w:tc>
          <w:tcPr>
            <w:tcW w:w="3085" w:type="dxa"/>
            <w:gridSpan w:val="2"/>
          </w:tcPr>
          <w:p w14:paraId="46FDD024" w14:textId="77777777" w:rsidR="00D9575F" w:rsidRPr="00867368" w:rsidRDefault="00897462">
            <w:pPr>
              <w:rPr>
                <w:b/>
                <w:sz w:val="20"/>
              </w:rPr>
            </w:pPr>
            <w:r w:rsidRPr="00867368">
              <w:rPr>
                <w:b/>
                <w:sz w:val="20"/>
              </w:rPr>
              <w:t>CI</w:t>
            </w:r>
          </w:p>
        </w:tc>
        <w:tc>
          <w:tcPr>
            <w:tcW w:w="6095" w:type="dxa"/>
            <w:gridSpan w:val="3"/>
          </w:tcPr>
          <w:p w14:paraId="1226DD88" w14:textId="77777777" w:rsidR="00D9575F" w:rsidRPr="00867368" w:rsidRDefault="00897462">
            <w:pPr>
              <w:rPr>
                <w:sz w:val="20"/>
                <w:lang w:val="en-US" w:eastAsia="en-US"/>
              </w:rPr>
            </w:pPr>
            <w:r w:rsidRPr="00867368">
              <w:rPr>
                <w:sz w:val="20"/>
                <w:lang w:val="en-US" w:eastAsia="en-US"/>
              </w:rPr>
              <w:t>Confidence interval</w:t>
            </w:r>
          </w:p>
        </w:tc>
      </w:tr>
      <w:tr w:rsidR="00D9575F" w:rsidRPr="005E3183" w14:paraId="76A7D681" w14:textId="77777777" w:rsidTr="00C01923">
        <w:trPr>
          <w:cantSplit/>
        </w:trPr>
        <w:tc>
          <w:tcPr>
            <w:tcW w:w="3085" w:type="dxa"/>
            <w:gridSpan w:val="2"/>
          </w:tcPr>
          <w:p w14:paraId="35082B11" w14:textId="77777777" w:rsidR="00D9575F" w:rsidRPr="00867368" w:rsidRDefault="00897462">
            <w:pPr>
              <w:rPr>
                <w:b/>
                <w:sz w:val="20"/>
              </w:rPr>
            </w:pPr>
            <w:r w:rsidRPr="00867368">
              <w:rPr>
                <w:b/>
                <w:sz w:val="20"/>
              </w:rPr>
              <w:t>F</w:t>
            </w:r>
          </w:p>
        </w:tc>
        <w:tc>
          <w:tcPr>
            <w:tcW w:w="6095" w:type="dxa"/>
            <w:gridSpan w:val="3"/>
          </w:tcPr>
          <w:p w14:paraId="1568F5BB" w14:textId="77777777" w:rsidR="00D9575F" w:rsidRPr="00867368" w:rsidRDefault="00897462">
            <w:pPr>
              <w:rPr>
                <w:sz w:val="20"/>
                <w:lang w:val="en-US" w:eastAsia="en-US"/>
              </w:rPr>
            </w:pPr>
            <w:r w:rsidRPr="00867368">
              <w:rPr>
                <w:sz w:val="20"/>
                <w:lang w:val="en-US" w:eastAsia="en-US"/>
              </w:rPr>
              <w:t>Female</w:t>
            </w:r>
          </w:p>
        </w:tc>
      </w:tr>
      <w:tr w:rsidR="00C01923" w:rsidRPr="005E3183" w14:paraId="166D4390" w14:textId="77777777" w:rsidTr="00C01923">
        <w:trPr>
          <w:cantSplit/>
        </w:trPr>
        <w:tc>
          <w:tcPr>
            <w:tcW w:w="3085" w:type="dxa"/>
            <w:gridSpan w:val="2"/>
            <w:hideMark/>
          </w:tcPr>
          <w:p w14:paraId="1FDD0F52" w14:textId="77777777" w:rsidR="00C01923" w:rsidRPr="00867368" w:rsidRDefault="00897462">
            <w:pPr>
              <w:rPr>
                <w:sz w:val="20"/>
              </w:rPr>
            </w:pPr>
            <w:r w:rsidRPr="00867368">
              <w:rPr>
                <w:b/>
                <w:sz w:val="20"/>
              </w:rPr>
              <w:t>GLP</w:t>
            </w:r>
          </w:p>
        </w:tc>
        <w:tc>
          <w:tcPr>
            <w:tcW w:w="6095" w:type="dxa"/>
            <w:gridSpan w:val="3"/>
            <w:hideMark/>
          </w:tcPr>
          <w:p w14:paraId="7EA18B63" w14:textId="77777777" w:rsidR="00C01923" w:rsidRPr="00867368" w:rsidRDefault="00897462">
            <w:pPr>
              <w:rPr>
                <w:sz w:val="20"/>
              </w:rPr>
            </w:pPr>
            <w:r w:rsidRPr="00867368">
              <w:rPr>
                <w:sz w:val="20"/>
              </w:rPr>
              <w:t>Good Laboratory Practice</w:t>
            </w:r>
          </w:p>
        </w:tc>
      </w:tr>
      <w:tr w:rsidR="00B847B4" w:rsidRPr="005E3183" w14:paraId="603CDDF0" w14:textId="77777777" w:rsidTr="00B847B4">
        <w:trPr>
          <w:cantSplit/>
        </w:trPr>
        <w:tc>
          <w:tcPr>
            <w:tcW w:w="3085" w:type="dxa"/>
            <w:gridSpan w:val="2"/>
            <w:hideMark/>
          </w:tcPr>
          <w:p w14:paraId="78C5A2AE" w14:textId="77777777" w:rsidR="00B847B4" w:rsidRPr="00867368" w:rsidRDefault="00897462">
            <w:pPr>
              <w:rPr>
                <w:b/>
                <w:sz w:val="20"/>
              </w:rPr>
            </w:pPr>
            <w:r w:rsidRPr="00867368">
              <w:rPr>
                <w:b/>
                <w:sz w:val="20"/>
              </w:rPr>
              <w:t>LC</w:t>
            </w:r>
            <w:r w:rsidRPr="00867368">
              <w:rPr>
                <w:b/>
                <w:sz w:val="20"/>
                <w:vertAlign w:val="subscript"/>
              </w:rPr>
              <w:t>50</w:t>
            </w:r>
          </w:p>
        </w:tc>
        <w:tc>
          <w:tcPr>
            <w:tcW w:w="6095" w:type="dxa"/>
            <w:gridSpan w:val="3"/>
            <w:hideMark/>
          </w:tcPr>
          <w:p w14:paraId="50FEF654" w14:textId="77777777" w:rsidR="00B847B4" w:rsidRPr="00867368" w:rsidRDefault="00897462">
            <w:pPr>
              <w:rPr>
                <w:sz w:val="20"/>
              </w:rPr>
            </w:pPr>
            <w:r w:rsidRPr="00867368">
              <w:rPr>
                <w:sz w:val="20"/>
              </w:rPr>
              <w:t>Median lethal concentration</w:t>
            </w:r>
          </w:p>
        </w:tc>
      </w:tr>
      <w:tr w:rsidR="00B847B4" w:rsidRPr="005E3183" w14:paraId="3F96858E" w14:textId="77777777" w:rsidTr="00B847B4">
        <w:trPr>
          <w:cantSplit/>
        </w:trPr>
        <w:tc>
          <w:tcPr>
            <w:tcW w:w="3085" w:type="dxa"/>
            <w:gridSpan w:val="2"/>
            <w:hideMark/>
          </w:tcPr>
          <w:p w14:paraId="1A1B2FD5" w14:textId="77777777" w:rsidR="00B847B4" w:rsidRPr="00867368" w:rsidRDefault="00897462">
            <w:pPr>
              <w:rPr>
                <w:b/>
                <w:sz w:val="20"/>
              </w:rPr>
            </w:pPr>
            <w:r w:rsidRPr="00867368">
              <w:rPr>
                <w:b/>
                <w:sz w:val="20"/>
              </w:rPr>
              <w:t>LD</w:t>
            </w:r>
            <w:r w:rsidRPr="00867368">
              <w:rPr>
                <w:b/>
                <w:sz w:val="20"/>
                <w:vertAlign w:val="subscript"/>
              </w:rPr>
              <w:t>50</w:t>
            </w:r>
          </w:p>
        </w:tc>
        <w:tc>
          <w:tcPr>
            <w:tcW w:w="6095" w:type="dxa"/>
            <w:gridSpan w:val="3"/>
            <w:hideMark/>
          </w:tcPr>
          <w:p w14:paraId="2006CA95" w14:textId="77777777" w:rsidR="00B847B4" w:rsidRPr="00867368" w:rsidRDefault="00897462">
            <w:pPr>
              <w:rPr>
                <w:sz w:val="20"/>
              </w:rPr>
            </w:pPr>
            <w:r w:rsidRPr="00867368">
              <w:rPr>
                <w:sz w:val="20"/>
              </w:rPr>
              <w:t>Median lethal dose</w:t>
            </w:r>
          </w:p>
        </w:tc>
      </w:tr>
      <w:tr w:rsidR="00C01923" w:rsidRPr="005E3183" w14:paraId="33903F43" w14:textId="77777777" w:rsidTr="00C01923">
        <w:trPr>
          <w:cantSplit/>
        </w:trPr>
        <w:tc>
          <w:tcPr>
            <w:tcW w:w="3085" w:type="dxa"/>
            <w:gridSpan w:val="2"/>
            <w:hideMark/>
          </w:tcPr>
          <w:p w14:paraId="0C8E60BF" w14:textId="77777777" w:rsidR="00C01923" w:rsidRPr="00867368" w:rsidRDefault="00897462">
            <w:pPr>
              <w:rPr>
                <w:sz w:val="20"/>
              </w:rPr>
            </w:pPr>
            <w:r w:rsidRPr="00867368">
              <w:rPr>
                <w:b/>
                <w:sz w:val="20"/>
              </w:rPr>
              <w:t>LOEL</w:t>
            </w:r>
          </w:p>
        </w:tc>
        <w:tc>
          <w:tcPr>
            <w:tcW w:w="6095" w:type="dxa"/>
            <w:gridSpan w:val="3"/>
            <w:hideMark/>
          </w:tcPr>
          <w:p w14:paraId="4D222FCA" w14:textId="77777777" w:rsidR="00C01923" w:rsidRPr="00867368" w:rsidRDefault="00897462">
            <w:pPr>
              <w:rPr>
                <w:sz w:val="20"/>
              </w:rPr>
            </w:pPr>
            <w:r w:rsidRPr="00867368">
              <w:rPr>
                <w:sz w:val="20"/>
              </w:rPr>
              <w:t>Lowest Observed Effect Level</w:t>
            </w:r>
          </w:p>
        </w:tc>
      </w:tr>
      <w:tr w:rsidR="00C01923" w:rsidRPr="005E3183" w14:paraId="4E1441FF" w14:textId="77777777" w:rsidTr="00C01923">
        <w:trPr>
          <w:cantSplit/>
        </w:trPr>
        <w:tc>
          <w:tcPr>
            <w:tcW w:w="3085" w:type="dxa"/>
            <w:gridSpan w:val="2"/>
            <w:hideMark/>
          </w:tcPr>
          <w:p w14:paraId="3FD7AFE0" w14:textId="77777777" w:rsidR="00C01923" w:rsidRPr="00867368" w:rsidRDefault="00897462">
            <w:pPr>
              <w:rPr>
                <w:b/>
                <w:sz w:val="20"/>
              </w:rPr>
            </w:pPr>
            <w:r w:rsidRPr="00867368">
              <w:rPr>
                <w:b/>
                <w:sz w:val="20"/>
              </w:rPr>
              <w:t>LOAEL</w:t>
            </w:r>
          </w:p>
        </w:tc>
        <w:tc>
          <w:tcPr>
            <w:tcW w:w="6095" w:type="dxa"/>
            <w:gridSpan w:val="3"/>
            <w:hideMark/>
          </w:tcPr>
          <w:p w14:paraId="5083099A" w14:textId="77777777" w:rsidR="00C01923" w:rsidRPr="00867368" w:rsidRDefault="00897462">
            <w:pPr>
              <w:rPr>
                <w:sz w:val="20"/>
              </w:rPr>
            </w:pPr>
            <w:r w:rsidRPr="00867368">
              <w:rPr>
                <w:sz w:val="20"/>
              </w:rPr>
              <w:t>Lowest Observed Adverse Effect Level</w:t>
            </w:r>
          </w:p>
        </w:tc>
      </w:tr>
      <w:tr w:rsidR="00B847B4" w:rsidRPr="005E3183" w14:paraId="096DDAB1" w14:textId="77777777" w:rsidTr="001B16DC">
        <w:trPr>
          <w:cantSplit/>
        </w:trPr>
        <w:tc>
          <w:tcPr>
            <w:tcW w:w="3085" w:type="dxa"/>
            <w:gridSpan w:val="2"/>
          </w:tcPr>
          <w:p w14:paraId="7A34A06F" w14:textId="77777777" w:rsidR="00B847B4" w:rsidRPr="00867368" w:rsidRDefault="00897462" w:rsidP="001B16DC">
            <w:pPr>
              <w:rPr>
                <w:b/>
                <w:sz w:val="20"/>
              </w:rPr>
            </w:pPr>
            <w:r w:rsidRPr="00867368">
              <w:rPr>
                <w:b/>
                <w:sz w:val="20"/>
              </w:rPr>
              <w:t>MTD</w:t>
            </w:r>
          </w:p>
        </w:tc>
        <w:tc>
          <w:tcPr>
            <w:tcW w:w="6095" w:type="dxa"/>
            <w:gridSpan w:val="3"/>
          </w:tcPr>
          <w:p w14:paraId="4FFBC97F" w14:textId="77777777" w:rsidR="00B847B4" w:rsidRPr="00867368" w:rsidRDefault="00897462" w:rsidP="001B16DC">
            <w:pPr>
              <w:rPr>
                <w:sz w:val="20"/>
              </w:rPr>
            </w:pPr>
            <w:r w:rsidRPr="00867368">
              <w:rPr>
                <w:sz w:val="20"/>
              </w:rPr>
              <w:t>Maximum tolerated dose</w:t>
            </w:r>
          </w:p>
        </w:tc>
      </w:tr>
      <w:tr w:rsidR="00D9575F" w:rsidRPr="005E3183" w14:paraId="5CF0AD3A" w14:textId="77777777" w:rsidTr="00C01923">
        <w:trPr>
          <w:cantSplit/>
        </w:trPr>
        <w:tc>
          <w:tcPr>
            <w:tcW w:w="3085" w:type="dxa"/>
            <w:gridSpan w:val="2"/>
          </w:tcPr>
          <w:p w14:paraId="566B6BB3" w14:textId="77777777" w:rsidR="00D9575F" w:rsidRPr="00867368" w:rsidRDefault="00897462">
            <w:pPr>
              <w:rPr>
                <w:b/>
                <w:sz w:val="20"/>
              </w:rPr>
            </w:pPr>
            <w:r w:rsidRPr="00867368">
              <w:rPr>
                <w:b/>
                <w:sz w:val="20"/>
              </w:rPr>
              <w:t>M</w:t>
            </w:r>
          </w:p>
        </w:tc>
        <w:tc>
          <w:tcPr>
            <w:tcW w:w="6095" w:type="dxa"/>
            <w:gridSpan w:val="3"/>
          </w:tcPr>
          <w:p w14:paraId="720FA317" w14:textId="77777777" w:rsidR="00D9575F" w:rsidRPr="00867368" w:rsidRDefault="00897462">
            <w:pPr>
              <w:rPr>
                <w:sz w:val="20"/>
              </w:rPr>
            </w:pPr>
            <w:r w:rsidRPr="00867368">
              <w:rPr>
                <w:sz w:val="20"/>
              </w:rPr>
              <w:t>Male</w:t>
            </w:r>
          </w:p>
        </w:tc>
      </w:tr>
      <w:tr w:rsidR="00C01923" w:rsidRPr="005E3183" w14:paraId="41D09D54" w14:textId="77777777" w:rsidTr="00C01923">
        <w:trPr>
          <w:cantSplit/>
        </w:trPr>
        <w:tc>
          <w:tcPr>
            <w:tcW w:w="3085" w:type="dxa"/>
            <w:gridSpan w:val="2"/>
            <w:hideMark/>
          </w:tcPr>
          <w:p w14:paraId="18327E49" w14:textId="77777777" w:rsidR="00C01923" w:rsidRPr="00867368" w:rsidRDefault="00897462">
            <w:pPr>
              <w:rPr>
                <w:sz w:val="20"/>
              </w:rPr>
            </w:pPr>
            <w:r w:rsidRPr="00867368">
              <w:rPr>
                <w:b/>
                <w:sz w:val="20"/>
              </w:rPr>
              <w:t>NOEL</w:t>
            </w:r>
          </w:p>
        </w:tc>
        <w:tc>
          <w:tcPr>
            <w:tcW w:w="6095" w:type="dxa"/>
            <w:gridSpan w:val="3"/>
            <w:hideMark/>
          </w:tcPr>
          <w:p w14:paraId="642385CB" w14:textId="77777777" w:rsidR="00C01923" w:rsidRPr="00867368" w:rsidRDefault="00897462">
            <w:pPr>
              <w:rPr>
                <w:sz w:val="20"/>
              </w:rPr>
            </w:pPr>
            <w:r w:rsidRPr="00867368">
              <w:rPr>
                <w:sz w:val="20"/>
              </w:rPr>
              <w:t>No Observed Effect Level</w:t>
            </w:r>
          </w:p>
        </w:tc>
      </w:tr>
      <w:tr w:rsidR="00C01923" w:rsidRPr="005E3183" w14:paraId="635B8EDA" w14:textId="77777777" w:rsidTr="00C01923">
        <w:trPr>
          <w:cantSplit/>
        </w:trPr>
        <w:tc>
          <w:tcPr>
            <w:tcW w:w="3085" w:type="dxa"/>
            <w:gridSpan w:val="2"/>
            <w:hideMark/>
          </w:tcPr>
          <w:p w14:paraId="7B307E85" w14:textId="77777777" w:rsidR="00C01923" w:rsidRPr="00867368" w:rsidRDefault="00897462">
            <w:pPr>
              <w:rPr>
                <w:sz w:val="20"/>
              </w:rPr>
            </w:pPr>
            <w:r w:rsidRPr="00867368">
              <w:rPr>
                <w:b/>
                <w:sz w:val="20"/>
              </w:rPr>
              <w:t>NOAEL</w:t>
            </w:r>
          </w:p>
        </w:tc>
        <w:tc>
          <w:tcPr>
            <w:tcW w:w="6095" w:type="dxa"/>
            <w:gridSpan w:val="3"/>
            <w:hideMark/>
          </w:tcPr>
          <w:p w14:paraId="0E72C0CF" w14:textId="77777777" w:rsidR="00C01923" w:rsidRPr="00867368" w:rsidRDefault="00897462">
            <w:pPr>
              <w:rPr>
                <w:sz w:val="20"/>
              </w:rPr>
            </w:pPr>
            <w:r w:rsidRPr="00867368">
              <w:rPr>
                <w:sz w:val="20"/>
              </w:rPr>
              <w:t>No Observed Adverse Effect Level</w:t>
            </w:r>
          </w:p>
        </w:tc>
      </w:tr>
      <w:tr w:rsidR="00A11E70" w:rsidRPr="005E3183" w14:paraId="20117B00" w14:textId="77777777" w:rsidTr="00C01923">
        <w:trPr>
          <w:cantSplit/>
        </w:trPr>
        <w:tc>
          <w:tcPr>
            <w:tcW w:w="3085" w:type="dxa"/>
            <w:gridSpan w:val="2"/>
          </w:tcPr>
          <w:p w14:paraId="4A84303D" w14:textId="77777777" w:rsidR="00A11E70" w:rsidRPr="00867368" w:rsidRDefault="00897462">
            <w:pPr>
              <w:rPr>
                <w:b/>
                <w:sz w:val="20"/>
              </w:rPr>
            </w:pPr>
            <w:r w:rsidRPr="00867368">
              <w:rPr>
                <w:b/>
                <w:sz w:val="20"/>
              </w:rPr>
              <w:t>PBPK</w:t>
            </w:r>
          </w:p>
        </w:tc>
        <w:tc>
          <w:tcPr>
            <w:tcW w:w="6095" w:type="dxa"/>
            <w:gridSpan w:val="3"/>
          </w:tcPr>
          <w:p w14:paraId="4C3B7557" w14:textId="77777777" w:rsidR="00A11E70" w:rsidRPr="00867368" w:rsidRDefault="00897462" w:rsidP="001F290D">
            <w:pPr>
              <w:pStyle w:val="Date"/>
              <w:rPr>
                <w:sz w:val="20"/>
              </w:rPr>
            </w:pPr>
            <w:r w:rsidRPr="00867368">
              <w:rPr>
                <w:sz w:val="20"/>
                <w:lang w:val="en-US" w:eastAsia="en-US"/>
              </w:rPr>
              <w:t xml:space="preserve">Physiologically-based pharmacokinetic </w:t>
            </w:r>
          </w:p>
        </w:tc>
      </w:tr>
      <w:tr w:rsidR="008E3EB0" w:rsidRPr="005E3183" w14:paraId="0FAD8EDD" w14:textId="77777777" w:rsidTr="00C01923">
        <w:trPr>
          <w:cantSplit/>
        </w:trPr>
        <w:tc>
          <w:tcPr>
            <w:tcW w:w="3085" w:type="dxa"/>
            <w:gridSpan w:val="2"/>
          </w:tcPr>
          <w:p w14:paraId="59A87428" w14:textId="77777777" w:rsidR="008E3EB0" w:rsidRPr="00867368" w:rsidRDefault="00897462">
            <w:pPr>
              <w:rPr>
                <w:b/>
                <w:sz w:val="20"/>
              </w:rPr>
            </w:pPr>
            <w:r w:rsidRPr="00867368">
              <w:rPr>
                <w:b/>
                <w:sz w:val="20"/>
              </w:rPr>
              <w:t>QA</w:t>
            </w:r>
          </w:p>
        </w:tc>
        <w:tc>
          <w:tcPr>
            <w:tcW w:w="6095" w:type="dxa"/>
            <w:gridSpan w:val="3"/>
          </w:tcPr>
          <w:p w14:paraId="2E7D1579" w14:textId="77777777" w:rsidR="008E3EB0" w:rsidRPr="00867368" w:rsidRDefault="00897462" w:rsidP="001F290D">
            <w:pPr>
              <w:pStyle w:val="Date"/>
              <w:rPr>
                <w:sz w:val="20"/>
              </w:rPr>
            </w:pPr>
            <w:r w:rsidRPr="00867368">
              <w:rPr>
                <w:sz w:val="20"/>
              </w:rPr>
              <w:t>Quality Assurance</w:t>
            </w:r>
          </w:p>
        </w:tc>
      </w:tr>
      <w:tr w:rsidR="007D3CB1" w:rsidRPr="005E3183" w14:paraId="2DC265DF" w14:textId="77777777" w:rsidTr="00C01923">
        <w:trPr>
          <w:cantSplit/>
        </w:trPr>
        <w:tc>
          <w:tcPr>
            <w:tcW w:w="3085" w:type="dxa"/>
            <w:gridSpan w:val="2"/>
          </w:tcPr>
          <w:p w14:paraId="104E67D7" w14:textId="77777777" w:rsidR="007D3CB1" w:rsidRPr="00867368" w:rsidRDefault="00897462" w:rsidP="00B847B4">
            <w:pPr>
              <w:rPr>
                <w:b/>
                <w:sz w:val="20"/>
                <w:lang w:val="en-US" w:eastAsia="en-US"/>
              </w:rPr>
            </w:pPr>
            <w:r w:rsidRPr="00867368">
              <w:rPr>
                <w:b/>
                <w:sz w:val="20"/>
                <w:lang w:val="en-US" w:eastAsia="en-US"/>
              </w:rPr>
              <w:t>RSD</w:t>
            </w:r>
          </w:p>
        </w:tc>
        <w:tc>
          <w:tcPr>
            <w:tcW w:w="6095" w:type="dxa"/>
            <w:gridSpan w:val="3"/>
          </w:tcPr>
          <w:p w14:paraId="2AF25562" w14:textId="77777777" w:rsidR="007D3CB1" w:rsidRPr="00867368" w:rsidRDefault="00897462" w:rsidP="001F290D">
            <w:pPr>
              <w:pStyle w:val="Date"/>
              <w:rPr>
                <w:sz w:val="20"/>
                <w:lang w:val="en-US" w:eastAsia="en-US"/>
              </w:rPr>
            </w:pPr>
            <w:r w:rsidRPr="00867368">
              <w:rPr>
                <w:sz w:val="20"/>
                <w:lang w:val="en-US" w:eastAsia="en-US"/>
              </w:rPr>
              <w:t>Relative standard deviation</w:t>
            </w:r>
          </w:p>
        </w:tc>
      </w:tr>
      <w:tr w:rsidR="00B847B4" w:rsidRPr="005E3183" w14:paraId="5C157B70" w14:textId="77777777" w:rsidTr="00C01923">
        <w:trPr>
          <w:cantSplit/>
        </w:trPr>
        <w:tc>
          <w:tcPr>
            <w:tcW w:w="3085" w:type="dxa"/>
            <w:gridSpan w:val="2"/>
          </w:tcPr>
          <w:p w14:paraId="15CAEA9D" w14:textId="77777777" w:rsidR="00B847B4" w:rsidRPr="00867368" w:rsidRDefault="00897462" w:rsidP="00B847B4">
            <w:pPr>
              <w:rPr>
                <w:b/>
                <w:sz w:val="20"/>
                <w:lang w:val="en-US" w:eastAsia="en-US"/>
              </w:rPr>
            </w:pPr>
            <w:r w:rsidRPr="00867368">
              <w:rPr>
                <w:b/>
                <w:sz w:val="20"/>
                <w:lang w:val="en-US" w:eastAsia="en-US"/>
              </w:rPr>
              <w:t>SD</w:t>
            </w:r>
          </w:p>
        </w:tc>
        <w:tc>
          <w:tcPr>
            <w:tcW w:w="6095" w:type="dxa"/>
            <w:gridSpan w:val="3"/>
          </w:tcPr>
          <w:p w14:paraId="24975145" w14:textId="77777777" w:rsidR="00B847B4" w:rsidRPr="00867368" w:rsidRDefault="00897462" w:rsidP="001F290D">
            <w:pPr>
              <w:pStyle w:val="Date"/>
              <w:rPr>
                <w:sz w:val="20"/>
                <w:lang w:val="en-US" w:eastAsia="en-US"/>
              </w:rPr>
            </w:pPr>
            <w:r w:rsidRPr="00867368">
              <w:rPr>
                <w:sz w:val="20"/>
                <w:lang w:val="en-US" w:eastAsia="en-US"/>
              </w:rPr>
              <w:t>Standard deviation or Sprague Dawley</w:t>
            </w:r>
          </w:p>
        </w:tc>
      </w:tr>
      <w:tr w:rsidR="00140E7C" w:rsidRPr="005E3183" w14:paraId="1F0E73DC" w14:textId="77777777" w:rsidTr="00C01923">
        <w:trPr>
          <w:cantSplit/>
        </w:trPr>
        <w:tc>
          <w:tcPr>
            <w:tcW w:w="3085" w:type="dxa"/>
            <w:gridSpan w:val="2"/>
          </w:tcPr>
          <w:p w14:paraId="3F2D5A72" w14:textId="77777777" w:rsidR="00140E7C" w:rsidRPr="00867368" w:rsidRDefault="00897462" w:rsidP="00B847B4">
            <w:pPr>
              <w:rPr>
                <w:b/>
                <w:sz w:val="20"/>
                <w:lang w:val="en-US" w:eastAsia="en-US"/>
              </w:rPr>
            </w:pPr>
            <w:r w:rsidRPr="00867368">
              <w:rPr>
                <w:b/>
                <w:sz w:val="20"/>
                <w:lang w:val="en-US" w:eastAsia="en-US"/>
              </w:rPr>
              <w:t>SEM</w:t>
            </w:r>
          </w:p>
        </w:tc>
        <w:tc>
          <w:tcPr>
            <w:tcW w:w="6095" w:type="dxa"/>
            <w:gridSpan w:val="3"/>
          </w:tcPr>
          <w:p w14:paraId="49F38A53" w14:textId="77777777" w:rsidR="00140E7C" w:rsidRPr="00867368" w:rsidRDefault="00897462" w:rsidP="00897ED0">
            <w:pPr>
              <w:pStyle w:val="Date"/>
              <w:rPr>
                <w:sz w:val="20"/>
                <w:lang w:val="en-US" w:eastAsia="en-US"/>
              </w:rPr>
            </w:pPr>
            <w:r w:rsidRPr="00867368">
              <w:rPr>
                <w:sz w:val="20"/>
                <w:lang w:val="en-US" w:eastAsia="en-US"/>
              </w:rPr>
              <w:t>Standard error of the mean</w:t>
            </w:r>
          </w:p>
        </w:tc>
      </w:tr>
      <w:tr w:rsidR="00C01923" w:rsidRPr="005E3183" w14:paraId="7A7AACD9" w14:textId="77777777" w:rsidTr="00C01923">
        <w:trPr>
          <w:cantSplit/>
        </w:trPr>
        <w:tc>
          <w:tcPr>
            <w:tcW w:w="3085" w:type="dxa"/>
            <w:gridSpan w:val="2"/>
          </w:tcPr>
          <w:p w14:paraId="087F935F" w14:textId="77777777" w:rsidR="00C01923" w:rsidRPr="00867368" w:rsidRDefault="00C01923">
            <w:pPr>
              <w:rPr>
                <w:sz w:val="20"/>
              </w:rPr>
            </w:pPr>
          </w:p>
        </w:tc>
        <w:tc>
          <w:tcPr>
            <w:tcW w:w="6095" w:type="dxa"/>
            <w:gridSpan w:val="3"/>
          </w:tcPr>
          <w:p w14:paraId="21454BD3" w14:textId="77777777" w:rsidR="00C01923" w:rsidRPr="00867368" w:rsidRDefault="00C01923">
            <w:pPr>
              <w:rPr>
                <w:sz w:val="20"/>
              </w:rPr>
            </w:pPr>
          </w:p>
        </w:tc>
      </w:tr>
      <w:tr w:rsidR="00C01923" w:rsidRPr="005E3183" w14:paraId="4B99E854" w14:textId="77777777" w:rsidTr="00C01923">
        <w:trPr>
          <w:cantSplit/>
        </w:trPr>
        <w:tc>
          <w:tcPr>
            <w:tcW w:w="9180" w:type="dxa"/>
            <w:gridSpan w:val="5"/>
            <w:hideMark/>
          </w:tcPr>
          <w:p w14:paraId="4F4600CF" w14:textId="77777777" w:rsidR="00C01923" w:rsidRPr="00867368" w:rsidRDefault="00897462">
            <w:pPr>
              <w:spacing w:before="40" w:after="80"/>
              <w:rPr>
                <w:sz w:val="20"/>
                <w:u w:val="single"/>
              </w:rPr>
            </w:pPr>
            <w:r w:rsidRPr="00867368">
              <w:rPr>
                <w:b/>
                <w:sz w:val="20"/>
                <w:u w:val="single"/>
              </w:rPr>
              <w:t>Organisations &amp; Publications</w:t>
            </w:r>
          </w:p>
        </w:tc>
      </w:tr>
      <w:tr w:rsidR="00C01923" w:rsidRPr="005E3183" w14:paraId="6CA33FF0" w14:textId="77777777" w:rsidTr="00C01923">
        <w:trPr>
          <w:cantSplit/>
        </w:trPr>
        <w:tc>
          <w:tcPr>
            <w:tcW w:w="3085" w:type="dxa"/>
            <w:gridSpan w:val="2"/>
            <w:hideMark/>
          </w:tcPr>
          <w:p w14:paraId="6A72C444" w14:textId="77777777" w:rsidR="00C01923" w:rsidRPr="00867368" w:rsidRDefault="00897462">
            <w:pPr>
              <w:rPr>
                <w:b/>
                <w:sz w:val="20"/>
              </w:rPr>
            </w:pPr>
            <w:r w:rsidRPr="00867368">
              <w:rPr>
                <w:b/>
                <w:sz w:val="20"/>
              </w:rPr>
              <w:t>APVMA</w:t>
            </w:r>
          </w:p>
        </w:tc>
        <w:tc>
          <w:tcPr>
            <w:tcW w:w="6095" w:type="dxa"/>
            <w:gridSpan w:val="3"/>
            <w:hideMark/>
          </w:tcPr>
          <w:p w14:paraId="4FE0582B" w14:textId="77777777" w:rsidR="00C01923" w:rsidRPr="00867368" w:rsidRDefault="00897462">
            <w:pPr>
              <w:rPr>
                <w:sz w:val="20"/>
              </w:rPr>
            </w:pPr>
            <w:r w:rsidRPr="00867368">
              <w:rPr>
                <w:sz w:val="20"/>
              </w:rPr>
              <w:t>Australian Pesticides and Veterinary Medicines Authority</w:t>
            </w:r>
          </w:p>
        </w:tc>
      </w:tr>
      <w:tr w:rsidR="00C01923" w:rsidRPr="005E3183" w14:paraId="0953E340" w14:textId="77777777" w:rsidTr="00C01923">
        <w:trPr>
          <w:cantSplit/>
        </w:trPr>
        <w:tc>
          <w:tcPr>
            <w:tcW w:w="3085" w:type="dxa"/>
            <w:gridSpan w:val="2"/>
            <w:hideMark/>
          </w:tcPr>
          <w:p w14:paraId="4DD8BD9E" w14:textId="77777777" w:rsidR="00C01923" w:rsidRPr="00867368" w:rsidRDefault="00897462">
            <w:pPr>
              <w:rPr>
                <w:sz w:val="20"/>
              </w:rPr>
            </w:pPr>
            <w:r w:rsidRPr="00867368">
              <w:rPr>
                <w:b/>
                <w:sz w:val="20"/>
              </w:rPr>
              <w:t>FAO</w:t>
            </w:r>
          </w:p>
        </w:tc>
        <w:tc>
          <w:tcPr>
            <w:tcW w:w="6095" w:type="dxa"/>
            <w:gridSpan w:val="3"/>
            <w:hideMark/>
          </w:tcPr>
          <w:p w14:paraId="0EEF31BD" w14:textId="77777777" w:rsidR="00C01923" w:rsidRPr="00867368" w:rsidRDefault="00897462">
            <w:pPr>
              <w:rPr>
                <w:sz w:val="20"/>
              </w:rPr>
            </w:pPr>
            <w:r w:rsidRPr="00867368">
              <w:rPr>
                <w:sz w:val="20"/>
              </w:rPr>
              <w:t>Food and Agriculture Organization (United Nations)</w:t>
            </w:r>
          </w:p>
        </w:tc>
      </w:tr>
      <w:tr w:rsidR="00A817ED" w:rsidRPr="005E3183" w14:paraId="70B40EE0" w14:textId="77777777" w:rsidTr="00C01923">
        <w:trPr>
          <w:cantSplit/>
        </w:trPr>
        <w:tc>
          <w:tcPr>
            <w:tcW w:w="3085" w:type="dxa"/>
            <w:gridSpan w:val="2"/>
          </w:tcPr>
          <w:p w14:paraId="7241BB94" w14:textId="77777777" w:rsidR="00A817ED" w:rsidRPr="00867368" w:rsidRDefault="00897462">
            <w:pPr>
              <w:rPr>
                <w:b/>
                <w:sz w:val="20"/>
              </w:rPr>
            </w:pPr>
            <w:r w:rsidRPr="00867368">
              <w:rPr>
                <w:b/>
                <w:sz w:val="20"/>
                <w:lang w:eastAsia="en-US"/>
              </w:rPr>
              <w:t>JMPR</w:t>
            </w:r>
          </w:p>
        </w:tc>
        <w:tc>
          <w:tcPr>
            <w:tcW w:w="6095" w:type="dxa"/>
            <w:gridSpan w:val="3"/>
          </w:tcPr>
          <w:p w14:paraId="5EC618D8" w14:textId="77777777" w:rsidR="00A817ED" w:rsidRPr="00867368" w:rsidRDefault="00897462">
            <w:pPr>
              <w:rPr>
                <w:sz w:val="20"/>
              </w:rPr>
            </w:pPr>
            <w:r w:rsidRPr="00867368">
              <w:rPr>
                <w:sz w:val="20"/>
              </w:rPr>
              <w:t>The Joint FAO/WHO Meeting on Pesticide Residues</w:t>
            </w:r>
          </w:p>
        </w:tc>
      </w:tr>
      <w:tr w:rsidR="00D9575F" w:rsidRPr="005E3183" w14:paraId="2431379D" w14:textId="77777777" w:rsidTr="00C01923">
        <w:trPr>
          <w:cantSplit/>
        </w:trPr>
        <w:tc>
          <w:tcPr>
            <w:tcW w:w="3085" w:type="dxa"/>
            <w:gridSpan w:val="2"/>
          </w:tcPr>
          <w:p w14:paraId="46ABA39B" w14:textId="77777777" w:rsidR="00D9575F" w:rsidRPr="00867368" w:rsidRDefault="00897462">
            <w:pPr>
              <w:rPr>
                <w:b/>
                <w:sz w:val="20"/>
              </w:rPr>
            </w:pPr>
            <w:r w:rsidRPr="00867368">
              <w:rPr>
                <w:b/>
                <w:sz w:val="20"/>
              </w:rPr>
              <w:t>OCS</w:t>
            </w:r>
          </w:p>
        </w:tc>
        <w:tc>
          <w:tcPr>
            <w:tcW w:w="6095" w:type="dxa"/>
            <w:gridSpan w:val="3"/>
          </w:tcPr>
          <w:p w14:paraId="41B05171" w14:textId="77777777" w:rsidR="00D9575F" w:rsidRPr="00867368" w:rsidRDefault="00897462">
            <w:pPr>
              <w:rPr>
                <w:sz w:val="20"/>
              </w:rPr>
            </w:pPr>
            <w:r w:rsidRPr="00867368">
              <w:rPr>
                <w:sz w:val="20"/>
              </w:rPr>
              <w:t>Office of Chemical Safety</w:t>
            </w:r>
          </w:p>
        </w:tc>
      </w:tr>
      <w:tr w:rsidR="00C01923" w:rsidRPr="005E3183" w14:paraId="64049DB7" w14:textId="77777777" w:rsidTr="00C01923">
        <w:trPr>
          <w:cantSplit/>
        </w:trPr>
        <w:tc>
          <w:tcPr>
            <w:tcW w:w="3085" w:type="dxa"/>
            <w:gridSpan w:val="2"/>
            <w:hideMark/>
          </w:tcPr>
          <w:p w14:paraId="0F2F5A87" w14:textId="77777777" w:rsidR="00C01923" w:rsidRPr="00867368" w:rsidRDefault="00897462">
            <w:pPr>
              <w:rPr>
                <w:b/>
                <w:sz w:val="20"/>
              </w:rPr>
            </w:pPr>
            <w:r w:rsidRPr="00867368">
              <w:rPr>
                <w:b/>
                <w:sz w:val="20"/>
              </w:rPr>
              <w:t>OECD</w:t>
            </w:r>
          </w:p>
        </w:tc>
        <w:tc>
          <w:tcPr>
            <w:tcW w:w="6095" w:type="dxa"/>
            <w:gridSpan w:val="3"/>
            <w:hideMark/>
          </w:tcPr>
          <w:p w14:paraId="26B0B460" w14:textId="77777777" w:rsidR="00C01923" w:rsidRPr="00867368" w:rsidRDefault="00897462">
            <w:pPr>
              <w:rPr>
                <w:sz w:val="20"/>
              </w:rPr>
            </w:pPr>
            <w:r w:rsidRPr="00867368">
              <w:rPr>
                <w:sz w:val="20"/>
              </w:rPr>
              <w:t xml:space="preserve">Organization for Economic Co-operation and Development </w:t>
            </w:r>
          </w:p>
        </w:tc>
      </w:tr>
      <w:tr w:rsidR="00C01923" w:rsidRPr="005E3183" w14:paraId="6EBBCF10" w14:textId="77777777" w:rsidTr="00C01923">
        <w:trPr>
          <w:cantSplit/>
        </w:trPr>
        <w:tc>
          <w:tcPr>
            <w:tcW w:w="3085" w:type="dxa"/>
            <w:gridSpan w:val="2"/>
            <w:hideMark/>
          </w:tcPr>
          <w:p w14:paraId="20236354" w14:textId="77777777" w:rsidR="00C01923" w:rsidRPr="00867368" w:rsidRDefault="00897462">
            <w:pPr>
              <w:rPr>
                <w:sz w:val="20"/>
              </w:rPr>
            </w:pPr>
            <w:r w:rsidRPr="00867368">
              <w:rPr>
                <w:b/>
                <w:sz w:val="20"/>
              </w:rPr>
              <w:t>WHO</w:t>
            </w:r>
          </w:p>
        </w:tc>
        <w:tc>
          <w:tcPr>
            <w:tcW w:w="6095" w:type="dxa"/>
            <w:gridSpan w:val="3"/>
            <w:hideMark/>
          </w:tcPr>
          <w:p w14:paraId="08A64BEF" w14:textId="77777777" w:rsidR="00C01923" w:rsidRPr="00867368" w:rsidRDefault="00897462">
            <w:pPr>
              <w:rPr>
                <w:sz w:val="20"/>
              </w:rPr>
            </w:pPr>
            <w:r w:rsidRPr="00867368">
              <w:rPr>
                <w:sz w:val="20"/>
              </w:rPr>
              <w:t>World Health Organization</w:t>
            </w:r>
          </w:p>
        </w:tc>
      </w:tr>
    </w:tbl>
    <w:p w14:paraId="36037E57" w14:textId="77777777" w:rsidR="002B2CFC" w:rsidRPr="00EA160F" w:rsidRDefault="002B2CFC" w:rsidP="002B2CFC">
      <w:pPr>
        <w:rPr>
          <w:szCs w:val="24"/>
          <w:lang w:val="en-US" w:eastAsia="en-US"/>
        </w:rPr>
      </w:pPr>
      <w:r w:rsidRPr="002B2CFC">
        <w:rPr>
          <w:szCs w:val="24"/>
          <w:lang w:val="en-US" w:eastAsia="en-US"/>
        </w:rPr>
        <w:br w:type="page"/>
      </w:r>
    </w:p>
    <w:p w14:paraId="3F12AE3E" w14:textId="77777777" w:rsidR="00C02D86" w:rsidRDefault="00C02D86" w:rsidP="00D86AC2">
      <w:pPr>
        <w:tabs>
          <w:tab w:val="left" w:pos="1515"/>
          <w:tab w:val="center" w:pos="4535"/>
        </w:tabs>
        <w:rPr>
          <w:b/>
          <w:szCs w:val="24"/>
          <w:lang w:val="en-US" w:eastAsia="en-US"/>
        </w:rPr>
      </w:pPr>
      <w:bookmarkStart w:id="5" w:name="_Toc275178978"/>
      <w:r>
        <w:rPr>
          <w:b/>
          <w:szCs w:val="24"/>
          <w:lang w:val="en-US" w:eastAsia="en-US"/>
        </w:rPr>
        <w:lastRenderedPageBreak/>
        <w:tab/>
      </w:r>
      <w:r>
        <w:rPr>
          <w:b/>
          <w:szCs w:val="24"/>
          <w:lang w:val="en-US" w:eastAsia="en-US"/>
        </w:rPr>
        <w:tab/>
      </w:r>
    </w:p>
    <w:p w14:paraId="4AB343CF" w14:textId="77777777" w:rsidR="002B2CFC" w:rsidRPr="002B2CFC" w:rsidRDefault="002B2CFC" w:rsidP="002B2CFC">
      <w:pPr>
        <w:jc w:val="center"/>
        <w:rPr>
          <w:b/>
          <w:szCs w:val="24"/>
          <w:lang w:val="en-US" w:eastAsia="en-US"/>
        </w:rPr>
      </w:pPr>
      <w:r w:rsidRPr="002B2CFC">
        <w:rPr>
          <w:b/>
          <w:szCs w:val="24"/>
          <w:lang w:val="en-US" w:eastAsia="en-US"/>
        </w:rPr>
        <w:t>Table of Contents</w:t>
      </w:r>
      <w:bookmarkEnd w:id="5"/>
    </w:p>
    <w:p w14:paraId="5A3D3A62" w14:textId="77777777" w:rsidR="002B2CFC" w:rsidRPr="002B2CFC" w:rsidRDefault="002B2CFC" w:rsidP="002B2CFC">
      <w:pPr>
        <w:rPr>
          <w:szCs w:val="24"/>
          <w:lang w:eastAsia="en-US"/>
        </w:rPr>
      </w:pPr>
    </w:p>
    <w:p w14:paraId="6E372E48" w14:textId="77777777" w:rsidR="000E54B2" w:rsidRDefault="00897462">
      <w:pPr>
        <w:pStyle w:val="TOC1"/>
        <w:rPr>
          <w:rFonts w:asciiTheme="minorHAnsi" w:eastAsiaTheme="minorEastAsia" w:hAnsiTheme="minorHAnsi" w:cstheme="minorBidi"/>
          <w:b w:val="0"/>
          <w:caps w:val="0"/>
          <w:sz w:val="22"/>
          <w:szCs w:val="22"/>
        </w:rPr>
      </w:pPr>
      <w:r w:rsidRPr="002B2CFC">
        <w:rPr>
          <w:bCs/>
          <w:lang w:eastAsia="en-US"/>
        </w:rPr>
        <w:fldChar w:fldCharType="begin"/>
      </w:r>
      <w:r w:rsidR="002B2CFC" w:rsidRPr="002B2CFC">
        <w:rPr>
          <w:bCs/>
          <w:lang w:eastAsia="en-US"/>
        </w:rPr>
        <w:instrText xml:space="preserve"> TOC \o "1-3" \h \z \u </w:instrText>
      </w:r>
      <w:r w:rsidRPr="002B2CFC">
        <w:rPr>
          <w:bCs/>
          <w:lang w:eastAsia="en-US"/>
        </w:rPr>
        <w:fldChar w:fldCharType="separate"/>
      </w:r>
      <w:hyperlink w:anchor="_Toc459108268" w:history="1">
        <w:r w:rsidR="000E54B2" w:rsidRPr="004A0832">
          <w:rPr>
            <w:rStyle w:val="Hyperlink"/>
          </w:rPr>
          <w:t>1</w:t>
        </w:r>
        <w:r w:rsidR="000E54B2">
          <w:rPr>
            <w:rFonts w:asciiTheme="minorHAnsi" w:eastAsiaTheme="minorEastAsia" w:hAnsiTheme="minorHAnsi" w:cstheme="minorBidi"/>
            <w:b w:val="0"/>
            <w:caps w:val="0"/>
            <w:sz w:val="22"/>
            <w:szCs w:val="22"/>
          </w:rPr>
          <w:tab/>
        </w:r>
        <w:r w:rsidR="000E54B2" w:rsidRPr="004A0832">
          <w:rPr>
            <w:rStyle w:val="Hyperlink"/>
          </w:rPr>
          <w:t>Abbreviations</w:t>
        </w:r>
        <w:r w:rsidR="000E54B2">
          <w:rPr>
            <w:webHidden/>
          </w:rPr>
          <w:tab/>
        </w:r>
        <w:r w:rsidR="000E54B2">
          <w:rPr>
            <w:webHidden/>
          </w:rPr>
          <w:fldChar w:fldCharType="begin"/>
        </w:r>
        <w:r w:rsidR="000E54B2">
          <w:rPr>
            <w:webHidden/>
          </w:rPr>
          <w:instrText xml:space="preserve"> PAGEREF _Toc459108268 \h </w:instrText>
        </w:r>
        <w:r w:rsidR="000E54B2">
          <w:rPr>
            <w:webHidden/>
          </w:rPr>
        </w:r>
        <w:r w:rsidR="000E54B2">
          <w:rPr>
            <w:webHidden/>
          </w:rPr>
          <w:fldChar w:fldCharType="separate"/>
        </w:r>
        <w:r w:rsidR="000E54B2">
          <w:rPr>
            <w:webHidden/>
          </w:rPr>
          <w:t>3</w:t>
        </w:r>
        <w:r w:rsidR="000E54B2">
          <w:rPr>
            <w:webHidden/>
          </w:rPr>
          <w:fldChar w:fldCharType="end"/>
        </w:r>
      </w:hyperlink>
    </w:p>
    <w:p w14:paraId="55F76CF3" w14:textId="77777777" w:rsidR="000E54B2" w:rsidRDefault="003A31EB">
      <w:pPr>
        <w:pStyle w:val="TOC1"/>
        <w:rPr>
          <w:rFonts w:asciiTheme="minorHAnsi" w:eastAsiaTheme="minorEastAsia" w:hAnsiTheme="minorHAnsi" w:cstheme="minorBidi"/>
          <w:b w:val="0"/>
          <w:caps w:val="0"/>
          <w:sz w:val="22"/>
          <w:szCs w:val="22"/>
        </w:rPr>
      </w:pPr>
      <w:hyperlink w:anchor="_Toc459108269" w:history="1">
        <w:r w:rsidR="000E54B2" w:rsidRPr="004A0832">
          <w:rPr>
            <w:rStyle w:val="Hyperlink"/>
          </w:rPr>
          <w:t>2</w:t>
        </w:r>
        <w:r w:rsidR="000E54B2">
          <w:rPr>
            <w:rFonts w:asciiTheme="minorHAnsi" w:eastAsiaTheme="minorEastAsia" w:hAnsiTheme="minorHAnsi" w:cstheme="minorBidi"/>
            <w:b w:val="0"/>
            <w:caps w:val="0"/>
            <w:sz w:val="22"/>
            <w:szCs w:val="22"/>
          </w:rPr>
          <w:tab/>
        </w:r>
        <w:r w:rsidR="000E54B2" w:rsidRPr="004A0832">
          <w:rPr>
            <w:rStyle w:val="Hyperlink"/>
          </w:rPr>
          <w:t>Executive Summary</w:t>
        </w:r>
        <w:r w:rsidR="000E54B2">
          <w:rPr>
            <w:webHidden/>
          </w:rPr>
          <w:tab/>
        </w:r>
        <w:r w:rsidR="000E54B2">
          <w:rPr>
            <w:webHidden/>
          </w:rPr>
          <w:fldChar w:fldCharType="begin"/>
        </w:r>
        <w:r w:rsidR="000E54B2">
          <w:rPr>
            <w:webHidden/>
          </w:rPr>
          <w:instrText xml:space="preserve"> PAGEREF _Toc459108269 \h </w:instrText>
        </w:r>
        <w:r w:rsidR="000E54B2">
          <w:rPr>
            <w:webHidden/>
          </w:rPr>
        </w:r>
        <w:r w:rsidR="000E54B2">
          <w:rPr>
            <w:webHidden/>
          </w:rPr>
          <w:fldChar w:fldCharType="separate"/>
        </w:r>
        <w:r w:rsidR="000E54B2">
          <w:rPr>
            <w:webHidden/>
          </w:rPr>
          <w:t>7</w:t>
        </w:r>
        <w:r w:rsidR="000E54B2">
          <w:rPr>
            <w:webHidden/>
          </w:rPr>
          <w:fldChar w:fldCharType="end"/>
        </w:r>
      </w:hyperlink>
    </w:p>
    <w:p w14:paraId="101B9C98" w14:textId="77777777" w:rsidR="000E54B2" w:rsidRDefault="003A31EB">
      <w:pPr>
        <w:pStyle w:val="TOC1"/>
        <w:rPr>
          <w:rFonts w:asciiTheme="minorHAnsi" w:eastAsiaTheme="minorEastAsia" w:hAnsiTheme="minorHAnsi" w:cstheme="minorBidi"/>
          <w:b w:val="0"/>
          <w:caps w:val="0"/>
          <w:sz w:val="22"/>
          <w:szCs w:val="22"/>
        </w:rPr>
      </w:pPr>
      <w:hyperlink w:anchor="_Toc459108270" w:history="1">
        <w:r w:rsidR="000E54B2" w:rsidRPr="004A0832">
          <w:rPr>
            <w:rStyle w:val="Hyperlink"/>
          </w:rPr>
          <w:t>A.</w:t>
        </w:r>
        <w:r w:rsidR="000E54B2">
          <w:rPr>
            <w:rFonts w:asciiTheme="minorHAnsi" w:eastAsiaTheme="minorEastAsia" w:hAnsiTheme="minorHAnsi" w:cstheme="minorBidi"/>
            <w:b w:val="0"/>
            <w:caps w:val="0"/>
            <w:sz w:val="22"/>
            <w:szCs w:val="22"/>
          </w:rPr>
          <w:tab/>
        </w:r>
        <w:r w:rsidR="000E54B2" w:rsidRPr="004A0832">
          <w:rPr>
            <w:rStyle w:val="Hyperlink"/>
          </w:rPr>
          <w:t>Part 1</w:t>
        </w:r>
        <w:r w:rsidR="000E54B2">
          <w:rPr>
            <w:webHidden/>
          </w:rPr>
          <w:tab/>
        </w:r>
        <w:r w:rsidR="000E54B2">
          <w:rPr>
            <w:webHidden/>
          </w:rPr>
          <w:fldChar w:fldCharType="begin"/>
        </w:r>
        <w:r w:rsidR="000E54B2">
          <w:rPr>
            <w:webHidden/>
          </w:rPr>
          <w:instrText xml:space="preserve"> PAGEREF _Toc459108270 \h </w:instrText>
        </w:r>
        <w:r w:rsidR="000E54B2">
          <w:rPr>
            <w:webHidden/>
          </w:rPr>
        </w:r>
        <w:r w:rsidR="000E54B2">
          <w:rPr>
            <w:webHidden/>
          </w:rPr>
          <w:fldChar w:fldCharType="separate"/>
        </w:r>
        <w:r w:rsidR="000E54B2">
          <w:rPr>
            <w:webHidden/>
          </w:rPr>
          <w:t>8</w:t>
        </w:r>
        <w:r w:rsidR="000E54B2">
          <w:rPr>
            <w:webHidden/>
          </w:rPr>
          <w:fldChar w:fldCharType="end"/>
        </w:r>
      </w:hyperlink>
    </w:p>
    <w:p w14:paraId="0E531F6E" w14:textId="77777777" w:rsidR="000E54B2" w:rsidRDefault="003A31EB">
      <w:pPr>
        <w:pStyle w:val="TOC1"/>
        <w:rPr>
          <w:rFonts w:asciiTheme="minorHAnsi" w:eastAsiaTheme="minorEastAsia" w:hAnsiTheme="minorHAnsi" w:cstheme="minorBidi"/>
          <w:b w:val="0"/>
          <w:caps w:val="0"/>
          <w:sz w:val="22"/>
          <w:szCs w:val="22"/>
        </w:rPr>
      </w:pPr>
      <w:hyperlink w:anchor="_Toc459108271" w:history="1">
        <w:r w:rsidR="000E54B2" w:rsidRPr="004A0832">
          <w:rPr>
            <w:rStyle w:val="Hyperlink"/>
          </w:rPr>
          <w:t>3</w:t>
        </w:r>
        <w:r w:rsidR="000E54B2">
          <w:rPr>
            <w:rFonts w:asciiTheme="minorHAnsi" w:eastAsiaTheme="minorEastAsia" w:hAnsiTheme="minorHAnsi" w:cstheme="minorBidi"/>
            <w:b w:val="0"/>
            <w:caps w:val="0"/>
            <w:sz w:val="22"/>
            <w:szCs w:val="22"/>
          </w:rPr>
          <w:tab/>
        </w:r>
        <w:r w:rsidR="000E54B2" w:rsidRPr="004A0832">
          <w:rPr>
            <w:rStyle w:val="Hyperlink"/>
          </w:rPr>
          <w:t>Introduction</w:t>
        </w:r>
        <w:r w:rsidR="000E54B2">
          <w:rPr>
            <w:webHidden/>
          </w:rPr>
          <w:tab/>
        </w:r>
        <w:r w:rsidR="000E54B2">
          <w:rPr>
            <w:webHidden/>
          </w:rPr>
          <w:fldChar w:fldCharType="begin"/>
        </w:r>
        <w:r w:rsidR="000E54B2">
          <w:rPr>
            <w:webHidden/>
          </w:rPr>
          <w:instrText xml:space="preserve"> PAGEREF _Toc459108271 \h </w:instrText>
        </w:r>
        <w:r w:rsidR="000E54B2">
          <w:rPr>
            <w:webHidden/>
          </w:rPr>
        </w:r>
        <w:r w:rsidR="000E54B2">
          <w:rPr>
            <w:webHidden/>
          </w:rPr>
          <w:fldChar w:fldCharType="separate"/>
        </w:r>
        <w:r w:rsidR="000E54B2">
          <w:rPr>
            <w:webHidden/>
          </w:rPr>
          <w:t>8</w:t>
        </w:r>
        <w:r w:rsidR="000E54B2">
          <w:rPr>
            <w:webHidden/>
          </w:rPr>
          <w:fldChar w:fldCharType="end"/>
        </w:r>
      </w:hyperlink>
    </w:p>
    <w:p w14:paraId="25E978E2"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72" w:history="1">
        <w:r w:rsidR="000E54B2" w:rsidRPr="004A0832">
          <w:rPr>
            <w:rStyle w:val="Hyperlink"/>
            <w:noProof/>
            <w:lang w:eastAsia="en-US"/>
          </w:rPr>
          <w:t>3.1</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Report structure</w:t>
        </w:r>
        <w:r w:rsidR="000E54B2">
          <w:rPr>
            <w:noProof/>
            <w:webHidden/>
          </w:rPr>
          <w:tab/>
        </w:r>
        <w:r w:rsidR="000E54B2">
          <w:rPr>
            <w:noProof/>
            <w:webHidden/>
          </w:rPr>
          <w:fldChar w:fldCharType="begin"/>
        </w:r>
        <w:r w:rsidR="000E54B2">
          <w:rPr>
            <w:noProof/>
            <w:webHidden/>
          </w:rPr>
          <w:instrText xml:space="preserve"> PAGEREF _Toc459108272 \h </w:instrText>
        </w:r>
        <w:r w:rsidR="000E54B2">
          <w:rPr>
            <w:noProof/>
            <w:webHidden/>
          </w:rPr>
        </w:r>
        <w:r w:rsidR="000E54B2">
          <w:rPr>
            <w:noProof/>
            <w:webHidden/>
          </w:rPr>
          <w:fldChar w:fldCharType="separate"/>
        </w:r>
        <w:r w:rsidR="000E54B2">
          <w:rPr>
            <w:noProof/>
            <w:webHidden/>
          </w:rPr>
          <w:t>8</w:t>
        </w:r>
        <w:r w:rsidR="000E54B2">
          <w:rPr>
            <w:noProof/>
            <w:webHidden/>
          </w:rPr>
          <w:fldChar w:fldCharType="end"/>
        </w:r>
      </w:hyperlink>
    </w:p>
    <w:p w14:paraId="08CF393E"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73" w:history="1">
        <w:r w:rsidR="000E54B2" w:rsidRPr="004A0832">
          <w:rPr>
            <w:rStyle w:val="Hyperlink"/>
            <w:noProof/>
            <w:lang w:eastAsia="en-US"/>
          </w:rPr>
          <w:t>3.2</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Summary of paraquat toxicity</w:t>
        </w:r>
        <w:r w:rsidR="000E54B2">
          <w:rPr>
            <w:noProof/>
            <w:webHidden/>
          </w:rPr>
          <w:tab/>
        </w:r>
        <w:r w:rsidR="000E54B2">
          <w:rPr>
            <w:noProof/>
            <w:webHidden/>
          </w:rPr>
          <w:fldChar w:fldCharType="begin"/>
        </w:r>
        <w:r w:rsidR="000E54B2">
          <w:rPr>
            <w:noProof/>
            <w:webHidden/>
          </w:rPr>
          <w:instrText xml:space="preserve"> PAGEREF _Toc459108273 \h </w:instrText>
        </w:r>
        <w:r w:rsidR="000E54B2">
          <w:rPr>
            <w:noProof/>
            <w:webHidden/>
          </w:rPr>
        </w:r>
        <w:r w:rsidR="000E54B2">
          <w:rPr>
            <w:noProof/>
            <w:webHidden/>
          </w:rPr>
          <w:fldChar w:fldCharType="separate"/>
        </w:r>
        <w:r w:rsidR="000E54B2">
          <w:rPr>
            <w:noProof/>
            <w:webHidden/>
          </w:rPr>
          <w:t>8</w:t>
        </w:r>
        <w:r w:rsidR="000E54B2">
          <w:rPr>
            <w:noProof/>
            <w:webHidden/>
          </w:rPr>
          <w:fldChar w:fldCharType="end"/>
        </w:r>
      </w:hyperlink>
    </w:p>
    <w:p w14:paraId="10D3A969"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74" w:history="1">
        <w:r w:rsidR="000E54B2" w:rsidRPr="004A0832">
          <w:rPr>
            <w:rStyle w:val="Hyperlink"/>
            <w:noProof/>
            <w:lang w:eastAsia="en-US"/>
          </w:rPr>
          <w:t>3.3</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Parkinson’s disease</w:t>
        </w:r>
        <w:r w:rsidR="000E54B2">
          <w:rPr>
            <w:noProof/>
            <w:webHidden/>
          </w:rPr>
          <w:tab/>
        </w:r>
        <w:r w:rsidR="000E54B2">
          <w:rPr>
            <w:noProof/>
            <w:webHidden/>
          </w:rPr>
          <w:fldChar w:fldCharType="begin"/>
        </w:r>
        <w:r w:rsidR="000E54B2">
          <w:rPr>
            <w:noProof/>
            <w:webHidden/>
          </w:rPr>
          <w:instrText xml:space="preserve"> PAGEREF _Toc459108274 \h </w:instrText>
        </w:r>
        <w:r w:rsidR="000E54B2">
          <w:rPr>
            <w:noProof/>
            <w:webHidden/>
          </w:rPr>
        </w:r>
        <w:r w:rsidR="000E54B2">
          <w:rPr>
            <w:noProof/>
            <w:webHidden/>
          </w:rPr>
          <w:fldChar w:fldCharType="separate"/>
        </w:r>
        <w:r w:rsidR="000E54B2">
          <w:rPr>
            <w:noProof/>
            <w:webHidden/>
          </w:rPr>
          <w:t>9</w:t>
        </w:r>
        <w:r w:rsidR="000E54B2">
          <w:rPr>
            <w:noProof/>
            <w:webHidden/>
          </w:rPr>
          <w:fldChar w:fldCharType="end"/>
        </w:r>
      </w:hyperlink>
    </w:p>
    <w:p w14:paraId="2316E93A" w14:textId="77777777" w:rsidR="000E54B2" w:rsidRDefault="003A31EB">
      <w:pPr>
        <w:pStyle w:val="TOC1"/>
        <w:rPr>
          <w:rFonts w:asciiTheme="minorHAnsi" w:eastAsiaTheme="minorEastAsia" w:hAnsiTheme="minorHAnsi" w:cstheme="minorBidi"/>
          <w:b w:val="0"/>
          <w:caps w:val="0"/>
          <w:sz w:val="22"/>
          <w:szCs w:val="22"/>
        </w:rPr>
      </w:pPr>
      <w:hyperlink w:anchor="_Toc459108275" w:history="1">
        <w:r w:rsidR="000E54B2" w:rsidRPr="004A0832">
          <w:rPr>
            <w:rStyle w:val="Hyperlink"/>
          </w:rPr>
          <w:t>4</w:t>
        </w:r>
        <w:r w:rsidR="000E54B2">
          <w:rPr>
            <w:rFonts w:asciiTheme="minorHAnsi" w:eastAsiaTheme="minorEastAsia" w:hAnsiTheme="minorHAnsi" w:cstheme="minorBidi"/>
            <w:b w:val="0"/>
            <w:caps w:val="0"/>
            <w:sz w:val="22"/>
            <w:szCs w:val="22"/>
          </w:rPr>
          <w:tab/>
        </w:r>
        <w:r w:rsidR="000E54B2" w:rsidRPr="004A0832">
          <w:rPr>
            <w:rStyle w:val="Hyperlink"/>
          </w:rPr>
          <w:t>historical basis for The Potential Link between paraquat and neurotoxicity</w:t>
        </w:r>
        <w:r w:rsidR="000E54B2">
          <w:rPr>
            <w:webHidden/>
          </w:rPr>
          <w:tab/>
        </w:r>
        <w:r w:rsidR="000E54B2">
          <w:rPr>
            <w:webHidden/>
          </w:rPr>
          <w:fldChar w:fldCharType="begin"/>
        </w:r>
        <w:r w:rsidR="000E54B2">
          <w:rPr>
            <w:webHidden/>
          </w:rPr>
          <w:instrText xml:space="preserve"> PAGEREF _Toc459108275 \h </w:instrText>
        </w:r>
        <w:r w:rsidR="000E54B2">
          <w:rPr>
            <w:webHidden/>
          </w:rPr>
        </w:r>
        <w:r w:rsidR="000E54B2">
          <w:rPr>
            <w:webHidden/>
          </w:rPr>
          <w:fldChar w:fldCharType="separate"/>
        </w:r>
        <w:r w:rsidR="000E54B2">
          <w:rPr>
            <w:webHidden/>
          </w:rPr>
          <w:t>10</w:t>
        </w:r>
        <w:r w:rsidR="000E54B2">
          <w:rPr>
            <w:webHidden/>
          </w:rPr>
          <w:fldChar w:fldCharType="end"/>
        </w:r>
      </w:hyperlink>
    </w:p>
    <w:p w14:paraId="40FE25DF"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76" w:history="1">
        <w:r w:rsidR="000E54B2" w:rsidRPr="004A0832">
          <w:rPr>
            <w:rStyle w:val="Hyperlink"/>
            <w:noProof/>
          </w:rPr>
          <w:t>4.1</w:t>
        </w:r>
        <w:r w:rsidR="000E54B2">
          <w:rPr>
            <w:rFonts w:asciiTheme="minorHAnsi" w:eastAsiaTheme="minorEastAsia" w:hAnsiTheme="minorHAnsi" w:cstheme="minorBidi"/>
            <w:smallCaps w:val="0"/>
            <w:noProof/>
            <w:sz w:val="22"/>
            <w:szCs w:val="22"/>
          </w:rPr>
          <w:tab/>
        </w:r>
        <w:r w:rsidR="000E54B2" w:rsidRPr="004A0832">
          <w:rPr>
            <w:rStyle w:val="Hyperlink"/>
            <w:noProof/>
          </w:rPr>
          <w:t>Structural similarity to MPTP</w:t>
        </w:r>
        <w:r w:rsidR="000E54B2">
          <w:rPr>
            <w:noProof/>
            <w:webHidden/>
          </w:rPr>
          <w:tab/>
        </w:r>
        <w:r w:rsidR="000E54B2">
          <w:rPr>
            <w:noProof/>
            <w:webHidden/>
          </w:rPr>
          <w:fldChar w:fldCharType="begin"/>
        </w:r>
        <w:r w:rsidR="000E54B2">
          <w:rPr>
            <w:noProof/>
            <w:webHidden/>
          </w:rPr>
          <w:instrText xml:space="preserve"> PAGEREF _Toc459108276 \h </w:instrText>
        </w:r>
        <w:r w:rsidR="000E54B2">
          <w:rPr>
            <w:noProof/>
            <w:webHidden/>
          </w:rPr>
        </w:r>
        <w:r w:rsidR="000E54B2">
          <w:rPr>
            <w:noProof/>
            <w:webHidden/>
          </w:rPr>
          <w:fldChar w:fldCharType="separate"/>
        </w:r>
        <w:r w:rsidR="000E54B2">
          <w:rPr>
            <w:noProof/>
            <w:webHidden/>
          </w:rPr>
          <w:t>10</w:t>
        </w:r>
        <w:r w:rsidR="000E54B2">
          <w:rPr>
            <w:noProof/>
            <w:webHidden/>
          </w:rPr>
          <w:fldChar w:fldCharType="end"/>
        </w:r>
      </w:hyperlink>
    </w:p>
    <w:p w14:paraId="70FFA0A5"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77" w:history="1">
        <w:r w:rsidR="000E54B2" w:rsidRPr="004A0832">
          <w:rPr>
            <w:rStyle w:val="Hyperlink"/>
            <w:noProof/>
            <w:lang w:eastAsia="en-US"/>
          </w:rPr>
          <w:t>4.2</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Neurotoxic profile of paraquat in rodents</w:t>
        </w:r>
        <w:r w:rsidR="000E54B2">
          <w:rPr>
            <w:noProof/>
            <w:webHidden/>
          </w:rPr>
          <w:tab/>
        </w:r>
        <w:r w:rsidR="000E54B2">
          <w:rPr>
            <w:noProof/>
            <w:webHidden/>
          </w:rPr>
          <w:fldChar w:fldCharType="begin"/>
        </w:r>
        <w:r w:rsidR="000E54B2">
          <w:rPr>
            <w:noProof/>
            <w:webHidden/>
          </w:rPr>
          <w:instrText xml:space="preserve"> PAGEREF _Toc459108277 \h </w:instrText>
        </w:r>
        <w:r w:rsidR="000E54B2">
          <w:rPr>
            <w:noProof/>
            <w:webHidden/>
          </w:rPr>
        </w:r>
        <w:r w:rsidR="000E54B2">
          <w:rPr>
            <w:noProof/>
            <w:webHidden/>
          </w:rPr>
          <w:fldChar w:fldCharType="separate"/>
        </w:r>
        <w:r w:rsidR="000E54B2">
          <w:rPr>
            <w:noProof/>
            <w:webHidden/>
          </w:rPr>
          <w:t>10</w:t>
        </w:r>
        <w:r w:rsidR="000E54B2">
          <w:rPr>
            <w:noProof/>
            <w:webHidden/>
          </w:rPr>
          <w:fldChar w:fldCharType="end"/>
        </w:r>
      </w:hyperlink>
    </w:p>
    <w:p w14:paraId="19C2C278"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78" w:history="1">
        <w:r w:rsidR="000E54B2" w:rsidRPr="004A0832">
          <w:rPr>
            <w:rStyle w:val="Hyperlink"/>
            <w:noProof/>
            <w:lang w:eastAsia="en-US"/>
          </w:rPr>
          <w:t>4.3</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Toxicokinetics</w:t>
        </w:r>
        <w:r w:rsidR="000E54B2">
          <w:rPr>
            <w:noProof/>
            <w:webHidden/>
          </w:rPr>
          <w:tab/>
        </w:r>
        <w:r w:rsidR="000E54B2">
          <w:rPr>
            <w:noProof/>
            <w:webHidden/>
          </w:rPr>
          <w:fldChar w:fldCharType="begin"/>
        </w:r>
        <w:r w:rsidR="000E54B2">
          <w:rPr>
            <w:noProof/>
            <w:webHidden/>
          </w:rPr>
          <w:instrText xml:space="preserve"> PAGEREF _Toc459108278 \h </w:instrText>
        </w:r>
        <w:r w:rsidR="000E54B2">
          <w:rPr>
            <w:noProof/>
            <w:webHidden/>
          </w:rPr>
        </w:r>
        <w:r w:rsidR="000E54B2">
          <w:rPr>
            <w:noProof/>
            <w:webHidden/>
          </w:rPr>
          <w:fldChar w:fldCharType="separate"/>
        </w:r>
        <w:r w:rsidR="000E54B2">
          <w:rPr>
            <w:noProof/>
            <w:webHidden/>
          </w:rPr>
          <w:t>13</w:t>
        </w:r>
        <w:r w:rsidR="000E54B2">
          <w:rPr>
            <w:noProof/>
            <w:webHidden/>
          </w:rPr>
          <w:fldChar w:fldCharType="end"/>
        </w:r>
      </w:hyperlink>
    </w:p>
    <w:p w14:paraId="5FAB380E"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79" w:history="1">
        <w:r w:rsidR="000E54B2" w:rsidRPr="004A0832">
          <w:rPr>
            <w:rStyle w:val="Hyperlink"/>
            <w:noProof/>
            <w:lang w:eastAsia="en-US"/>
          </w:rPr>
          <w:t>4.4</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Toxicodynamics</w:t>
        </w:r>
        <w:r w:rsidR="000E54B2">
          <w:rPr>
            <w:noProof/>
            <w:webHidden/>
          </w:rPr>
          <w:tab/>
        </w:r>
        <w:r w:rsidR="000E54B2">
          <w:rPr>
            <w:noProof/>
            <w:webHidden/>
          </w:rPr>
          <w:fldChar w:fldCharType="begin"/>
        </w:r>
        <w:r w:rsidR="000E54B2">
          <w:rPr>
            <w:noProof/>
            <w:webHidden/>
          </w:rPr>
          <w:instrText xml:space="preserve"> PAGEREF _Toc459108279 \h </w:instrText>
        </w:r>
        <w:r w:rsidR="000E54B2">
          <w:rPr>
            <w:noProof/>
            <w:webHidden/>
          </w:rPr>
        </w:r>
        <w:r w:rsidR="000E54B2">
          <w:rPr>
            <w:noProof/>
            <w:webHidden/>
          </w:rPr>
          <w:fldChar w:fldCharType="separate"/>
        </w:r>
        <w:r w:rsidR="000E54B2">
          <w:rPr>
            <w:noProof/>
            <w:webHidden/>
          </w:rPr>
          <w:t>14</w:t>
        </w:r>
        <w:r w:rsidR="000E54B2">
          <w:rPr>
            <w:noProof/>
            <w:webHidden/>
          </w:rPr>
          <w:fldChar w:fldCharType="end"/>
        </w:r>
      </w:hyperlink>
    </w:p>
    <w:p w14:paraId="46924F58"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80" w:history="1">
        <w:r w:rsidR="000E54B2" w:rsidRPr="004A0832">
          <w:rPr>
            <w:rStyle w:val="Hyperlink"/>
            <w:noProof/>
            <w:lang w:val="en-US" w:eastAsia="en-US"/>
          </w:rPr>
          <w:t>4.5</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Summary</w:t>
        </w:r>
        <w:r w:rsidR="000E54B2">
          <w:rPr>
            <w:noProof/>
            <w:webHidden/>
          </w:rPr>
          <w:tab/>
        </w:r>
        <w:r w:rsidR="000E54B2">
          <w:rPr>
            <w:noProof/>
            <w:webHidden/>
          </w:rPr>
          <w:fldChar w:fldCharType="begin"/>
        </w:r>
        <w:r w:rsidR="000E54B2">
          <w:rPr>
            <w:noProof/>
            <w:webHidden/>
          </w:rPr>
          <w:instrText xml:space="preserve"> PAGEREF _Toc459108280 \h </w:instrText>
        </w:r>
        <w:r w:rsidR="000E54B2">
          <w:rPr>
            <w:noProof/>
            <w:webHidden/>
          </w:rPr>
        </w:r>
        <w:r w:rsidR="000E54B2">
          <w:rPr>
            <w:noProof/>
            <w:webHidden/>
          </w:rPr>
          <w:fldChar w:fldCharType="separate"/>
        </w:r>
        <w:r w:rsidR="000E54B2">
          <w:rPr>
            <w:noProof/>
            <w:webHidden/>
          </w:rPr>
          <w:t>16</w:t>
        </w:r>
        <w:r w:rsidR="000E54B2">
          <w:rPr>
            <w:noProof/>
            <w:webHidden/>
          </w:rPr>
          <w:fldChar w:fldCharType="end"/>
        </w:r>
      </w:hyperlink>
    </w:p>
    <w:p w14:paraId="75FAD023" w14:textId="77777777" w:rsidR="000E54B2" w:rsidRDefault="003A31EB">
      <w:pPr>
        <w:pStyle w:val="TOC1"/>
        <w:rPr>
          <w:rFonts w:asciiTheme="minorHAnsi" w:eastAsiaTheme="minorEastAsia" w:hAnsiTheme="minorHAnsi" w:cstheme="minorBidi"/>
          <w:b w:val="0"/>
          <w:caps w:val="0"/>
          <w:sz w:val="22"/>
          <w:szCs w:val="22"/>
        </w:rPr>
      </w:pPr>
      <w:hyperlink w:anchor="_Toc459108281" w:history="1">
        <w:r w:rsidR="000E54B2" w:rsidRPr="004A0832">
          <w:rPr>
            <w:rStyle w:val="Hyperlink"/>
          </w:rPr>
          <w:t>5</w:t>
        </w:r>
        <w:r w:rsidR="000E54B2">
          <w:rPr>
            <w:rFonts w:asciiTheme="minorHAnsi" w:eastAsiaTheme="minorEastAsia" w:hAnsiTheme="minorHAnsi" w:cstheme="minorBidi"/>
            <w:b w:val="0"/>
            <w:caps w:val="0"/>
            <w:sz w:val="22"/>
            <w:szCs w:val="22"/>
          </w:rPr>
          <w:tab/>
        </w:r>
        <w:r w:rsidR="000E54B2" w:rsidRPr="004A0832">
          <w:rPr>
            <w:rStyle w:val="Hyperlink"/>
          </w:rPr>
          <w:t>The relevance to humans of the findings in rodents</w:t>
        </w:r>
        <w:r w:rsidR="000E54B2">
          <w:rPr>
            <w:webHidden/>
          </w:rPr>
          <w:tab/>
        </w:r>
        <w:r w:rsidR="000E54B2">
          <w:rPr>
            <w:webHidden/>
          </w:rPr>
          <w:fldChar w:fldCharType="begin"/>
        </w:r>
        <w:r w:rsidR="000E54B2">
          <w:rPr>
            <w:webHidden/>
          </w:rPr>
          <w:instrText xml:space="preserve"> PAGEREF _Toc459108281 \h </w:instrText>
        </w:r>
        <w:r w:rsidR="000E54B2">
          <w:rPr>
            <w:webHidden/>
          </w:rPr>
        </w:r>
        <w:r w:rsidR="000E54B2">
          <w:rPr>
            <w:webHidden/>
          </w:rPr>
          <w:fldChar w:fldCharType="separate"/>
        </w:r>
        <w:r w:rsidR="000E54B2">
          <w:rPr>
            <w:webHidden/>
          </w:rPr>
          <w:t>17</w:t>
        </w:r>
        <w:r w:rsidR="000E54B2">
          <w:rPr>
            <w:webHidden/>
          </w:rPr>
          <w:fldChar w:fldCharType="end"/>
        </w:r>
      </w:hyperlink>
    </w:p>
    <w:p w14:paraId="320FC182"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82" w:history="1">
        <w:r w:rsidR="000E54B2" w:rsidRPr="004A0832">
          <w:rPr>
            <w:rStyle w:val="Hyperlink"/>
            <w:noProof/>
            <w:lang w:eastAsia="en-US"/>
          </w:rPr>
          <w:t>5.1</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Evidence of neurotoxicity from human exposure</w:t>
        </w:r>
        <w:r w:rsidR="000E54B2">
          <w:rPr>
            <w:noProof/>
            <w:webHidden/>
          </w:rPr>
          <w:tab/>
        </w:r>
        <w:r w:rsidR="000E54B2">
          <w:rPr>
            <w:noProof/>
            <w:webHidden/>
          </w:rPr>
          <w:fldChar w:fldCharType="begin"/>
        </w:r>
        <w:r w:rsidR="000E54B2">
          <w:rPr>
            <w:noProof/>
            <w:webHidden/>
          </w:rPr>
          <w:instrText xml:space="preserve"> PAGEREF _Toc459108282 \h </w:instrText>
        </w:r>
        <w:r w:rsidR="000E54B2">
          <w:rPr>
            <w:noProof/>
            <w:webHidden/>
          </w:rPr>
        </w:r>
        <w:r w:rsidR="000E54B2">
          <w:rPr>
            <w:noProof/>
            <w:webHidden/>
          </w:rPr>
          <w:fldChar w:fldCharType="separate"/>
        </w:r>
        <w:r w:rsidR="000E54B2">
          <w:rPr>
            <w:noProof/>
            <w:webHidden/>
          </w:rPr>
          <w:t>17</w:t>
        </w:r>
        <w:r w:rsidR="000E54B2">
          <w:rPr>
            <w:noProof/>
            <w:webHidden/>
          </w:rPr>
          <w:fldChar w:fldCharType="end"/>
        </w:r>
      </w:hyperlink>
    </w:p>
    <w:p w14:paraId="217F5632"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83" w:history="1">
        <w:r w:rsidR="000E54B2" w:rsidRPr="004A0832">
          <w:rPr>
            <w:rStyle w:val="Hyperlink"/>
            <w:noProof/>
            <w:lang w:eastAsia="en-US"/>
          </w:rPr>
          <w:t>5.2</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Comparative pharmacokinetics</w:t>
        </w:r>
        <w:r w:rsidR="000E54B2">
          <w:rPr>
            <w:noProof/>
            <w:webHidden/>
          </w:rPr>
          <w:tab/>
        </w:r>
        <w:r w:rsidR="000E54B2">
          <w:rPr>
            <w:noProof/>
            <w:webHidden/>
          </w:rPr>
          <w:fldChar w:fldCharType="begin"/>
        </w:r>
        <w:r w:rsidR="000E54B2">
          <w:rPr>
            <w:noProof/>
            <w:webHidden/>
          </w:rPr>
          <w:instrText xml:space="preserve"> PAGEREF _Toc459108283 \h </w:instrText>
        </w:r>
        <w:r w:rsidR="000E54B2">
          <w:rPr>
            <w:noProof/>
            <w:webHidden/>
          </w:rPr>
        </w:r>
        <w:r w:rsidR="000E54B2">
          <w:rPr>
            <w:noProof/>
            <w:webHidden/>
          </w:rPr>
          <w:fldChar w:fldCharType="separate"/>
        </w:r>
        <w:r w:rsidR="000E54B2">
          <w:rPr>
            <w:noProof/>
            <w:webHidden/>
          </w:rPr>
          <w:t>17</w:t>
        </w:r>
        <w:r w:rsidR="000E54B2">
          <w:rPr>
            <w:noProof/>
            <w:webHidden/>
          </w:rPr>
          <w:fldChar w:fldCharType="end"/>
        </w:r>
      </w:hyperlink>
    </w:p>
    <w:p w14:paraId="2D1A77F5"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84" w:history="1">
        <w:r w:rsidR="000E54B2" w:rsidRPr="004A0832">
          <w:rPr>
            <w:rStyle w:val="Hyperlink"/>
            <w:noProof/>
            <w:lang w:eastAsia="en-US"/>
          </w:rPr>
          <w:t>5.3</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Neuromelanin and oxidative stress</w:t>
        </w:r>
        <w:r w:rsidR="000E54B2">
          <w:rPr>
            <w:noProof/>
            <w:webHidden/>
          </w:rPr>
          <w:tab/>
        </w:r>
        <w:r w:rsidR="000E54B2">
          <w:rPr>
            <w:noProof/>
            <w:webHidden/>
          </w:rPr>
          <w:fldChar w:fldCharType="begin"/>
        </w:r>
        <w:r w:rsidR="000E54B2">
          <w:rPr>
            <w:noProof/>
            <w:webHidden/>
          </w:rPr>
          <w:instrText xml:space="preserve"> PAGEREF _Toc459108284 \h </w:instrText>
        </w:r>
        <w:r w:rsidR="000E54B2">
          <w:rPr>
            <w:noProof/>
            <w:webHidden/>
          </w:rPr>
        </w:r>
        <w:r w:rsidR="000E54B2">
          <w:rPr>
            <w:noProof/>
            <w:webHidden/>
          </w:rPr>
          <w:fldChar w:fldCharType="separate"/>
        </w:r>
        <w:r w:rsidR="000E54B2">
          <w:rPr>
            <w:noProof/>
            <w:webHidden/>
          </w:rPr>
          <w:t>17</w:t>
        </w:r>
        <w:r w:rsidR="000E54B2">
          <w:rPr>
            <w:noProof/>
            <w:webHidden/>
          </w:rPr>
          <w:fldChar w:fldCharType="end"/>
        </w:r>
      </w:hyperlink>
    </w:p>
    <w:p w14:paraId="6B78C9E4" w14:textId="77777777" w:rsidR="000E54B2" w:rsidRDefault="003A31EB">
      <w:pPr>
        <w:pStyle w:val="TOC1"/>
        <w:rPr>
          <w:rFonts w:asciiTheme="minorHAnsi" w:eastAsiaTheme="minorEastAsia" w:hAnsiTheme="minorHAnsi" w:cstheme="minorBidi"/>
          <w:b w:val="0"/>
          <w:caps w:val="0"/>
          <w:sz w:val="22"/>
          <w:szCs w:val="22"/>
        </w:rPr>
      </w:pPr>
      <w:hyperlink w:anchor="_Toc459108285" w:history="1">
        <w:r w:rsidR="000E54B2" w:rsidRPr="004A0832">
          <w:rPr>
            <w:rStyle w:val="Hyperlink"/>
          </w:rPr>
          <w:t>6</w:t>
        </w:r>
        <w:r w:rsidR="000E54B2">
          <w:rPr>
            <w:rFonts w:asciiTheme="minorHAnsi" w:eastAsiaTheme="minorEastAsia" w:hAnsiTheme="minorHAnsi" w:cstheme="minorBidi"/>
            <w:b w:val="0"/>
            <w:caps w:val="0"/>
            <w:sz w:val="22"/>
            <w:szCs w:val="22"/>
          </w:rPr>
          <w:tab/>
        </w:r>
        <w:r w:rsidR="000E54B2" w:rsidRPr="004A0832">
          <w:rPr>
            <w:rStyle w:val="Hyperlink"/>
          </w:rPr>
          <w:t>Recent epidemiological studies on the associations between Parkinson’s disease and exposure to paraquat</w:t>
        </w:r>
        <w:r w:rsidR="000E54B2">
          <w:rPr>
            <w:webHidden/>
          </w:rPr>
          <w:tab/>
        </w:r>
        <w:r w:rsidR="000E54B2">
          <w:rPr>
            <w:webHidden/>
          </w:rPr>
          <w:fldChar w:fldCharType="begin"/>
        </w:r>
        <w:r w:rsidR="000E54B2">
          <w:rPr>
            <w:webHidden/>
          </w:rPr>
          <w:instrText xml:space="preserve"> PAGEREF _Toc459108285 \h </w:instrText>
        </w:r>
        <w:r w:rsidR="000E54B2">
          <w:rPr>
            <w:webHidden/>
          </w:rPr>
        </w:r>
        <w:r w:rsidR="000E54B2">
          <w:rPr>
            <w:webHidden/>
          </w:rPr>
          <w:fldChar w:fldCharType="separate"/>
        </w:r>
        <w:r w:rsidR="000E54B2">
          <w:rPr>
            <w:webHidden/>
          </w:rPr>
          <w:t>19</w:t>
        </w:r>
        <w:r w:rsidR="000E54B2">
          <w:rPr>
            <w:webHidden/>
          </w:rPr>
          <w:fldChar w:fldCharType="end"/>
        </w:r>
      </w:hyperlink>
    </w:p>
    <w:p w14:paraId="13E63282"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86" w:history="1">
        <w:r w:rsidR="000E54B2" w:rsidRPr="004A0832">
          <w:rPr>
            <w:rStyle w:val="Hyperlink"/>
            <w:noProof/>
            <w:lang w:eastAsia="en-US"/>
          </w:rPr>
          <w:t>6.1</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Introduction</w:t>
        </w:r>
        <w:r w:rsidR="000E54B2">
          <w:rPr>
            <w:noProof/>
            <w:webHidden/>
          </w:rPr>
          <w:tab/>
        </w:r>
        <w:r w:rsidR="000E54B2">
          <w:rPr>
            <w:noProof/>
            <w:webHidden/>
          </w:rPr>
          <w:fldChar w:fldCharType="begin"/>
        </w:r>
        <w:r w:rsidR="000E54B2">
          <w:rPr>
            <w:noProof/>
            <w:webHidden/>
          </w:rPr>
          <w:instrText xml:space="preserve"> PAGEREF _Toc459108286 \h </w:instrText>
        </w:r>
        <w:r w:rsidR="000E54B2">
          <w:rPr>
            <w:noProof/>
            <w:webHidden/>
          </w:rPr>
        </w:r>
        <w:r w:rsidR="000E54B2">
          <w:rPr>
            <w:noProof/>
            <w:webHidden/>
          </w:rPr>
          <w:fldChar w:fldCharType="separate"/>
        </w:r>
        <w:r w:rsidR="000E54B2">
          <w:rPr>
            <w:noProof/>
            <w:webHidden/>
          </w:rPr>
          <w:t>19</w:t>
        </w:r>
        <w:r w:rsidR="000E54B2">
          <w:rPr>
            <w:noProof/>
            <w:webHidden/>
          </w:rPr>
          <w:fldChar w:fldCharType="end"/>
        </w:r>
      </w:hyperlink>
    </w:p>
    <w:p w14:paraId="012C5051"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87" w:history="1">
        <w:r w:rsidR="000E54B2" w:rsidRPr="004A0832">
          <w:rPr>
            <w:rStyle w:val="Hyperlink"/>
            <w:noProof/>
            <w:lang w:eastAsia="en-US"/>
          </w:rPr>
          <w:t>6.2</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Summary of the studies</w:t>
        </w:r>
        <w:r w:rsidR="000E54B2">
          <w:rPr>
            <w:noProof/>
            <w:webHidden/>
          </w:rPr>
          <w:tab/>
        </w:r>
        <w:r w:rsidR="000E54B2">
          <w:rPr>
            <w:noProof/>
            <w:webHidden/>
          </w:rPr>
          <w:fldChar w:fldCharType="begin"/>
        </w:r>
        <w:r w:rsidR="000E54B2">
          <w:rPr>
            <w:noProof/>
            <w:webHidden/>
          </w:rPr>
          <w:instrText xml:space="preserve"> PAGEREF _Toc459108287 \h </w:instrText>
        </w:r>
        <w:r w:rsidR="000E54B2">
          <w:rPr>
            <w:noProof/>
            <w:webHidden/>
          </w:rPr>
        </w:r>
        <w:r w:rsidR="000E54B2">
          <w:rPr>
            <w:noProof/>
            <w:webHidden/>
          </w:rPr>
          <w:fldChar w:fldCharType="separate"/>
        </w:r>
        <w:r w:rsidR="000E54B2">
          <w:rPr>
            <w:noProof/>
            <w:webHidden/>
          </w:rPr>
          <w:t>19</w:t>
        </w:r>
        <w:r w:rsidR="000E54B2">
          <w:rPr>
            <w:noProof/>
            <w:webHidden/>
          </w:rPr>
          <w:fldChar w:fldCharType="end"/>
        </w:r>
      </w:hyperlink>
    </w:p>
    <w:p w14:paraId="1C11D18D"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88" w:history="1">
        <w:r w:rsidR="000E54B2" w:rsidRPr="004A0832">
          <w:rPr>
            <w:rStyle w:val="Hyperlink"/>
            <w:noProof/>
            <w:lang w:eastAsia="en-US"/>
          </w:rPr>
          <w:t>6.3</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Summary analysis of methodology</w:t>
        </w:r>
        <w:r w:rsidR="000E54B2">
          <w:rPr>
            <w:noProof/>
            <w:webHidden/>
          </w:rPr>
          <w:tab/>
        </w:r>
        <w:r w:rsidR="000E54B2">
          <w:rPr>
            <w:noProof/>
            <w:webHidden/>
          </w:rPr>
          <w:fldChar w:fldCharType="begin"/>
        </w:r>
        <w:r w:rsidR="000E54B2">
          <w:rPr>
            <w:noProof/>
            <w:webHidden/>
          </w:rPr>
          <w:instrText xml:space="preserve"> PAGEREF _Toc459108288 \h </w:instrText>
        </w:r>
        <w:r w:rsidR="000E54B2">
          <w:rPr>
            <w:noProof/>
            <w:webHidden/>
          </w:rPr>
        </w:r>
        <w:r w:rsidR="000E54B2">
          <w:rPr>
            <w:noProof/>
            <w:webHidden/>
          </w:rPr>
          <w:fldChar w:fldCharType="separate"/>
        </w:r>
        <w:r w:rsidR="000E54B2">
          <w:rPr>
            <w:noProof/>
            <w:webHidden/>
          </w:rPr>
          <w:t>20</w:t>
        </w:r>
        <w:r w:rsidR="000E54B2">
          <w:rPr>
            <w:noProof/>
            <w:webHidden/>
          </w:rPr>
          <w:fldChar w:fldCharType="end"/>
        </w:r>
      </w:hyperlink>
    </w:p>
    <w:p w14:paraId="72A0C272"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89" w:history="1">
        <w:r w:rsidR="000E54B2" w:rsidRPr="004A0832">
          <w:rPr>
            <w:rStyle w:val="Hyperlink"/>
            <w:noProof/>
            <w:lang w:eastAsia="en-US"/>
          </w:rPr>
          <w:t>6.4</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Results and conclusions</w:t>
        </w:r>
        <w:r w:rsidR="000E54B2">
          <w:rPr>
            <w:noProof/>
            <w:webHidden/>
          </w:rPr>
          <w:tab/>
        </w:r>
        <w:r w:rsidR="000E54B2">
          <w:rPr>
            <w:noProof/>
            <w:webHidden/>
          </w:rPr>
          <w:fldChar w:fldCharType="begin"/>
        </w:r>
        <w:r w:rsidR="000E54B2">
          <w:rPr>
            <w:noProof/>
            <w:webHidden/>
          </w:rPr>
          <w:instrText xml:space="preserve"> PAGEREF _Toc459108289 \h </w:instrText>
        </w:r>
        <w:r w:rsidR="000E54B2">
          <w:rPr>
            <w:noProof/>
            <w:webHidden/>
          </w:rPr>
        </w:r>
        <w:r w:rsidR="000E54B2">
          <w:rPr>
            <w:noProof/>
            <w:webHidden/>
          </w:rPr>
          <w:fldChar w:fldCharType="separate"/>
        </w:r>
        <w:r w:rsidR="000E54B2">
          <w:rPr>
            <w:noProof/>
            <w:webHidden/>
          </w:rPr>
          <w:t>20</w:t>
        </w:r>
        <w:r w:rsidR="000E54B2">
          <w:rPr>
            <w:noProof/>
            <w:webHidden/>
          </w:rPr>
          <w:fldChar w:fldCharType="end"/>
        </w:r>
      </w:hyperlink>
    </w:p>
    <w:p w14:paraId="1C508BE9"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90" w:history="1">
        <w:r w:rsidR="000E54B2" w:rsidRPr="004A0832">
          <w:rPr>
            <w:rStyle w:val="Hyperlink"/>
            <w:noProof/>
            <w:lang w:eastAsia="en-US"/>
          </w:rPr>
          <w:t>6.5</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Conclusions</w:t>
        </w:r>
        <w:r w:rsidR="000E54B2">
          <w:rPr>
            <w:noProof/>
            <w:webHidden/>
          </w:rPr>
          <w:tab/>
        </w:r>
        <w:r w:rsidR="000E54B2">
          <w:rPr>
            <w:noProof/>
            <w:webHidden/>
          </w:rPr>
          <w:fldChar w:fldCharType="begin"/>
        </w:r>
        <w:r w:rsidR="000E54B2">
          <w:rPr>
            <w:noProof/>
            <w:webHidden/>
          </w:rPr>
          <w:instrText xml:space="preserve"> PAGEREF _Toc459108290 \h </w:instrText>
        </w:r>
        <w:r w:rsidR="000E54B2">
          <w:rPr>
            <w:noProof/>
            <w:webHidden/>
          </w:rPr>
        </w:r>
        <w:r w:rsidR="000E54B2">
          <w:rPr>
            <w:noProof/>
            <w:webHidden/>
          </w:rPr>
          <w:fldChar w:fldCharType="separate"/>
        </w:r>
        <w:r w:rsidR="000E54B2">
          <w:rPr>
            <w:noProof/>
            <w:webHidden/>
          </w:rPr>
          <w:t>21</w:t>
        </w:r>
        <w:r w:rsidR="000E54B2">
          <w:rPr>
            <w:noProof/>
            <w:webHidden/>
          </w:rPr>
          <w:fldChar w:fldCharType="end"/>
        </w:r>
      </w:hyperlink>
    </w:p>
    <w:p w14:paraId="59142882" w14:textId="77777777" w:rsidR="000E54B2" w:rsidRDefault="003A31EB">
      <w:pPr>
        <w:pStyle w:val="TOC1"/>
        <w:rPr>
          <w:rFonts w:asciiTheme="minorHAnsi" w:eastAsiaTheme="minorEastAsia" w:hAnsiTheme="minorHAnsi" w:cstheme="minorBidi"/>
          <w:b w:val="0"/>
          <w:caps w:val="0"/>
          <w:sz w:val="22"/>
          <w:szCs w:val="22"/>
        </w:rPr>
      </w:pPr>
      <w:hyperlink w:anchor="_Toc459108291" w:history="1">
        <w:r w:rsidR="000E54B2" w:rsidRPr="004A0832">
          <w:rPr>
            <w:rStyle w:val="Hyperlink"/>
          </w:rPr>
          <w:t>7</w:t>
        </w:r>
        <w:r w:rsidR="000E54B2">
          <w:rPr>
            <w:rFonts w:asciiTheme="minorHAnsi" w:eastAsiaTheme="minorEastAsia" w:hAnsiTheme="minorHAnsi" w:cstheme="minorBidi"/>
            <w:b w:val="0"/>
            <w:caps w:val="0"/>
            <w:sz w:val="22"/>
            <w:szCs w:val="22"/>
          </w:rPr>
          <w:tab/>
        </w:r>
        <w:r w:rsidR="000E54B2" w:rsidRPr="004A0832">
          <w:rPr>
            <w:rStyle w:val="Hyperlink"/>
          </w:rPr>
          <w:t>Overall Conclusions</w:t>
        </w:r>
        <w:r w:rsidR="000E54B2">
          <w:rPr>
            <w:webHidden/>
          </w:rPr>
          <w:tab/>
        </w:r>
        <w:r w:rsidR="000E54B2">
          <w:rPr>
            <w:webHidden/>
          </w:rPr>
          <w:fldChar w:fldCharType="begin"/>
        </w:r>
        <w:r w:rsidR="000E54B2">
          <w:rPr>
            <w:webHidden/>
          </w:rPr>
          <w:instrText xml:space="preserve"> PAGEREF _Toc459108291 \h </w:instrText>
        </w:r>
        <w:r w:rsidR="000E54B2">
          <w:rPr>
            <w:webHidden/>
          </w:rPr>
        </w:r>
        <w:r w:rsidR="000E54B2">
          <w:rPr>
            <w:webHidden/>
          </w:rPr>
          <w:fldChar w:fldCharType="separate"/>
        </w:r>
        <w:r w:rsidR="000E54B2">
          <w:rPr>
            <w:webHidden/>
          </w:rPr>
          <w:t>22</w:t>
        </w:r>
        <w:r w:rsidR="000E54B2">
          <w:rPr>
            <w:webHidden/>
          </w:rPr>
          <w:fldChar w:fldCharType="end"/>
        </w:r>
      </w:hyperlink>
    </w:p>
    <w:p w14:paraId="7562EC46" w14:textId="77777777" w:rsidR="000E54B2" w:rsidRDefault="003A31EB">
      <w:pPr>
        <w:pStyle w:val="TOC1"/>
        <w:rPr>
          <w:rFonts w:asciiTheme="minorHAnsi" w:eastAsiaTheme="minorEastAsia" w:hAnsiTheme="minorHAnsi" w:cstheme="minorBidi"/>
          <w:b w:val="0"/>
          <w:caps w:val="0"/>
          <w:sz w:val="22"/>
          <w:szCs w:val="22"/>
        </w:rPr>
      </w:pPr>
      <w:hyperlink w:anchor="_Toc459108292" w:history="1">
        <w:r w:rsidR="000E54B2" w:rsidRPr="004A0832">
          <w:rPr>
            <w:rStyle w:val="Hyperlink"/>
          </w:rPr>
          <w:t>B.</w:t>
        </w:r>
        <w:r w:rsidR="000E54B2">
          <w:rPr>
            <w:rFonts w:asciiTheme="minorHAnsi" w:eastAsiaTheme="minorEastAsia" w:hAnsiTheme="minorHAnsi" w:cstheme="minorBidi"/>
            <w:b w:val="0"/>
            <w:caps w:val="0"/>
            <w:sz w:val="22"/>
            <w:szCs w:val="22"/>
          </w:rPr>
          <w:tab/>
        </w:r>
        <w:r w:rsidR="000E54B2" w:rsidRPr="004A0832">
          <w:rPr>
            <w:rStyle w:val="Hyperlink"/>
          </w:rPr>
          <w:t>Part 2</w:t>
        </w:r>
        <w:r w:rsidR="000E54B2">
          <w:rPr>
            <w:webHidden/>
          </w:rPr>
          <w:tab/>
        </w:r>
        <w:r w:rsidR="000E54B2">
          <w:rPr>
            <w:webHidden/>
          </w:rPr>
          <w:fldChar w:fldCharType="begin"/>
        </w:r>
        <w:r w:rsidR="000E54B2">
          <w:rPr>
            <w:webHidden/>
          </w:rPr>
          <w:instrText xml:space="preserve"> PAGEREF _Toc459108292 \h </w:instrText>
        </w:r>
        <w:r w:rsidR="000E54B2">
          <w:rPr>
            <w:webHidden/>
          </w:rPr>
        </w:r>
        <w:r w:rsidR="000E54B2">
          <w:rPr>
            <w:webHidden/>
          </w:rPr>
          <w:fldChar w:fldCharType="separate"/>
        </w:r>
        <w:r w:rsidR="000E54B2">
          <w:rPr>
            <w:webHidden/>
          </w:rPr>
          <w:t>23</w:t>
        </w:r>
        <w:r w:rsidR="000E54B2">
          <w:rPr>
            <w:webHidden/>
          </w:rPr>
          <w:fldChar w:fldCharType="end"/>
        </w:r>
      </w:hyperlink>
    </w:p>
    <w:p w14:paraId="6F0F2C98" w14:textId="77777777" w:rsidR="000E54B2" w:rsidRDefault="003A31EB">
      <w:pPr>
        <w:pStyle w:val="TOC1"/>
        <w:rPr>
          <w:rFonts w:asciiTheme="minorHAnsi" w:eastAsiaTheme="minorEastAsia" w:hAnsiTheme="minorHAnsi" w:cstheme="minorBidi"/>
          <w:b w:val="0"/>
          <w:caps w:val="0"/>
          <w:sz w:val="22"/>
          <w:szCs w:val="22"/>
        </w:rPr>
      </w:pPr>
      <w:hyperlink w:anchor="_Toc459108293" w:history="1">
        <w:r w:rsidR="000E54B2" w:rsidRPr="004A0832">
          <w:rPr>
            <w:rStyle w:val="Hyperlink"/>
          </w:rPr>
          <w:t>8</w:t>
        </w:r>
        <w:r w:rsidR="000E54B2">
          <w:rPr>
            <w:rFonts w:asciiTheme="minorHAnsi" w:eastAsiaTheme="minorEastAsia" w:hAnsiTheme="minorHAnsi" w:cstheme="minorBidi"/>
            <w:b w:val="0"/>
            <w:caps w:val="0"/>
            <w:sz w:val="22"/>
            <w:szCs w:val="22"/>
          </w:rPr>
          <w:tab/>
        </w:r>
        <w:r w:rsidR="000E54B2" w:rsidRPr="004A0832">
          <w:rPr>
            <w:rStyle w:val="Hyperlink"/>
          </w:rPr>
          <w:t>Summary of neurotoxicity studies</w:t>
        </w:r>
        <w:r w:rsidR="000E54B2">
          <w:rPr>
            <w:webHidden/>
          </w:rPr>
          <w:tab/>
        </w:r>
        <w:r w:rsidR="000E54B2">
          <w:rPr>
            <w:webHidden/>
          </w:rPr>
          <w:fldChar w:fldCharType="begin"/>
        </w:r>
        <w:r w:rsidR="000E54B2">
          <w:rPr>
            <w:webHidden/>
          </w:rPr>
          <w:instrText xml:space="preserve"> PAGEREF _Toc459108293 \h </w:instrText>
        </w:r>
        <w:r w:rsidR="000E54B2">
          <w:rPr>
            <w:webHidden/>
          </w:rPr>
        </w:r>
        <w:r w:rsidR="000E54B2">
          <w:rPr>
            <w:webHidden/>
          </w:rPr>
          <w:fldChar w:fldCharType="separate"/>
        </w:r>
        <w:r w:rsidR="000E54B2">
          <w:rPr>
            <w:webHidden/>
          </w:rPr>
          <w:t>23</w:t>
        </w:r>
        <w:r w:rsidR="000E54B2">
          <w:rPr>
            <w:webHidden/>
          </w:rPr>
          <w:fldChar w:fldCharType="end"/>
        </w:r>
      </w:hyperlink>
    </w:p>
    <w:p w14:paraId="342EA41A"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94" w:history="1">
        <w:r w:rsidR="000E54B2" w:rsidRPr="004A0832">
          <w:rPr>
            <w:rStyle w:val="Hyperlink"/>
            <w:noProof/>
            <w:lang w:eastAsia="en-US"/>
          </w:rPr>
          <w:t>8.1</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Oral Administration</w:t>
        </w:r>
        <w:r w:rsidR="000E54B2">
          <w:rPr>
            <w:noProof/>
            <w:webHidden/>
          </w:rPr>
          <w:tab/>
        </w:r>
        <w:r w:rsidR="000E54B2">
          <w:rPr>
            <w:noProof/>
            <w:webHidden/>
          </w:rPr>
          <w:fldChar w:fldCharType="begin"/>
        </w:r>
        <w:r w:rsidR="000E54B2">
          <w:rPr>
            <w:noProof/>
            <w:webHidden/>
          </w:rPr>
          <w:instrText xml:space="preserve"> PAGEREF _Toc459108294 \h </w:instrText>
        </w:r>
        <w:r w:rsidR="000E54B2">
          <w:rPr>
            <w:noProof/>
            <w:webHidden/>
          </w:rPr>
        </w:r>
        <w:r w:rsidR="000E54B2">
          <w:rPr>
            <w:noProof/>
            <w:webHidden/>
          </w:rPr>
          <w:fldChar w:fldCharType="separate"/>
        </w:r>
        <w:r w:rsidR="000E54B2">
          <w:rPr>
            <w:noProof/>
            <w:webHidden/>
          </w:rPr>
          <w:t>23</w:t>
        </w:r>
        <w:r w:rsidR="000E54B2">
          <w:rPr>
            <w:noProof/>
            <w:webHidden/>
          </w:rPr>
          <w:fldChar w:fldCharType="end"/>
        </w:r>
      </w:hyperlink>
    </w:p>
    <w:p w14:paraId="7C5A4E09"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95" w:history="1">
        <w:r w:rsidR="000E54B2" w:rsidRPr="004A0832">
          <w:rPr>
            <w:rStyle w:val="Hyperlink"/>
            <w:noProof/>
            <w:lang w:eastAsia="en-US"/>
          </w:rPr>
          <w:t>8.2</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Subcutaneous and Intravenous Administration</w:t>
        </w:r>
        <w:r w:rsidR="000E54B2">
          <w:rPr>
            <w:noProof/>
            <w:webHidden/>
          </w:rPr>
          <w:tab/>
        </w:r>
        <w:r w:rsidR="000E54B2">
          <w:rPr>
            <w:noProof/>
            <w:webHidden/>
          </w:rPr>
          <w:fldChar w:fldCharType="begin"/>
        </w:r>
        <w:r w:rsidR="000E54B2">
          <w:rPr>
            <w:noProof/>
            <w:webHidden/>
          </w:rPr>
          <w:instrText xml:space="preserve"> PAGEREF _Toc459108295 \h </w:instrText>
        </w:r>
        <w:r w:rsidR="000E54B2">
          <w:rPr>
            <w:noProof/>
            <w:webHidden/>
          </w:rPr>
        </w:r>
        <w:r w:rsidR="000E54B2">
          <w:rPr>
            <w:noProof/>
            <w:webHidden/>
          </w:rPr>
          <w:fldChar w:fldCharType="separate"/>
        </w:r>
        <w:r w:rsidR="000E54B2">
          <w:rPr>
            <w:noProof/>
            <w:webHidden/>
          </w:rPr>
          <w:t>25</w:t>
        </w:r>
        <w:r w:rsidR="000E54B2">
          <w:rPr>
            <w:noProof/>
            <w:webHidden/>
          </w:rPr>
          <w:fldChar w:fldCharType="end"/>
        </w:r>
      </w:hyperlink>
    </w:p>
    <w:p w14:paraId="2F70B23F"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96" w:history="1">
        <w:r w:rsidR="000E54B2" w:rsidRPr="004A0832">
          <w:rPr>
            <w:rStyle w:val="Hyperlink"/>
            <w:noProof/>
            <w:lang w:eastAsia="en-US"/>
          </w:rPr>
          <w:t>8.3</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Intraperitoneal Administration</w:t>
        </w:r>
        <w:r w:rsidR="000E54B2">
          <w:rPr>
            <w:noProof/>
            <w:webHidden/>
          </w:rPr>
          <w:tab/>
        </w:r>
        <w:r w:rsidR="000E54B2">
          <w:rPr>
            <w:noProof/>
            <w:webHidden/>
          </w:rPr>
          <w:fldChar w:fldCharType="begin"/>
        </w:r>
        <w:r w:rsidR="000E54B2">
          <w:rPr>
            <w:noProof/>
            <w:webHidden/>
          </w:rPr>
          <w:instrText xml:space="preserve"> PAGEREF _Toc459108296 \h </w:instrText>
        </w:r>
        <w:r w:rsidR="000E54B2">
          <w:rPr>
            <w:noProof/>
            <w:webHidden/>
          </w:rPr>
        </w:r>
        <w:r w:rsidR="000E54B2">
          <w:rPr>
            <w:noProof/>
            <w:webHidden/>
          </w:rPr>
          <w:fldChar w:fldCharType="separate"/>
        </w:r>
        <w:r w:rsidR="000E54B2">
          <w:rPr>
            <w:noProof/>
            <w:webHidden/>
          </w:rPr>
          <w:t>26</w:t>
        </w:r>
        <w:r w:rsidR="000E54B2">
          <w:rPr>
            <w:noProof/>
            <w:webHidden/>
          </w:rPr>
          <w:fldChar w:fldCharType="end"/>
        </w:r>
      </w:hyperlink>
    </w:p>
    <w:p w14:paraId="1172E1D9"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97" w:history="1">
        <w:r w:rsidR="000E54B2" w:rsidRPr="004A0832">
          <w:rPr>
            <w:rStyle w:val="Hyperlink"/>
            <w:noProof/>
            <w:lang w:eastAsia="en-US"/>
          </w:rPr>
          <w:t>8.4</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Intracerebral/nigral/hippocampal Administration</w:t>
        </w:r>
        <w:r w:rsidR="000E54B2">
          <w:rPr>
            <w:noProof/>
            <w:webHidden/>
          </w:rPr>
          <w:tab/>
        </w:r>
        <w:r w:rsidR="000E54B2">
          <w:rPr>
            <w:noProof/>
            <w:webHidden/>
          </w:rPr>
          <w:fldChar w:fldCharType="begin"/>
        </w:r>
        <w:r w:rsidR="000E54B2">
          <w:rPr>
            <w:noProof/>
            <w:webHidden/>
          </w:rPr>
          <w:instrText xml:space="preserve"> PAGEREF _Toc459108297 \h </w:instrText>
        </w:r>
        <w:r w:rsidR="000E54B2">
          <w:rPr>
            <w:noProof/>
            <w:webHidden/>
          </w:rPr>
        </w:r>
        <w:r w:rsidR="000E54B2">
          <w:rPr>
            <w:noProof/>
            <w:webHidden/>
          </w:rPr>
          <w:fldChar w:fldCharType="separate"/>
        </w:r>
        <w:r w:rsidR="000E54B2">
          <w:rPr>
            <w:noProof/>
            <w:webHidden/>
          </w:rPr>
          <w:t>28</w:t>
        </w:r>
        <w:r w:rsidR="000E54B2">
          <w:rPr>
            <w:noProof/>
            <w:webHidden/>
          </w:rPr>
          <w:fldChar w:fldCharType="end"/>
        </w:r>
      </w:hyperlink>
    </w:p>
    <w:p w14:paraId="7F4EF5D4"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98" w:history="1">
        <w:r w:rsidR="000E54B2" w:rsidRPr="004A0832">
          <w:rPr>
            <w:rStyle w:val="Hyperlink"/>
            <w:noProof/>
            <w:lang w:eastAsia="en-US"/>
          </w:rPr>
          <w:t>8.5</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Intranasal Administration</w:t>
        </w:r>
        <w:r w:rsidR="000E54B2">
          <w:rPr>
            <w:noProof/>
            <w:webHidden/>
          </w:rPr>
          <w:tab/>
        </w:r>
        <w:r w:rsidR="000E54B2">
          <w:rPr>
            <w:noProof/>
            <w:webHidden/>
          </w:rPr>
          <w:fldChar w:fldCharType="begin"/>
        </w:r>
        <w:r w:rsidR="000E54B2">
          <w:rPr>
            <w:noProof/>
            <w:webHidden/>
          </w:rPr>
          <w:instrText xml:space="preserve"> PAGEREF _Toc459108298 \h </w:instrText>
        </w:r>
        <w:r w:rsidR="000E54B2">
          <w:rPr>
            <w:noProof/>
            <w:webHidden/>
          </w:rPr>
        </w:r>
        <w:r w:rsidR="000E54B2">
          <w:rPr>
            <w:noProof/>
            <w:webHidden/>
          </w:rPr>
          <w:fldChar w:fldCharType="separate"/>
        </w:r>
        <w:r w:rsidR="000E54B2">
          <w:rPr>
            <w:noProof/>
            <w:webHidden/>
          </w:rPr>
          <w:t>29</w:t>
        </w:r>
        <w:r w:rsidR="000E54B2">
          <w:rPr>
            <w:noProof/>
            <w:webHidden/>
          </w:rPr>
          <w:fldChar w:fldCharType="end"/>
        </w:r>
      </w:hyperlink>
    </w:p>
    <w:p w14:paraId="1339C878"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299" w:history="1">
        <w:r w:rsidR="000E54B2" w:rsidRPr="004A0832">
          <w:rPr>
            <w:rStyle w:val="Hyperlink"/>
            <w:noProof/>
            <w:lang w:eastAsia="en-US"/>
          </w:rPr>
          <w:t>8.6</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Blood Brain Barrier (BBB) Mechanistic Studies</w:t>
        </w:r>
        <w:r w:rsidR="000E54B2">
          <w:rPr>
            <w:noProof/>
            <w:webHidden/>
          </w:rPr>
          <w:tab/>
        </w:r>
        <w:r w:rsidR="000E54B2">
          <w:rPr>
            <w:noProof/>
            <w:webHidden/>
          </w:rPr>
          <w:fldChar w:fldCharType="begin"/>
        </w:r>
        <w:r w:rsidR="000E54B2">
          <w:rPr>
            <w:noProof/>
            <w:webHidden/>
          </w:rPr>
          <w:instrText xml:space="preserve"> PAGEREF _Toc459108299 \h </w:instrText>
        </w:r>
        <w:r w:rsidR="000E54B2">
          <w:rPr>
            <w:noProof/>
            <w:webHidden/>
          </w:rPr>
        </w:r>
        <w:r w:rsidR="000E54B2">
          <w:rPr>
            <w:noProof/>
            <w:webHidden/>
          </w:rPr>
          <w:fldChar w:fldCharType="separate"/>
        </w:r>
        <w:r w:rsidR="000E54B2">
          <w:rPr>
            <w:noProof/>
            <w:webHidden/>
          </w:rPr>
          <w:t>30</w:t>
        </w:r>
        <w:r w:rsidR="000E54B2">
          <w:rPr>
            <w:noProof/>
            <w:webHidden/>
          </w:rPr>
          <w:fldChar w:fldCharType="end"/>
        </w:r>
      </w:hyperlink>
    </w:p>
    <w:p w14:paraId="2ACC6036"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00" w:history="1">
        <w:r w:rsidR="000E54B2" w:rsidRPr="004A0832">
          <w:rPr>
            <w:rStyle w:val="Hyperlink"/>
            <w:noProof/>
            <w:lang w:eastAsia="en-US"/>
          </w:rPr>
          <w:t>8.7</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Neurotoxicity Mechanisms</w:t>
        </w:r>
        <w:r w:rsidR="000E54B2">
          <w:rPr>
            <w:noProof/>
            <w:webHidden/>
          </w:rPr>
          <w:tab/>
        </w:r>
        <w:r w:rsidR="000E54B2">
          <w:rPr>
            <w:noProof/>
            <w:webHidden/>
          </w:rPr>
          <w:fldChar w:fldCharType="begin"/>
        </w:r>
        <w:r w:rsidR="000E54B2">
          <w:rPr>
            <w:noProof/>
            <w:webHidden/>
          </w:rPr>
          <w:instrText xml:space="preserve"> PAGEREF _Toc459108300 \h </w:instrText>
        </w:r>
        <w:r w:rsidR="000E54B2">
          <w:rPr>
            <w:noProof/>
            <w:webHidden/>
          </w:rPr>
        </w:r>
        <w:r w:rsidR="000E54B2">
          <w:rPr>
            <w:noProof/>
            <w:webHidden/>
          </w:rPr>
          <w:fldChar w:fldCharType="separate"/>
        </w:r>
        <w:r w:rsidR="000E54B2">
          <w:rPr>
            <w:noProof/>
            <w:webHidden/>
          </w:rPr>
          <w:t>32</w:t>
        </w:r>
        <w:r w:rsidR="000E54B2">
          <w:rPr>
            <w:noProof/>
            <w:webHidden/>
          </w:rPr>
          <w:fldChar w:fldCharType="end"/>
        </w:r>
      </w:hyperlink>
    </w:p>
    <w:p w14:paraId="7D93CF6E"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01" w:history="1">
        <w:r w:rsidR="000E54B2" w:rsidRPr="004A0832">
          <w:rPr>
            <w:rStyle w:val="Hyperlink"/>
            <w:noProof/>
          </w:rPr>
          <w:t>8.8</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Summary of key neurotoxicity endpoints and observations from evaluated studies</w:t>
        </w:r>
        <w:r w:rsidR="000E54B2">
          <w:rPr>
            <w:noProof/>
            <w:webHidden/>
          </w:rPr>
          <w:tab/>
        </w:r>
        <w:r w:rsidR="000E54B2">
          <w:rPr>
            <w:noProof/>
            <w:webHidden/>
          </w:rPr>
          <w:fldChar w:fldCharType="begin"/>
        </w:r>
        <w:r w:rsidR="000E54B2">
          <w:rPr>
            <w:noProof/>
            <w:webHidden/>
          </w:rPr>
          <w:instrText xml:space="preserve"> PAGEREF _Toc459108301 \h </w:instrText>
        </w:r>
        <w:r w:rsidR="000E54B2">
          <w:rPr>
            <w:noProof/>
            <w:webHidden/>
          </w:rPr>
        </w:r>
        <w:r w:rsidR="000E54B2">
          <w:rPr>
            <w:noProof/>
            <w:webHidden/>
          </w:rPr>
          <w:fldChar w:fldCharType="separate"/>
        </w:r>
        <w:r w:rsidR="000E54B2">
          <w:rPr>
            <w:noProof/>
            <w:webHidden/>
          </w:rPr>
          <w:t>34</w:t>
        </w:r>
        <w:r w:rsidR="000E54B2">
          <w:rPr>
            <w:noProof/>
            <w:webHidden/>
          </w:rPr>
          <w:fldChar w:fldCharType="end"/>
        </w:r>
      </w:hyperlink>
    </w:p>
    <w:p w14:paraId="2A89AAAB"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02" w:history="1">
        <w:r w:rsidR="000E54B2" w:rsidRPr="004A0832">
          <w:rPr>
            <w:rStyle w:val="Hyperlink"/>
            <w:noProof/>
            <w:lang w:eastAsia="en-US"/>
          </w:rPr>
          <w:t>8.9</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Epidemiology</w:t>
        </w:r>
        <w:r w:rsidR="000E54B2">
          <w:rPr>
            <w:noProof/>
            <w:webHidden/>
          </w:rPr>
          <w:tab/>
        </w:r>
        <w:r w:rsidR="000E54B2">
          <w:rPr>
            <w:noProof/>
            <w:webHidden/>
          </w:rPr>
          <w:fldChar w:fldCharType="begin"/>
        </w:r>
        <w:r w:rsidR="000E54B2">
          <w:rPr>
            <w:noProof/>
            <w:webHidden/>
          </w:rPr>
          <w:instrText xml:space="preserve"> PAGEREF _Toc459108302 \h </w:instrText>
        </w:r>
        <w:r w:rsidR="000E54B2">
          <w:rPr>
            <w:noProof/>
            <w:webHidden/>
          </w:rPr>
        </w:r>
        <w:r w:rsidR="000E54B2">
          <w:rPr>
            <w:noProof/>
            <w:webHidden/>
          </w:rPr>
          <w:fldChar w:fldCharType="separate"/>
        </w:r>
        <w:r w:rsidR="000E54B2">
          <w:rPr>
            <w:noProof/>
            <w:webHidden/>
          </w:rPr>
          <w:t>35</w:t>
        </w:r>
        <w:r w:rsidR="000E54B2">
          <w:rPr>
            <w:noProof/>
            <w:webHidden/>
          </w:rPr>
          <w:fldChar w:fldCharType="end"/>
        </w:r>
      </w:hyperlink>
    </w:p>
    <w:p w14:paraId="7E6537C3" w14:textId="77777777" w:rsidR="000E54B2" w:rsidRDefault="003A31EB">
      <w:pPr>
        <w:pStyle w:val="TOC1"/>
        <w:rPr>
          <w:rFonts w:asciiTheme="minorHAnsi" w:eastAsiaTheme="minorEastAsia" w:hAnsiTheme="minorHAnsi" w:cstheme="minorBidi"/>
          <w:b w:val="0"/>
          <w:caps w:val="0"/>
          <w:sz w:val="22"/>
          <w:szCs w:val="22"/>
        </w:rPr>
      </w:pPr>
      <w:hyperlink w:anchor="_Toc459108303" w:history="1">
        <w:r w:rsidR="000E54B2" w:rsidRPr="004A0832">
          <w:rPr>
            <w:rStyle w:val="Hyperlink"/>
          </w:rPr>
          <w:t>9</w:t>
        </w:r>
        <w:r w:rsidR="000E54B2">
          <w:rPr>
            <w:rFonts w:asciiTheme="minorHAnsi" w:eastAsiaTheme="minorEastAsia" w:hAnsiTheme="minorHAnsi" w:cstheme="minorBidi"/>
            <w:b w:val="0"/>
            <w:caps w:val="0"/>
            <w:sz w:val="22"/>
            <w:szCs w:val="22"/>
          </w:rPr>
          <w:tab/>
        </w:r>
        <w:r w:rsidR="000E54B2" w:rsidRPr="004A0832">
          <w:rPr>
            <w:rStyle w:val="Hyperlink"/>
          </w:rPr>
          <w:t>Evaluations of selected animal studies</w:t>
        </w:r>
        <w:r w:rsidR="000E54B2">
          <w:rPr>
            <w:webHidden/>
          </w:rPr>
          <w:tab/>
        </w:r>
        <w:r w:rsidR="000E54B2">
          <w:rPr>
            <w:webHidden/>
          </w:rPr>
          <w:fldChar w:fldCharType="begin"/>
        </w:r>
        <w:r w:rsidR="000E54B2">
          <w:rPr>
            <w:webHidden/>
          </w:rPr>
          <w:instrText xml:space="preserve"> PAGEREF _Toc459108303 \h </w:instrText>
        </w:r>
        <w:r w:rsidR="000E54B2">
          <w:rPr>
            <w:webHidden/>
          </w:rPr>
        </w:r>
        <w:r w:rsidR="000E54B2">
          <w:rPr>
            <w:webHidden/>
          </w:rPr>
          <w:fldChar w:fldCharType="separate"/>
        </w:r>
        <w:r w:rsidR="000E54B2">
          <w:rPr>
            <w:webHidden/>
          </w:rPr>
          <w:t>37</w:t>
        </w:r>
        <w:r w:rsidR="000E54B2">
          <w:rPr>
            <w:webHidden/>
          </w:rPr>
          <w:fldChar w:fldCharType="end"/>
        </w:r>
      </w:hyperlink>
    </w:p>
    <w:p w14:paraId="0C192549"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04" w:history="1">
        <w:r w:rsidR="000E54B2" w:rsidRPr="004A0832">
          <w:rPr>
            <w:rStyle w:val="Hyperlink"/>
            <w:noProof/>
            <w:lang w:eastAsia="en-US"/>
          </w:rPr>
          <w:t>9.1</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General studies investigating the neurotoxicity of paraquat</w:t>
        </w:r>
        <w:r w:rsidR="000E54B2">
          <w:rPr>
            <w:noProof/>
            <w:webHidden/>
          </w:rPr>
          <w:tab/>
        </w:r>
        <w:r w:rsidR="000E54B2">
          <w:rPr>
            <w:noProof/>
            <w:webHidden/>
          </w:rPr>
          <w:fldChar w:fldCharType="begin"/>
        </w:r>
        <w:r w:rsidR="000E54B2">
          <w:rPr>
            <w:noProof/>
            <w:webHidden/>
          </w:rPr>
          <w:instrText xml:space="preserve"> PAGEREF _Toc459108304 \h </w:instrText>
        </w:r>
        <w:r w:rsidR="000E54B2">
          <w:rPr>
            <w:noProof/>
            <w:webHidden/>
          </w:rPr>
        </w:r>
        <w:r w:rsidR="000E54B2">
          <w:rPr>
            <w:noProof/>
            <w:webHidden/>
          </w:rPr>
          <w:fldChar w:fldCharType="separate"/>
        </w:r>
        <w:r w:rsidR="000E54B2">
          <w:rPr>
            <w:noProof/>
            <w:webHidden/>
          </w:rPr>
          <w:t>37</w:t>
        </w:r>
        <w:r w:rsidR="000E54B2">
          <w:rPr>
            <w:noProof/>
            <w:webHidden/>
          </w:rPr>
          <w:fldChar w:fldCharType="end"/>
        </w:r>
      </w:hyperlink>
    </w:p>
    <w:p w14:paraId="3BB8154C"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05" w:history="1">
        <w:r w:rsidR="000E54B2" w:rsidRPr="004A0832">
          <w:rPr>
            <w:rStyle w:val="Hyperlink"/>
            <w:noProof/>
          </w:rPr>
          <w:t>9.2</w:t>
        </w:r>
        <w:r w:rsidR="000E54B2">
          <w:rPr>
            <w:rFonts w:asciiTheme="minorHAnsi" w:eastAsiaTheme="minorEastAsia" w:hAnsiTheme="minorHAnsi" w:cstheme="minorBidi"/>
            <w:smallCaps w:val="0"/>
            <w:noProof/>
            <w:sz w:val="22"/>
            <w:szCs w:val="22"/>
          </w:rPr>
          <w:tab/>
        </w:r>
        <w:r w:rsidR="000E54B2" w:rsidRPr="004A0832">
          <w:rPr>
            <w:rStyle w:val="Hyperlink"/>
            <w:noProof/>
          </w:rPr>
          <w:t>Studies on brain distribution (including other tissues) of paraquat</w:t>
        </w:r>
        <w:r w:rsidR="000E54B2">
          <w:rPr>
            <w:noProof/>
            <w:webHidden/>
          </w:rPr>
          <w:tab/>
        </w:r>
        <w:r w:rsidR="000E54B2">
          <w:rPr>
            <w:noProof/>
            <w:webHidden/>
          </w:rPr>
          <w:fldChar w:fldCharType="begin"/>
        </w:r>
        <w:r w:rsidR="000E54B2">
          <w:rPr>
            <w:noProof/>
            <w:webHidden/>
          </w:rPr>
          <w:instrText xml:space="preserve"> PAGEREF _Toc459108305 \h </w:instrText>
        </w:r>
        <w:r w:rsidR="000E54B2">
          <w:rPr>
            <w:noProof/>
            <w:webHidden/>
          </w:rPr>
        </w:r>
        <w:r w:rsidR="000E54B2">
          <w:rPr>
            <w:noProof/>
            <w:webHidden/>
          </w:rPr>
          <w:fldChar w:fldCharType="separate"/>
        </w:r>
        <w:r w:rsidR="000E54B2">
          <w:rPr>
            <w:noProof/>
            <w:webHidden/>
          </w:rPr>
          <w:t>40</w:t>
        </w:r>
        <w:r w:rsidR="000E54B2">
          <w:rPr>
            <w:noProof/>
            <w:webHidden/>
          </w:rPr>
          <w:fldChar w:fldCharType="end"/>
        </w:r>
      </w:hyperlink>
    </w:p>
    <w:p w14:paraId="2015CBCB"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06" w:history="1">
        <w:r w:rsidR="000E54B2" w:rsidRPr="004A0832">
          <w:rPr>
            <w:rStyle w:val="Hyperlink"/>
            <w:noProof/>
            <w:lang w:eastAsia="en-US"/>
          </w:rPr>
          <w:t>9.3</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Studies on paraquat-induced neurodegenerative effects</w:t>
        </w:r>
        <w:r w:rsidR="000E54B2">
          <w:rPr>
            <w:noProof/>
            <w:webHidden/>
          </w:rPr>
          <w:tab/>
        </w:r>
        <w:r w:rsidR="000E54B2">
          <w:rPr>
            <w:noProof/>
            <w:webHidden/>
          </w:rPr>
          <w:fldChar w:fldCharType="begin"/>
        </w:r>
        <w:r w:rsidR="000E54B2">
          <w:rPr>
            <w:noProof/>
            <w:webHidden/>
          </w:rPr>
          <w:instrText xml:space="preserve"> PAGEREF _Toc459108306 \h </w:instrText>
        </w:r>
        <w:r w:rsidR="000E54B2">
          <w:rPr>
            <w:noProof/>
            <w:webHidden/>
          </w:rPr>
        </w:r>
        <w:r w:rsidR="000E54B2">
          <w:rPr>
            <w:noProof/>
            <w:webHidden/>
          </w:rPr>
          <w:fldChar w:fldCharType="separate"/>
        </w:r>
        <w:r w:rsidR="000E54B2">
          <w:rPr>
            <w:noProof/>
            <w:webHidden/>
          </w:rPr>
          <w:t>50</w:t>
        </w:r>
        <w:r w:rsidR="000E54B2">
          <w:rPr>
            <w:noProof/>
            <w:webHidden/>
          </w:rPr>
          <w:fldChar w:fldCharType="end"/>
        </w:r>
      </w:hyperlink>
    </w:p>
    <w:p w14:paraId="7F37F3A6"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07" w:history="1">
        <w:r w:rsidR="000E54B2" w:rsidRPr="004A0832">
          <w:rPr>
            <w:rStyle w:val="Hyperlink"/>
            <w:noProof/>
            <w:lang w:eastAsia="en-US"/>
          </w:rPr>
          <w:t>9.4</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Proposed mechanisms of paraquat neurodegeneration</w:t>
        </w:r>
        <w:r w:rsidR="000E54B2">
          <w:rPr>
            <w:noProof/>
            <w:webHidden/>
          </w:rPr>
          <w:tab/>
        </w:r>
        <w:r w:rsidR="000E54B2">
          <w:rPr>
            <w:noProof/>
            <w:webHidden/>
          </w:rPr>
          <w:fldChar w:fldCharType="begin"/>
        </w:r>
        <w:r w:rsidR="000E54B2">
          <w:rPr>
            <w:noProof/>
            <w:webHidden/>
          </w:rPr>
          <w:instrText xml:space="preserve"> PAGEREF _Toc459108307 \h </w:instrText>
        </w:r>
        <w:r w:rsidR="000E54B2">
          <w:rPr>
            <w:noProof/>
            <w:webHidden/>
          </w:rPr>
        </w:r>
        <w:r w:rsidR="000E54B2">
          <w:rPr>
            <w:noProof/>
            <w:webHidden/>
          </w:rPr>
          <w:fldChar w:fldCharType="separate"/>
        </w:r>
        <w:r w:rsidR="000E54B2">
          <w:rPr>
            <w:noProof/>
            <w:webHidden/>
          </w:rPr>
          <w:t>90</w:t>
        </w:r>
        <w:r w:rsidR="000E54B2">
          <w:rPr>
            <w:noProof/>
            <w:webHidden/>
          </w:rPr>
          <w:fldChar w:fldCharType="end"/>
        </w:r>
      </w:hyperlink>
    </w:p>
    <w:p w14:paraId="208B1D65"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08" w:history="1">
        <w:r w:rsidR="000E54B2" w:rsidRPr="004A0832">
          <w:rPr>
            <w:rStyle w:val="Hyperlink"/>
            <w:noProof/>
            <w:lang w:eastAsia="en-US"/>
          </w:rPr>
          <w:t>9.5</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The toxicokinetics and toxicodynamics of paraquat</w:t>
        </w:r>
        <w:r w:rsidR="000E54B2">
          <w:rPr>
            <w:noProof/>
            <w:webHidden/>
          </w:rPr>
          <w:tab/>
        </w:r>
        <w:r w:rsidR="000E54B2">
          <w:rPr>
            <w:noProof/>
            <w:webHidden/>
          </w:rPr>
          <w:fldChar w:fldCharType="begin"/>
        </w:r>
        <w:r w:rsidR="000E54B2">
          <w:rPr>
            <w:noProof/>
            <w:webHidden/>
          </w:rPr>
          <w:instrText xml:space="preserve"> PAGEREF _Toc459108308 \h </w:instrText>
        </w:r>
        <w:r w:rsidR="000E54B2">
          <w:rPr>
            <w:noProof/>
            <w:webHidden/>
          </w:rPr>
        </w:r>
        <w:r w:rsidR="000E54B2">
          <w:rPr>
            <w:noProof/>
            <w:webHidden/>
          </w:rPr>
          <w:fldChar w:fldCharType="separate"/>
        </w:r>
        <w:r w:rsidR="000E54B2">
          <w:rPr>
            <w:noProof/>
            <w:webHidden/>
          </w:rPr>
          <w:t>94</w:t>
        </w:r>
        <w:r w:rsidR="000E54B2">
          <w:rPr>
            <w:noProof/>
            <w:webHidden/>
          </w:rPr>
          <w:fldChar w:fldCharType="end"/>
        </w:r>
      </w:hyperlink>
    </w:p>
    <w:p w14:paraId="13F3695C"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09" w:history="1">
        <w:r w:rsidR="000E54B2" w:rsidRPr="004A0832">
          <w:rPr>
            <w:rStyle w:val="Hyperlink"/>
            <w:noProof/>
            <w:lang w:eastAsia="en-US"/>
          </w:rPr>
          <w:t>9.6</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Summary of studies evaluated by route of administration</w:t>
        </w:r>
        <w:r w:rsidR="000E54B2">
          <w:rPr>
            <w:noProof/>
            <w:webHidden/>
          </w:rPr>
          <w:tab/>
        </w:r>
        <w:r w:rsidR="000E54B2">
          <w:rPr>
            <w:noProof/>
            <w:webHidden/>
          </w:rPr>
          <w:fldChar w:fldCharType="begin"/>
        </w:r>
        <w:r w:rsidR="000E54B2">
          <w:rPr>
            <w:noProof/>
            <w:webHidden/>
          </w:rPr>
          <w:instrText xml:space="preserve"> PAGEREF _Toc459108309 \h </w:instrText>
        </w:r>
        <w:r w:rsidR="000E54B2">
          <w:rPr>
            <w:noProof/>
            <w:webHidden/>
          </w:rPr>
        </w:r>
        <w:r w:rsidR="000E54B2">
          <w:rPr>
            <w:noProof/>
            <w:webHidden/>
          </w:rPr>
          <w:fldChar w:fldCharType="separate"/>
        </w:r>
        <w:r w:rsidR="000E54B2">
          <w:rPr>
            <w:noProof/>
            <w:webHidden/>
          </w:rPr>
          <w:t>96</w:t>
        </w:r>
        <w:r w:rsidR="000E54B2">
          <w:rPr>
            <w:noProof/>
            <w:webHidden/>
          </w:rPr>
          <w:fldChar w:fldCharType="end"/>
        </w:r>
      </w:hyperlink>
    </w:p>
    <w:p w14:paraId="7C1DB4B4" w14:textId="77777777" w:rsidR="000E54B2" w:rsidRDefault="003A31EB">
      <w:pPr>
        <w:pStyle w:val="TOC1"/>
        <w:rPr>
          <w:rFonts w:asciiTheme="minorHAnsi" w:eastAsiaTheme="minorEastAsia" w:hAnsiTheme="minorHAnsi" w:cstheme="minorBidi"/>
          <w:b w:val="0"/>
          <w:caps w:val="0"/>
          <w:sz w:val="22"/>
          <w:szCs w:val="22"/>
        </w:rPr>
      </w:pPr>
      <w:hyperlink w:anchor="_Toc459108310" w:history="1">
        <w:r w:rsidR="000E54B2" w:rsidRPr="004A0832">
          <w:rPr>
            <w:rStyle w:val="Hyperlink"/>
          </w:rPr>
          <w:t>10</w:t>
        </w:r>
        <w:r w:rsidR="000E54B2">
          <w:rPr>
            <w:rFonts w:asciiTheme="minorHAnsi" w:eastAsiaTheme="minorEastAsia" w:hAnsiTheme="minorHAnsi" w:cstheme="minorBidi"/>
            <w:b w:val="0"/>
            <w:caps w:val="0"/>
            <w:sz w:val="22"/>
            <w:szCs w:val="22"/>
          </w:rPr>
          <w:tab/>
        </w:r>
        <w:r w:rsidR="000E54B2" w:rsidRPr="004A0832">
          <w:rPr>
            <w:rStyle w:val="Hyperlink"/>
          </w:rPr>
          <w:t>Human occupational exposure/poisoning case information</w:t>
        </w:r>
        <w:r w:rsidR="000E54B2">
          <w:rPr>
            <w:webHidden/>
          </w:rPr>
          <w:tab/>
        </w:r>
        <w:r w:rsidR="000E54B2">
          <w:rPr>
            <w:webHidden/>
          </w:rPr>
          <w:fldChar w:fldCharType="begin"/>
        </w:r>
        <w:r w:rsidR="000E54B2">
          <w:rPr>
            <w:webHidden/>
          </w:rPr>
          <w:instrText xml:space="preserve"> PAGEREF _Toc459108310 \h </w:instrText>
        </w:r>
        <w:r w:rsidR="000E54B2">
          <w:rPr>
            <w:webHidden/>
          </w:rPr>
        </w:r>
        <w:r w:rsidR="000E54B2">
          <w:rPr>
            <w:webHidden/>
          </w:rPr>
          <w:fldChar w:fldCharType="separate"/>
        </w:r>
        <w:r w:rsidR="000E54B2">
          <w:rPr>
            <w:webHidden/>
          </w:rPr>
          <w:t>101</w:t>
        </w:r>
        <w:r w:rsidR="000E54B2">
          <w:rPr>
            <w:webHidden/>
          </w:rPr>
          <w:fldChar w:fldCharType="end"/>
        </w:r>
      </w:hyperlink>
    </w:p>
    <w:p w14:paraId="1AAA45C5"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11" w:history="1">
        <w:r w:rsidR="000E54B2" w:rsidRPr="004A0832">
          <w:rPr>
            <w:rStyle w:val="Hyperlink"/>
            <w:noProof/>
            <w:lang w:eastAsia="en-US"/>
          </w:rPr>
          <w:t>10.1</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Occupational Exposure</w:t>
        </w:r>
        <w:r w:rsidR="000E54B2">
          <w:rPr>
            <w:noProof/>
            <w:webHidden/>
          </w:rPr>
          <w:tab/>
        </w:r>
        <w:r w:rsidR="000E54B2">
          <w:rPr>
            <w:noProof/>
            <w:webHidden/>
          </w:rPr>
          <w:fldChar w:fldCharType="begin"/>
        </w:r>
        <w:r w:rsidR="000E54B2">
          <w:rPr>
            <w:noProof/>
            <w:webHidden/>
          </w:rPr>
          <w:instrText xml:space="preserve"> PAGEREF _Toc459108311 \h </w:instrText>
        </w:r>
        <w:r w:rsidR="000E54B2">
          <w:rPr>
            <w:noProof/>
            <w:webHidden/>
          </w:rPr>
        </w:r>
        <w:r w:rsidR="000E54B2">
          <w:rPr>
            <w:noProof/>
            <w:webHidden/>
          </w:rPr>
          <w:fldChar w:fldCharType="separate"/>
        </w:r>
        <w:r w:rsidR="000E54B2">
          <w:rPr>
            <w:noProof/>
            <w:webHidden/>
          </w:rPr>
          <w:t>101</w:t>
        </w:r>
        <w:r w:rsidR="000E54B2">
          <w:rPr>
            <w:noProof/>
            <w:webHidden/>
          </w:rPr>
          <w:fldChar w:fldCharType="end"/>
        </w:r>
      </w:hyperlink>
    </w:p>
    <w:p w14:paraId="11434B18"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12" w:history="1">
        <w:r w:rsidR="000E54B2" w:rsidRPr="004A0832">
          <w:rPr>
            <w:rStyle w:val="Hyperlink"/>
            <w:noProof/>
            <w:lang w:eastAsia="en-US"/>
          </w:rPr>
          <w:t>10.2</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Poisoning Incidents</w:t>
        </w:r>
        <w:r w:rsidR="000E54B2">
          <w:rPr>
            <w:noProof/>
            <w:webHidden/>
          </w:rPr>
          <w:tab/>
        </w:r>
        <w:r w:rsidR="000E54B2">
          <w:rPr>
            <w:noProof/>
            <w:webHidden/>
          </w:rPr>
          <w:fldChar w:fldCharType="begin"/>
        </w:r>
        <w:r w:rsidR="000E54B2">
          <w:rPr>
            <w:noProof/>
            <w:webHidden/>
          </w:rPr>
          <w:instrText xml:space="preserve"> PAGEREF _Toc459108312 \h </w:instrText>
        </w:r>
        <w:r w:rsidR="000E54B2">
          <w:rPr>
            <w:noProof/>
            <w:webHidden/>
          </w:rPr>
        </w:r>
        <w:r w:rsidR="000E54B2">
          <w:rPr>
            <w:noProof/>
            <w:webHidden/>
          </w:rPr>
          <w:fldChar w:fldCharType="separate"/>
        </w:r>
        <w:r w:rsidR="000E54B2">
          <w:rPr>
            <w:noProof/>
            <w:webHidden/>
          </w:rPr>
          <w:t>104</w:t>
        </w:r>
        <w:r w:rsidR="000E54B2">
          <w:rPr>
            <w:noProof/>
            <w:webHidden/>
          </w:rPr>
          <w:fldChar w:fldCharType="end"/>
        </w:r>
      </w:hyperlink>
    </w:p>
    <w:p w14:paraId="5DA497DB" w14:textId="77777777" w:rsidR="000E54B2" w:rsidRDefault="003A31EB">
      <w:pPr>
        <w:pStyle w:val="TOC1"/>
        <w:rPr>
          <w:rFonts w:asciiTheme="minorHAnsi" w:eastAsiaTheme="minorEastAsia" w:hAnsiTheme="minorHAnsi" w:cstheme="minorBidi"/>
          <w:b w:val="0"/>
          <w:caps w:val="0"/>
          <w:sz w:val="22"/>
          <w:szCs w:val="22"/>
        </w:rPr>
      </w:pPr>
      <w:hyperlink w:anchor="_Toc459108313" w:history="1">
        <w:r w:rsidR="000E54B2" w:rsidRPr="004A0832">
          <w:rPr>
            <w:rStyle w:val="Hyperlink"/>
          </w:rPr>
          <w:t>11</w:t>
        </w:r>
        <w:r w:rsidR="000E54B2">
          <w:rPr>
            <w:rFonts w:asciiTheme="minorHAnsi" w:eastAsiaTheme="minorEastAsia" w:hAnsiTheme="minorHAnsi" w:cstheme="minorBidi"/>
            <w:b w:val="0"/>
            <w:caps w:val="0"/>
            <w:sz w:val="22"/>
            <w:szCs w:val="22"/>
          </w:rPr>
          <w:tab/>
        </w:r>
        <w:r w:rsidR="000E54B2" w:rsidRPr="004A0832">
          <w:rPr>
            <w:rStyle w:val="Hyperlink"/>
          </w:rPr>
          <w:t>Evaluation of selected Epidemiology studies</w:t>
        </w:r>
        <w:r w:rsidR="000E54B2">
          <w:rPr>
            <w:webHidden/>
          </w:rPr>
          <w:tab/>
        </w:r>
        <w:r w:rsidR="000E54B2">
          <w:rPr>
            <w:webHidden/>
          </w:rPr>
          <w:fldChar w:fldCharType="begin"/>
        </w:r>
        <w:r w:rsidR="000E54B2">
          <w:rPr>
            <w:webHidden/>
          </w:rPr>
          <w:instrText xml:space="preserve"> PAGEREF _Toc459108313 \h </w:instrText>
        </w:r>
        <w:r w:rsidR="000E54B2">
          <w:rPr>
            <w:webHidden/>
          </w:rPr>
        </w:r>
        <w:r w:rsidR="000E54B2">
          <w:rPr>
            <w:webHidden/>
          </w:rPr>
          <w:fldChar w:fldCharType="separate"/>
        </w:r>
        <w:r w:rsidR="000E54B2">
          <w:rPr>
            <w:webHidden/>
          </w:rPr>
          <w:t>105</w:t>
        </w:r>
        <w:r w:rsidR="000E54B2">
          <w:rPr>
            <w:webHidden/>
          </w:rPr>
          <w:fldChar w:fldCharType="end"/>
        </w:r>
      </w:hyperlink>
    </w:p>
    <w:p w14:paraId="0E6298FC"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14" w:history="1">
        <w:r w:rsidR="000E54B2" w:rsidRPr="004A0832">
          <w:rPr>
            <w:rStyle w:val="Hyperlink"/>
            <w:noProof/>
          </w:rPr>
          <w:t>11.1</w:t>
        </w:r>
        <w:r w:rsidR="000E54B2">
          <w:rPr>
            <w:rFonts w:asciiTheme="minorHAnsi" w:eastAsiaTheme="minorEastAsia" w:hAnsiTheme="minorHAnsi" w:cstheme="minorBidi"/>
            <w:smallCaps w:val="0"/>
            <w:noProof/>
            <w:sz w:val="22"/>
            <w:szCs w:val="22"/>
          </w:rPr>
          <w:tab/>
        </w:r>
        <w:r w:rsidR="000E54B2" w:rsidRPr="004A0832">
          <w:rPr>
            <w:rStyle w:val="Hyperlink"/>
            <w:noProof/>
          </w:rPr>
          <w:t>Epidemiological studies: Methodology</w:t>
        </w:r>
        <w:r w:rsidR="000E54B2">
          <w:rPr>
            <w:noProof/>
            <w:webHidden/>
          </w:rPr>
          <w:tab/>
        </w:r>
        <w:r w:rsidR="000E54B2">
          <w:rPr>
            <w:noProof/>
            <w:webHidden/>
          </w:rPr>
          <w:fldChar w:fldCharType="begin"/>
        </w:r>
        <w:r w:rsidR="000E54B2">
          <w:rPr>
            <w:noProof/>
            <w:webHidden/>
          </w:rPr>
          <w:instrText xml:space="preserve"> PAGEREF _Toc459108314 \h </w:instrText>
        </w:r>
        <w:r w:rsidR="000E54B2">
          <w:rPr>
            <w:noProof/>
            <w:webHidden/>
          </w:rPr>
        </w:r>
        <w:r w:rsidR="000E54B2">
          <w:rPr>
            <w:noProof/>
            <w:webHidden/>
          </w:rPr>
          <w:fldChar w:fldCharType="separate"/>
        </w:r>
        <w:r w:rsidR="000E54B2">
          <w:rPr>
            <w:noProof/>
            <w:webHidden/>
          </w:rPr>
          <w:t>105</w:t>
        </w:r>
        <w:r w:rsidR="000E54B2">
          <w:rPr>
            <w:noProof/>
            <w:webHidden/>
          </w:rPr>
          <w:fldChar w:fldCharType="end"/>
        </w:r>
      </w:hyperlink>
    </w:p>
    <w:p w14:paraId="7793A8A7" w14:textId="77777777" w:rsidR="000E54B2" w:rsidRDefault="003A31EB">
      <w:pPr>
        <w:pStyle w:val="TOC3"/>
        <w:tabs>
          <w:tab w:val="left" w:pos="1560"/>
          <w:tab w:val="right" w:leader="dot" w:pos="9017"/>
        </w:tabs>
        <w:rPr>
          <w:rFonts w:asciiTheme="minorHAnsi" w:eastAsiaTheme="minorEastAsia" w:hAnsiTheme="minorHAnsi" w:cstheme="minorBidi"/>
          <w:i w:val="0"/>
          <w:noProof/>
          <w:sz w:val="22"/>
          <w:szCs w:val="22"/>
        </w:rPr>
      </w:pPr>
      <w:hyperlink w:anchor="_Toc459108315" w:history="1">
        <w:r w:rsidR="000E54B2" w:rsidRPr="004A0832">
          <w:rPr>
            <w:rStyle w:val="Hyperlink"/>
            <w:noProof/>
          </w:rPr>
          <w:t>11.1.1</w:t>
        </w:r>
        <w:r w:rsidR="000E54B2">
          <w:rPr>
            <w:rFonts w:asciiTheme="minorHAnsi" w:eastAsiaTheme="minorEastAsia" w:hAnsiTheme="minorHAnsi" w:cstheme="minorBidi"/>
            <w:i w:val="0"/>
            <w:noProof/>
            <w:sz w:val="22"/>
            <w:szCs w:val="22"/>
          </w:rPr>
          <w:tab/>
        </w:r>
        <w:r w:rsidR="000E54B2" w:rsidRPr="004A0832">
          <w:rPr>
            <w:rStyle w:val="Hyperlink"/>
            <w:noProof/>
          </w:rPr>
          <w:t>Case ascertainment</w:t>
        </w:r>
        <w:r w:rsidR="000E54B2">
          <w:rPr>
            <w:noProof/>
            <w:webHidden/>
          </w:rPr>
          <w:tab/>
        </w:r>
        <w:r w:rsidR="000E54B2">
          <w:rPr>
            <w:noProof/>
            <w:webHidden/>
          </w:rPr>
          <w:fldChar w:fldCharType="begin"/>
        </w:r>
        <w:r w:rsidR="000E54B2">
          <w:rPr>
            <w:noProof/>
            <w:webHidden/>
          </w:rPr>
          <w:instrText xml:space="preserve"> PAGEREF _Toc459108315 \h </w:instrText>
        </w:r>
        <w:r w:rsidR="000E54B2">
          <w:rPr>
            <w:noProof/>
            <w:webHidden/>
          </w:rPr>
        </w:r>
        <w:r w:rsidR="000E54B2">
          <w:rPr>
            <w:noProof/>
            <w:webHidden/>
          </w:rPr>
          <w:fldChar w:fldCharType="separate"/>
        </w:r>
        <w:r w:rsidR="000E54B2">
          <w:rPr>
            <w:noProof/>
            <w:webHidden/>
          </w:rPr>
          <w:t>105</w:t>
        </w:r>
        <w:r w:rsidR="000E54B2">
          <w:rPr>
            <w:noProof/>
            <w:webHidden/>
          </w:rPr>
          <w:fldChar w:fldCharType="end"/>
        </w:r>
      </w:hyperlink>
    </w:p>
    <w:p w14:paraId="76B9F5D7" w14:textId="77777777" w:rsidR="000E54B2" w:rsidRDefault="003A31EB">
      <w:pPr>
        <w:pStyle w:val="TOC3"/>
        <w:tabs>
          <w:tab w:val="left" w:pos="1560"/>
          <w:tab w:val="right" w:leader="dot" w:pos="9017"/>
        </w:tabs>
        <w:rPr>
          <w:rFonts w:asciiTheme="minorHAnsi" w:eastAsiaTheme="minorEastAsia" w:hAnsiTheme="minorHAnsi" w:cstheme="minorBidi"/>
          <w:i w:val="0"/>
          <w:noProof/>
          <w:sz w:val="22"/>
          <w:szCs w:val="22"/>
        </w:rPr>
      </w:pPr>
      <w:hyperlink w:anchor="_Toc459108316" w:history="1">
        <w:r w:rsidR="000E54B2" w:rsidRPr="004A0832">
          <w:rPr>
            <w:rStyle w:val="Hyperlink"/>
            <w:noProof/>
          </w:rPr>
          <w:t>11.1.2</w:t>
        </w:r>
        <w:r w:rsidR="000E54B2">
          <w:rPr>
            <w:rFonts w:asciiTheme="minorHAnsi" w:eastAsiaTheme="minorEastAsia" w:hAnsiTheme="minorHAnsi" w:cstheme="minorBidi"/>
            <w:i w:val="0"/>
            <w:noProof/>
            <w:sz w:val="22"/>
            <w:szCs w:val="22"/>
          </w:rPr>
          <w:tab/>
        </w:r>
        <w:r w:rsidR="000E54B2" w:rsidRPr="004A0832">
          <w:rPr>
            <w:rStyle w:val="Hyperlink"/>
            <w:noProof/>
          </w:rPr>
          <w:t>Ascertainment of Controls</w:t>
        </w:r>
        <w:r w:rsidR="000E54B2">
          <w:rPr>
            <w:noProof/>
            <w:webHidden/>
          </w:rPr>
          <w:tab/>
        </w:r>
        <w:r w:rsidR="000E54B2">
          <w:rPr>
            <w:noProof/>
            <w:webHidden/>
          </w:rPr>
          <w:fldChar w:fldCharType="begin"/>
        </w:r>
        <w:r w:rsidR="000E54B2">
          <w:rPr>
            <w:noProof/>
            <w:webHidden/>
          </w:rPr>
          <w:instrText xml:space="preserve"> PAGEREF _Toc459108316 \h </w:instrText>
        </w:r>
        <w:r w:rsidR="000E54B2">
          <w:rPr>
            <w:noProof/>
            <w:webHidden/>
          </w:rPr>
        </w:r>
        <w:r w:rsidR="000E54B2">
          <w:rPr>
            <w:noProof/>
            <w:webHidden/>
          </w:rPr>
          <w:fldChar w:fldCharType="separate"/>
        </w:r>
        <w:r w:rsidR="000E54B2">
          <w:rPr>
            <w:noProof/>
            <w:webHidden/>
          </w:rPr>
          <w:t>105</w:t>
        </w:r>
        <w:r w:rsidR="000E54B2">
          <w:rPr>
            <w:noProof/>
            <w:webHidden/>
          </w:rPr>
          <w:fldChar w:fldCharType="end"/>
        </w:r>
      </w:hyperlink>
    </w:p>
    <w:p w14:paraId="57193DF4" w14:textId="77777777" w:rsidR="000E54B2" w:rsidRDefault="003A31EB">
      <w:pPr>
        <w:pStyle w:val="TOC3"/>
        <w:tabs>
          <w:tab w:val="left" w:pos="1560"/>
          <w:tab w:val="right" w:leader="dot" w:pos="9017"/>
        </w:tabs>
        <w:rPr>
          <w:rFonts w:asciiTheme="minorHAnsi" w:eastAsiaTheme="minorEastAsia" w:hAnsiTheme="minorHAnsi" w:cstheme="minorBidi"/>
          <w:i w:val="0"/>
          <w:noProof/>
          <w:sz w:val="22"/>
          <w:szCs w:val="22"/>
        </w:rPr>
      </w:pPr>
      <w:hyperlink w:anchor="_Toc459108317" w:history="1">
        <w:r w:rsidR="000E54B2" w:rsidRPr="004A0832">
          <w:rPr>
            <w:rStyle w:val="Hyperlink"/>
            <w:noProof/>
          </w:rPr>
          <w:t>11.1.3</w:t>
        </w:r>
        <w:r w:rsidR="000E54B2">
          <w:rPr>
            <w:rFonts w:asciiTheme="minorHAnsi" w:eastAsiaTheme="minorEastAsia" w:hAnsiTheme="minorHAnsi" w:cstheme="minorBidi"/>
            <w:i w:val="0"/>
            <w:noProof/>
            <w:sz w:val="22"/>
            <w:szCs w:val="22"/>
          </w:rPr>
          <w:tab/>
        </w:r>
        <w:r w:rsidR="000E54B2" w:rsidRPr="004A0832">
          <w:rPr>
            <w:rStyle w:val="Hyperlink"/>
            <w:noProof/>
          </w:rPr>
          <w:t>Exposure Ascertainment</w:t>
        </w:r>
        <w:r w:rsidR="000E54B2">
          <w:rPr>
            <w:noProof/>
            <w:webHidden/>
          </w:rPr>
          <w:tab/>
        </w:r>
        <w:r w:rsidR="000E54B2">
          <w:rPr>
            <w:noProof/>
            <w:webHidden/>
          </w:rPr>
          <w:fldChar w:fldCharType="begin"/>
        </w:r>
        <w:r w:rsidR="000E54B2">
          <w:rPr>
            <w:noProof/>
            <w:webHidden/>
          </w:rPr>
          <w:instrText xml:space="preserve"> PAGEREF _Toc459108317 \h </w:instrText>
        </w:r>
        <w:r w:rsidR="000E54B2">
          <w:rPr>
            <w:noProof/>
            <w:webHidden/>
          </w:rPr>
        </w:r>
        <w:r w:rsidR="000E54B2">
          <w:rPr>
            <w:noProof/>
            <w:webHidden/>
          </w:rPr>
          <w:fldChar w:fldCharType="separate"/>
        </w:r>
        <w:r w:rsidR="000E54B2">
          <w:rPr>
            <w:noProof/>
            <w:webHidden/>
          </w:rPr>
          <w:t>106</w:t>
        </w:r>
        <w:r w:rsidR="000E54B2">
          <w:rPr>
            <w:noProof/>
            <w:webHidden/>
          </w:rPr>
          <w:fldChar w:fldCharType="end"/>
        </w:r>
      </w:hyperlink>
    </w:p>
    <w:p w14:paraId="7E6A956D" w14:textId="77777777" w:rsidR="000E54B2" w:rsidRDefault="003A31EB">
      <w:pPr>
        <w:pStyle w:val="TOC3"/>
        <w:tabs>
          <w:tab w:val="left" w:pos="1560"/>
          <w:tab w:val="right" w:leader="dot" w:pos="9017"/>
        </w:tabs>
        <w:rPr>
          <w:rFonts w:asciiTheme="minorHAnsi" w:eastAsiaTheme="minorEastAsia" w:hAnsiTheme="minorHAnsi" w:cstheme="minorBidi"/>
          <w:i w:val="0"/>
          <w:noProof/>
          <w:sz w:val="22"/>
          <w:szCs w:val="22"/>
        </w:rPr>
      </w:pPr>
      <w:hyperlink w:anchor="_Toc459108318" w:history="1">
        <w:r w:rsidR="000E54B2" w:rsidRPr="004A0832">
          <w:rPr>
            <w:rStyle w:val="Hyperlink"/>
            <w:noProof/>
          </w:rPr>
          <w:t>11.1.4</w:t>
        </w:r>
        <w:r w:rsidR="000E54B2">
          <w:rPr>
            <w:rFonts w:asciiTheme="minorHAnsi" w:eastAsiaTheme="minorEastAsia" w:hAnsiTheme="minorHAnsi" w:cstheme="minorBidi"/>
            <w:i w:val="0"/>
            <w:noProof/>
            <w:sz w:val="22"/>
            <w:szCs w:val="22"/>
          </w:rPr>
          <w:tab/>
        </w:r>
        <w:r w:rsidR="000E54B2" w:rsidRPr="004A0832">
          <w:rPr>
            <w:rStyle w:val="Hyperlink"/>
            <w:noProof/>
          </w:rPr>
          <w:t>Outcome definition</w:t>
        </w:r>
        <w:r w:rsidR="000E54B2">
          <w:rPr>
            <w:noProof/>
            <w:webHidden/>
          </w:rPr>
          <w:tab/>
        </w:r>
        <w:r w:rsidR="000E54B2">
          <w:rPr>
            <w:noProof/>
            <w:webHidden/>
          </w:rPr>
          <w:fldChar w:fldCharType="begin"/>
        </w:r>
        <w:r w:rsidR="000E54B2">
          <w:rPr>
            <w:noProof/>
            <w:webHidden/>
          </w:rPr>
          <w:instrText xml:space="preserve"> PAGEREF _Toc459108318 \h </w:instrText>
        </w:r>
        <w:r w:rsidR="000E54B2">
          <w:rPr>
            <w:noProof/>
            <w:webHidden/>
          </w:rPr>
        </w:r>
        <w:r w:rsidR="000E54B2">
          <w:rPr>
            <w:noProof/>
            <w:webHidden/>
          </w:rPr>
          <w:fldChar w:fldCharType="separate"/>
        </w:r>
        <w:r w:rsidR="000E54B2">
          <w:rPr>
            <w:noProof/>
            <w:webHidden/>
          </w:rPr>
          <w:t>106</w:t>
        </w:r>
        <w:r w:rsidR="000E54B2">
          <w:rPr>
            <w:noProof/>
            <w:webHidden/>
          </w:rPr>
          <w:fldChar w:fldCharType="end"/>
        </w:r>
      </w:hyperlink>
    </w:p>
    <w:p w14:paraId="59F363FE" w14:textId="77777777" w:rsidR="000E54B2" w:rsidRDefault="003A31EB">
      <w:pPr>
        <w:pStyle w:val="TOC3"/>
        <w:tabs>
          <w:tab w:val="left" w:pos="1560"/>
          <w:tab w:val="right" w:leader="dot" w:pos="9017"/>
        </w:tabs>
        <w:rPr>
          <w:rFonts w:asciiTheme="minorHAnsi" w:eastAsiaTheme="minorEastAsia" w:hAnsiTheme="minorHAnsi" w:cstheme="minorBidi"/>
          <w:i w:val="0"/>
          <w:noProof/>
          <w:sz w:val="22"/>
          <w:szCs w:val="22"/>
        </w:rPr>
      </w:pPr>
      <w:hyperlink w:anchor="_Toc459108319" w:history="1">
        <w:r w:rsidR="000E54B2" w:rsidRPr="004A0832">
          <w:rPr>
            <w:rStyle w:val="Hyperlink"/>
            <w:noProof/>
          </w:rPr>
          <w:t>11.1.5</w:t>
        </w:r>
        <w:r w:rsidR="000E54B2">
          <w:rPr>
            <w:rFonts w:asciiTheme="minorHAnsi" w:eastAsiaTheme="minorEastAsia" w:hAnsiTheme="minorHAnsi" w:cstheme="minorBidi"/>
            <w:i w:val="0"/>
            <w:noProof/>
            <w:sz w:val="22"/>
            <w:szCs w:val="22"/>
          </w:rPr>
          <w:tab/>
        </w:r>
        <w:r w:rsidR="000E54B2" w:rsidRPr="004A0832">
          <w:rPr>
            <w:rStyle w:val="Hyperlink"/>
            <w:noProof/>
          </w:rPr>
          <w:t>Sample size</w:t>
        </w:r>
        <w:r w:rsidR="000E54B2">
          <w:rPr>
            <w:noProof/>
            <w:webHidden/>
          </w:rPr>
          <w:tab/>
        </w:r>
        <w:r w:rsidR="000E54B2">
          <w:rPr>
            <w:noProof/>
            <w:webHidden/>
          </w:rPr>
          <w:fldChar w:fldCharType="begin"/>
        </w:r>
        <w:r w:rsidR="000E54B2">
          <w:rPr>
            <w:noProof/>
            <w:webHidden/>
          </w:rPr>
          <w:instrText xml:space="preserve"> PAGEREF _Toc459108319 \h </w:instrText>
        </w:r>
        <w:r w:rsidR="000E54B2">
          <w:rPr>
            <w:noProof/>
            <w:webHidden/>
          </w:rPr>
        </w:r>
        <w:r w:rsidR="000E54B2">
          <w:rPr>
            <w:noProof/>
            <w:webHidden/>
          </w:rPr>
          <w:fldChar w:fldCharType="separate"/>
        </w:r>
        <w:r w:rsidR="000E54B2">
          <w:rPr>
            <w:noProof/>
            <w:webHidden/>
          </w:rPr>
          <w:t>107</w:t>
        </w:r>
        <w:r w:rsidR="000E54B2">
          <w:rPr>
            <w:noProof/>
            <w:webHidden/>
          </w:rPr>
          <w:fldChar w:fldCharType="end"/>
        </w:r>
      </w:hyperlink>
    </w:p>
    <w:p w14:paraId="694FE89A" w14:textId="77777777" w:rsidR="000E54B2" w:rsidRDefault="003A31EB">
      <w:pPr>
        <w:pStyle w:val="TOC3"/>
        <w:tabs>
          <w:tab w:val="left" w:pos="1560"/>
          <w:tab w:val="right" w:leader="dot" w:pos="9017"/>
        </w:tabs>
        <w:rPr>
          <w:rFonts w:asciiTheme="minorHAnsi" w:eastAsiaTheme="minorEastAsia" w:hAnsiTheme="minorHAnsi" w:cstheme="minorBidi"/>
          <w:i w:val="0"/>
          <w:noProof/>
          <w:sz w:val="22"/>
          <w:szCs w:val="22"/>
        </w:rPr>
      </w:pPr>
      <w:hyperlink w:anchor="_Toc459108320" w:history="1">
        <w:r w:rsidR="000E54B2" w:rsidRPr="004A0832">
          <w:rPr>
            <w:rStyle w:val="Hyperlink"/>
            <w:noProof/>
          </w:rPr>
          <w:t>11.1.6</w:t>
        </w:r>
        <w:r w:rsidR="000E54B2">
          <w:rPr>
            <w:rFonts w:asciiTheme="minorHAnsi" w:eastAsiaTheme="minorEastAsia" w:hAnsiTheme="minorHAnsi" w:cstheme="minorBidi"/>
            <w:i w:val="0"/>
            <w:noProof/>
            <w:sz w:val="22"/>
            <w:szCs w:val="22"/>
          </w:rPr>
          <w:tab/>
        </w:r>
        <w:r w:rsidR="000E54B2" w:rsidRPr="004A0832">
          <w:rPr>
            <w:rStyle w:val="Hyperlink"/>
            <w:noProof/>
          </w:rPr>
          <w:t>Study type</w:t>
        </w:r>
        <w:r w:rsidR="000E54B2">
          <w:rPr>
            <w:noProof/>
            <w:webHidden/>
          </w:rPr>
          <w:tab/>
        </w:r>
        <w:r w:rsidR="000E54B2">
          <w:rPr>
            <w:noProof/>
            <w:webHidden/>
          </w:rPr>
          <w:fldChar w:fldCharType="begin"/>
        </w:r>
        <w:r w:rsidR="000E54B2">
          <w:rPr>
            <w:noProof/>
            <w:webHidden/>
          </w:rPr>
          <w:instrText xml:space="preserve"> PAGEREF _Toc459108320 \h </w:instrText>
        </w:r>
        <w:r w:rsidR="000E54B2">
          <w:rPr>
            <w:noProof/>
            <w:webHidden/>
          </w:rPr>
        </w:r>
        <w:r w:rsidR="000E54B2">
          <w:rPr>
            <w:noProof/>
            <w:webHidden/>
          </w:rPr>
          <w:fldChar w:fldCharType="separate"/>
        </w:r>
        <w:r w:rsidR="000E54B2">
          <w:rPr>
            <w:noProof/>
            <w:webHidden/>
          </w:rPr>
          <w:t>107</w:t>
        </w:r>
        <w:r w:rsidR="000E54B2">
          <w:rPr>
            <w:noProof/>
            <w:webHidden/>
          </w:rPr>
          <w:fldChar w:fldCharType="end"/>
        </w:r>
      </w:hyperlink>
    </w:p>
    <w:p w14:paraId="399B5A46"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21" w:history="1">
        <w:r w:rsidR="000E54B2" w:rsidRPr="004A0832">
          <w:rPr>
            <w:rStyle w:val="Hyperlink"/>
            <w:noProof/>
          </w:rPr>
          <w:t>11.2</w:t>
        </w:r>
        <w:r w:rsidR="000E54B2">
          <w:rPr>
            <w:rFonts w:asciiTheme="minorHAnsi" w:eastAsiaTheme="minorEastAsia" w:hAnsiTheme="minorHAnsi" w:cstheme="minorBidi"/>
            <w:smallCaps w:val="0"/>
            <w:noProof/>
            <w:sz w:val="22"/>
            <w:szCs w:val="22"/>
          </w:rPr>
          <w:tab/>
        </w:r>
        <w:r w:rsidR="000E54B2" w:rsidRPr="004A0832">
          <w:rPr>
            <w:rStyle w:val="Hyperlink"/>
            <w:noProof/>
          </w:rPr>
          <w:t>Epidemiology studies: Results</w:t>
        </w:r>
        <w:r w:rsidR="000E54B2">
          <w:rPr>
            <w:noProof/>
            <w:webHidden/>
          </w:rPr>
          <w:tab/>
        </w:r>
        <w:r w:rsidR="000E54B2">
          <w:rPr>
            <w:noProof/>
            <w:webHidden/>
          </w:rPr>
          <w:fldChar w:fldCharType="begin"/>
        </w:r>
        <w:r w:rsidR="000E54B2">
          <w:rPr>
            <w:noProof/>
            <w:webHidden/>
          </w:rPr>
          <w:instrText xml:space="preserve"> PAGEREF _Toc459108321 \h </w:instrText>
        </w:r>
        <w:r w:rsidR="000E54B2">
          <w:rPr>
            <w:noProof/>
            <w:webHidden/>
          </w:rPr>
        </w:r>
        <w:r w:rsidR="000E54B2">
          <w:rPr>
            <w:noProof/>
            <w:webHidden/>
          </w:rPr>
          <w:fldChar w:fldCharType="separate"/>
        </w:r>
        <w:r w:rsidR="000E54B2">
          <w:rPr>
            <w:noProof/>
            <w:webHidden/>
          </w:rPr>
          <w:t>110</w:t>
        </w:r>
        <w:r w:rsidR="000E54B2">
          <w:rPr>
            <w:noProof/>
            <w:webHidden/>
          </w:rPr>
          <w:fldChar w:fldCharType="end"/>
        </w:r>
      </w:hyperlink>
    </w:p>
    <w:p w14:paraId="17E312B6" w14:textId="77777777" w:rsidR="000E54B2" w:rsidRDefault="003A31EB">
      <w:pPr>
        <w:pStyle w:val="TOC3"/>
        <w:tabs>
          <w:tab w:val="left" w:pos="1560"/>
          <w:tab w:val="right" w:leader="dot" w:pos="9017"/>
        </w:tabs>
        <w:rPr>
          <w:rFonts w:asciiTheme="minorHAnsi" w:eastAsiaTheme="minorEastAsia" w:hAnsiTheme="minorHAnsi" w:cstheme="minorBidi"/>
          <w:i w:val="0"/>
          <w:noProof/>
          <w:sz w:val="22"/>
          <w:szCs w:val="22"/>
        </w:rPr>
      </w:pPr>
      <w:hyperlink w:anchor="_Toc459108322" w:history="1">
        <w:r w:rsidR="000E54B2" w:rsidRPr="004A0832">
          <w:rPr>
            <w:rStyle w:val="Hyperlink"/>
            <w:noProof/>
          </w:rPr>
          <w:t>11.2.1</w:t>
        </w:r>
        <w:r w:rsidR="000E54B2">
          <w:rPr>
            <w:rFonts w:asciiTheme="minorHAnsi" w:eastAsiaTheme="minorEastAsia" w:hAnsiTheme="minorHAnsi" w:cstheme="minorBidi"/>
            <w:i w:val="0"/>
            <w:noProof/>
            <w:sz w:val="22"/>
            <w:szCs w:val="22"/>
          </w:rPr>
          <w:tab/>
        </w:r>
        <w:r w:rsidR="000E54B2" w:rsidRPr="004A0832">
          <w:rPr>
            <w:rStyle w:val="Hyperlink"/>
            <w:noProof/>
          </w:rPr>
          <w:t>Demographic Variables and Lifestyle</w:t>
        </w:r>
        <w:r w:rsidR="000E54B2">
          <w:rPr>
            <w:noProof/>
            <w:webHidden/>
          </w:rPr>
          <w:tab/>
        </w:r>
        <w:r w:rsidR="000E54B2">
          <w:rPr>
            <w:noProof/>
            <w:webHidden/>
          </w:rPr>
          <w:fldChar w:fldCharType="begin"/>
        </w:r>
        <w:r w:rsidR="000E54B2">
          <w:rPr>
            <w:noProof/>
            <w:webHidden/>
          </w:rPr>
          <w:instrText xml:space="preserve"> PAGEREF _Toc459108322 \h </w:instrText>
        </w:r>
        <w:r w:rsidR="000E54B2">
          <w:rPr>
            <w:noProof/>
            <w:webHidden/>
          </w:rPr>
        </w:r>
        <w:r w:rsidR="000E54B2">
          <w:rPr>
            <w:noProof/>
            <w:webHidden/>
          </w:rPr>
          <w:fldChar w:fldCharType="separate"/>
        </w:r>
        <w:r w:rsidR="000E54B2">
          <w:rPr>
            <w:noProof/>
            <w:webHidden/>
          </w:rPr>
          <w:t>110</w:t>
        </w:r>
        <w:r w:rsidR="000E54B2">
          <w:rPr>
            <w:noProof/>
            <w:webHidden/>
          </w:rPr>
          <w:fldChar w:fldCharType="end"/>
        </w:r>
      </w:hyperlink>
    </w:p>
    <w:p w14:paraId="7D519D71" w14:textId="77777777" w:rsidR="000E54B2" w:rsidRDefault="003A31EB">
      <w:pPr>
        <w:pStyle w:val="TOC3"/>
        <w:tabs>
          <w:tab w:val="left" w:pos="1560"/>
          <w:tab w:val="right" w:leader="dot" w:pos="9017"/>
        </w:tabs>
        <w:rPr>
          <w:rFonts w:asciiTheme="minorHAnsi" w:eastAsiaTheme="minorEastAsia" w:hAnsiTheme="minorHAnsi" w:cstheme="minorBidi"/>
          <w:i w:val="0"/>
          <w:noProof/>
          <w:sz w:val="22"/>
          <w:szCs w:val="22"/>
        </w:rPr>
      </w:pPr>
      <w:hyperlink w:anchor="_Toc459108323" w:history="1">
        <w:r w:rsidR="000E54B2" w:rsidRPr="004A0832">
          <w:rPr>
            <w:rStyle w:val="Hyperlink"/>
            <w:noProof/>
          </w:rPr>
          <w:t>11.2.2</w:t>
        </w:r>
        <w:r w:rsidR="000E54B2">
          <w:rPr>
            <w:rFonts w:asciiTheme="minorHAnsi" w:eastAsiaTheme="minorEastAsia" w:hAnsiTheme="minorHAnsi" w:cstheme="minorBidi"/>
            <w:i w:val="0"/>
            <w:noProof/>
            <w:sz w:val="22"/>
            <w:szCs w:val="22"/>
          </w:rPr>
          <w:tab/>
        </w:r>
        <w:r w:rsidR="000E54B2" w:rsidRPr="004A0832">
          <w:rPr>
            <w:rStyle w:val="Hyperlink"/>
            <w:noProof/>
          </w:rPr>
          <w:t>Symptoms of Parkinson’s Disease</w:t>
        </w:r>
        <w:r w:rsidR="000E54B2">
          <w:rPr>
            <w:noProof/>
            <w:webHidden/>
          </w:rPr>
          <w:tab/>
        </w:r>
        <w:r w:rsidR="000E54B2">
          <w:rPr>
            <w:noProof/>
            <w:webHidden/>
          </w:rPr>
          <w:fldChar w:fldCharType="begin"/>
        </w:r>
        <w:r w:rsidR="000E54B2">
          <w:rPr>
            <w:noProof/>
            <w:webHidden/>
          </w:rPr>
          <w:instrText xml:space="preserve"> PAGEREF _Toc459108323 \h </w:instrText>
        </w:r>
        <w:r w:rsidR="000E54B2">
          <w:rPr>
            <w:noProof/>
            <w:webHidden/>
          </w:rPr>
        </w:r>
        <w:r w:rsidR="000E54B2">
          <w:rPr>
            <w:noProof/>
            <w:webHidden/>
          </w:rPr>
          <w:fldChar w:fldCharType="separate"/>
        </w:r>
        <w:r w:rsidR="000E54B2">
          <w:rPr>
            <w:noProof/>
            <w:webHidden/>
          </w:rPr>
          <w:t>111</w:t>
        </w:r>
        <w:r w:rsidR="000E54B2">
          <w:rPr>
            <w:noProof/>
            <w:webHidden/>
          </w:rPr>
          <w:fldChar w:fldCharType="end"/>
        </w:r>
      </w:hyperlink>
    </w:p>
    <w:p w14:paraId="3F11E346" w14:textId="77777777" w:rsidR="000E54B2" w:rsidRDefault="003A31EB">
      <w:pPr>
        <w:pStyle w:val="TOC3"/>
        <w:tabs>
          <w:tab w:val="left" w:pos="1560"/>
          <w:tab w:val="right" w:leader="dot" w:pos="9017"/>
        </w:tabs>
        <w:rPr>
          <w:rFonts w:asciiTheme="minorHAnsi" w:eastAsiaTheme="minorEastAsia" w:hAnsiTheme="minorHAnsi" w:cstheme="minorBidi"/>
          <w:i w:val="0"/>
          <w:noProof/>
          <w:sz w:val="22"/>
          <w:szCs w:val="22"/>
        </w:rPr>
      </w:pPr>
      <w:hyperlink w:anchor="_Toc459108324" w:history="1">
        <w:r w:rsidR="000E54B2" w:rsidRPr="004A0832">
          <w:rPr>
            <w:rStyle w:val="Hyperlink"/>
            <w:noProof/>
          </w:rPr>
          <w:t>11.2.3</w:t>
        </w:r>
        <w:r w:rsidR="000E54B2">
          <w:rPr>
            <w:rFonts w:asciiTheme="minorHAnsi" w:eastAsiaTheme="minorEastAsia" w:hAnsiTheme="minorHAnsi" w:cstheme="minorBidi"/>
            <w:i w:val="0"/>
            <w:noProof/>
            <w:sz w:val="22"/>
            <w:szCs w:val="22"/>
          </w:rPr>
          <w:tab/>
        </w:r>
        <w:r w:rsidR="000E54B2" w:rsidRPr="004A0832">
          <w:rPr>
            <w:rStyle w:val="Hyperlink"/>
            <w:noProof/>
          </w:rPr>
          <w:t>All possible exposure to pesticides</w:t>
        </w:r>
        <w:r w:rsidR="000E54B2">
          <w:rPr>
            <w:noProof/>
            <w:webHidden/>
          </w:rPr>
          <w:tab/>
        </w:r>
        <w:r w:rsidR="000E54B2">
          <w:rPr>
            <w:noProof/>
            <w:webHidden/>
          </w:rPr>
          <w:fldChar w:fldCharType="begin"/>
        </w:r>
        <w:r w:rsidR="000E54B2">
          <w:rPr>
            <w:noProof/>
            <w:webHidden/>
          </w:rPr>
          <w:instrText xml:space="preserve"> PAGEREF _Toc459108324 \h </w:instrText>
        </w:r>
        <w:r w:rsidR="000E54B2">
          <w:rPr>
            <w:noProof/>
            <w:webHidden/>
          </w:rPr>
        </w:r>
        <w:r w:rsidR="000E54B2">
          <w:rPr>
            <w:noProof/>
            <w:webHidden/>
          </w:rPr>
          <w:fldChar w:fldCharType="separate"/>
        </w:r>
        <w:r w:rsidR="000E54B2">
          <w:rPr>
            <w:noProof/>
            <w:webHidden/>
          </w:rPr>
          <w:t>111</w:t>
        </w:r>
        <w:r w:rsidR="000E54B2">
          <w:rPr>
            <w:noProof/>
            <w:webHidden/>
          </w:rPr>
          <w:fldChar w:fldCharType="end"/>
        </w:r>
      </w:hyperlink>
    </w:p>
    <w:p w14:paraId="2C48CB93" w14:textId="77777777" w:rsidR="000E54B2" w:rsidRDefault="003A31EB">
      <w:pPr>
        <w:pStyle w:val="TOC3"/>
        <w:tabs>
          <w:tab w:val="left" w:pos="1560"/>
          <w:tab w:val="right" w:leader="dot" w:pos="9017"/>
        </w:tabs>
        <w:rPr>
          <w:rFonts w:asciiTheme="minorHAnsi" w:eastAsiaTheme="minorEastAsia" w:hAnsiTheme="minorHAnsi" w:cstheme="minorBidi"/>
          <w:i w:val="0"/>
          <w:noProof/>
          <w:sz w:val="22"/>
          <w:szCs w:val="22"/>
        </w:rPr>
      </w:pPr>
      <w:hyperlink w:anchor="_Toc459108325" w:history="1">
        <w:r w:rsidR="000E54B2" w:rsidRPr="004A0832">
          <w:rPr>
            <w:rStyle w:val="Hyperlink"/>
            <w:noProof/>
          </w:rPr>
          <w:t>11.2.4</w:t>
        </w:r>
        <w:r w:rsidR="000E54B2">
          <w:rPr>
            <w:rFonts w:asciiTheme="minorHAnsi" w:eastAsiaTheme="minorEastAsia" w:hAnsiTheme="minorHAnsi" w:cstheme="minorBidi"/>
            <w:i w:val="0"/>
            <w:noProof/>
            <w:sz w:val="22"/>
            <w:szCs w:val="22"/>
          </w:rPr>
          <w:tab/>
        </w:r>
        <w:r w:rsidR="000E54B2" w:rsidRPr="004A0832">
          <w:rPr>
            <w:rStyle w:val="Hyperlink"/>
            <w:noProof/>
          </w:rPr>
          <w:t>Exposure to specific chemicals</w:t>
        </w:r>
        <w:r w:rsidR="000E54B2">
          <w:rPr>
            <w:noProof/>
            <w:webHidden/>
          </w:rPr>
          <w:tab/>
        </w:r>
        <w:r w:rsidR="000E54B2">
          <w:rPr>
            <w:noProof/>
            <w:webHidden/>
          </w:rPr>
          <w:fldChar w:fldCharType="begin"/>
        </w:r>
        <w:r w:rsidR="000E54B2">
          <w:rPr>
            <w:noProof/>
            <w:webHidden/>
          </w:rPr>
          <w:instrText xml:space="preserve"> PAGEREF _Toc459108325 \h </w:instrText>
        </w:r>
        <w:r w:rsidR="000E54B2">
          <w:rPr>
            <w:noProof/>
            <w:webHidden/>
          </w:rPr>
        </w:r>
        <w:r w:rsidR="000E54B2">
          <w:rPr>
            <w:noProof/>
            <w:webHidden/>
          </w:rPr>
          <w:fldChar w:fldCharType="separate"/>
        </w:r>
        <w:r w:rsidR="000E54B2">
          <w:rPr>
            <w:noProof/>
            <w:webHidden/>
          </w:rPr>
          <w:t>111</w:t>
        </w:r>
        <w:r w:rsidR="000E54B2">
          <w:rPr>
            <w:noProof/>
            <w:webHidden/>
          </w:rPr>
          <w:fldChar w:fldCharType="end"/>
        </w:r>
      </w:hyperlink>
    </w:p>
    <w:p w14:paraId="7FB68364"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26" w:history="1">
        <w:r w:rsidR="000E54B2" w:rsidRPr="004A0832">
          <w:rPr>
            <w:rStyle w:val="Hyperlink"/>
            <w:noProof/>
            <w:lang w:eastAsia="en-US"/>
          </w:rPr>
          <w:t>11.3</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Epidemiology studies: Discussion</w:t>
        </w:r>
        <w:r w:rsidR="000E54B2">
          <w:rPr>
            <w:noProof/>
            <w:webHidden/>
          </w:rPr>
          <w:tab/>
        </w:r>
        <w:r w:rsidR="000E54B2">
          <w:rPr>
            <w:noProof/>
            <w:webHidden/>
          </w:rPr>
          <w:fldChar w:fldCharType="begin"/>
        </w:r>
        <w:r w:rsidR="000E54B2">
          <w:rPr>
            <w:noProof/>
            <w:webHidden/>
          </w:rPr>
          <w:instrText xml:space="preserve"> PAGEREF _Toc459108326 \h </w:instrText>
        </w:r>
        <w:r w:rsidR="000E54B2">
          <w:rPr>
            <w:noProof/>
            <w:webHidden/>
          </w:rPr>
        </w:r>
        <w:r w:rsidR="000E54B2">
          <w:rPr>
            <w:noProof/>
            <w:webHidden/>
          </w:rPr>
          <w:fldChar w:fldCharType="separate"/>
        </w:r>
        <w:r w:rsidR="000E54B2">
          <w:rPr>
            <w:noProof/>
            <w:webHidden/>
          </w:rPr>
          <w:t>112</w:t>
        </w:r>
        <w:r w:rsidR="000E54B2">
          <w:rPr>
            <w:noProof/>
            <w:webHidden/>
          </w:rPr>
          <w:fldChar w:fldCharType="end"/>
        </w:r>
      </w:hyperlink>
    </w:p>
    <w:p w14:paraId="17DB8DFD" w14:textId="77777777" w:rsidR="000E54B2" w:rsidRDefault="003A31EB">
      <w:pPr>
        <w:pStyle w:val="TOC1"/>
        <w:rPr>
          <w:rFonts w:asciiTheme="minorHAnsi" w:eastAsiaTheme="minorEastAsia" w:hAnsiTheme="minorHAnsi" w:cstheme="minorBidi"/>
          <w:b w:val="0"/>
          <w:caps w:val="0"/>
          <w:sz w:val="22"/>
          <w:szCs w:val="22"/>
        </w:rPr>
      </w:pPr>
      <w:hyperlink w:anchor="_Toc459108327" w:history="1">
        <w:r w:rsidR="000E54B2" w:rsidRPr="004A0832">
          <w:rPr>
            <w:rStyle w:val="Hyperlink"/>
          </w:rPr>
          <w:t>12</w:t>
        </w:r>
        <w:r w:rsidR="000E54B2">
          <w:rPr>
            <w:rFonts w:asciiTheme="minorHAnsi" w:eastAsiaTheme="minorEastAsia" w:hAnsiTheme="minorHAnsi" w:cstheme="minorBidi"/>
            <w:b w:val="0"/>
            <w:caps w:val="0"/>
            <w:sz w:val="22"/>
            <w:szCs w:val="22"/>
          </w:rPr>
          <w:tab/>
        </w:r>
        <w:r w:rsidR="000E54B2" w:rsidRPr="004A0832">
          <w:rPr>
            <w:rStyle w:val="Hyperlink"/>
          </w:rPr>
          <w:t>References</w:t>
        </w:r>
        <w:r w:rsidR="000E54B2">
          <w:rPr>
            <w:webHidden/>
          </w:rPr>
          <w:tab/>
        </w:r>
        <w:r w:rsidR="000E54B2">
          <w:rPr>
            <w:webHidden/>
          </w:rPr>
          <w:fldChar w:fldCharType="begin"/>
        </w:r>
        <w:r w:rsidR="000E54B2">
          <w:rPr>
            <w:webHidden/>
          </w:rPr>
          <w:instrText xml:space="preserve"> PAGEREF _Toc459108327 \h </w:instrText>
        </w:r>
        <w:r w:rsidR="000E54B2">
          <w:rPr>
            <w:webHidden/>
          </w:rPr>
        </w:r>
        <w:r w:rsidR="000E54B2">
          <w:rPr>
            <w:webHidden/>
          </w:rPr>
          <w:fldChar w:fldCharType="separate"/>
        </w:r>
        <w:r w:rsidR="000E54B2">
          <w:rPr>
            <w:webHidden/>
          </w:rPr>
          <w:t>116</w:t>
        </w:r>
        <w:r w:rsidR="000E54B2">
          <w:rPr>
            <w:webHidden/>
          </w:rPr>
          <w:fldChar w:fldCharType="end"/>
        </w:r>
      </w:hyperlink>
    </w:p>
    <w:p w14:paraId="5CE2E3B9"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28" w:history="1">
        <w:r w:rsidR="000E54B2" w:rsidRPr="004A0832">
          <w:rPr>
            <w:rStyle w:val="Hyperlink"/>
            <w:noProof/>
            <w:lang w:eastAsia="en-US"/>
          </w:rPr>
          <w:t>12.1</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Main report</w:t>
        </w:r>
        <w:r w:rsidR="000E54B2">
          <w:rPr>
            <w:noProof/>
            <w:webHidden/>
          </w:rPr>
          <w:tab/>
        </w:r>
        <w:r w:rsidR="000E54B2">
          <w:rPr>
            <w:noProof/>
            <w:webHidden/>
          </w:rPr>
          <w:fldChar w:fldCharType="begin"/>
        </w:r>
        <w:r w:rsidR="000E54B2">
          <w:rPr>
            <w:noProof/>
            <w:webHidden/>
          </w:rPr>
          <w:instrText xml:space="preserve"> PAGEREF _Toc459108328 \h </w:instrText>
        </w:r>
        <w:r w:rsidR="000E54B2">
          <w:rPr>
            <w:noProof/>
            <w:webHidden/>
          </w:rPr>
        </w:r>
        <w:r w:rsidR="000E54B2">
          <w:rPr>
            <w:noProof/>
            <w:webHidden/>
          </w:rPr>
          <w:fldChar w:fldCharType="separate"/>
        </w:r>
        <w:r w:rsidR="000E54B2">
          <w:rPr>
            <w:noProof/>
            <w:webHidden/>
          </w:rPr>
          <w:t>116</w:t>
        </w:r>
        <w:r w:rsidR="000E54B2">
          <w:rPr>
            <w:noProof/>
            <w:webHidden/>
          </w:rPr>
          <w:fldChar w:fldCharType="end"/>
        </w:r>
      </w:hyperlink>
    </w:p>
    <w:p w14:paraId="07470E9F"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29" w:history="1">
        <w:r w:rsidR="000E54B2" w:rsidRPr="004A0832">
          <w:rPr>
            <w:rStyle w:val="Hyperlink"/>
            <w:noProof/>
            <w:lang w:eastAsia="en-US"/>
          </w:rPr>
          <w:t>12.2</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References from Epidemiology Report</w:t>
        </w:r>
        <w:r w:rsidR="000E54B2">
          <w:rPr>
            <w:noProof/>
            <w:webHidden/>
          </w:rPr>
          <w:tab/>
        </w:r>
        <w:r w:rsidR="000E54B2">
          <w:rPr>
            <w:noProof/>
            <w:webHidden/>
          </w:rPr>
          <w:fldChar w:fldCharType="begin"/>
        </w:r>
        <w:r w:rsidR="000E54B2">
          <w:rPr>
            <w:noProof/>
            <w:webHidden/>
          </w:rPr>
          <w:instrText xml:space="preserve"> PAGEREF _Toc459108329 \h </w:instrText>
        </w:r>
        <w:r w:rsidR="000E54B2">
          <w:rPr>
            <w:noProof/>
            <w:webHidden/>
          </w:rPr>
        </w:r>
        <w:r w:rsidR="000E54B2">
          <w:rPr>
            <w:noProof/>
            <w:webHidden/>
          </w:rPr>
          <w:fldChar w:fldCharType="separate"/>
        </w:r>
        <w:r w:rsidR="000E54B2">
          <w:rPr>
            <w:noProof/>
            <w:webHidden/>
          </w:rPr>
          <w:t>123</w:t>
        </w:r>
        <w:r w:rsidR="000E54B2">
          <w:rPr>
            <w:noProof/>
            <w:webHidden/>
          </w:rPr>
          <w:fldChar w:fldCharType="end"/>
        </w:r>
      </w:hyperlink>
    </w:p>
    <w:p w14:paraId="4C089824"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30" w:history="1">
        <w:r w:rsidR="000E54B2" w:rsidRPr="004A0832">
          <w:rPr>
            <w:rStyle w:val="Hyperlink"/>
            <w:noProof/>
            <w:lang w:eastAsia="en-US"/>
          </w:rPr>
          <w:t>12.3</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References seen but not evaluated</w:t>
        </w:r>
        <w:r w:rsidR="000E54B2">
          <w:rPr>
            <w:noProof/>
            <w:webHidden/>
          </w:rPr>
          <w:tab/>
        </w:r>
        <w:r w:rsidR="000E54B2">
          <w:rPr>
            <w:noProof/>
            <w:webHidden/>
          </w:rPr>
          <w:fldChar w:fldCharType="begin"/>
        </w:r>
        <w:r w:rsidR="000E54B2">
          <w:rPr>
            <w:noProof/>
            <w:webHidden/>
          </w:rPr>
          <w:instrText xml:space="preserve"> PAGEREF _Toc459108330 \h </w:instrText>
        </w:r>
        <w:r w:rsidR="000E54B2">
          <w:rPr>
            <w:noProof/>
            <w:webHidden/>
          </w:rPr>
        </w:r>
        <w:r w:rsidR="000E54B2">
          <w:rPr>
            <w:noProof/>
            <w:webHidden/>
          </w:rPr>
          <w:fldChar w:fldCharType="separate"/>
        </w:r>
        <w:r w:rsidR="000E54B2">
          <w:rPr>
            <w:noProof/>
            <w:webHidden/>
          </w:rPr>
          <w:t>124</w:t>
        </w:r>
        <w:r w:rsidR="000E54B2">
          <w:rPr>
            <w:noProof/>
            <w:webHidden/>
          </w:rPr>
          <w:fldChar w:fldCharType="end"/>
        </w:r>
      </w:hyperlink>
    </w:p>
    <w:p w14:paraId="00C187A1" w14:textId="77777777" w:rsidR="000E54B2" w:rsidRDefault="003A31EB">
      <w:pPr>
        <w:pStyle w:val="TOC2"/>
        <w:tabs>
          <w:tab w:val="left" w:pos="1560"/>
          <w:tab w:val="right" w:leader="dot" w:pos="9017"/>
        </w:tabs>
        <w:rPr>
          <w:rFonts w:asciiTheme="minorHAnsi" w:eastAsiaTheme="minorEastAsia" w:hAnsiTheme="minorHAnsi" w:cstheme="minorBidi"/>
          <w:smallCaps w:val="0"/>
          <w:noProof/>
          <w:sz w:val="22"/>
          <w:szCs w:val="22"/>
        </w:rPr>
      </w:pPr>
      <w:hyperlink w:anchor="_Toc459108331" w:history="1">
        <w:r w:rsidR="000E54B2" w:rsidRPr="004A0832">
          <w:rPr>
            <w:rStyle w:val="Hyperlink"/>
            <w:noProof/>
            <w:lang w:eastAsia="en-US"/>
          </w:rPr>
          <w:t>12.4</w:t>
        </w:r>
        <w:r w:rsidR="000E54B2">
          <w:rPr>
            <w:rFonts w:asciiTheme="minorHAnsi" w:eastAsiaTheme="minorEastAsia" w:hAnsiTheme="minorHAnsi" w:cstheme="minorBidi"/>
            <w:smallCaps w:val="0"/>
            <w:noProof/>
            <w:sz w:val="22"/>
            <w:szCs w:val="22"/>
          </w:rPr>
          <w:tab/>
        </w:r>
        <w:r w:rsidR="000E54B2" w:rsidRPr="004A0832">
          <w:rPr>
            <w:rStyle w:val="Hyperlink"/>
            <w:noProof/>
            <w:lang w:eastAsia="en-US"/>
          </w:rPr>
          <w:t>Seconday citations</w:t>
        </w:r>
        <w:r w:rsidR="000E54B2">
          <w:rPr>
            <w:noProof/>
            <w:webHidden/>
          </w:rPr>
          <w:tab/>
        </w:r>
        <w:r w:rsidR="000E54B2">
          <w:rPr>
            <w:noProof/>
            <w:webHidden/>
          </w:rPr>
          <w:fldChar w:fldCharType="begin"/>
        </w:r>
        <w:r w:rsidR="000E54B2">
          <w:rPr>
            <w:noProof/>
            <w:webHidden/>
          </w:rPr>
          <w:instrText xml:space="preserve"> PAGEREF _Toc459108331 \h </w:instrText>
        </w:r>
        <w:r w:rsidR="000E54B2">
          <w:rPr>
            <w:noProof/>
            <w:webHidden/>
          </w:rPr>
        </w:r>
        <w:r w:rsidR="000E54B2">
          <w:rPr>
            <w:noProof/>
            <w:webHidden/>
          </w:rPr>
          <w:fldChar w:fldCharType="separate"/>
        </w:r>
        <w:r w:rsidR="000E54B2">
          <w:rPr>
            <w:noProof/>
            <w:webHidden/>
          </w:rPr>
          <w:t>128</w:t>
        </w:r>
        <w:r w:rsidR="000E54B2">
          <w:rPr>
            <w:noProof/>
            <w:webHidden/>
          </w:rPr>
          <w:fldChar w:fldCharType="end"/>
        </w:r>
      </w:hyperlink>
    </w:p>
    <w:p w14:paraId="1B7CEA35" w14:textId="77777777" w:rsidR="000E54B2" w:rsidRDefault="003A31EB">
      <w:pPr>
        <w:pStyle w:val="TOC1"/>
        <w:rPr>
          <w:rFonts w:asciiTheme="minorHAnsi" w:eastAsiaTheme="minorEastAsia" w:hAnsiTheme="minorHAnsi" w:cstheme="minorBidi"/>
          <w:b w:val="0"/>
          <w:caps w:val="0"/>
          <w:sz w:val="22"/>
          <w:szCs w:val="22"/>
        </w:rPr>
      </w:pPr>
      <w:hyperlink w:anchor="_Toc459108332" w:history="1">
        <w:r w:rsidR="000E54B2" w:rsidRPr="004A0832">
          <w:rPr>
            <w:rStyle w:val="Hyperlink"/>
          </w:rPr>
          <w:t>APPENDIX I</w:t>
        </w:r>
        <w:r w:rsidR="000E54B2">
          <w:rPr>
            <w:rFonts w:asciiTheme="minorHAnsi" w:eastAsiaTheme="minorEastAsia" w:hAnsiTheme="minorHAnsi" w:cstheme="minorBidi"/>
            <w:b w:val="0"/>
            <w:caps w:val="0"/>
            <w:sz w:val="22"/>
            <w:szCs w:val="22"/>
          </w:rPr>
          <w:tab/>
        </w:r>
        <w:r w:rsidR="000E54B2" w:rsidRPr="004A0832">
          <w:rPr>
            <w:rStyle w:val="Hyperlink"/>
          </w:rPr>
          <w:t>Additional Study Detail from Published Papers Discussed in this Supplement</w:t>
        </w:r>
        <w:r w:rsidR="000E54B2">
          <w:rPr>
            <w:webHidden/>
          </w:rPr>
          <w:tab/>
        </w:r>
        <w:r w:rsidR="000E54B2">
          <w:rPr>
            <w:webHidden/>
          </w:rPr>
          <w:fldChar w:fldCharType="begin"/>
        </w:r>
        <w:r w:rsidR="000E54B2">
          <w:rPr>
            <w:webHidden/>
          </w:rPr>
          <w:instrText xml:space="preserve"> PAGEREF _Toc459108332 \h </w:instrText>
        </w:r>
        <w:r w:rsidR="000E54B2">
          <w:rPr>
            <w:webHidden/>
          </w:rPr>
        </w:r>
        <w:r w:rsidR="000E54B2">
          <w:rPr>
            <w:webHidden/>
          </w:rPr>
          <w:fldChar w:fldCharType="separate"/>
        </w:r>
        <w:r w:rsidR="000E54B2">
          <w:rPr>
            <w:webHidden/>
          </w:rPr>
          <w:t>129</w:t>
        </w:r>
        <w:r w:rsidR="000E54B2">
          <w:rPr>
            <w:webHidden/>
          </w:rPr>
          <w:fldChar w:fldCharType="end"/>
        </w:r>
      </w:hyperlink>
    </w:p>
    <w:p w14:paraId="2231A802" w14:textId="77777777" w:rsidR="000E54B2" w:rsidRDefault="003A31EB">
      <w:pPr>
        <w:pStyle w:val="TOC1"/>
        <w:rPr>
          <w:rFonts w:asciiTheme="minorHAnsi" w:eastAsiaTheme="minorEastAsia" w:hAnsiTheme="minorHAnsi" w:cstheme="minorBidi"/>
          <w:b w:val="0"/>
          <w:caps w:val="0"/>
          <w:sz w:val="22"/>
          <w:szCs w:val="22"/>
        </w:rPr>
      </w:pPr>
      <w:hyperlink w:anchor="_Toc459108333" w:history="1">
        <w:r w:rsidR="000E54B2" w:rsidRPr="004A0832">
          <w:rPr>
            <w:rStyle w:val="Hyperlink"/>
          </w:rPr>
          <w:t>APPENDIX II</w:t>
        </w:r>
        <w:r w:rsidR="000E54B2">
          <w:rPr>
            <w:rFonts w:asciiTheme="minorHAnsi" w:eastAsiaTheme="minorEastAsia" w:hAnsiTheme="minorHAnsi" w:cstheme="minorBidi"/>
            <w:b w:val="0"/>
            <w:caps w:val="0"/>
            <w:sz w:val="22"/>
            <w:szCs w:val="22"/>
          </w:rPr>
          <w:tab/>
        </w:r>
        <w:r w:rsidR="000E54B2" w:rsidRPr="004A0832">
          <w:rPr>
            <w:rStyle w:val="Hyperlink"/>
          </w:rPr>
          <w:t>Additional Study Detail from Unpublished Papers Discussed in this Supplement</w:t>
        </w:r>
        <w:r w:rsidR="000E54B2">
          <w:rPr>
            <w:webHidden/>
          </w:rPr>
          <w:tab/>
        </w:r>
        <w:r w:rsidR="000E54B2">
          <w:rPr>
            <w:webHidden/>
          </w:rPr>
          <w:fldChar w:fldCharType="begin"/>
        </w:r>
        <w:r w:rsidR="000E54B2">
          <w:rPr>
            <w:webHidden/>
          </w:rPr>
          <w:instrText xml:space="preserve"> PAGEREF _Toc459108333 \h </w:instrText>
        </w:r>
        <w:r w:rsidR="000E54B2">
          <w:rPr>
            <w:webHidden/>
          </w:rPr>
        </w:r>
        <w:r w:rsidR="000E54B2">
          <w:rPr>
            <w:webHidden/>
          </w:rPr>
          <w:fldChar w:fldCharType="separate"/>
        </w:r>
        <w:r w:rsidR="000E54B2">
          <w:rPr>
            <w:webHidden/>
          </w:rPr>
          <w:t>149</w:t>
        </w:r>
        <w:r w:rsidR="000E54B2">
          <w:rPr>
            <w:webHidden/>
          </w:rPr>
          <w:fldChar w:fldCharType="end"/>
        </w:r>
      </w:hyperlink>
    </w:p>
    <w:p w14:paraId="66070EE8" w14:textId="77777777" w:rsidR="000E54B2" w:rsidRDefault="003A31EB">
      <w:pPr>
        <w:pStyle w:val="TOC1"/>
        <w:rPr>
          <w:rFonts w:asciiTheme="minorHAnsi" w:eastAsiaTheme="minorEastAsia" w:hAnsiTheme="minorHAnsi" w:cstheme="minorBidi"/>
          <w:b w:val="0"/>
          <w:caps w:val="0"/>
          <w:sz w:val="22"/>
          <w:szCs w:val="22"/>
        </w:rPr>
      </w:pPr>
      <w:hyperlink w:anchor="_Toc459108334" w:history="1">
        <w:r w:rsidR="000E54B2" w:rsidRPr="004A0832">
          <w:rPr>
            <w:rStyle w:val="Hyperlink"/>
          </w:rPr>
          <w:t>APPENDIX III</w:t>
        </w:r>
        <w:r w:rsidR="000E54B2">
          <w:rPr>
            <w:rFonts w:asciiTheme="minorHAnsi" w:eastAsiaTheme="minorEastAsia" w:hAnsiTheme="minorHAnsi" w:cstheme="minorBidi"/>
            <w:b w:val="0"/>
            <w:caps w:val="0"/>
            <w:sz w:val="22"/>
            <w:szCs w:val="22"/>
          </w:rPr>
          <w:tab/>
        </w:r>
        <w:r w:rsidR="000E54B2" w:rsidRPr="004A0832">
          <w:rPr>
            <w:rStyle w:val="Hyperlink"/>
          </w:rPr>
          <w:t>Published Studies Not Relied On</w:t>
        </w:r>
        <w:r w:rsidR="000E54B2">
          <w:rPr>
            <w:webHidden/>
          </w:rPr>
          <w:tab/>
        </w:r>
        <w:r w:rsidR="000E54B2">
          <w:rPr>
            <w:webHidden/>
          </w:rPr>
          <w:fldChar w:fldCharType="begin"/>
        </w:r>
        <w:r w:rsidR="000E54B2">
          <w:rPr>
            <w:webHidden/>
          </w:rPr>
          <w:instrText xml:space="preserve"> PAGEREF _Toc459108334 \h </w:instrText>
        </w:r>
        <w:r w:rsidR="000E54B2">
          <w:rPr>
            <w:webHidden/>
          </w:rPr>
        </w:r>
        <w:r w:rsidR="000E54B2">
          <w:rPr>
            <w:webHidden/>
          </w:rPr>
          <w:fldChar w:fldCharType="separate"/>
        </w:r>
        <w:r w:rsidR="000E54B2">
          <w:rPr>
            <w:webHidden/>
          </w:rPr>
          <w:t>160</w:t>
        </w:r>
        <w:r w:rsidR="000E54B2">
          <w:rPr>
            <w:webHidden/>
          </w:rPr>
          <w:fldChar w:fldCharType="end"/>
        </w:r>
      </w:hyperlink>
    </w:p>
    <w:p w14:paraId="7A86CD4F" w14:textId="77777777" w:rsidR="002B2CFC" w:rsidRPr="002B2CFC" w:rsidRDefault="00897462" w:rsidP="002B2CFC">
      <w:pPr>
        <w:rPr>
          <w:szCs w:val="24"/>
          <w:lang w:eastAsia="en-US"/>
        </w:rPr>
      </w:pPr>
      <w:r w:rsidRPr="002B2CFC">
        <w:rPr>
          <w:szCs w:val="24"/>
          <w:lang w:eastAsia="en-US"/>
        </w:rPr>
        <w:fldChar w:fldCharType="end"/>
      </w:r>
    </w:p>
    <w:p w14:paraId="207F3E12" w14:textId="77777777" w:rsidR="002B2CFC" w:rsidRPr="002B2CFC" w:rsidRDefault="002B2CFC" w:rsidP="002B2CFC">
      <w:pPr>
        <w:rPr>
          <w:szCs w:val="24"/>
          <w:lang w:eastAsia="en-US"/>
        </w:rPr>
      </w:pPr>
    </w:p>
    <w:p w14:paraId="4C7D0172" w14:textId="77777777" w:rsidR="002B2CFC" w:rsidRPr="002B2CFC" w:rsidRDefault="002B2CFC" w:rsidP="002B2CFC">
      <w:pPr>
        <w:tabs>
          <w:tab w:val="left" w:pos="1"/>
          <w:tab w:val="left" w:pos="576"/>
          <w:tab w:val="left" w:pos="1296"/>
          <w:tab w:val="left" w:pos="2016"/>
          <w:tab w:val="left" w:pos="2736"/>
          <w:tab w:val="left" w:pos="5616"/>
          <w:tab w:val="right" w:pos="9216"/>
        </w:tabs>
        <w:spacing w:line="279" w:lineRule="exact"/>
        <w:jc w:val="center"/>
        <w:rPr>
          <w:szCs w:val="24"/>
          <w:lang w:val="en-US" w:eastAsia="en-US"/>
        </w:rPr>
      </w:pPr>
      <w:r w:rsidRPr="002B2CFC">
        <w:rPr>
          <w:szCs w:val="24"/>
          <w:lang w:val="en-US" w:eastAsia="en-US"/>
        </w:rPr>
        <w:br w:type="page"/>
      </w:r>
    </w:p>
    <w:p w14:paraId="538E91BE" w14:textId="0A618A42" w:rsidR="0084215F" w:rsidRPr="003E662D" w:rsidRDefault="002B2CFC" w:rsidP="0084215F">
      <w:pPr>
        <w:pStyle w:val="Heading1"/>
        <w:jc w:val="left"/>
      </w:pPr>
      <w:bookmarkStart w:id="6" w:name="_Toc275178979"/>
      <w:bookmarkStart w:id="7" w:name="_Toc459108269"/>
      <w:r w:rsidRPr="002B2CFC">
        <w:lastRenderedPageBreak/>
        <w:t>Executive Summary</w:t>
      </w:r>
      <w:bookmarkEnd w:id="6"/>
      <w:bookmarkEnd w:id="7"/>
    </w:p>
    <w:p w14:paraId="1F7A1572" w14:textId="35EDBFB1" w:rsidR="00923076" w:rsidRPr="002B2CFC" w:rsidRDefault="00923076" w:rsidP="00CE5FD2">
      <w:pPr>
        <w:rPr>
          <w:szCs w:val="24"/>
          <w:lang w:val="en-US" w:eastAsia="en-US"/>
        </w:rPr>
      </w:pPr>
      <w:bookmarkStart w:id="8" w:name="_Toc278288441"/>
      <w:bookmarkStart w:id="9" w:name="_Toc278288442"/>
      <w:bookmarkStart w:id="10" w:name="_Toc278288443"/>
      <w:bookmarkStart w:id="11" w:name="_Toc278288445"/>
      <w:bookmarkEnd w:id="8"/>
      <w:bookmarkEnd w:id="9"/>
      <w:bookmarkEnd w:id="10"/>
      <w:bookmarkEnd w:id="11"/>
      <w:r w:rsidRPr="002B2CFC">
        <w:rPr>
          <w:szCs w:val="24"/>
          <w:lang w:val="en-US" w:eastAsia="en-US"/>
        </w:rPr>
        <w:t xml:space="preserve">In </w:t>
      </w:r>
      <w:r w:rsidR="00D628E8">
        <w:rPr>
          <w:szCs w:val="24"/>
          <w:lang w:val="en-US" w:eastAsia="en-US"/>
        </w:rPr>
        <w:t>a</w:t>
      </w:r>
      <w:r w:rsidRPr="002B2CFC">
        <w:rPr>
          <w:szCs w:val="24"/>
          <w:lang w:val="en-US" w:eastAsia="en-US"/>
        </w:rPr>
        <w:t xml:space="preserve"> </w:t>
      </w:r>
      <w:r w:rsidR="00D628E8">
        <w:rPr>
          <w:szCs w:val="24"/>
          <w:lang w:val="en-US" w:eastAsia="en-US"/>
        </w:rPr>
        <w:t xml:space="preserve">2009 </w:t>
      </w:r>
      <w:r w:rsidRPr="002B2CFC">
        <w:rPr>
          <w:szCs w:val="24"/>
          <w:lang w:val="en-US" w:eastAsia="en-US"/>
        </w:rPr>
        <w:t xml:space="preserve">draft </w:t>
      </w:r>
      <w:r w:rsidR="005A71DC">
        <w:rPr>
          <w:szCs w:val="24"/>
          <w:lang w:val="en-US" w:eastAsia="en-US"/>
        </w:rPr>
        <w:t xml:space="preserve">toxicology review </w:t>
      </w:r>
      <w:r w:rsidRPr="002B2CFC">
        <w:rPr>
          <w:szCs w:val="24"/>
          <w:lang w:val="en-US" w:eastAsia="en-US"/>
        </w:rPr>
        <w:t>report</w:t>
      </w:r>
      <w:r w:rsidR="00D628E8">
        <w:rPr>
          <w:szCs w:val="24"/>
          <w:lang w:val="en-US" w:eastAsia="en-US"/>
        </w:rPr>
        <w:t xml:space="preserve"> on paraquat</w:t>
      </w:r>
      <w:r w:rsidRPr="002B2CFC">
        <w:rPr>
          <w:szCs w:val="24"/>
          <w:lang w:val="en-US" w:eastAsia="en-US"/>
        </w:rPr>
        <w:t xml:space="preserve">, the OCS identified a potential </w:t>
      </w:r>
      <w:r w:rsidR="00FA6670">
        <w:rPr>
          <w:szCs w:val="24"/>
          <w:lang w:val="en-US" w:eastAsia="en-US"/>
        </w:rPr>
        <w:t xml:space="preserve">issue </w:t>
      </w:r>
      <w:r w:rsidRPr="002B2CFC">
        <w:rPr>
          <w:szCs w:val="24"/>
          <w:lang w:val="en-US" w:eastAsia="en-US"/>
        </w:rPr>
        <w:t xml:space="preserve">regarding </w:t>
      </w:r>
      <w:r w:rsidR="00FA6670">
        <w:rPr>
          <w:szCs w:val="24"/>
          <w:lang w:val="en-US" w:eastAsia="en-US"/>
        </w:rPr>
        <w:t>published</w:t>
      </w:r>
      <w:r w:rsidR="00FA6670" w:rsidRPr="002B2CFC">
        <w:rPr>
          <w:szCs w:val="24"/>
          <w:lang w:val="en-US" w:eastAsia="en-US"/>
        </w:rPr>
        <w:t xml:space="preserve"> </w:t>
      </w:r>
      <w:r w:rsidRPr="002B2CFC">
        <w:rPr>
          <w:szCs w:val="24"/>
          <w:lang w:val="en-US" w:eastAsia="en-US"/>
        </w:rPr>
        <w:t xml:space="preserve">reports of neurotoxicity in mice following treatment with paraquat where histological lesions in the </w:t>
      </w:r>
      <w:r w:rsidR="0030423B">
        <w:rPr>
          <w:szCs w:val="24"/>
          <w:lang w:val="en-US" w:eastAsia="en-US"/>
        </w:rPr>
        <w:t xml:space="preserve">brain </w:t>
      </w:r>
      <w:r w:rsidRPr="002B2CFC">
        <w:rPr>
          <w:szCs w:val="24"/>
          <w:lang w:val="en-US" w:eastAsia="en-US"/>
        </w:rPr>
        <w:t xml:space="preserve">had </w:t>
      </w:r>
      <w:r w:rsidR="00FA6670">
        <w:rPr>
          <w:szCs w:val="24"/>
          <w:lang w:val="en-US" w:eastAsia="en-US"/>
        </w:rPr>
        <w:t xml:space="preserve">some </w:t>
      </w:r>
      <w:r w:rsidRPr="002B2CFC">
        <w:rPr>
          <w:szCs w:val="24"/>
          <w:lang w:val="en-US" w:eastAsia="en-US"/>
        </w:rPr>
        <w:t xml:space="preserve">similarities </w:t>
      </w:r>
      <w:r w:rsidR="00FA6670">
        <w:rPr>
          <w:szCs w:val="24"/>
          <w:lang w:val="en-US" w:eastAsia="en-US"/>
        </w:rPr>
        <w:t>with</w:t>
      </w:r>
      <w:r w:rsidR="00FA6670" w:rsidRPr="002B2CFC">
        <w:rPr>
          <w:szCs w:val="24"/>
          <w:lang w:val="en-US" w:eastAsia="en-US"/>
        </w:rPr>
        <w:t xml:space="preserve"> </w:t>
      </w:r>
      <w:r w:rsidRPr="002B2CFC">
        <w:rPr>
          <w:szCs w:val="24"/>
          <w:lang w:val="en-US" w:eastAsia="en-US"/>
        </w:rPr>
        <w:t xml:space="preserve">neurological </w:t>
      </w:r>
      <w:r w:rsidR="00FA6670">
        <w:rPr>
          <w:szCs w:val="24"/>
          <w:lang w:val="en-US" w:eastAsia="en-US"/>
        </w:rPr>
        <w:t>changes</w:t>
      </w:r>
      <w:r w:rsidR="00FA6670" w:rsidRPr="002B2CFC">
        <w:rPr>
          <w:szCs w:val="24"/>
          <w:lang w:val="en-US" w:eastAsia="en-US"/>
        </w:rPr>
        <w:t xml:space="preserve"> </w:t>
      </w:r>
      <w:r w:rsidRPr="002B2CFC">
        <w:rPr>
          <w:szCs w:val="24"/>
          <w:lang w:val="en-US" w:eastAsia="en-US"/>
        </w:rPr>
        <w:t xml:space="preserve">observed in patients with Parkinson’s disease. </w:t>
      </w:r>
      <w:r w:rsidR="00FA6670">
        <w:rPr>
          <w:szCs w:val="24"/>
          <w:lang w:val="en-US" w:eastAsia="en-US"/>
        </w:rPr>
        <w:t>P</w:t>
      </w:r>
      <w:r w:rsidRPr="002B2CFC">
        <w:rPr>
          <w:szCs w:val="24"/>
          <w:lang w:val="en-US" w:eastAsia="en-US"/>
        </w:rPr>
        <w:t xml:space="preserve">revious </w:t>
      </w:r>
      <w:r w:rsidR="00FA6670" w:rsidRPr="002B2CFC">
        <w:rPr>
          <w:szCs w:val="24"/>
          <w:lang w:val="en-US" w:eastAsia="en-US"/>
        </w:rPr>
        <w:t>toxicolog</w:t>
      </w:r>
      <w:r w:rsidR="00FA6670">
        <w:rPr>
          <w:szCs w:val="24"/>
          <w:lang w:val="en-US" w:eastAsia="en-US"/>
        </w:rPr>
        <w:t>ical</w:t>
      </w:r>
      <w:r w:rsidR="00FA6670" w:rsidRPr="002B2CFC">
        <w:rPr>
          <w:szCs w:val="24"/>
          <w:lang w:val="en-US" w:eastAsia="en-US"/>
        </w:rPr>
        <w:t xml:space="preserve"> </w:t>
      </w:r>
      <w:r w:rsidRPr="002B2CFC">
        <w:rPr>
          <w:szCs w:val="24"/>
          <w:lang w:val="en-US" w:eastAsia="en-US"/>
        </w:rPr>
        <w:t xml:space="preserve">evaluations of paraquat </w:t>
      </w:r>
      <w:r w:rsidR="00FA6670">
        <w:rPr>
          <w:szCs w:val="24"/>
          <w:lang w:val="en-US" w:eastAsia="en-US"/>
        </w:rPr>
        <w:t>have identified</w:t>
      </w:r>
      <w:r w:rsidR="00FA6670" w:rsidRPr="002B2CFC">
        <w:rPr>
          <w:szCs w:val="24"/>
          <w:lang w:val="en-US" w:eastAsia="en-US"/>
        </w:rPr>
        <w:t xml:space="preserve"> </w:t>
      </w:r>
      <w:r w:rsidRPr="002B2CFC">
        <w:rPr>
          <w:szCs w:val="24"/>
          <w:lang w:val="en-US" w:eastAsia="en-US"/>
        </w:rPr>
        <w:t xml:space="preserve">lesions in </w:t>
      </w:r>
      <w:r w:rsidR="00FA6670">
        <w:rPr>
          <w:szCs w:val="24"/>
          <w:lang w:val="en-US" w:eastAsia="en-US"/>
        </w:rPr>
        <w:t xml:space="preserve">the </w:t>
      </w:r>
      <w:r w:rsidRPr="002B2CFC">
        <w:rPr>
          <w:szCs w:val="24"/>
          <w:lang w:val="en-US" w:eastAsia="en-US"/>
        </w:rPr>
        <w:t>lung</w:t>
      </w:r>
      <w:r w:rsidR="00FA6670">
        <w:rPr>
          <w:szCs w:val="24"/>
          <w:lang w:val="en-US" w:eastAsia="en-US"/>
        </w:rPr>
        <w:t>s</w:t>
      </w:r>
      <w:r w:rsidRPr="002B2CFC">
        <w:rPr>
          <w:szCs w:val="24"/>
          <w:lang w:val="en-US" w:eastAsia="en-US"/>
        </w:rPr>
        <w:t xml:space="preserve"> as the </w:t>
      </w:r>
      <w:r w:rsidR="00FA6670">
        <w:rPr>
          <w:szCs w:val="24"/>
          <w:lang w:val="en-US" w:eastAsia="en-US"/>
        </w:rPr>
        <w:t xml:space="preserve">most sensitive </w:t>
      </w:r>
      <w:r w:rsidR="00D7583C" w:rsidRPr="002B2CFC">
        <w:rPr>
          <w:szCs w:val="24"/>
          <w:lang w:val="en-US" w:eastAsia="en-US"/>
        </w:rPr>
        <w:t>toxic</w:t>
      </w:r>
      <w:r w:rsidR="00D7583C">
        <w:rPr>
          <w:szCs w:val="24"/>
          <w:lang w:val="en-US" w:eastAsia="en-US"/>
        </w:rPr>
        <w:t>ological</w:t>
      </w:r>
      <w:r w:rsidR="00D7583C" w:rsidRPr="002B2CFC">
        <w:rPr>
          <w:szCs w:val="24"/>
          <w:lang w:val="en-US" w:eastAsia="en-US"/>
        </w:rPr>
        <w:t xml:space="preserve"> </w:t>
      </w:r>
      <w:r w:rsidRPr="002B2CFC">
        <w:rPr>
          <w:szCs w:val="24"/>
          <w:lang w:val="en-US" w:eastAsia="en-US"/>
        </w:rPr>
        <w:t>endpoint</w:t>
      </w:r>
      <w:r w:rsidR="0060690D">
        <w:rPr>
          <w:szCs w:val="24"/>
          <w:lang w:val="en-US" w:eastAsia="en-US"/>
        </w:rPr>
        <w:t xml:space="preserve">, </w:t>
      </w:r>
      <w:r w:rsidR="00FA6670">
        <w:rPr>
          <w:szCs w:val="24"/>
          <w:lang w:val="en-US" w:eastAsia="en-US"/>
        </w:rPr>
        <w:t>which ha</w:t>
      </w:r>
      <w:r w:rsidR="0060690D">
        <w:rPr>
          <w:szCs w:val="24"/>
          <w:lang w:val="en-US" w:eastAsia="en-US"/>
        </w:rPr>
        <w:t>s</w:t>
      </w:r>
      <w:r w:rsidR="00FA6670">
        <w:rPr>
          <w:szCs w:val="24"/>
          <w:lang w:val="en-US" w:eastAsia="en-US"/>
        </w:rPr>
        <w:t xml:space="preserve"> been </w:t>
      </w:r>
      <w:r w:rsidR="0060690D">
        <w:rPr>
          <w:szCs w:val="24"/>
          <w:lang w:val="en-US" w:eastAsia="en-US"/>
        </w:rPr>
        <w:t xml:space="preserve">used </w:t>
      </w:r>
      <w:r w:rsidR="00236FA3">
        <w:rPr>
          <w:szCs w:val="24"/>
          <w:lang w:val="en-US" w:eastAsia="en-US"/>
        </w:rPr>
        <w:t>to establish</w:t>
      </w:r>
      <w:r w:rsidR="0060690D">
        <w:rPr>
          <w:szCs w:val="24"/>
          <w:lang w:val="en-US" w:eastAsia="en-US"/>
        </w:rPr>
        <w:t xml:space="preserve"> health-based guidance values</w:t>
      </w:r>
      <w:r w:rsidRPr="002B2CFC">
        <w:rPr>
          <w:szCs w:val="24"/>
          <w:lang w:val="en-US" w:eastAsia="en-US"/>
        </w:rPr>
        <w:t xml:space="preserve">. This </w:t>
      </w:r>
      <w:r w:rsidR="00D628E8">
        <w:rPr>
          <w:szCs w:val="24"/>
          <w:lang w:val="en-US" w:eastAsia="en-US"/>
        </w:rPr>
        <w:t xml:space="preserve">supplementary </w:t>
      </w:r>
      <w:r w:rsidRPr="002B2CFC">
        <w:rPr>
          <w:szCs w:val="24"/>
          <w:lang w:val="en-US" w:eastAsia="en-US"/>
        </w:rPr>
        <w:t xml:space="preserve">report examines the </w:t>
      </w:r>
      <w:r w:rsidR="00D7583C">
        <w:rPr>
          <w:szCs w:val="24"/>
          <w:lang w:val="en-US" w:eastAsia="en-US"/>
        </w:rPr>
        <w:t xml:space="preserve">available </w:t>
      </w:r>
      <w:r w:rsidRPr="002B2CFC">
        <w:rPr>
          <w:szCs w:val="24"/>
          <w:lang w:val="en-US" w:eastAsia="en-US"/>
        </w:rPr>
        <w:t xml:space="preserve">data </w:t>
      </w:r>
      <w:r w:rsidR="00563F4C">
        <w:rPr>
          <w:szCs w:val="24"/>
          <w:lang w:val="en-US" w:eastAsia="en-US"/>
        </w:rPr>
        <w:t xml:space="preserve">and </w:t>
      </w:r>
      <w:r w:rsidR="00D7583C">
        <w:rPr>
          <w:szCs w:val="24"/>
          <w:lang w:val="en-US" w:eastAsia="en-US"/>
        </w:rPr>
        <w:t xml:space="preserve">provides </w:t>
      </w:r>
      <w:r w:rsidRPr="002B2CFC">
        <w:rPr>
          <w:szCs w:val="24"/>
          <w:lang w:val="en-US" w:eastAsia="en-US"/>
        </w:rPr>
        <w:t xml:space="preserve">conclusions based on a </w:t>
      </w:r>
      <w:r w:rsidR="0060690D" w:rsidRPr="002B2CFC">
        <w:rPr>
          <w:szCs w:val="24"/>
          <w:lang w:val="en-US" w:eastAsia="en-US"/>
        </w:rPr>
        <w:t>weight</w:t>
      </w:r>
      <w:r w:rsidR="0060690D">
        <w:rPr>
          <w:szCs w:val="24"/>
          <w:lang w:val="en-US" w:eastAsia="en-US"/>
        </w:rPr>
        <w:t>-</w:t>
      </w:r>
      <w:r w:rsidR="0060690D" w:rsidRPr="002B2CFC">
        <w:rPr>
          <w:szCs w:val="24"/>
          <w:lang w:val="en-US" w:eastAsia="en-US"/>
        </w:rPr>
        <w:t>of</w:t>
      </w:r>
      <w:r w:rsidR="0060690D">
        <w:rPr>
          <w:szCs w:val="24"/>
          <w:lang w:val="en-US" w:eastAsia="en-US"/>
        </w:rPr>
        <w:t>-</w:t>
      </w:r>
      <w:r w:rsidRPr="002B2CFC">
        <w:rPr>
          <w:szCs w:val="24"/>
          <w:lang w:val="en-US" w:eastAsia="en-US"/>
        </w:rPr>
        <w:t xml:space="preserve">evidence assessment of </w:t>
      </w:r>
      <w:r w:rsidR="00D7583C">
        <w:rPr>
          <w:szCs w:val="24"/>
          <w:lang w:val="en-US" w:eastAsia="en-US"/>
        </w:rPr>
        <w:t>relevant studies</w:t>
      </w:r>
      <w:r w:rsidRPr="002B2CFC">
        <w:rPr>
          <w:szCs w:val="24"/>
          <w:lang w:val="en-US" w:eastAsia="en-US"/>
        </w:rPr>
        <w:t xml:space="preserve">. </w:t>
      </w:r>
      <w:r w:rsidR="00C77DED">
        <w:rPr>
          <w:szCs w:val="24"/>
          <w:lang w:val="en-US" w:eastAsia="en-US"/>
        </w:rPr>
        <w:t>In this regard, t</w:t>
      </w:r>
      <w:r w:rsidR="00C77DED" w:rsidRPr="002B2CFC">
        <w:rPr>
          <w:szCs w:val="24"/>
          <w:lang w:val="en-US" w:eastAsia="en-US"/>
        </w:rPr>
        <w:t>he substantial</w:t>
      </w:r>
      <w:r w:rsidR="00C77DED">
        <w:rPr>
          <w:szCs w:val="24"/>
          <w:lang w:val="en-US" w:eastAsia="en-US"/>
        </w:rPr>
        <w:t xml:space="preserve"> unpublished</w:t>
      </w:r>
      <w:r w:rsidR="00C77DED" w:rsidRPr="002B2CFC">
        <w:rPr>
          <w:szCs w:val="24"/>
          <w:lang w:val="en-US" w:eastAsia="en-US"/>
        </w:rPr>
        <w:t xml:space="preserve"> </w:t>
      </w:r>
      <w:r w:rsidR="0060690D" w:rsidRPr="002B2CFC">
        <w:rPr>
          <w:szCs w:val="24"/>
          <w:lang w:val="en-US" w:eastAsia="en-US"/>
        </w:rPr>
        <w:t>toxicolog</w:t>
      </w:r>
      <w:r w:rsidR="0060690D">
        <w:rPr>
          <w:szCs w:val="24"/>
          <w:lang w:val="en-US" w:eastAsia="en-US"/>
        </w:rPr>
        <w:t>ical</w:t>
      </w:r>
      <w:r w:rsidR="0060690D" w:rsidRPr="002B2CFC">
        <w:rPr>
          <w:szCs w:val="24"/>
          <w:lang w:val="en-US" w:eastAsia="en-US"/>
        </w:rPr>
        <w:t xml:space="preserve"> </w:t>
      </w:r>
      <w:r w:rsidR="00C77DED" w:rsidRPr="002B2CFC">
        <w:rPr>
          <w:szCs w:val="24"/>
          <w:lang w:val="en-US" w:eastAsia="en-US"/>
        </w:rPr>
        <w:t xml:space="preserve">database on experimental animals was augmented by recent developments in the methodology for observing/quantifying </w:t>
      </w:r>
      <w:r w:rsidR="002D5C14">
        <w:rPr>
          <w:szCs w:val="24"/>
          <w:lang w:val="en-US" w:eastAsia="en-US"/>
        </w:rPr>
        <w:t>neurological</w:t>
      </w:r>
      <w:r w:rsidR="00C77DED" w:rsidRPr="002B2CFC">
        <w:rPr>
          <w:szCs w:val="24"/>
          <w:lang w:val="en-US" w:eastAsia="en-US"/>
        </w:rPr>
        <w:t xml:space="preserve"> </w:t>
      </w:r>
      <w:r w:rsidR="00E73ED5">
        <w:rPr>
          <w:szCs w:val="24"/>
          <w:lang w:val="en-US" w:eastAsia="en-US"/>
        </w:rPr>
        <w:t>damage</w:t>
      </w:r>
      <w:r w:rsidR="0060690D">
        <w:rPr>
          <w:szCs w:val="24"/>
          <w:lang w:val="en-US" w:eastAsia="en-US"/>
        </w:rPr>
        <w:t>,</w:t>
      </w:r>
      <w:r w:rsidR="00C77DED" w:rsidRPr="002B2CFC">
        <w:rPr>
          <w:szCs w:val="24"/>
          <w:lang w:val="en-US" w:eastAsia="en-US"/>
        </w:rPr>
        <w:t xml:space="preserve"> which </w:t>
      </w:r>
      <w:r w:rsidR="0060690D" w:rsidRPr="002B2CFC">
        <w:rPr>
          <w:szCs w:val="24"/>
          <w:lang w:val="en-US" w:eastAsia="en-US"/>
        </w:rPr>
        <w:t>ha</w:t>
      </w:r>
      <w:r w:rsidR="0060690D">
        <w:rPr>
          <w:szCs w:val="24"/>
          <w:lang w:val="en-US" w:eastAsia="en-US"/>
        </w:rPr>
        <w:t>s</w:t>
      </w:r>
      <w:r w:rsidR="0060690D" w:rsidRPr="002B2CFC">
        <w:rPr>
          <w:szCs w:val="24"/>
          <w:lang w:val="en-US" w:eastAsia="en-US"/>
        </w:rPr>
        <w:t xml:space="preserve"> </w:t>
      </w:r>
      <w:r w:rsidR="0060690D">
        <w:rPr>
          <w:szCs w:val="24"/>
          <w:lang w:val="en-US" w:eastAsia="en-US"/>
        </w:rPr>
        <w:t>provided a much clearer picture of the neurotoxicity potential of paraquat</w:t>
      </w:r>
      <w:r w:rsidR="00C77DED" w:rsidRPr="002B2CFC">
        <w:rPr>
          <w:szCs w:val="24"/>
          <w:lang w:val="en-US" w:eastAsia="en-US"/>
        </w:rPr>
        <w:t>.</w:t>
      </w:r>
    </w:p>
    <w:p w14:paraId="29956DB6" w14:textId="77777777" w:rsidR="00923076" w:rsidRPr="002B2CFC" w:rsidRDefault="00923076" w:rsidP="00CE5FD2">
      <w:pPr>
        <w:rPr>
          <w:szCs w:val="24"/>
          <w:lang w:val="en-US" w:eastAsia="en-US"/>
        </w:rPr>
      </w:pPr>
    </w:p>
    <w:p w14:paraId="38751D50" w14:textId="4F3D43AD" w:rsidR="00923076" w:rsidRPr="002B2CFC" w:rsidRDefault="00D628E8" w:rsidP="00CE5FD2">
      <w:pPr>
        <w:rPr>
          <w:szCs w:val="24"/>
          <w:lang w:eastAsia="en-US"/>
        </w:rPr>
      </w:pPr>
      <w:r>
        <w:t>Paraquat is structurally similar to the known dopaminergic neurotoxicant 1-methyl-4-phenyl-1,2,3,6-tetrahyropyridine (MPTP)</w:t>
      </w:r>
      <w:r w:rsidR="00AD155C">
        <w:t xml:space="preserve"> and </w:t>
      </w:r>
      <w:r w:rsidR="0083689C">
        <w:t>consequently</w:t>
      </w:r>
      <w:r>
        <w:t xml:space="preserve">, paraquat has </w:t>
      </w:r>
      <w:r w:rsidR="004226B4">
        <w:t xml:space="preserve">previously </w:t>
      </w:r>
      <w:r>
        <w:t xml:space="preserve">been </w:t>
      </w:r>
      <w:r w:rsidR="0044641F">
        <w:t xml:space="preserve">hypothesised </w:t>
      </w:r>
      <w:r>
        <w:t>as a possible etiological factor in Parkinson’s disease</w:t>
      </w:r>
      <w:r w:rsidR="00AD155C">
        <w:t xml:space="preserve">. </w:t>
      </w:r>
      <w:r w:rsidR="00923076" w:rsidRPr="002B2CFC">
        <w:rPr>
          <w:szCs w:val="24"/>
          <w:lang w:val="en-US" w:eastAsia="en-US"/>
        </w:rPr>
        <w:t xml:space="preserve">There are </w:t>
      </w:r>
      <w:r w:rsidR="00563F4C">
        <w:rPr>
          <w:szCs w:val="24"/>
          <w:lang w:val="en-US" w:eastAsia="en-US"/>
        </w:rPr>
        <w:t xml:space="preserve">various </w:t>
      </w:r>
      <w:r w:rsidR="00923076" w:rsidRPr="002B2CFC">
        <w:rPr>
          <w:szCs w:val="24"/>
          <w:lang w:val="en-US" w:eastAsia="en-US"/>
        </w:rPr>
        <w:t>epidemiology studies which investigate</w:t>
      </w:r>
      <w:r w:rsidR="00563F4C">
        <w:rPr>
          <w:szCs w:val="24"/>
          <w:lang w:val="en-US" w:eastAsia="en-US"/>
        </w:rPr>
        <w:t>d</w:t>
      </w:r>
      <w:r w:rsidR="00923076" w:rsidRPr="002B2CFC">
        <w:rPr>
          <w:szCs w:val="24"/>
          <w:lang w:val="en-US" w:eastAsia="en-US"/>
        </w:rPr>
        <w:t xml:space="preserve"> the potential link between the the use of paraquat or other pesticides</w:t>
      </w:r>
      <w:r w:rsidR="00563F4C">
        <w:rPr>
          <w:szCs w:val="24"/>
          <w:lang w:val="en-US" w:eastAsia="en-US"/>
        </w:rPr>
        <w:t xml:space="preserve"> and the development of Parkinson’s</w:t>
      </w:r>
      <w:r w:rsidR="003E6A36">
        <w:rPr>
          <w:szCs w:val="24"/>
          <w:lang w:val="en-US" w:eastAsia="en-US"/>
        </w:rPr>
        <w:t xml:space="preserve"> disease</w:t>
      </w:r>
      <w:r w:rsidR="00923076" w:rsidRPr="002B2CFC">
        <w:rPr>
          <w:szCs w:val="24"/>
          <w:lang w:val="en-US" w:eastAsia="en-US"/>
        </w:rPr>
        <w:t xml:space="preserve">. Two contemporary epidemiology studies have been examined in detail in this report. </w:t>
      </w:r>
      <w:r w:rsidR="00B27B9F">
        <w:rPr>
          <w:szCs w:val="24"/>
          <w:lang w:val="en-US" w:eastAsia="en-US"/>
        </w:rPr>
        <w:t>Although t</w:t>
      </w:r>
      <w:r w:rsidR="00923076" w:rsidRPr="002B2CFC">
        <w:rPr>
          <w:szCs w:val="24"/>
          <w:lang w:eastAsia="en-US"/>
        </w:rPr>
        <w:t xml:space="preserve">he </w:t>
      </w:r>
      <w:r w:rsidR="00DF2134">
        <w:rPr>
          <w:szCs w:val="24"/>
          <w:lang w:eastAsia="en-US"/>
        </w:rPr>
        <w:t>studies</w:t>
      </w:r>
      <w:r w:rsidR="00DF2134" w:rsidRPr="002B2CFC">
        <w:rPr>
          <w:szCs w:val="24"/>
          <w:lang w:eastAsia="en-US"/>
        </w:rPr>
        <w:t xml:space="preserve"> </w:t>
      </w:r>
      <w:r w:rsidR="00923076" w:rsidRPr="002B2CFC">
        <w:rPr>
          <w:szCs w:val="24"/>
          <w:lang w:eastAsia="en-US"/>
        </w:rPr>
        <w:t xml:space="preserve">lend weight to the suggestion that there is a positive association between adverse health effects and exposure to pesticides, the strength of that association </w:t>
      </w:r>
      <w:r w:rsidR="00DF2134">
        <w:rPr>
          <w:szCs w:val="24"/>
          <w:lang w:eastAsia="en-US"/>
        </w:rPr>
        <w:t>is not</w:t>
      </w:r>
      <w:r w:rsidR="00923076" w:rsidRPr="002B2CFC">
        <w:rPr>
          <w:szCs w:val="24"/>
          <w:lang w:eastAsia="en-US"/>
        </w:rPr>
        <w:t xml:space="preserve"> considered robust. </w:t>
      </w:r>
      <w:r w:rsidR="00923076" w:rsidRPr="002B2CFC">
        <w:rPr>
          <w:szCs w:val="24"/>
          <w:lang w:val="en-US" w:eastAsia="en-US"/>
        </w:rPr>
        <w:t xml:space="preserve">The studies were weakened </w:t>
      </w:r>
      <w:r w:rsidR="00563F4C">
        <w:rPr>
          <w:szCs w:val="24"/>
          <w:lang w:val="en-US" w:eastAsia="en-US"/>
        </w:rPr>
        <w:t xml:space="preserve">to various degrees </w:t>
      </w:r>
      <w:r w:rsidR="00923076" w:rsidRPr="002B2CFC">
        <w:rPr>
          <w:szCs w:val="24"/>
          <w:lang w:val="en-US" w:eastAsia="en-US"/>
        </w:rPr>
        <w:t xml:space="preserve">by issues such as case ascertainment, definition of exposure and determination of outcome. In addition, in a recent retrospective </w:t>
      </w:r>
      <w:r w:rsidR="003E3285">
        <w:rPr>
          <w:szCs w:val="24"/>
          <w:lang w:val="en-US" w:eastAsia="en-US"/>
        </w:rPr>
        <w:t>worker</w:t>
      </w:r>
      <w:r w:rsidR="000405A4">
        <w:rPr>
          <w:szCs w:val="24"/>
          <w:lang w:val="en-US" w:eastAsia="en-US"/>
        </w:rPr>
        <w:t xml:space="preserve"> </w:t>
      </w:r>
      <w:r w:rsidR="00923076" w:rsidRPr="002B2CFC">
        <w:rPr>
          <w:szCs w:val="24"/>
          <w:lang w:val="en-US" w:eastAsia="en-US"/>
        </w:rPr>
        <w:t>cohort study, there was no evidence of an increased risk of Parkinson’s disease in workers involved</w:t>
      </w:r>
      <w:r w:rsidR="00660228">
        <w:rPr>
          <w:szCs w:val="24"/>
          <w:lang w:val="en-US" w:eastAsia="en-US"/>
        </w:rPr>
        <w:t xml:space="preserve"> in the manufacture of paraquat, and </w:t>
      </w:r>
      <w:r w:rsidR="00660228" w:rsidRPr="008C642C">
        <w:rPr>
          <w:szCs w:val="24"/>
          <w:lang w:val="en-US" w:eastAsia="en-US"/>
        </w:rPr>
        <w:t xml:space="preserve">paraquat </w:t>
      </w:r>
      <w:r w:rsidR="000405A4">
        <w:rPr>
          <w:szCs w:val="24"/>
          <w:lang w:val="en-US" w:eastAsia="en-US"/>
        </w:rPr>
        <w:t>poisoning case studies</w:t>
      </w:r>
      <w:r w:rsidR="000405A4" w:rsidRPr="008C642C">
        <w:rPr>
          <w:szCs w:val="24"/>
          <w:lang w:val="en-US" w:eastAsia="en-US"/>
        </w:rPr>
        <w:t xml:space="preserve"> </w:t>
      </w:r>
      <w:r w:rsidR="00660228" w:rsidRPr="008C642C">
        <w:rPr>
          <w:szCs w:val="24"/>
          <w:lang w:val="en-US" w:eastAsia="en-US"/>
        </w:rPr>
        <w:t xml:space="preserve">have </w:t>
      </w:r>
      <w:r w:rsidR="003E3285">
        <w:rPr>
          <w:szCs w:val="24"/>
          <w:lang w:val="en-US" w:eastAsia="en-US"/>
        </w:rPr>
        <w:t xml:space="preserve">failed to </w:t>
      </w:r>
      <w:r w:rsidR="002D5C14">
        <w:rPr>
          <w:szCs w:val="24"/>
          <w:lang w:val="en-US" w:eastAsia="en-US"/>
        </w:rPr>
        <w:t>demonstrate</w:t>
      </w:r>
      <w:r w:rsidR="000405A4" w:rsidRPr="008C642C">
        <w:rPr>
          <w:szCs w:val="24"/>
          <w:lang w:val="en-US" w:eastAsia="en-US"/>
        </w:rPr>
        <w:t xml:space="preserve"> </w:t>
      </w:r>
      <w:r w:rsidR="00660228" w:rsidRPr="008C642C">
        <w:rPr>
          <w:szCs w:val="24"/>
          <w:lang w:val="en-US" w:eastAsia="en-US"/>
        </w:rPr>
        <w:t>neurotoxic effects.</w:t>
      </w:r>
    </w:p>
    <w:p w14:paraId="7FF26764" w14:textId="77777777" w:rsidR="00923076" w:rsidRPr="002B2CFC" w:rsidRDefault="00923076" w:rsidP="00CE5FD2">
      <w:pPr>
        <w:rPr>
          <w:szCs w:val="24"/>
          <w:lang w:val="en-US" w:eastAsia="en-US"/>
        </w:rPr>
      </w:pPr>
    </w:p>
    <w:p w14:paraId="5FC9C176" w14:textId="7CDFC070" w:rsidR="002D5C14" w:rsidRDefault="00B27B9F" w:rsidP="00CE5FD2">
      <w:pPr>
        <w:rPr>
          <w:szCs w:val="24"/>
          <w:lang w:val="en-US" w:eastAsia="en-US"/>
        </w:rPr>
      </w:pPr>
      <w:r>
        <w:t>S</w:t>
      </w:r>
      <w:r w:rsidRPr="002B2CFC">
        <w:rPr>
          <w:szCs w:val="24"/>
          <w:lang w:val="en-US" w:eastAsia="en-US"/>
        </w:rPr>
        <w:t xml:space="preserve">ome published studies </w:t>
      </w:r>
      <w:r>
        <w:rPr>
          <w:szCs w:val="24"/>
          <w:lang w:val="en-US" w:eastAsia="en-US"/>
        </w:rPr>
        <w:t>have reported</w:t>
      </w:r>
      <w:r w:rsidRPr="002B2CFC">
        <w:rPr>
          <w:szCs w:val="24"/>
          <w:lang w:val="en-US" w:eastAsia="en-US"/>
        </w:rPr>
        <w:t xml:space="preserve"> that when mice received paraquat</w:t>
      </w:r>
      <w:r>
        <w:rPr>
          <w:szCs w:val="24"/>
          <w:lang w:val="en-US" w:eastAsia="en-US"/>
        </w:rPr>
        <w:t xml:space="preserve"> by injection</w:t>
      </w:r>
      <w:r w:rsidRPr="002B2CFC">
        <w:rPr>
          <w:szCs w:val="24"/>
          <w:lang w:val="en-US" w:eastAsia="en-US"/>
        </w:rPr>
        <w:t xml:space="preserve">, significant losses of dopaminergic neurons in the substantia nigra pars compacta (SN pc) occurred and that histologically, this observation was similar to the hallmark pathology present in Parkinson’s disease patients. </w:t>
      </w:r>
      <w:r w:rsidR="00E73ED5">
        <w:rPr>
          <w:szCs w:val="24"/>
          <w:lang w:val="en-US" w:eastAsia="en-US"/>
        </w:rPr>
        <w:t xml:space="preserve">However, the relevance of </w:t>
      </w:r>
      <w:r w:rsidR="004226B4">
        <w:rPr>
          <w:szCs w:val="24"/>
          <w:lang w:val="en-US" w:eastAsia="en-US"/>
        </w:rPr>
        <w:t>the</w:t>
      </w:r>
      <w:r w:rsidR="00AF0C46">
        <w:rPr>
          <w:szCs w:val="24"/>
          <w:lang w:val="en-US" w:eastAsia="en-US"/>
        </w:rPr>
        <w:t>se</w:t>
      </w:r>
      <w:r w:rsidR="004226B4">
        <w:rPr>
          <w:szCs w:val="24"/>
          <w:lang w:val="en-US" w:eastAsia="en-US"/>
        </w:rPr>
        <w:t xml:space="preserve"> </w:t>
      </w:r>
      <w:r w:rsidR="00E73ED5">
        <w:rPr>
          <w:szCs w:val="24"/>
          <w:lang w:val="en-US" w:eastAsia="en-US"/>
        </w:rPr>
        <w:t xml:space="preserve">findings to humans </w:t>
      </w:r>
      <w:r w:rsidR="004226B4">
        <w:rPr>
          <w:szCs w:val="24"/>
          <w:lang w:val="en-US" w:eastAsia="en-US"/>
        </w:rPr>
        <w:t>is limited by the route of administration</w:t>
      </w:r>
      <w:r w:rsidR="00AF0C46">
        <w:rPr>
          <w:szCs w:val="24"/>
          <w:lang w:val="en-US" w:eastAsia="en-US"/>
        </w:rPr>
        <w:t xml:space="preserve"> and that similar observations have not been reproduced following oral dosing </w:t>
      </w:r>
      <w:r w:rsidR="00E73ED5">
        <w:rPr>
          <w:szCs w:val="24"/>
          <w:lang w:val="en-US" w:eastAsia="en-US"/>
        </w:rPr>
        <w:t>in more recent</w:t>
      </w:r>
      <w:r w:rsidR="00AF0C46">
        <w:rPr>
          <w:szCs w:val="24"/>
          <w:lang w:val="en-US" w:eastAsia="en-US"/>
        </w:rPr>
        <w:t xml:space="preserve"> guideline</w:t>
      </w:r>
      <w:r w:rsidR="00285047">
        <w:rPr>
          <w:szCs w:val="24"/>
          <w:lang w:val="en-US" w:eastAsia="en-US"/>
        </w:rPr>
        <w:t xml:space="preserve"> </w:t>
      </w:r>
      <w:r w:rsidR="00E73ED5">
        <w:rPr>
          <w:szCs w:val="24"/>
          <w:lang w:val="en-US" w:eastAsia="en-US"/>
        </w:rPr>
        <w:t xml:space="preserve">studies. </w:t>
      </w:r>
      <w:r w:rsidR="00AF0C46">
        <w:rPr>
          <w:szCs w:val="24"/>
          <w:lang w:val="en-US" w:eastAsia="en-US"/>
        </w:rPr>
        <w:t xml:space="preserve">Additionally, </w:t>
      </w:r>
      <w:r w:rsidR="00E73ED5">
        <w:rPr>
          <w:szCs w:val="24"/>
          <w:lang w:val="en-US" w:eastAsia="en-US"/>
        </w:rPr>
        <w:t xml:space="preserve">some of the original studies reporting a positive association have since been withdrawn due to </w:t>
      </w:r>
      <w:r w:rsidR="00AF0C46">
        <w:rPr>
          <w:szCs w:val="24"/>
          <w:lang w:val="en-US" w:eastAsia="en-US"/>
        </w:rPr>
        <w:t xml:space="preserve">scientific misconduct. </w:t>
      </w:r>
    </w:p>
    <w:p w14:paraId="5A0FA721" w14:textId="77777777" w:rsidR="002D5C14" w:rsidRDefault="002D5C14" w:rsidP="00CE5FD2">
      <w:pPr>
        <w:rPr>
          <w:szCs w:val="24"/>
          <w:lang w:val="en-US" w:eastAsia="en-US"/>
        </w:rPr>
      </w:pPr>
    </w:p>
    <w:p w14:paraId="258B7FF8" w14:textId="1D5E5544" w:rsidR="00923076" w:rsidRPr="002B2CFC" w:rsidRDefault="002D5C14" w:rsidP="00CE5FD2">
      <w:pPr>
        <w:rPr>
          <w:szCs w:val="24"/>
          <w:lang w:val="en-US" w:eastAsia="en-US"/>
        </w:rPr>
      </w:pPr>
      <w:r>
        <w:rPr>
          <w:szCs w:val="24"/>
          <w:lang w:val="en-US" w:eastAsia="en-US"/>
        </w:rPr>
        <w:t xml:space="preserve">With regard to a </w:t>
      </w:r>
      <w:r w:rsidR="00AF0C46">
        <w:rPr>
          <w:szCs w:val="24"/>
          <w:lang w:val="en-US" w:eastAsia="en-US"/>
        </w:rPr>
        <w:t xml:space="preserve">purported </w:t>
      </w:r>
      <w:r>
        <w:rPr>
          <w:szCs w:val="24"/>
          <w:lang w:val="en-US" w:eastAsia="en-US"/>
        </w:rPr>
        <w:t>link b</w:t>
      </w:r>
      <w:r w:rsidR="00302FC4">
        <w:rPr>
          <w:szCs w:val="24"/>
          <w:lang w:val="en-US" w:eastAsia="en-US"/>
        </w:rPr>
        <w:t>etween para</w:t>
      </w:r>
      <w:r>
        <w:rPr>
          <w:szCs w:val="24"/>
          <w:lang w:val="en-US" w:eastAsia="en-US"/>
        </w:rPr>
        <w:t>quat exposure and</w:t>
      </w:r>
      <w:r w:rsidRPr="002D5C14">
        <w:rPr>
          <w:szCs w:val="24"/>
          <w:lang w:val="en-US" w:eastAsia="en-US"/>
        </w:rPr>
        <w:t xml:space="preserve"> </w:t>
      </w:r>
      <w:r w:rsidRPr="002B2CFC">
        <w:rPr>
          <w:szCs w:val="24"/>
          <w:lang w:val="en-US" w:eastAsia="en-US"/>
        </w:rPr>
        <w:t>Parkinson’s disease</w:t>
      </w:r>
      <w:r w:rsidR="00E51B4F">
        <w:rPr>
          <w:szCs w:val="24"/>
          <w:lang w:val="en-US" w:eastAsia="en-US"/>
        </w:rPr>
        <w:t xml:space="preserve">, </w:t>
      </w:r>
      <w:r w:rsidR="00E51B4F" w:rsidRPr="00867368">
        <w:rPr>
          <w:i/>
          <w:szCs w:val="24"/>
          <w:lang w:val="en-US" w:eastAsia="en-US"/>
        </w:rPr>
        <w:t>in vitro</w:t>
      </w:r>
      <w:r w:rsidR="00E51B4F">
        <w:rPr>
          <w:szCs w:val="24"/>
          <w:lang w:val="en-US" w:eastAsia="en-US"/>
        </w:rPr>
        <w:t xml:space="preserve"> and </w:t>
      </w:r>
      <w:r w:rsidR="00E51B4F" w:rsidRPr="00867368">
        <w:rPr>
          <w:i/>
          <w:szCs w:val="24"/>
          <w:lang w:val="en-US" w:eastAsia="en-US"/>
        </w:rPr>
        <w:t>in vivo</w:t>
      </w:r>
      <w:r w:rsidR="00E51B4F">
        <w:rPr>
          <w:szCs w:val="24"/>
          <w:lang w:val="en-US" w:eastAsia="en-US"/>
        </w:rPr>
        <w:t xml:space="preserve"> studies in animals, although supporting a mechanism of</w:t>
      </w:r>
      <w:r w:rsidR="00E51B4F" w:rsidRPr="002B2CFC">
        <w:rPr>
          <w:szCs w:val="24"/>
          <w:lang w:val="en-US" w:eastAsia="en-US"/>
        </w:rPr>
        <w:t xml:space="preserve"> toxicity </w:t>
      </w:r>
      <w:r w:rsidR="00E51B4F">
        <w:rPr>
          <w:szCs w:val="24"/>
          <w:lang w:val="en-US" w:eastAsia="en-US"/>
        </w:rPr>
        <w:t xml:space="preserve">involving </w:t>
      </w:r>
      <w:r w:rsidR="00E51B4F" w:rsidRPr="002B2CFC">
        <w:rPr>
          <w:szCs w:val="24"/>
          <w:lang w:val="en-US" w:eastAsia="en-US"/>
        </w:rPr>
        <w:t>intracellular oxidative stress</w:t>
      </w:r>
      <w:r w:rsidR="00E51B4F">
        <w:rPr>
          <w:szCs w:val="24"/>
          <w:lang w:val="en-US" w:eastAsia="en-US"/>
        </w:rPr>
        <w:t>, do not support</w:t>
      </w:r>
      <w:r>
        <w:rPr>
          <w:szCs w:val="24"/>
          <w:lang w:val="en-US" w:eastAsia="en-US"/>
        </w:rPr>
        <w:t xml:space="preserve"> </w:t>
      </w:r>
      <w:r w:rsidR="00E51B4F">
        <w:rPr>
          <w:szCs w:val="24"/>
          <w:lang w:val="en-US" w:eastAsia="en-US"/>
        </w:rPr>
        <w:t xml:space="preserve">a mechanism of </w:t>
      </w:r>
      <w:r w:rsidR="00B27B9F">
        <w:rPr>
          <w:szCs w:val="24"/>
          <w:lang w:val="en-US" w:eastAsia="en-US"/>
        </w:rPr>
        <w:t xml:space="preserve">neurotoxicity </w:t>
      </w:r>
      <w:r w:rsidR="00E51B4F">
        <w:rPr>
          <w:szCs w:val="24"/>
          <w:lang w:val="en-US" w:eastAsia="en-US"/>
        </w:rPr>
        <w:t xml:space="preserve">consistent with </w:t>
      </w:r>
      <w:r w:rsidR="00E51B4F">
        <w:t>MPTP</w:t>
      </w:r>
      <w:r w:rsidR="00E51B4F" w:rsidRPr="002B2CFC">
        <w:rPr>
          <w:szCs w:val="24"/>
          <w:lang w:val="en-US" w:eastAsia="en-US"/>
        </w:rPr>
        <w:t xml:space="preserve"> </w:t>
      </w:r>
      <w:r w:rsidR="00E51B4F">
        <w:rPr>
          <w:szCs w:val="24"/>
          <w:lang w:val="en-US" w:eastAsia="en-US"/>
        </w:rPr>
        <w:t>and the known mode of action involved in t</w:t>
      </w:r>
      <w:r w:rsidR="00E51B4F" w:rsidRPr="002B2CFC">
        <w:rPr>
          <w:szCs w:val="24"/>
          <w:lang w:val="en-US" w:eastAsia="en-US"/>
        </w:rPr>
        <w:t xml:space="preserve">he aetiology of Parkinson’s disease </w:t>
      </w:r>
    </w:p>
    <w:p w14:paraId="79D6668D" w14:textId="77777777" w:rsidR="00302FC4" w:rsidRDefault="00302FC4" w:rsidP="004A5D7D">
      <w:pPr>
        <w:rPr>
          <w:szCs w:val="24"/>
          <w:lang w:val="en-US" w:eastAsia="en-US"/>
        </w:rPr>
      </w:pPr>
    </w:p>
    <w:p w14:paraId="312920AA" w14:textId="6EF829DF" w:rsidR="003E3285" w:rsidRDefault="00AF0C46" w:rsidP="004A5D7D">
      <w:pPr>
        <w:rPr>
          <w:szCs w:val="24"/>
          <w:lang w:val="en-US" w:eastAsia="en-US"/>
        </w:rPr>
      </w:pPr>
      <w:r>
        <w:rPr>
          <w:szCs w:val="24"/>
          <w:lang w:val="en-US" w:eastAsia="en-US"/>
        </w:rPr>
        <w:t xml:space="preserve">In conclusion, the </w:t>
      </w:r>
      <w:r w:rsidR="00855984">
        <w:rPr>
          <w:szCs w:val="24"/>
          <w:lang w:val="en-US" w:eastAsia="en-US"/>
        </w:rPr>
        <w:t>overwhelming weight-of-evidence</w:t>
      </w:r>
      <w:r>
        <w:rPr>
          <w:szCs w:val="24"/>
          <w:lang w:val="en-US" w:eastAsia="en-US"/>
        </w:rPr>
        <w:t xml:space="preserve">, </w:t>
      </w:r>
      <w:r w:rsidR="00855984">
        <w:rPr>
          <w:szCs w:val="24"/>
          <w:lang w:val="en-US" w:eastAsia="en-US"/>
        </w:rPr>
        <w:t xml:space="preserve"> taking into consideration the available database of studies</w:t>
      </w:r>
      <w:r w:rsidR="00660228">
        <w:rPr>
          <w:szCs w:val="24"/>
          <w:lang w:val="en-US" w:eastAsia="en-US"/>
        </w:rPr>
        <w:t xml:space="preserve"> on experimental animals, </w:t>
      </w:r>
      <w:r w:rsidR="00DB53A3">
        <w:rPr>
          <w:szCs w:val="24"/>
          <w:lang w:val="en-US" w:eastAsia="en-US"/>
        </w:rPr>
        <w:t xml:space="preserve">human </w:t>
      </w:r>
      <w:r w:rsidR="00660228">
        <w:rPr>
          <w:szCs w:val="24"/>
          <w:lang w:val="en-US" w:eastAsia="en-US"/>
        </w:rPr>
        <w:t>epidemiology</w:t>
      </w:r>
      <w:r w:rsidR="00DB53A3">
        <w:rPr>
          <w:szCs w:val="24"/>
          <w:lang w:val="en-US" w:eastAsia="en-US"/>
        </w:rPr>
        <w:t xml:space="preserve"> studies and poisoning cases</w:t>
      </w:r>
      <w:r w:rsidR="006D370F">
        <w:rPr>
          <w:szCs w:val="24"/>
          <w:lang w:val="en-US" w:eastAsia="en-US"/>
        </w:rPr>
        <w:t>,</w:t>
      </w:r>
      <w:r w:rsidR="00855984">
        <w:rPr>
          <w:szCs w:val="24"/>
          <w:lang w:val="en-US" w:eastAsia="en-US"/>
        </w:rPr>
        <w:t xml:space="preserve"> is that</w:t>
      </w:r>
      <w:r w:rsidR="003B7AF9">
        <w:rPr>
          <w:szCs w:val="24"/>
          <w:lang w:val="en-US" w:eastAsia="en-US"/>
        </w:rPr>
        <w:t xml:space="preserve"> paraquat does not induce neurotoxicity </w:t>
      </w:r>
      <w:r w:rsidR="00457F5A">
        <w:rPr>
          <w:szCs w:val="24"/>
          <w:lang w:val="en-US" w:eastAsia="en-US"/>
        </w:rPr>
        <w:t>via</w:t>
      </w:r>
      <w:r w:rsidR="003B7AF9">
        <w:rPr>
          <w:szCs w:val="24"/>
          <w:lang w:val="en-US" w:eastAsia="en-US"/>
        </w:rPr>
        <w:t xml:space="preserve"> the oral</w:t>
      </w:r>
      <w:r w:rsidR="00516DA8">
        <w:rPr>
          <w:szCs w:val="24"/>
          <w:lang w:val="en-US" w:eastAsia="en-US"/>
        </w:rPr>
        <w:t xml:space="preserve">, </w:t>
      </w:r>
      <w:r w:rsidR="00F33D8B">
        <w:rPr>
          <w:szCs w:val="24"/>
          <w:lang w:val="en-US" w:eastAsia="en-US"/>
        </w:rPr>
        <w:t>dermal</w:t>
      </w:r>
      <w:r w:rsidR="00516DA8">
        <w:rPr>
          <w:szCs w:val="24"/>
          <w:lang w:val="en-US" w:eastAsia="en-US"/>
        </w:rPr>
        <w:t xml:space="preserve"> or intranasal</w:t>
      </w:r>
      <w:r w:rsidR="00F33D8B">
        <w:rPr>
          <w:szCs w:val="24"/>
          <w:lang w:val="en-US" w:eastAsia="en-US"/>
        </w:rPr>
        <w:t xml:space="preserve"> route</w:t>
      </w:r>
      <w:r w:rsidR="00397F81">
        <w:rPr>
          <w:szCs w:val="24"/>
          <w:lang w:val="en-US" w:eastAsia="en-US"/>
        </w:rPr>
        <w:t>s</w:t>
      </w:r>
      <w:r w:rsidR="0086192B">
        <w:rPr>
          <w:szCs w:val="24"/>
          <w:lang w:val="en-US" w:eastAsia="en-US"/>
        </w:rPr>
        <w:t>;</w:t>
      </w:r>
      <w:r w:rsidR="003B7AF9">
        <w:rPr>
          <w:szCs w:val="24"/>
          <w:lang w:val="en-US" w:eastAsia="en-US"/>
        </w:rPr>
        <w:t xml:space="preserve"> route</w:t>
      </w:r>
      <w:r w:rsidR="00F33D8B">
        <w:rPr>
          <w:szCs w:val="24"/>
          <w:lang w:val="en-US" w:eastAsia="en-US"/>
        </w:rPr>
        <w:t>s</w:t>
      </w:r>
      <w:r w:rsidR="003B7AF9">
        <w:rPr>
          <w:szCs w:val="24"/>
          <w:lang w:val="en-US" w:eastAsia="en-US"/>
        </w:rPr>
        <w:t xml:space="preserve"> that </w:t>
      </w:r>
      <w:r w:rsidR="00F33D8B">
        <w:rPr>
          <w:szCs w:val="24"/>
          <w:lang w:val="en-US" w:eastAsia="en-US"/>
        </w:rPr>
        <w:t xml:space="preserve">are </w:t>
      </w:r>
      <w:r w:rsidR="003B7AF9">
        <w:rPr>
          <w:szCs w:val="24"/>
          <w:lang w:val="en-US" w:eastAsia="en-US"/>
        </w:rPr>
        <w:t>of relevance to human exposure to this pesticide.</w:t>
      </w:r>
      <w:r w:rsidR="004A5D7D">
        <w:rPr>
          <w:szCs w:val="24"/>
          <w:lang w:val="en-US" w:eastAsia="en-US"/>
        </w:rPr>
        <w:t xml:space="preserve"> </w:t>
      </w:r>
    </w:p>
    <w:p w14:paraId="11D6F3E6" w14:textId="77777777" w:rsidR="003E3285" w:rsidRDefault="003E3285" w:rsidP="004A5D7D">
      <w:pPr>
        <w:rPr>
          <w:szCs w:val="24"/>
          <w:lang w:val="en-US" w:eastAsia="en-US"/>
        </w:rPr>
      </w:pPr>
    </w:p>
    <w:p w14:paraId="7EB26C90" w14:textId="0AE75FD0" w:rsidR="00660228" w:rsidRPr="001F685E" w:rsidRDefault="004A5D7D" w:rsidP="00CE5FD2">
      <w:pPr>
        <w:rPr>
          <w:lang w:val="en-US"/>
        </w:rPr>
      </w:pPr>
      <w:r>
        <w:rPr>
          <w:lang w:val="en-US"/>
        </w:rPr>
        <w:t xml:space="preserve">The OCS is therefore satisfied that exposure to paraquat, when used as a herbicide, does not pose </w:t>
      </w:r>
      <w:r w:rsidR="00AF0C46">
        <w:rPr>
          <w:lang w:val="en-US"/>
        </w:rPr>
        <w:t>a</w:t>
      </w:r>
      <w:r>
        <w:rPr>
          <w:lang w:val="en-US"/>
        </w:rPr>
        <w:t xml:space="preserve"> risk </w:t>
      </w:r>
      <w:r w:rsidR="0086192B">
        <w:rPr>
          <w:lang w:val="en-US"/>
        </w:rPr>
        <w:t xml:space="preserve">of neurotoxicity in </w:t>
      </w:r>
      <w:r>
        <w:rPr>
          <w:lang w:val="en-US"/>
        </w:rPr>
        <w:t>humans</w:t>
      </w:r>
      <w:r w:rsidR="00B27B9F">
        <w:rPr>
          <w:lang w:val="en-US"/>
        </w:rPr>
        <w:t xml:space="preserve"> and that </w:t>
      </w:r>
      <w:r w:rsidR="00855A21" w:rsidRPr="002B2CFC">
        <w:rPr>
          <w:szCs w:val="24"/>
          <w:lang w:val="en-US" w:eastAsia="en-US"/>
        </w:rPr>
        <w:t xml:space="preserve">lung </w:t>
      </w:r>
      <w:r w:rsidR="00855A21">
        <w:rPr>
          <w:szCs w:val="24"/>
          <w:lang w:val="en-US" w:eastAsia="en-US"/>
        </w:rPr>
        <w:t xml:space="preserve">damage remains the </w:t>
      </w:r>
      <w:r w:rsidR="00AF0C46">
        <w:rPr>
          <w:szCs w:val="24"/>
          <w:lang w:val="en-US" w:eastAsia="en-US"/>
        </w:rPr>
        <w:t xml:space="preserve">most sensitive and </w:t>
      </w:r>
      <w:r w:rsidR="00855A21">
        <w:rPr>
          <w:szCs w:val="24"/>
          <w:lang w:val="en-US" w:eastAsia="en-US"/>
        </w:rPr>
        <w:t xml:space="preserve">critical </w:t>
      </w:r>
      <w:r w:rsidR="00855A21" w:rsidRPr="002B2CFC">
        <w:rPr>
          <w:szCs w:val="24"/>
          <w:lang w:val="en-US" w:eastAsia="en-US"/>
        </w:rPr>
        <w:t>toxic</w:t>
      </w:r>
      <w:r w:rsidR="00855A21">
        <w:rPr>
          <w:szCs w:val="24"/>
          <w:lang w:val="en-US" w:eastAsia="en-US"/>
        </w:rPr>
        <w:t>ological</w:t>
      </w:r>
      <w:r w:rsidR="00855A21" w:rsidRPr="002B2CFC">
        <w:rPr>
          <w:szCs w:val="24"/>
          <w:lang w:val="en-US" w:eastAsia="en-US"/>
        </w:rPr>
        <w:t xml:space="preserve"> endpoint of concern</w:t>
      </w:r>
      <w:r w:rsidR="00855A21">
        <w:rPr>
          <w:szCs w:val="24"/>
          <w:lang w:val="en-US" w:eastAsia="en-US"/>
        </w:rPr>
        <w:t xml:space="preserve"> in </w:t>
      </w:r>
      <w:r w:rsidR="00AF0C46">
        <w:rPr>
          <w:szCs w:val="24"/>
          <w:lang w:val="en-US" w:eastAsia="en-US"/>
        </w:rPr>
        <w:t>establishing</w:t>
      </w:r>
      <w:r w:rsidR="00AF0C46" w:rsidRPr="002B2CFC">
        <w:rPr>
          <w:szCs w:val="24"/>
          <w:lang w:val="en-US" w:eastAsia="en-US"/>
        </w:rPr>
        <w:t xml:space="preserve"> </w:t>
      </w:r>
      <w:r w:rsidR="00AF0C46">
        <w:rPr>
          <w:szCs w:val="24"/>
          <w:lang w:val="en-US" w:eastAsia="en-US"/>
        </w:rPr>
        <w:t xml:space="preserve">health-based guidance </w:t>
      </w:r>
      <w:r w:rsidR="00855A21" w:rsidRPr="002B2CFC">
        <w:rPr>
          <w:szCs w:val="24"/>
          <w:lang w:val="en-US" w:eastAsia="en-US"/>
        </w:rPr>
        <w:t>values</w:t>
      </w:r>
      <w:r w:rsidR="00855A21">
        <w:rPr>
          <w:lang w:val="en-US"/>
        </w:rPr>
        <w:t>.</w:t>
      </w:r>
      <w:r w:rsidR="001F685E">
        <w:rPr>
          <w:lang w:val="en-US"/>
        </w:rPr>
        <w:br w:type="page"/>
      </w:r>
    </w:p>
    <w:p w14:paraId="1DFBC67A" w14:textId="79055502" w:rsidR="00FC749B" w:rsidRDefault="00FC749B" w:rsidP="00C2420A">
      <w:pPr>
        <w:pStyle w:val="Heading1"/>
        <w:numPr>
          <w:ilvl w:val="0"/>
          <w:numId w:val="14"/>
        </w:numPr>
      </w:pPr>
      <w:bookmarkStart w:id="12" w:name="_Toc415145521"/>
      <w:bookmarkStart w:id="13" w:name="_Toc459108270"/>
      <w:bookmarkStart w:id="14" w:name="_Ref399229726"/>
      <w:bookmarkStart w:id="15" w:name="_Ref399229731"/>
      <w:r>
        <w:lastRenderedPageBreak/>
        <w:t>Part 1</w:t>
      </w:r>
      <w:bookmarkEnd w:id="12"/>
      <w:bookmarkEnd w:id="13"/>
    </w:p>
    <w:p w14:paraId="5EF9FB07" w14:textId="77777777" w:rsidR="002B2CFC" w:rsidRPr="002B2CFC" w:rsidRDefault="002B2CFC" w:rsidP="00AA1EA2">
      <w:pPr>
        <w:pStyle w:val="Heading1"/>
        <w:jc w:val="left"/>
      </w:pPr>
      <w:bookmarkStart w:id="16" w:name="_Toc459108271"/>
      <w:r w:rsidRPr="002B2CFC">
        <w:t>Introduction</w:t>
      </w:r>
      <w:bookmarkEnd w:id="14"/>
      <w:bookmarkEnd w:id="15"/>
      <w:bookmarkEnd w:id="16"/>
    </w:p>
    <w:p w14:paraId="37202B0A" w14:textId="77777777" w:rsidR="002B2CFC" w:rsidRPr="002B2CFC" w:rsidRDefault="002B2CFC" w:rsidP="000B0AE3">
      <w:pPr>
        <w:pStyle w:val="Heading2"/>
        <w:rPr>
          <w:lang w:eastAsia="en-US"/>
        </w:rPr>
      </w:pPr>
      <w:bookmarkStart w:id="17" w:name="_Toc459108272"/>
      <w:r w:rsidRPr="002B2CFC">
        <w:rPr>
          <w:lang w:eastAsia="en-US"/>
        </w:rPr>
        <w:t>Report structure</w:t>
      </w:r>
      <w:bookmarkEnd w:id="17"/>
    </w:p>
    <w:p w14:paraId="681FDCE5" w14:textId="77777777" w:rsidR="002B2CFC" w:rsidRDefault="002B2CFC" w:rsidP="00CE5FD2">
      <w:pPr>
        <w:rPr>
          <w:szCs w:val="24"/>
          <w:lang w:val="en-US" w:eastAsia="en-US"/>
        </w:rPr>
      </w:pPr>
      <w:r w:rsidRPr="002B2CFC">
        <w:rPr>
          <w:szCs w:val="24"/>
          <w:lang w:val="en-US" w:eastAsia="en-US"/>
        </w:rPr>
        <w:t xml:space="preserve">This report only considers a single toxicity endpoint (neurotoxicity), and is not a comprehensive human health risk assessment. </w:t>
      </w:r>
      <w:r w:rsidR="00D66381">
        <w:rPr>
          <w:szCs w:val="24"/>
          <w:lang w:val="en-US" w:eastAsia="en-US"/>
        </w:rPr>
        <w:t xml:space="preserve">This report is </w:t>
      </w:r>
      <w:r w:rsidR="00035AEF">
        <w:rPr>
          <w:szCs w:val="24"/>
          <w:lang w:val="en-US" w:eastAsia="en-US"/>
        </w:rPr>
        <w:t>‘S</w:t>
      </w:r>
      <w:r w:rsidR="00D66381">
        <w:rPr>
          <w:szCs w:val="24"/>
          <w:lang w:val="en-US" w:eastAsia="en-US"/>
        </w:rPr>
        <w:t>upplement</w:t>
      </w:r>
      <w:r w:rsidR="00035AEF">
        <w:rPr>
          <w:szCs w:val="24"/>
          <w:lang w:val="en-US" w:eastAsia="en-US"/>
        </w:rPr>
        <w:t xml:space="preserve"> II’</w:t>
      </w:r>
      <w:r w:rsidR="00D66381">
        <w:rPr>
          <w:szCs w:val="24"/>
          <w:lang w:val="en-US" w:eastAsia="en-US"/>
        </w:rPr>
        <w:t xml:space="preserve"> to </w:t>
      </w:r>
      <w:r w:rsidR="00035AEF">
        <w:rPr>
          <w:szCs w:val="24"/>
          <w:lang w:val="en-US" w:eastAsia="en-US"/>
        </w:rPr>
        <w:t xml:space="preserve">the ‘Review of the mammalian toxicology and metabolism/toxicokinetics of paraquat: Summary report’ </w:t>
      </w:r>
      <w:r w:rsidR="00345DCE">
        <w:rPr>
          <w:szCs w:val="24"/>
          <w:lang w:val="en-US" w:eastAsia="en-US"/>
        </w:rPr>
        <w:t xml:space="preserve">whereas ‘Supplement I: Toxicology’ considers </w:t>
      </w:r>
      <w:r w:rsidR="00EA0FA2">
        <w:rPr>
          <w:szCs w:val="24"/>
          <w:lang w:val="en-US" w:eastAsia="en-US"/>
        </w:rPr>
        <w:t xml:space="preserve">all </w:t>
      </w:r>
      <w:r w:rsidR="00345DCE">
        <w:rPr>
          <w:szCs w:val="24"/>
          <w:lang w:val="en-US" w:eastAsia="en-US"/>
        </w:rPr>
        <w:t>other toxicology endpoints.</w:t>
      </w:r>
      <w:r w:rsidR="00035AEF">
        <w:rPr>
          <w:szCs w:val="24"/>
          <w:lang w:val="en-US" w:eastAsia="en-US"/>
        </w:rPr>
        <w:t xml:space="preserve"> </w:t>
      </w:r>
      <w:r w:rsidR="00457C96">
        <w:rPr>
          <w:szCs w:val="24"/>
          <w:lang w:val="en-US" w:eastAsia="en-US"/>
        </w:rPr>
        <w:t>T</w:t>
      </w:r>
      <w:r w:rsidRPr="002B2CFC">
        <w:rPr>
          <w:szCs w:val="24"/>
          <w:lang w:val="en-US" w:eastAsia="en-US"/>
        </w:rPr>
        <w:t xml:space="preserve">he report structure </w:t>
      </w:r>
      <w:r w:rsidR="00457C96">
        <w:rPr>
          <w:szCs w:val="24"/>
          <w:lang w:val="en-US" w:eastAsia="en-US"/>
        </w:rPr>
        <w:t xml:space="preserve">for this supplement </w:t>
      </w:r>
      <w:r w:rsidRPr="002B2CFC">
        <w:rPr>
          <w:szCs w:val="24"/>
          <w:lang w:val="en-US" w:eastAsia="en-US"/>
        </w:rPr>
        <w:t xml:space="preserve">has been chosen to reflect the current understanding of the potential neurotoxicity of paraquat. </w:t>
      </w:r>
    </w:p>
    <w:p w14:paraId="296A3B39" w14:textId="77777777" w:rsidR="00CE5FD2" w:rsidRPr="002B2CFC" w:rsidRDefault="00CE5FD2" w:rsidP="00CE5FD2">
      <w:pPr>
        <w:rPr>
          <w:szCs w:val="24"/>
          <w:lang w:val="en-US" w:eastAsia="en-US"/>
        </w:rPr>
      </w:pPr>
    </w:p>
    <w:p w14:paraId="6B6EC11D" w14:textId="77777777" w:rsidR="009F40E8" w:rsidRDefault="00064010" w:rsidP="00CE5FD2">
      <w:pPr>
        <w:rPr>
          <w:szCs w:val="24"/>
          <w:lang w:val="en-US" w:eastAsia="en-US"/>
        </w:rPr>
      </w:pPr>
      <w:r w:rsidRPr="0080760E">
        <w:rPr>
          <w:b/>
          <w:szCs w:val="24"/>
          <w:lang w:val="en-US" w:eastAsia="en-US"/>
        </w:rPr>
        <w:t>Part 1</w:t>
      </w:r>
      <w:r>
        <w:rPr>
          <w:szCs w:val="24"/>
          <w:lang w:val="en-US" w:eastAsia="en-US"/>
        </w:rPr>
        <w:t xml:space="preserve"> </w:t>
      </w:r>
      <w:r w:rsidR="00986B69">
        <w:rPr>
          <w:szCs w:val="24"/>
          <w:lang w:val="en-US" w:eastAsia="en-US"/>
        </w:rPr>
        <w:t>provide</w:t>
      </w:r>
      <w:r>
        <w:rPr>
          <w:szCs w:val="24"/>
          <w:lang w:val="en-US" w:eastAsia="en-US"/>
        </w:rPr>
        <w:t xml:space="preserve">s a discussion of the overall database relating to the </w:t>
      </w:r>
      <w:r w:rsidR="00986B69">
        <w:rPr>
          <w:szCs w:val="24"/>
          <w:lang w:val="en-US" w:eastAsia="en-US"/>
        </w:rPr>
        <w:t xml:space="preserve">potential </w:t>
      </w:r>
      <w:r>
        <w:rPr>
          <w:szCs w:val="24"/>
          <w:lang w:val="en-US" w:eastAsia="en-US"/>
        </w:rPr>
        <w:t xml:space="preserve">neurotoxicity of paraquat. </w:t>
      </w:r>
    </w:p>
    <w:p w14:paraId="12F35359" w14:textId="77777777" w:rsidR="009F40E8" w:rsidRPr="00C517D3" w:rsidRDefault="009F40E8" w:rsidP="00DE4D85">
      <w:pPr>
        <w:pStyle w:val="ListParagraph"/>
        <w:numPr>
          <w:ilvl w:val="0"/>
          <w:numId w:val="2"/>
        </w:numPr>
        <w:rPr>
          <w:rFonts w:ascii="Times New Roman" w:hAnsi="Times New Roman"/>
          <w:sz w:val="24"/>
          <w:szCs w:val="24"/>
          <w:lang w:val="en-US" w:eastAsia="en-US"/>
        </w:rPr>
      </w:pPr>
      <w:r>
        <w:rPr>
          <w:rFonts w:ascii="Times New Roman" w:hAnsi="Times New Roman"/>
          <w:sz w:val="24"/>
          <w:szCs w:val="24"/>
          <w:lang w:val="en-US" w:eastAsia="en-US"/>
        </w:rPr>
        <w:t>Section</w:t>
      </w:r>
      <w:r w:rsidRPr="00C517D3">
        <w:rPr>
          <w:rFonts w:ascii="Times New Roman" w:hAnsi="Times New Roman"/>
          <w:sz w:val="24"/>
          <w:szCs w:val="24"/>
          <w:lang w:val="en-US" w:eastAsia="en-US"/>
        </w:rPr>
        <w:t xml:space="preserve"> </w:t>
      </w:r>
      <w:r w:rsidR="00EA0FA2">
        <w:rPr>
          <w:rFonts w:ascii="Times New Roman" w:hAnsi="Times New Roman"/>
          <w:sz w:val="24"/>
          <w:szCs w:val="24"/>
          <w:lang w:val="en-US" w:eastAsia="en-US"/>
        </w:rPr>
        <w:t>3</w:t>
      </w:r>
      <w:r w:rsidRPr="00C517D3">
        <w:rPr>
          <w:rFonts w:ascii="Times New Roman" w:hAnsi="Times New Roman"/>
          <w:sz w:val="24"/>
          <w:szCs w:val="24"/>
          <w:lang w:val="en-US" w:eastAsia="en-US"/>
        </w:rPr>
        <w:t xml:space="preserve"> provides a summary of the existing knowledge on the toxicity of paraquat, and some background on Parkinson’s disease. </w:t>
      </w:r>
    </w:p>
    <w:p w14:paraId="1BD140B2" w14:textId="77777777" w:rsidR="00345DCE" w:rsidRDefault="002B2CFC" w:rsidP="00DE4D85">
      <w:pPr>
        <w:numPr>
          <w:ilvl w:val="0"/>
          <w:numId w:val="2"/>
        </w:numPr>
        <w:rPr>
          <w:szCs w:val="24"/>
          <w:lang w:val="en-US" w:eastAsia="en-US"/>
        </w:rPr>
      </w:pPr>
      <w:r w:rsidRPr="00986B69">
        <w:rPr>
          <w:szCs w:val="24"/>
          <w:lang w:val="en-US" w:eastAsia="en-US"/>
        </w:rPr>
        <w:t xml:space="preserve">Section </w:t>
      </w:r>
      <w:r w:rsidR="00EA0FA2">
        <w:rPr>
          <w:szCs w:val="24"/>
          <w:lang w:val="en-US" w:eastAsia="en-US"/>
        </w:rPr>
        <w:t>4</w:t>
      </w:r>
      <w:r w:rsidRPr="00986B69">
        <w:rPr>
          <w:szCs w:val="24"/>
          <w:lang w:val="en-US" w:eastAsia="en-US"/>
        </w:rPr>
        <w:t xml:space="preserve"> provides a history of considerations of the neurotoxicity of paraquat, including published studies </w:t>
      </w:r>
      <w:r w:rsidR="00986B69" w:rsidRPr="00986B69">
        <w:rPr>
          <w:szCs w:val="24"/>
          <w:lang w:val="en-US" w:eastAsia="en-US"/>
        </w:rPr>
        <w:t>establishing a link between paraquat and neurotoxicity, and potentially Parkinson’s disease</w:t>
      </w:r>
      <w:r w:rsidR="00986B69">
        <w:rPr>
          <w:szCs w:val="24"/>
          <w:lang w:val="en-US" w:eastAsia="en-US"/>
        </w:rPr>
        <w:t>, as well as those studies which do not demonstrate such an effect</w:t>
      </w:r>
      <w:r w:rsidR="00986B69" w:rsidRPr="00986B69">
        <w:rPr>
          <w:szCs w:val="24"/>
          <w:lang w:val="en-US" w:eastAsia="en-US"/>
        </w:rPr>
        <w:t xml:space="preserve">. </w:t>
      </w:r>
    </w:p>
    <w:p w14:paraId="45ABAB74" w14:textId="77777777" w:rsidR="00986B69" w:rsidRDefault="00986B69" w:rsidP="00DE4D85">
      <w:pPr>
        <w:numPr>
          <w:ilvl w:val="0"/>
          <w:numId w:val="2"/>
        </w:numPr>
        <w:rPr>
          <w:szCs w:val="24"/>
          <w:lang w:val="en-US" w:eastAsia="en-US"/>
        </w:rPr>
      </w:pPr>
      <w:r w:rsidRPr="00986B69">
        <w:rPr>
          <w:szCs w:val="24"/>
          <w:lang w:val="en-US" w:eastAsia="en-US"/>
        </w:rPr>
        <w:t xml:space="preserve">Section </w:t>
      </w:r>
      <w:r w:rsidR="00EA0FA2">
        <w:rPr>
          <w:szCs w:val="24"/>
          <w:lang w:val="en-US" w:eastAsia="en-US"/>
        </w:rPr>
        <w:t>5</w:t>
      </w:r>
      <w:r w:rsidRPr="00986B69">
        <w:rPr>
          <w:szCs w:val="24"/>
          <w:lang w:val="en-US" w:eastAsia="en-US"/>
        </w:rPr>
        <w:t xml:space="preserve"> </w:t>
      </w:r>
      <w:r w:rsidRPr="002B2CFC">
        <w:rPr>
          <w:szCs w:val="24"/>
          <w:lang w:val="en-US" w:eastAsia="en-US"/>
        </w:rPr>
        <w:t xml:space="preserve">discusses research that may inform the assessment of the human relevance of the neurological findings in </w:t>
      </w:r>
      <w:r w:rsidR="00DD7061">
        <w:rPr>
          <w:szCs w:val="24"/>
          <w:lang w:val="en-US" w:eastAsia="en-US"/>
        </w:rPr>
        <w:t>rodents</w:t>
      </w:r>
      <w:r w:rsidRPr="002B2CFC">
        <w:rPr>
          <w:szCs w:val="24"/>
          <w:lang w:val="en-US" w:eastAsia="en-US"/>
        </w:rPr>
        <w:t xml:space="preserve">. </w:t>
      </w:r>
    </w:p>
    <w:p w14:paraId="65DD6338" w14:textId="77777777" w:rsidR="002B2CFC" w:rsidRPr="00986B69" w:rsidRDefault="002B2CFC" w:rsidP="00DE4D85">
      <w:pPr>
        <w:numPr>
          <w:ilvl w:val="0"/>
          <w:numId w:val="2"/>
        </w:numPr>
        <w:rPr>
          <w:szCs w:val="24"/>
          <w:lang w:val="en-US" w:eastAsia="en-US"/>
        </w:rPr>
      </w:pPr>
      <w:r w:rsidRPr="00986B69">
        <w:rPr>
          <w:szCs w:val="24"/>
          <w:lang w:val="en-US" w:eastAsia="en-US"/>
        </w:rPr>
        <w:t xml:space="preserve">Section </w:t>
      </w:r>
      <w:r w:rsidR="00EA0FA2">
        <w:rPr>
          <w:szCs w:val="24"/>
          <w:lang w:val="en-US" w:eastAsia="en-US"/>
        </w:rPr>
        <w:t>6</w:t>
      </w:r>
      <w:r w:rsidRPr="00986B69">
        <w:rPr>
          <w:szCs w:val="24"/>
          <w:lang w:val="en-US" w:eastAsia="en-US"/>
        </w:rPr>
        <w:t xml:space="preserve"> includes an evaluation of two contemporary epidemiology studies which claimed a potential association between the development of Parkinson’s disease with the use of paraquat or other pesticides. </w:t>
      </w:r>
    </w:p>
    <w:p w14:paraId="793452A0" w14:textId="77777777" w:rsidR="002B2CFC" w:rsidRDefault="002B2CFC" w:rsidP="00DE4D85">
      <w:pPr>
        <w:numPr>
          <w:ilvl w:val="0"/>
          <w:numId w:val="2"/>
        </w:numPr>
        <w:rPr>
          <w:szCs w:val="24"/>
          <w:lang w:val="en-US" w:eastAsia="en-US"/>
        </w:rPr>
      </w:pPr>
      <w:r w:rsidRPr="002B2CFC">
        <w:rPr>
          <w:szCs w:val="24"/>
          <w:lang w:val="en-US" w:eastAsia="en-US"/>
        </w:rPr>
        <w:t xml:space="preserve">Section </w:t>
      </w:r>
      <w:r w:rsidR="00EA0FA2">
        <w:rPr>
          <w:szCs w:val="24"/>
          <w:lang w:val="en-US" w:eastAsia="en-US"/>
        </w:rPr>
        <w:t>7</w:t>
      </w:r>
      <w:r w:rsidRPr="002B2CFC">
        <w:rPr>
          <w:szCs w:val="24"/>
          <w:lang w:val="en-US" w:eastAsia="en-US"/>
        </w:rPr>
        <w:t xml:space="preserve"> provides details on the conclusions reached by </w:t>
      </w:r>
      <w:r w:rsidR="00DD7061">
        <w:rPr>
          <w:szCs w:val="24"/>
          <w:lang w:val="en-US" w:eastAsia="en-US"/>
        </w:rPr>
        <w:t xml:space="preserve">the </w:t>
      </w:r>
      <w:r w:rsidRPr="002B2CFC">
        <w:rPr>
          <w:szCs w:val="24"/>
          <w:lang w:val="en-US" w:eastAsia="en-US"/>
        </w:rPr>
        <w:t xml:space="preserve">OCS. </w:t>
      </w:r>
    </w:p>
    <w:p w14:paraId="6752CAEB" w14:textId="77777777" w:rsidR="00AF77C0" w:rsidRDefault="00AF77C0" w:rsidP="00CE5FD2">
      <w:pPr>
        <w:rPr>
          <w:szCs w:val="24"/>
          <w:lang w:val="en-US" w:eastAsia="en-US"/>
        </w:rPr>
      </w:pPr>
    </w:p>
    <w:p w14:paraId="6E3F90E1" w14:textId="77777777" w:rsidR="009F40E8" w:rsidRDefault="002B2CFC" w:rsidP="00CE5FD2">
      <w:pPr>
        <w:rPr>
          <w:szCs w:val="24"/>
          <w:lang w:val="en-US" w:eastAsia="en-US"/>
        </w:rPr>
      </w:pPr>
      <w:r w:rsidRPr="0080760E">
        <w:rPr>
          <w:b/>
          <w:szCs w:val="24"/>
          <w:lang w:val="en-US" w:eastAsia="en-US"/>
        </w:rPr>
        <w:t>Part 2</w:t>
      </w:r>
      <w:r w:rsidRPr="002B2CFC">
        <w:rPr>
          <w:szCs w:val="24"/>
          <w:lang w:val="en-US" w:eastAsia="en-US"/>
        </w:rPr>
        <w:t xml:space="preserve"> of the report contains</w:t>
      </w:r>
      <w:r w:rsidR="00AF77C0">
        <w:rPr>
          <w:szCs w:val="24"/>
          <w:lang w:val="en-US" w:eastAsia="en-US"/>
        </w:rPr>
        <w:t xml:space="preserve"> additional detail on data discussed in Part 1.</w:t>
      </w:r>
    </w:p>
    <w:p w14:paraId="17A5FD14" w14:textId="77777777" w:rsidR="0038398F" w:rsidRDefault="0038398F" w:rsidP="00DE4D85">
      <w:pPr>
        <w:numPr>
          <w:ilvl w:val="0"/>
          <w:numId w:val="10"/>
        </w:numPr>
        <w:rPr>
          <w:szCs w:val="24"/>
          <w:lang w:val="en-US" w:eastAsia="en-US"/>
        </w:rPr>
      </w:pPr>
      <w:r>
        <w:rPr>
          <w:szCs w:val="24"/>
          <w:lang w:val="en-US" w:eastAsia="en-US"/>
        </w:rPr>
        <w:t>Section 8 provides a summary of neurotoxicity studies by different dose-routes, as well as mechanistic and epidemiology research findings.</w:t>
      </w:r>
    </w:p>
    <w:p w14:paraId="55EAAD20" w14:textId="41D8BE7B" w:rsidR="00AF77C0" w:rsidRDefault="00AF77C0" w:rsidP="00DE4D85">
      <w:pPr>
        <w:numPr>
          <w:ilvl w:val="0"/>
          <w:numId w:val="10"/>
        </w:numPr>
        <w:rPr>
          <w:szCs w:val="24"/>
          <w:lang w:val="en-US" w:eastAsia="en-US"/>
        </w:rPr>
      </w:pPr>
      <w:r>
        <w:rPr>
          <w:szCs w:val="24"/>
          <w:lang w:val="en-US" w:eastAsia="en-US"/>
        </w:rPr>
        <w:t xml:space="preserve">Sections </w:t>
      </w:r>
      <w:r w:rsidR="00F07346">
        <w:fldChar w:fldCharType="begin"/>
      </w:r>
      <w:r w:rsidR="00F07346">
        <w:instrText xml:space="preserve"> REF _Ref399231961 \r \h  \* MERGEFORMAT </w:instrText>
      </w:r>
      <w:r w:rsidR="00F07346">
        <w:fldChar w:fldCharType="separate"/>
      </w:r>
      <w:r w:rsidR="000E54B2">
        <w:t>9</w:t>
      </w:r>
      <w:r w:rsidR="00F07346">
        <w:fldChar w:fldCharType="end"/>
      </w:r>
      <w:r>
        <w:rPr>
          <w:szCs w:val="24"/>
          <w:lang w:val="en-US" w:eastAsia="en-US"/>
        </w:rPr>
        <w:t xml:space="preserve"> and </w:t>
      </w:r>
      <w:r w:rsidR="00F07346">
        <w:fldChar w:fldCharType="begin"/>
      </w:r>
      <w:r w:rsidR="00F07346">
        <w:instrText xml:space="preserve"> REF _Ref399231812 \r \h  \* MERGEFORMAT </w:instrText>
      </w:r>
      <w:r w:rsidR="00F07346">
        <w:fldChar w:fldCharType="separate"/>
      </w:r>
      <w:r w:rsidR="000E54B2" w:rsidRPr="000E54B2">
        <w:rPr>
          <w:szCs w:val="24"/>
          <w:lang w:val="en-US" w:eastAsia="en-US"/>
        </w:rPr>
        <w:t>10</w:t>
      </w:r>
      <w:r w:rsidR="00F07346">
        <w:fldChar w:fldCharType="end"/>
      </w:r>
      <w:r>
        <w:rPr>
          <w:szCs w:val="24"/>
          <w:lang w:val="en-US" w:eastAsia="en-US"/>
        </w:rPr>
        <w:t xml:space="preserve"> </w:t>
      </w:r>
      <w:r w:rsidR="0038398F">
        <w:rPr>
          <w:szCs w:val="24"/>
          <w:lang w:val="en-US" w:eastAsia="en-US"/>
        </w:rPr>
        <w:t xml:space="preserve">includes </w:t>
      </w:r>
      <w:r w:rsidR="0083689C">
        <w:rPr>
          <w:szCs w:val="24"/>
          <w:lang w:val="en-US" w:eastAsia="en-US"/>
        </w:rPr>
        <w:t>detailed</w:t>
      </w:r>
      <w:r>
        <w:rPr>
          <w:szCs w:val="24"/>
          <w:lang w:val="en-US" w:eastAsia="en-US"/>
        </w:rPr>
        <w:t xml:space="preserve"> evaluations of the most relevant studies cited in Part 1, including data on human occupational exposure and poisonings.</w:t>
      </w:r>
    </w:p>
    <w:p w14:paraId="27007BB2" w14:textId="450D7438" w:rsidR="00AF77C0" w:rsidRDefault="00AF77C0" w:rsidP="00DE4D85">
      <w:pPr>
        <w:numPr>
          <w:ilvl w:val="0"/>
          <w:numId w:val="10"/>
        </w:numPr>
        <w:rPr>
          <w:szCs w:val="24"/>
          <w:lang w:val="en-US" w:eastAsia="en-US"/>
        </w:rPr>
      </w:pPr>
      <w:r>
        <w:rPr>
          <w:szCs w:val="24"/>
          <w:lang w:val="en-US" w:eastAsia="en-US"/>
        </w:rPr>
        <w:t xml:space="preserve">Section </w:t>
      </w:r>
      <w:r w:rsidR="00F07346">
        <w:fldChar w:fldCharType="begin"/>
      </w:r>
      <w:r w:rsidR="00F07346">
        <w:instrText xml:space="preserve"> REF _Ref278788670 \r \h  \* MERGEFORMAT </w:instrText>
      </w:r>
      <w:r w:rsidR="00F07346">
        <w:fldChar w:fldCharType="separate"/>
      </w:r>
      <w:r w:rsidR="000E54B2" w:rsidRPr="000E54B2">
        <w:rPr>
          <w:szCs w:val="24"/>
          <w:lang w:val="en-US" w:eastAsia="en-US"/>
        </w:rPr>
        <w:t>11</w:t>
      </w:r>
      <w:r w:rsidR="00F07346">
        <w:fldChar w:fldCharType="end"/>
      </w:r>
      <w:r>
        <w:rPr>
          <w:szCs w:val="24"/>
          <w:lang w:val="en-US" w:eastAsia="en-US"/>
        </w:rPr>
        <w:t xml:space="preserve"> contains </w:t>
      </w:r>
      <w:r w:rsidR="0086192B">
        <w:rPr>
          <w:szCs w:val="24"/>
          <w:lang w:val="en-US" w:eastAsia="en-US"/>
        </w:rPr>
        <w:t>provides an</w:t>
      </w:r>
      <w:r w:rsidR="004B52EA">
        <w:rPr>
          <w:szCs w:val="24"/>
          <w:lang w:val="en-US" w:eastAsia="en-US"/>
        </w:rPr>
        <w:t xml:space="preserve"> evaluation </w:t>
      </w:r>
      <w:r w:rsidR="0086192B">
        <w:rPr>
          <w:szCs w:val="24"/>
          <w:lang w:val="en-US" w:eastAsia="en-US"/>
        </w:rPr>
        <w:t xml:space="preserve">of </w:t>
      </w:r>
      <w:r>
        <w:rPr>
          <w:szCs w:val="24"/>
          <w:lang w:val="en-US" w:eastAsia="en-US"/>
        </w:rPr>
        <w:t>recent epidemiology studies.</w:t>
      </w:r>
    </w:p>
    <w:p w14:paraId="589611B0" w14:textId="77777777" w:rsidR="00C24EB7" w:rsidRPr="002B2CFC" w:rsidRDefault="00C24EB7" w:rsidP="00CE5FD2">
      <w:pPr>
        <w:ind w:left="360"/>
        <w:rPr>
          <w:szCs w:val="24"/>
          <w:lang w:val="en-US" w:eastAsia="en-US"/>
        </w:rPr>
      </w:pPr>
    </w:p>
    <w:p w14:paraId="1031655B" w14:textId="77777777" w:rsidR="002B2CFC" w:rsidRDefault="002B2CFC" w:rsidP="00385097">
      <w:pPr>
        <w:pStyle w:val="Heading2"/>
        <w:rPr>
          <w:lang w:eastAsia="en-US"/>
        </w:rPr>
      </w:pPr>
      <w:bookmarkStart w:id="18" w:name="_Toc459108273"/>
      <w:r w:rsidRPr="002B2CFC">
        <w:rPr>
          <w:lang w:eastAsia="en-US"/>
        </w:rPr>
        <w:t>Summary of paraquat toxicity</w:t>
      </w:r>
      <w:bookmarkEnd w:id="18"/>
    </w:p>
    <w:p w14:paraId="520A146C" w14:textId="77777777" w:rsidR="002B2CFC" w:rsidRPr="002B2CFC" w:rsidRDefault="002B2CFC" w:rsidP="00CE5FD2">
      <w:pPr>
        <w:rPr>
          <w:szCs w:val="24"/>
          <w:lang w:val="en-US" w:eastAsia="en-US"/>
        </w:rPr>
      </w:pPr>
      <w:r w:rsidRPr="002B2CFC">
        <w:rPr>
          <w:szCs w:val="24"/>
          <w:lang w:val="en-US" w:eastAsia="en-US"/>
        </w:rPr>
        <w:t xml:space="preserve">Paraquat is a non-selective contact herbicide belonging to the bipyridinium class of compounds which also includes the herbicide diquat. Both compounds share a similar mode of action which involves the inhibition of photosynthesis (specifically photosystem I). Plants die rapidly after treatment and exposure to light. </w:t>
      </w:r>
    </w:p>
    <w:p w14:paraId="67BE4E32" w14:textId="77777777" w:rsidR="002B2CFC" w:rsidRPr="002B2CFC" w:rsidRDefault="002B2CFC" w:rsidP="00CE5FD2">
      <w:pPr>
        <w:rPr>
          <w:szCs w:val="24"/>
          <w:lang w:val="en-US" w:eastAsia="en-US"/>
        </w:rPr>
      </w:pPr>
    </w:p>
    <w:p w14:paraId="0ACAC1A3" w14:textId="77777777" w:rsidR="002B2CFC" w:rsidRPr="002B2CFC" w:rsidRDefault="002B2CFC" w:rsidP="00CE5FD2">
      <w:pPr>
        <w:rPr>
          <w:szCs w:val="24"/>
          <w:lang w:val="en-US" w:eastAsia="en-US"/>
        </w:rPr>
      </w:pPr>
      <w:r w:rsidRPr="002B2CFC">
        <w:rPr>
          <w:szCs w:val="24"/>
          <w:lang w:val="en-US" w:eastAsia="en-US"/>
        </w:rPr>
        <w:t>The mechanism of the mammalian toxicity of paraquat, like its mode of action in plants, is via the generation of highly reactive free radicals and consequent peroxidation of membrane lipids, leading to membrane damage and cell death. OCS has evaluated data which confirmed the high acute and chronic toxicity associated with paraquat, which was characterised by pulmonary lesions due to the preferential uptake of paraquat by the lungs. There was no evidence to indicate that paraquat is carcinogenic in chronic experimental animal studies. The weight-of-</w:t>
      </w:r>
      <w:r w:rsidRPr="002B2CFC">
        <w:rPr>
          <w:szCs w:val="24"/>
          <w:lang w:val="en-US" w:eastAsia="en-US"/>
        </w:rPr>
        <w:lastRenderedPageBreak/>
        <w:t xml:space="preserve">evidence indicates that paraquat is non-mutagenic and therefore it is not considered to pose a significant genotoxic risk to humans. </w:t>
      </w:r>
      <w:r w:rsidR="00E84AD0" w:rsidRPr="002B2CFC">
        <w:rPr>
          <w:color w:val="000000"/>
          <w:szCs w:val="24"/>
          <w:lang w:val="en-US" w:eastAsia="en-US"/>
        </w:rPr>
        <w:t xml:space="preserve"> </w:t>
      </w:r>
      <w:r w:rsidRPr="002B2CFC">
        <w:rPr>
          <w:szCs w:val="24"/>
          <w:lang w:val="en-US" w:eastAsia="en-US"/>
        </w:rPr>
        <w:t>The appropriate standard studies showed no reproductive or developmental toxicity in experimental animals</w:t>
      </w:r>
      <w:r w:rsidR="005E016E">
        <w:rPr>
          <w:szCs w:val="24"/>
          <w:lang w:val="en-US" w:eastAsia="en-US"/>
        </w:rPr>
        <w:t>.</w:t>
      </w:r>
      <w:r w:rsidRPr="002B2CFC">
        <w:rPr>
          <w:szCs w:val="24"/>
          <w:lang w:val="en-US" w:eastAsia="en-US"/>
        </w:rPr>
        <w:t xml:space="preserve"> </w:t>
      </w:r>
      <w:r w:rsidR="00B544D3">
        <w:rPr>
          <w:szCs w:val="24"/>
          <w:lang w:val="en-US" w:eastAsia="en-US"/>
        </w:rPr>
        <w:t xml:space="preserve">Single oral doses of up to </w:t>
      </w:r>
      <w:r w:rsidR="00AC32F4">
        <w:rPr>
          <w:szCs w:val="24"/>
          <w:lang w:val="en-US" w:eastAsia="en-US"/>
        </w:rPr>
        <w:t>84</w:t>
      </w:r>
      <w:r w:rsidR="00B544D3">
        <w:rPr>
          <w:szCs w:val="24"/>
          <w:lang w:val="en-US" w:eastAsia="en-US"/>
        </w:rPr>
        <w:t xml:space="preserve"> mg paraquat</w:t>
      </w:r>
      <w:r w:rsidR="00AC32F4">
        <w:rPr>
          <w:szCs w:val="24"/>
          <w:lang w:val="en-US" w:eastAsia="en-US"/>
        </w:rPr>
        <w:t xml:space="preserve"> ion</w:t>
      </w:r>
      <w:r w:rsidR="00B544D3">
        <w:rPr>
          <w:szCs w:val="24"/>
          <w:lang w:val="en-US" w:eastAsia="en-US"/>
        </w:rPr>
        <w:t>/kg bw/d to rats</w:t>
      </w:r>
      <w:r w:rsidR="00104BF5">
        <w:rPr>
          <w:szCs w:val="24"/>
          <w:lang w:val="en-US" w:eastAsia="en-US"/>
        </w:rPr>
        <w:t xml:space="preserve"> did not demonstrate any clinical signs or </w:t>
      </w:r>
      <w:r w:rsidR="00BB07A7">
        <w:rPr>
          <w:szCs w:val="24"/>
          <w:lang w:val="en-US" w:eastAsia="en-US"/>
        </w:rPr>
        <w:t>neurotoxic</w:t>
      </w:r>
      <w:r w:rsidR="00C90532">
        <w:rPr>
          <w:szCs w:val="24"/>
          <w:lang w:val="en-US" w:eastAsia="en-US"/>
        </w:rPr>
        <w:t>i</w:t>
      </w:r>
      <w:r w:rsidR="00BB07A7">
        <w:rPr>
          <w:szCs w:val="24"/>
          <w:lang w:val="en-US" w:eastAsia="en-US"/>
        </w:rPr>
        <w:t xml:space="preserve">ty </w:t>
      </w:r>
      <w:r w:rsidR="00104BF5">
        <w:rPr>
          <w:szCs w:val="24"/>
          <w:lang w:val="en-US" w:eastAsia="en-US"/>
        </w:rPr>
        <w:t xml:space="preserve">(Brammer, 2006). </w:t>
      </w:r>
      <w:r w:rsidR="000C0C8E">
        <w:rPr>
          <w:szCs w:val="24"/>
          <w:lang w:val="en-US" w:eastAsia="en-US"/>
        </w:rPr>
        <w:t>Additional detail on the toxicology of paraquat is included in the separate report ‘‘Review of the mammalian toxicology and metabolism/toxicokinetics of paraquat. Supplement I: Toxicology”.</w:t>
      </w:r>
    </w:p>
    <w:p w14:paraId="1F734C27" w14:textId="77777777" w:rsidR="002B2CFC" w:rsidRPr="002B2CFC" w:rsidRDefault="002B2CFC" w:rsidP="00CE5FD2">
      <w:pPr>
        <w:rPr>
          <w:color w:val="000000"/>
          <w:szCs w:val="24"/>
          <w:lang w:val="en-US" w:eastAsia="en-US"/>
        </w:rPr>
      </w:pPr>
    </w:p>
    <w:p w14:paraId="253D4804" w14:textId="77777777" w:rsidR="002B2CFC" w:rsidRPr="002B2CFC" w:rsidRDefault="002B2CFC" w:rsidP="00385097">
      <w:pPr>
        <w:pStyle w:val="Heading2"/>
        <w:rPr>
          <w:lang w:eastAsia="en-US"/>
        </w:rPr>
      </w:pPr>
      <w:bookmarkStart w:id="19" w:name="_Toc459108274"/>
      <w:r w:rsidRPr="002B2CFC">
        <w:rPr>
          <w:lang w:eastAsia="en-US"/>
        </w:rPr>
        <w:t>Parkinson’s disease</w:t>
      </w:r>
      <w:bookmarkEnd w:id="19"/>
    </w:p>
    <w:p w14:paraId="3B007EBF" w14:textId="77777777" w:rsidR="002B2CFC" w:rsidRDefault="002B2CFC" w:rsidP="00CE5FD2">
      <w:pPr>
        <w:spacing w:before="120"/>
        <w:rPr>
          <w:szCs w:val="24"/>
          <w:lang w:val="en-US" w:eastAsia="en-US"/>
        </w:rPr>
      </w:pPr>
      <w:r w:rsidRPr="002B2CFC">
        <w:rPr>
          <w:szCs w:val="24"/>
          <w:lang w:val="en-US" w:eastAsia="en-US"/>
        </w:rPr>
        <w:t>Parkinson’s disease is characteri</w:t>
      </w:r>
      <w:r w:rsidR="004B52EA">
        <w:rPr>
          <w:szCs w:val="24"/>
          <w:lang w:val="en-US" w:eastAsia="en-US"/>
        </w:rPr>
        <w:t>s</w:t>
      </w:r>
      <w:r w:rsidRPr="002B2CFC">
        <w:rPr>
          <w:szCs w:val="24"/>
          <w:lang w:val="en-US" w:eastAsia="en-US"/>
        </w:rPr>
        <w:t>ed at the pathological level by the relatively selective loss of 40</w:t>
      </w:r>
      <w:r w:rsidRPr="002B2CFC">
        <w:rPr>
          <w:szCs w:val="24"/>
          <w:lang w:val="en-US" w:eastAsia="en-US"/>
        </w:rPr>
        <w:noBreakHyphen/>
        <w:t xml:space="preserve">80% of pigmented dopaminergic neurons (often only apparent at diagnosis) in that part of the human brain known as the substantia nigra </w:t>
      </w:r>
      <w:r w:rsidRPr="00CE5FD2">
        <w:rPr>
          <w:szCs w:val="24"/>
          <w:lang w:val="en-US" w:eastAsia="en-US"/>
        </w:rPr>
        <w:t>pars compacta</w:t>
      </w:r>
      <w:r w:rsidRPr="002B2CFC">
        <w:rPr>
          <w:szCs w:val="24"/>
          <w:lang w:val="en-US" w:eastAsia="en-US"/>
        </w:rPr>
        <w:t xml:space="preserve"> (SN pc) and a dramatic reduction of striatal dopamine</w:t>
      </w:r>
      <w:r w:rsidR="00A4092E">
        <w:rPr>
          <w:szCs w:val="24"/>
          <w:lang w:val="en-US" w:eastAsia="en-US"/>
        </w:rPr>
        <w:t xml:space="preserve"> (DA)</w:t>
      </w:r>
      <w:r w:rsidRPr="002B2CFC">
        <w:rPr>
          <w:szCs w:val="24"/>
          <w:lang w:val="en-US" w:eastAsia="en-US"/>
        </w:rPr>
        <w:t xml:space="preserve"> levels (Lang &amp; Lozano, 1998). The disease is progressive and may be present sub-clinically for some period before diagnosis is confirmed. An additional important pathological feature of Parkinson’s disease is the presence of intracytoplasmic inclusions called Lewy bodies in the neuronal cell body and Lewy neurites in neuronal processes of the remaining dopaminergic neurons (Forno, 1996). </w:t>
      </w:r>
    </w:p>
    <w:p w14:paraId="1D0B2F32" w14:textId="77777777" w:rsidR="0084215F" w:rsidRPr="002B2CFC" w:rsidRDefault="0084215F" w:rsidP="00CE5FD2">
      <w:pPr>
        <w:spacing w:before="120"/>
        <w:rPr>
          <w:szCs w:val="24"/>
          <w:lang w:val="en-US" w:eastAsia="en-US"/>
        </w:rPr>
      </w:pPr>
    </w:p>
    <w:p w14:paraId="1ECB7AAA" w14:textId="2B2E0BB5" w:rsidR="002B2CFC" w:rsidRPr="001F685E" w:rsidRDefault="002B2CFC" w:rsidP="001F685E">
      <w:pPr>
        <w:rPr>
          <w:szCs w:val="24"/>
          <w:lang w:val="en-US" w:eastAsia="en-US"/>
        </w:rPr>
      </w:pPr>
      <w:r w:rsidRPr="002B2CFC">
        <w:rPr>
          <w:szCs w:val="24"/>
          <w:lang w:val="en-US" w:eastAsia="en-US"/>
        </w:rPr>
        <w:t>At the time of clinical diagnosis, the apparently selective neuronal deficient in the SN pc has been estimated at 40-80%. Subclinical loss of such a large proportion of SN pc neurons before the clinical manifestations of disease become apparent</w:t>
      </w:r>
      <w:r w:rsidR="00ED6823">
        <w:rPr>
          <w:szCs w:val="24"/>
          <w:lang w:val="en-US" w:eastAsia="en-US"/>
        </w:rPr>
        <w:t>,</w:t>
      </w:r>
      <w:r w:rsidRPr="002B2CFC">
        <w:rPr>
          <w:szCs w:val="24"/>
          <w:lang w:val="en-US" w:eastAsia="en-US"/>
        </w:rPr>
        <w:t xml:space="preserve"> demonstrates an innate capacity for the brain to compensate for the decreased </w:t>
      </w:r>
      <w:r w:rsidR="00A4092E">
        <w:rPr>
          <w:szCs w:val="24"/>
          <w:lang w:val="en-US" w:eastAsia="en-US"/>
        </w:rPr>
        <w:t>DA</w:t>
      </w:r>
      <w:r w:rsidRPr="002B2CFC">
        <w:rPr>
          <w:szCs w:val="24"/>
          <w:lang w:val="en-US" w:eastAsia="en-US"/>
        </w:rPr>
        <w:t xml:space="preserve"> levels. The affected regions of the brain include the basal ganglia, which is associated with a variety of functions, including motor control and learning. The main components of the basal ganglia are the striatum, palladium, S</w:t>
      </w:r>
      <w:r w:rsidR="004C3D87">
        <w:rPr>
          <w:szCs w:val="24"/>
          <w:lang w:val="en-US" w:eastAsia="en-US"/>
        </w:rPr>
        <w:t>N</w:t>
      </w:r>
      <w:r w:rsidRPr="002B2CFC">
        <w:rPr>
          <w:szCs w:val="24"/>
          <w:lang w:val="en-US" w:eastAsia="en-US"/>
        </w:rPr>
        <w:t>, and subthalamic nucleus. The S</w:t>
      </w:r>
      <w:r w:rsidR="004C3D87">
        <w:rPr>
          <w:szCs w:val="24"/>
          <w:lang w:val="en-US" w:eastAsia="en-US"/>
        </w:rPr>
        <w:t>N</w:t>
      </w:r>
      <w:r w:rsidRPr="002B2CFC">
        <w:rPr>
          <w:szCs w:val="24"/>
          <w:lang w:val="en-US" w:eastAsia="en-US"/>
        </w:rPr>
        <w:t xml:space="preserve"> is located in the midbrain</w:t>
      </w:r>
      <w:r w:rsidR="00B21BDE">
        <w:rPr>
          <w:szCs w:val="24"/>
          <w:lang w:val="en-US" w:eastAsia="en-US"/>
        </w:rPr>
        <w:t xml:space="preserve"> within the brainstem</w:t>
      </w:r>
      <w:r w:rsidRPr="002B2CFC">
        <w:rPr>
          <w:szCs w:val="24"/>
          <w:lang w:val="en-US" w:eastAsia="en-US"/>
        </w:rPr>
        <w:t xml:space="preserve"> and plays an important role </w:t>
      </w:r>
      <w:r w:rsidR="00ED6823">
        <w:rPr>
          <w:szCs w:val="24"/>
          <w:lang w:val="en-US" w:eastAsia="en-US"/>
        </w:rPr>
        <w:t xml:space="preserve">in </w:t>
      </w:r>
      <w:r w:rsidR="00ED6823" w:rsidRPr="002B2CFC">
        <w:rPr>
          <w:szCs w:val="24"/>
          <w:lang w:val="en-US" w:eastAsia="en-US"/>
        </w:rPr>
        <w:t>cognition, motor activity, motivation</w:t>
      </w:r>
      <w:r w:rsidR="00ED6823">
        <w:rPr>
          <w:szCs w:val="24"/>
          <w:lang w:val="en-US" w:eastAsia="en-US"/>
        </w:rPr>
        <w:t>,</w:t>
      </w:r>
      <w:r w:rsidR="00ED6823" w:rsidRPr="002B2CFC">
        <w:rPr>
          <w:szCs w:val="24"/>
          <w:lang w:val="en-US" w:eastAsia="en-US"/>
        </w:rPr>
        <w:t xml:space="preserve"> reward, mood, attention, and learning</w:t>
      </w:r>
      <w:r w:rsidR="00ED6823">
        <w:rPr>
          <w:szCs w:val="24"/>
          <w:lang w:val="en-US" w:eastAsia="en-US"/>
        </w:rPr>
        <w:t xml:space="preserve"> (Jones &amp; Miller, 2008).</w:t>
      </w:r>
      <w:r w:rsidRPr="002B2CFC">
        <w:rPr>
          <w:szCs w:val="24"/>
          <w:lang w:val="en-US" w:eastAsia="en-US"/>
        </w:rPr>
        <w:t xml:space="preserve"> The </w:t>
      </w:r>
      <w:r w:rsidR="0036133F" w:rsidRPr="002B2CFC">
        <w:rPr>
          <w:szCs w:val="24"/>
          <w:lang w:val="en-US" w:eastAsia="en-US"/>
        </w:rPr>
        <w:t>S</w:t>
      </w:r>
      <w:r w:rsidR="0036133F">
        <w:rPr>
          <w:szCs w:val="24"/>
          <w:lang w:val="en-US" w:eastAsia="en-US"/>
        </w:rPr>
        <w:t>N</w:t>
      </w:r>
      <w:r w:rsidR="0036133F" w:rsidRPr="002B2CFC">
        <w:rPr>
          <w:szCs w:val="24"/>
          <w:lang w:val="en-US" w:eastAsia="en-US"/>
        </w:rPr>
        <w:t xml:space="preserve"> </w:t>
      </w:r>
      <w:r w:rsidRPr="002B2CFC">
        <w:rPr>
          <w:szCs w:val="24"/>
          <w:lang w:val="en-US" w:eastAsia="en-US"/>
        </w:rPr>
        <w:t>consists of two sub-regions, the pars compacta</w:t>
      </w:r>
      <w:r w:rsidR="00142A36">
        <w:rPr>
          <w:szCs w:val="24"/>
          <w:lang w:val="en-US" w:eastAsia="en-US"/>
        </w:rPr>
        <w:t xml:space="preserve"> (pc)</w:t>
      </w:r>
      <w:r w:rsidRPr="002B2CFC">
        <w:rPr>
          <w:szCs w:val="24"/>
          <w:lang w:val="en-US" w:eastAsia="en-US"/>
        </w:rPr>
        <w:t xml:space="preserve"> and pars reticulata</w:t>
      </w:r>
      <w:r w:rsidR="004C3D87">
        <w:rPr>
          <w:szCs w:val="24"/>
          <w:lang w:val="en-US" w:eastAsia="en-US"/>
        </w:rPr>
        <w:t xml:space="preserve"> (pr)</w:t>
      </w:r>
      <w:r w:rsidRPr="002B2CFC">
        <w:rPr>
          <w:szCs w:val="24"/>
          <w:lang w:val="en-US" w:eastAsia="en-US"/>
        </w:rPr>
        <w:t xml:space="preserve">. Neurons in the SN pc are generally dopaminergic (i.e., produce the neurotransmitter </w:t>
      </w:r>
      <w:r w:rsidR="00A4092E">
        <w:rPr>
          <w:szCs w:val="24"/>
          <w:lang w:val="en-US" w:eastAsia="en-US"/>
        </w:rPr>
        <w:t>DA</w:t>
      </w:r>
      <w:r w:rsidRPr="002B2CFC">
        <w:rPr>
          <w:szCs w:val="24"/>
          <w:lang w:val="en-US" w:eastAsia="en-US"/>
        </w:rPr>
        <w:t xml:space="preserve">) </w:t>
      </w:r>
      <w:r w:rsidR="004C3D87">
        <w:rPr>
          <w:szCs w:val="24"/>
          <w:lang w:val="en-US" w:eastAsia="en-US"/>
        </w:rPr>
        <w:t>and</w:t>
      </w:r>
      <w:r w:rsidR="004C3D87" w:rsidRPr="002B2CFC">
        <w:rPr>
          <w:szCs w:val="24"/>
          <w:lang w:val="en-US" w:eastAsia="en-US"/>
        </w:rPr>
        <w:t xml:space="preserve"> </w:t>
      </w:r>
      <w:r w:rsidR="004C3D87">
        <w:rPr>
          <w:szCs w:val="24"/>
          <w:lang w:val="en-US" w:eastAsia="en-US"/>
        </w:rPr>
        <w:t>are</w:t>
      </w:r>
      <w:r w:rsidR="00C0145B">
        <w:rPr>
          <w:szCs w:val="24"/>
          <w:lang w:val="en-US" w:eastAsia="en-US"/>
        </w:rPr>
        <w:t xml:space="preserve"> </w:t>
      </w:r>
      <w:r w:rsidRPr="002B2CFC">
        <w:rPr>
          <w:szCs w:val="24"/>
          <w:lang w:val="en-US" w:eastAsia="en-US"/>
        </w:rPr>
        <w:t>involved in a variety of central nervous system processes</w:t>
      </w:r>
      <w:r w:rsidR="00ED6823">
        <w:rPr>
          <w:szCs w:val="24"/>
          <w:lang w:val="en-US" w:eastAsia="en-US"/>
        </w:rPr>
        <w:t>.</w:t>
      </w:r>
      <w:r w:rsidR="00C0145B">
        <w:rPr>
          <w:szCs w:val="24"/>
          <w:lang w:val="en-US" w:eastAsia="en-US"/>
        </w:rPr>
        <w:t xml:space="preserve"> </w:t>
      </w:r>
      <w:r w:rsidRPr="002B2CFC">
        <w:rPr>
          <w:szCs w:val="24"/>
          <w:lang w:val="en-US" w:eastAsia="en-US"/>
        </w:rPr>
        <w:t xml:space="preserve">In brief, alterations in </w:t>
      </w:r>
      <w:r w:rsidR="00A4092E">
        <w:rPr>
          <w:szCs w:val="24"/>
          <w:lang w:val="en-US" w:eastAsia="en-US"/>
        </w:rPr>
        <w:t>DA</w:t>
      </w:r>
      <w:r w:rsidRPr="002B2CFC">
        <w:rPr>
          <w:szCs w:val="24"/>
          <w:lang w:val="en-US" w:eastAsia="en-US"/>
        </w:rPr>
        <w:t xml:space="preserve"> transmission may affect a variety of neurological processes and lead to debilitating behavioural </w:t>
      </w:r>
      <w:r w:rsidR="00AA7F63">
        <w:rPr>
          <w:szCs w:val="24"/>
          <w:lang w:val="en-US" w:eastAsia="en-US"/>
        </w:rPr>
        <w:t xml:space="preserve">and movement </w:t>
      </w:r>
      <w:r w:rsidRPr="002B2CFC">
        <w:rPr>
          <w:szCs w:val="24"/>
          <w:lang w:val="en-US" w:eastAsia="en-US"/>
        </w:rPr>
        <w:t xml:space="preserve">disorders. </w:t>
      </w:r>
      <w:r w:rsidR="001F685E">
        <w:rPr>
          <w:szCs w:val="24"/>
          <w:lang w:val="en-US" w:eastAsia="en-US"/>
        </w:rPr>
        <w:br w:type="page"/>
      </w:r>
    </w:p>
    <w:p w14:paraId="46BF3A16" w14:textId="77777777" w:rsidR="002B2CFC" w:rsidRPr="002B2CFC" w:rsidRDefault="00AC2B2A" w:rsidP="00AA1EA2">
      <w:pPr>
        <w:pStyle w:val="Heading1"/>
        <w:jc w:val="left"/>
      </w:pPr>
      <w:bookmarkStart w:id="20" w:name="_Ref399229775"/>
      <w:bookmarkStart w:id="21" w:name="_Toc459108275"/>
      <w:r>
        <w:lastRenderedPageBreak/>
        <w:t>historical basis for</w:t>
      </w:r>
      <w:r w:rsidR="002B2CFC" w:rsidRPr="002B2CFC">
        <w:t xml:space="preserve"> The Potential Link between paraquat and neurotoxicity</w:t>
      </w:r>
      <w:bookmarkEnd w:id="20"/>
      <w:bookmarkEnd w:id="21"/>
    </w:p>
    <w:p w14:paraId="312427B9" w14:textId="77777777" w:rsidR="002B2CFC" w:rsidRPr="002B2CFC" w:rsidRDefault="00BC58C8" w:rsidP="00385097">
      <w:pPr>
        <w:pStyle w:val="Heading2"/>
      </w:pPr>
      <w:bookmarkStart w:id="22" w:name="_Toc459108276"/>
      <w:r>
        <w:t>Structural similarity</w:t>
      </w:r>
      <w:r w:rsidR="00B73085">
        <w:t xml:space="preserve"> to MPTP</w:t>
      </w:r>
      <w:bookmarkEnd w:id="22"/>
    </w:p>
    <w:p w14:paraId="5C44B59E" w14:textId="7C8EFEFF" w:rsidR="002B2CFC" w:rsidRPr="002B2CFC" w:rsidRDefault="002B2CFC" w:rsidP="00CE5FD2">
      <w:pPr>
        <w:rPr>
          <w:color w:val="000000"/>
          <w:szCs w:val="24"/>
          <w:lang w:val="en-US" w:eastAsia="en-US"/>
        </w:rPr>
      </w:pPr>
      <w:r w:rsidRPr="002B2CFC">
        <w:rPr>
          <w:color w:val="000000"/>
          <w:szCs w:val="24"/>
          <w:lang w:val="en-US" w:eastAsia="en-US"/>
        </w:rPr>
        <w:t xml:space="preserve">The </w:t>
      </w:r>
      <w:r w:rsidR="00B3193A">
        <w:rPr>
          <w:color w:val="000000"/>
          <w:szCs w:val="24"/>
          <w:lang w:val="en-US" w:eastAsia="en-US"/>
        </w:rPr>
        <w:t>hypothesis that paraquat</w:t>
      </w:r>
      <w:r w:rsidR="00B3193A" w:rsidRPr="002B2CFC">
        <w:rPr>
          <w:color w:val="000000"/>
          <w:szCs w:val="24"/>
          <w:lang w:val="en-US" w:eastAsia="en-US"/>
        </w:rPr>
        <w:t xml:space="preserve"> </w:t>
      </w:r>
      <w:r w:rsidR="00B3193A">
        <w:rPr>
          <w:color w:val="000000"/>
          <w:szCs w:val="24"/>
          <w:lang w:val="en-US" w:eastAsia="en-US"/>
        </w:rPr>
        <w:t xml:space="preserve">may be associated with Parkinson’s disease stems from its structural similarity to </w:t>
      </w:r>
      <w:r w:rsidRPr="002B2CFC">
        <w:rPr>
          <w:color w:val="000000"/>
          <w:szCs w:val="24"/>
          <w:lang w:val="en-US" w:eastAsia="en-US"/>
        </w:rPr>
        <w:t>1</w:t>
      </w:r>
      <w:r w:rsidRPr="002B2CFC">
        <w:rPr>
          <w:color w:val="000000"/>
          <w:szCs w:val="24"/>
          <w:lang w:val="en-US" w:eastAsia="en-US"/>
        </w:rPr>
        <w:noBreakHyphen/>
        <w:t>met</w:t>
      </w:r>
      <w:r w:rsidR="00BB7A91">
        <w:rPr>
          <w:color w:val="000000"/>
          <w:szCs w:val="24"/>
          <w:lang w:val="en-US" w:eastAsia="en-US"/>
        </w:rPr>
        <w:t>hyl-4</w:t>
      </w:r>
      <w:r w:rsidR="00BB7A91">
        <w:rPr>
          <w:color w:val="000000"/>
          <w:szCs w:val="24"/>
          <w:lang w:val="en-US" w:eastAsia="en-US"/>
        </w:rPr>
        <w:noBreakHyphen/>
        <w:t>phenyl-1,2,3,6</w:t>
      </w:r>
      <w:r w:rsidR="00BB7A91">
        <w:rPr>
          <w:color w:val="000000"/>
          <w:szCs w:val="24"/>
          <w:lang w:val="en-US" w:eastAsia="en-US"/>
        </w:rPr>
        <w:noBreakHyphen/>
        <w:t>tetrahydro</w:t>
      </w:r>
      <w:r w:rsidRPr="002B2CFC">
        <w:rPr>
          <w:color w:val="000000"/>
          <w:szCs w:val="24"/>
          <w:lang w:val="en-US" w:eastAsia="en-US"/>
        </w:rPr>
        <w:t>pyridine, or MPTP</w:t>
      </w:r>
      <w:r w:rsidR="00B3193A">
        <w:rPr>
          <w:color w:val="000000"/>
          <w:szCs w:val="24"/>
          <w:lang w:val="en-US" w:eastAsia="en-US"/>
        </w:rPr>
        <w:t>, a contaminant in illicit heroin preparations that was identified as the causative agent for idiopathic Parkinson’s disease in recreational drug users</w:t>
      </w:r>
      <w:r w:rsidRPr="002B2CFC">
        <w:rPr>
          <w:szCs w:val="24"/>
          <w:lang w:eastAsia="en-US"/>
        </w:rPr>
        <w:t xml:space="preserve"> </w:t>
      </w:r>
      <w:r w:rsidRPr="002B2CFC">
        <w:rPr>
          <w:color w:val="000000"/>
          <w:szCs w:val="24"/>
          <w:lang w:val="en-US" w:eastAsia="en-US"/>
        </w:rPr>
        <w:t xml:space="preserve">(Burns </w:t>
      </w:r>
      <w:r w:rsidR="00EE5CEB" w:rsidRPr="00EE5CEB">
        <w:rPr>
          <w:i/>
          <w:color w:val="000000"/>
          <w:szCs w:val="24"/>
          <w:lang w:val="en-US" w:eastAsia="en-US"/>
        </w:rPr>
        <w:t>et al</w:t>
      </w:r>
      <w:r w:rsidR="00120920">
        <w:rPr>
          <w:i/>
          <w:color w:val="000000"/>
          <w:szCs w:val="24"/>
          <w:lang w:val="en-US" w:eastAsia="en-US"/>
        </w:rPr>
        <w:t>,</w:t>
      </w:r>
      <w:r w:rsidR="00235031">
        <w:rPr>
          <w:i/>
          <w:color w:val="000000"/>
          <w:szCs w:val="24"/>
          <w:lang w:val="en-US" w:eastAsia="en-US"/>
        </w:rPr>
        <w:t xml:space="preserve"> </w:t>
      </w:r>
      <w:r w:rsidRPr="002B2CFC">
        <w:rPr>
          <w:color w:val="000000"/>
          <w:szCs w:val="24"/>
          <w:lang w:val="en-US" w:eastAsia="en-US"/>
        </w:rPr>
        <w:t xml:space="preserve">1983; Davis </w:t>
      </w:r>
      <w:r w:rsidR="00EE5CEB" w:rsidRPr="00EE5CEB">
        <w:rPr>
          <w:i/>
          <w:color w:val="000000"/>
          <w:szCs w:val="24"/>
          <w:lang w:val="en-US" w:eastAsia="en-US"/>
        </w:rPr>
        <w:t>et al</w:t>
      </w:r>
      <w:r w:rsidR="00120920">
        <w:rPr>
          <w:i/>
          <w:color w:val="000000"/>
          <w:szCs w:val="24"/>
          <w:lang w:val="en-US" w:eastAsia="en-US"/>
        </w:rPr>
        <w:t>,</w:t>
      </w:r>
      <w:r w:rsidRPr="002B2CFC">
        <w:rPr>
          <w:i/>
          <w:color w:val="000000"/>
          <w:szCs w:val="24"/>
          <w:lang w:val="en-US" w:eastAsia="en-US"/>
        </w:rPr>
        <w:t xml:space="preserve"> </w:t>
      </w:r>
      <w:r w:rsidRPr="002B2CFC">
        <w:rPr>
          <w:color w:val="000000"/>
          <w:szCs w:val="24"/>
          <w:lang w:val="en-US" w:eastAsia="en-US"/>
        </w:rPr>
        <w:t xml:space="preserve">1979; Langston </w:t>
      </w:r>
      <w:r w:rsidR="00EE5CEB" w:rsidRPr="00EE5CEB">
        <w:rPr>
          <w:i/>
          <w:color w:val="000000"/>
          <w:szCs w:val="24"/>
          <w:lang w:val="en-US" w:eastAsia="en-US"/>
        </w:rPr>
        <w:t>et al</w:t>
      </w:r>
      <w:r w:rsidR="00120920">
        <w:rPr>
          <w:i/>
          <w:color w:val="000000"/>
          <w:szCs w:val="24"/>
          <w:lang w:val="en-US" w:eastAsia="en-US"/>
        </w:rPr>
        <w:t>,</w:t>
      </w:r>
      <w:r w:rsidRPr="002B2CFC">
        <w:rPr>
          <w:i/>
          <w:color w:val="000000"/>
          <w:szCs w:val="24"/>
          <w:lang w:val="en-US" w:eastAsia="en-US"/>
        </w:rPr>
        <w:t xml:space="preserve"> </w:t>
      </w:r>
      <w:r w:rsidRPr="002B2CFC">
        <w:rPr>
          <w:color w:val="000000"/>
          <w:szCs w:val="24"/>
          <w:lang w:val="en-US" w:eastAsia="en-US"/>
        </w:rPr>
        <w:t xml:space="preserve">1983). The structural similarities of </w:t>
      </w:r>
      <w:r w:rsidR="00CF5340">
        <w:rPr>
          <w:color w:val="000000"/>
          <w:szCs w:val="24"/>
          <w:lang w:val="en-US" w:eastAsia="en-US"/>
        </w:rPr>
        <w:t>paraquat (</w:t>
      </w:r>
      <w:r w:rsidR="00897462">
        <w:rPr>
          <w:color w:val="000000"/>
          <w:szCs w:val="24"/>
          <w:lang w:val="en-US" w:eastAsia="en-US"/>
        </w:rPr>
        <w:fldChar w:fldCharType="begin"/>
      </w:r>
      <w:r w:rsidR="00CF5340">
        <w:rPr>
          <w:color w:val="000000"/>
          <w:szCs w:val="24"/>
          <w:lang w:val="en-US" w:eastAsia="en-US"/>
        </w:rPr>
        <w:instrText xml:space="preserve"> REF _Ref414975354 \h </w:instrText>
      </w:r>
      <w:r w:rsidR="00897462">
        <w:rPr>
          <w:color w:val="000000"/>
          <w:szCs w:val="24"/>
          <w:lang w:val="en-US" w:eastAsia="en-US"/>
        </w:rPr>
      </w:r>
      <w:r w:rsidR="00897462">
        <w:rPr>
          <w:color w:val="000000"/>
          <w:szCs w:val="24"/>
          <w:lang w:val="en-US" w:eastAsia="en-US"/>
        </w:rPr>
        <w:fldChar w:fldCharType="separate"/>
      </w:r>
      <w:r w:rsidR="000E54B2">
        <w:t xml:space="preserve">Figure </w:t>
      </w:r>
      <w:r w:rsidR="000E54B2">
        <w:rPr>
          <w:noProof/>
        </w:rPr>
        <w:t>1</w:t>
      </w:r>
      <w:r w:rsidR="00897462">
        <w:rPr>
          <w:color w:val="000000"/>
          <w:szCs w:val="24"/>
          <w:lang w:val="en-US" w:eastAsia="en-US"/>
        </w:rPr>
        <w:fldChar w:fldCharType="end"/>
      </w:r>
      <w:r w:rsidR="00CF5340">
        <w:rPr>
          <w:color w:val="000000"/>
          <w:szCs w:val="24"/>
          <w:lang w:val="en-US" w:eastAsia="en-US"/>
        </w:rPr>
        <w:t xml:space="preserve">), </w:t>
      </w:r>
      <w:r w:rsidRPr="002B2CFC">
        <w:rPr>
          <w:color w:val="000000"/>
          <w:szCs w:val="24"/>
          <w:lang w:val="en-US" w:eastAsia="en-US"/>
        </w:rPr>
        <w:t>MPTP (</w:t>
      </w:r>
      <w:r w:rsidR="00897462">
        <w:rPr>
          <w:color w:val="000000"/>
          <w:szCs w:val="24"/>
          <w:lang w:val="en-US" w:eastAsia="en-US"/>
        </w:rPr>
        <w:fldChar w:fldCharType="begin"/>
      </w:r>
      <w:r w:rsidR="00CF5340">
        <w:rPr>
          <w:color w:val="000000"/>
          <w:szCs w:val="24"/>
          <w:lang w:val="en-US" w:eastAsia="en-US"/>
        </w:rPr>
        <w:instrText xml:space="preserve"> REF _Ref414975357 \h </w:instrText>
      </w:r>
      <w:r w:rsidR="00897462">
        <w:rPr>
          <w:color w:val="000000"/>
          <w:szCs w:val="24"/>
          <w:lang w:val="en-US" w:eastAsia="en-US"/>
        </w:rPr>
      </w:r>
      <w:r w:rsidR="00897462">
        <w:rPr>
          <w:color w:val="000000"/>
          <w:szCs w:val="24"/>
          <w:lang w:val="en-US" w:eastAsia="en-US"/>
        </w:rPr>
        <w:fldChar w:fldCharType="separate"/>
      </w:r>
      <w:r w:rsidR="000E54B2">
        <w:t xml:space="preserve">Figure </w:t>
      </w:r>
      <w:r w:rsidR="000E54B2">
        <w:rPr>
          <w:noProof/>
        </w:rPr>
        <w:t>2</w:t>
      </w:r>
      <w:r w:rsidR="00897462">
        <w:rPr>
          <w:color w:val="000000"/>
          <w:szCs w:val="24"/>
          <w:lang w:val="en-US" w:eastAsia="en-US"/>
        </w:rPr>
        <w:fldChar w:fldCharType="end"/>
      </w:r>
      <w:r w:rsidR="00CF5340">
        <w:rPr>
          <w:color w:val="000000"/>
          <w:szCs w:val="24"/>
          <w:lang w:val="en-US" w:eastAsia="en-US"/>
        </w:rPr>
        <w:t xml:space="preserve">) </w:t>
      </w:r>
      <w:r w:rsidRPr="002B2CFC">
        <w:rPr>
          <w:color w:val="000000"/>
          <w:szCs w:val="24"/>
          <w:lang w:val="en-US" w:eastAsia="en-US"/>
        </w:rPr>
        <w:t>and the highly toxic metabolite MPP+</w:t>
      </w:r>
      <w:r w:rsidR="00CF5340">
        <w:rPr>
          <w:color w:val="000000"/>
          <w:szCs w:val="24"/>
          <w:lang w:val="en-US" w:eastAsia="en-US"/>
        </w:rPr>
        <w:t xml:space="preserve"> (</w:t>
      </w:r>
      <w:r w:rsidR="00897462">
        <w:rPr>
          <w:color w:val="000000"/>
          <w:szCs w:val="24"/>
          <w:lang w:val="en-US" w:eastAsia="en-US"/>
        </w:rPr>
        <w:fldChar w:fldCharType="begin"/>
      </w:r>
      <w:r w:rsidR="00CF5340">
        <w:rPr>
          <w:color w:val="000000"/>
          <w:szCs w:val="24"/>
          <w:lang w:val="en-US" w:eastAsia="en-US"/>
        </w:rPr>
        <w:instrText xml:space="preserve"> REF _Ref414975359 \h </w:instrText>
      </w:r>
      <w:r w:rsidR="00897462">
        <w:rPr>
          <w:color w:val="000000"/>
          <w:szCs w:val="24"/>
          <w:lang w:val="en-US" w:eastAsia="en-US"/>
        </w:rPr>
      </w:r>
      <w:r w:rsidR="00897462">
        <w:rPr>
          <w:color w:val="000000"/>
          <w:szCs w:val="24"/>
          <w:lang w:val="en-US" w:eastAsia="en-US"/>
        </w:rPr>
        <w:fldChar w:fldCharType="separate"/>
      </w:r>
      <w:r w:rsidR="000E54B2">
        <w:t xml:space="preserve">Figure </w:t>
      </w:r>
      <w:r w:rsidR="000E54B2">
        <w:rPr>
          <w:noProof/>
        </w:rPr>
        <w:t>3</w:t>
      </w:r>
      <w:r w:rsidR="00897462">
        <w:rPr>
          <w:color w:val="000000"/>
          <w:szCs w:val="24"/>
          <w:lang w:val="en-US" w:eastAsia="en-US"/>
        </w:rPr>
        <w:fldChar w:fldCharType="end"/>
      </w:r>
      <w:r w:rsidR="00CF5340">
        <w:rPr>
          <w:color w:val="000000"/>
          <w:szCs w:val="24"/>
          <w:lang w:val="en-US" w:eastAsia="en-US"/>
        </w:rPr>
        <w:t>)</w:t>
      </w:r>
      <w:r w:rsidRPr="002B2CFC">
        <w:rPr>
          <w:color w:val="000000"/>
          <w:szCs w:val="24"/>
          <w:lang w:val="en-US" w:eastAsia="en-US"/>
        </w:rPr>
        <w:t xml:space="preserve"> were sufficient to initiate investigations of paraquat as a potential Parkinsonism-inducing agent (</w:t>
      </w:r>
      <w:r w:rsidRPr="002B2CFC">
        <w:rPr>
          <w:szCs w:val="24"/>
          <w:lang w:eastAsia="en-US"/>
        </w:rPr>
        <w:t xml:space="preserve">Langston &amp; Ballard, 1983; Langston </w:t>
      </w:r>
      <w:r w:rsidR="00EE5CEB" w:rsidRPr="00EE5CEB">
        <w:rPr>
          <w:i/>
          <w:szCs w:val="24"/>
          <w:lang w:eastAsia="en-US"/>
        </w:rPr>
        <w:t>et al</w:t>
      </w:r>
      <w:r w:rsidR="00120920">
        <w:rPr>
          <w:i/>
          <w:szCs w:val="24"/>
          <w:lang w:eastAsia="en-US"/>
        </w:rPr>
        <w:t>,</w:t>
      </w:r>
      <w:r w:rsidRPr="002B2CFC">
        <w:rPr>
          <w:szCs w:val="24"/>
          <w:lang w:eastAsia="en-US"/>
        </w:rPr>
        <w:t xml:space="preserve"> 1983; </w:t>
      </w:r>
      <w:r w:rsidRPr="002B2CFC">
        <w:rPr>
          <w:color w:val="000000"/>
          <w:szCs w:val="24"/>
          <w:lang w:val="en-US" w:eastAsia="en-US"/>
        </w:rPr>
        <w:t xml:space="preserve">Langston </w:t>
      </w:r>
      <w:r w:rsidR="00EE5CEB" w:rsidRPr="00EE5CEB">
        <w:rPr>
          <w:i/>
          <w:color w:val="000000"/>
          <w:szCs w:val="24"/>
          <w:lang w:val="en-US" w:eastAsia="en-US"/>
        </w:rPr>
        <w:t>et al</w:t>
      </w:r>
      <w:r w:rsidR="00120920">
        <w:rPr>
          <w:i/>
          <w:color w:val="000000"/>
          <w:szCs w:val="24"/>
          <w:lang w:val="en-US" w:eastAsia="en-US"/>
        </w:rPr>
        <w:t>,</w:t>
      </w:r>
      <w:r w:rsidRPr="002B2CFC">
        <w:rPr>
          <w:i/>
          <w:color w:val="000000"/>
          <w:szCs w:val="24"/>
          <w:lang w:val="en-US" w:eastAsia="en-US"/>
        </w:rPr>
        <w:t xml:space="preserve"> </w:t>
      </w:r>
      <w:r w:rsidRPr="002B2CFC">
        <w:rPr>
          <w:color w:val="000000"/>
          <w:szCs w:val="24"/>
          <w:lang w:val="en-US" w:eastAsia="en-US"/>
        </w:rPr>
        <w:t>1983;</w:t>
      </w:r>
      <w:r w:rsidRPr="002B2CFC">
        <w:rPr>
          <w:szCs w:val="24"/>
          <w:lang w:eastAsia="en-US"/>
        </w:rPr>
        <w:t xml:space="preserve"> Woolley </w:t>
      </w:r>
      <w:r w:rsidRPr="002B2CFC">
        <w:rPr>
          <w:i/>
          <w:szCs w:val="24"/>
          <w:lang w:eastAsia="en-US"/>
        </w:rPr>
        <w:t>et al</w:t>
      </w:r>
      <w:r w:rsidRPr="002B2CFC">
        <w:rPr>
          <w:szCs w:val="24"/>
          <w:lang w:eastAsia="en-US"/>
        </w:rPr>
        <w:t>, 1989; Snyder &amp; D'Amato, 1985; Langston, 1996</w:t>
      </w:r>
      <w:r w:rsidRPr="002B2CFC">
        <w:rPr>
          <w:color w:val="000000"/>
          <w:szCs w:val="24"/>
          <w:lang w:val="en-US" w:eastAsia="en-US"/>
        </w:rPr>
        <w:t xml:space="preserve">). Indications of association were described in early epidemiology studies and mechanistic studies </w:t>
      </w:r>
      <w:r w:rsidR="004C3D87">
        <w:rPr>
          <w:color w:val="000000"/>
          <w:szCs w:val="24"/>
          <w:lang w:val="en-US" w:eastAsia="en-US"/>
        </w:rPr>
        <w:t xml:space="preserve">which </w:t>
      </w:r>
      <w:r w:rsidRPr="002B2CFC">
        <w:rPr>
          <w:color w:val="000000"/>
          <w:szCs w:val="24"/>
          <w:lang w:val="en-US" w:eastAsia="en-US"/>
        </w:rPr>
        <w:t xml:space="preserve">examined the influence of the blood brain barrier </w:t>
      </w:r>
      <w:r w:rsidR="009E2A0B">
        <w:rPr>
          <w:color w:val="000000"/>
          <w:szCs w:val="24"/>
          <w:lang w:val="en-US" w:eastAsia="en-US"/>
        </w:rPr>
        <w:t xml:space="preserve">(BBB) </w:t>
      </w:r>
      <w:r w:rsidRPr="002B2CFC">
        <w:rPr>
          <w:color w:val="000000"/>
          <w:szCs w:val="24"/>
          <w:lang w:val="en-US" w:eastAsia="en-US"/>
        </w:rPr>
        <w:t xml:space="preserve">and age on the passage </w:t>
      </w:r>
      <w:r w:rsidR="004C3D87">
        <w:rPr>
          <w:color w:val="000000"/>
          <w:szCs w:val="24"/>
          <w:lang w:val="en-US" w:eastAsia="en-US"/>
        </w:rPr>
        <w:t xml:space="preserve">of paraquat </w:t>
      </w:r>
      <w:r w:rsidRPr="002B2CFC">
        <w:rPr>
          <w:color w:val="000000"/>
          <w:szCs w:val="24"/>
          <w:lang w:val="en-US" w:eastAsia="en-US"/>
        </w:rPr>
        <w:t xml:space="preserve">into the brain (see report summaries in Part 2 for Corasaniti </w:t>
      </w:r>
      <w:r w:rsidRPr="002B2CFC">
        <w:rPr>
          <w:i/>
          <w:color w:val="000000"/>
          <w:szCs w:val="24"/>
          <w:lang w:val="en-US" w:eastAsia="en-US"/>
        </w:rPr>
        <w:t>et al</w:t>
      </w:r>
      <w:r w:rsidRPr="002B2CFC">
        <w:rPr>
          <w:color w:val="000000"/>
          <w:szCs w:val="24"/>
          <w:lang w:val="en-US" w:eastAsia="en-US"/>
        </w:rPr>
        <w:t xml:space="preserve"> (1991); Naylor </w:t>
      </w:r>
      <w:r w:rsidR="00EE5CEB" w:rsidRPr="00EE5CEB">
        <w:rPr>
          <w:i/>
          <w:color w:val="000000"/>
          <w:szCs w:val="24"/>
          <w:lang w:val="en-US" w:eastAsia="en-US"/>
        </w:rPr>
        <w:t>et al</w:t>
      </w:r>
      <w:r w:rsidRPr="002B2CFC">
        <w:rPr>
          <w:i/>
          <w:color w:val="000000"/>
          <w:szCs w:val="24"/>
          <w:lang w:val="en-US" w:eastAsia="en-US"/>
        </w:rPr>
        <w:t xml:space="preserve"> </w:t>
      </w:r>
      <w:r w:rsidRPr="002B2CFC">
        <w:rPr>
          <w:color w:val="000000"/>
          <w:szCs w:val="24"/>
          <w:lang w:val="en-US" w:eastAsia="en-US"/>
        </w:rPr>
        <w:t xml:space="preserve">(1995); Widdowson </w:t>
      </w:r>
      <w:r w:rsidRPr="002B2CFC">
        <w:rPr>
          <w:i/>
          <w:color w:val="000000"/>
          <w:szCs w:val="24"/>
          <w:lang w:val="en-US" w:eastAsia="en-US"/>
        </w:rPr>
        <w:t>et al</w:t>
      </w:r>
      <w:r w:rsidRPr="002B2CFC">
        <w:rPr>
          <w:color w:val="000000"/>
          <w:szCs w:val="24"/>
          <w:lang w:val="en-US" w:eastAsia="en-US"/>
        </w:rPr>
        <w:t xml:space="preserve"> (1996</w:t>
      </w:r>
      <w:r w:rsidR="000013E5">
        <w:rPr>
          <w:color w:val="000000"/>
          <w:szCs w:val="24"/>
          <w:lang w:val="en-US" w:eastAsia="en-US"/>
        </w:rPr>
        <w:t>a</w:t>
      </w:r>
      <w:r w:rsidRPr="002B2CFC">
        <w:rPr>
          <w:color w:val="000000"/>
          <w:szCs w:val="24"/>
          <w:lang w:val="en-US" w:eastAsia="en-US"/>
        </w:rPr>
        <w:t xml:space="preserve">)). </w:t>
      </w:r>
    </w:p>
    <w:p w14:paraId="52F85F2A" w14:textId="77777777" w:rsidR="002C3FF1" w:rsidRDefault="002C3FF1" w:rsidP="00114AAE"/>
    <w:p w14:paraId="1D67B643" w14:textId="77777777" w:rsidR="002B2CFC" w:rsidRPr="00CF5340" w:rsidRDefault="00CF5340" w:rsidP="00CE5FD2">
      <w:pPr>
        <w:rPr>
          <w:b/>
          <w:i/>
          <w:szCs w:val="24"/>
          <w:lang w:val="en-US" w:eastAsia="en-US"/>
        </w:rPr>
      </w:pPr>
      <w:r w:rsidRPr="00CF5340">
        <w:rPr>
          <w:b/>
          <w:i/>
          <w:szCs w:val="24"/>
          <w:lang w:val="en-US" w:eastAsia="en-US"/>
        </w:rPr>
        <w:t>Chemical structures of paraquat, MPTP and MPP+</w:t>
      </w:r>
    </w:p>
    <w:p w14:paraId="2EC7E050" w14:textId="77777777" w:rsidR="00A71C8C" w:rsidRDefault="004A5D7D" w:rsidP="00A71C8C">
      <w:pPr>
        <w:keepNext/>
      </w:pPr>
      <w:r>
        <w:rPr>
          <w:noProof/>
        </w:rPr>
        <w:drawing>
          <wp:inline distT="0" distB="0" distL="0" distR="0" wp14:anchorId="74F652C8" wp14:editId="28D2ACFB">
            <wp:extent cx="1905000" cy="695325"/>
            <wp:effectExtent l="0" t="0" r="0" b="9525"/>
            <wp:docPr id="4" name="Picture 4" descr="2D chemical structure of 468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D chemical structure of 4685-14-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1000" b="32500"/>
                    <a:stretch/>
                  </pic:blipFill>
                  <pic:spPr bwMode="auto">
                    <a:xfrm>
                      <a:off x="0" y="0"/>
                      <a:ext cx="1905000" cy="695325"/>
                    </a:xfrm>
                    <a:prstGeom prst="rect">
                      <a:avLst/>
                    </a:prstGeom>
                    <a:noFill/>
                    <a:ln>
                      <a:noFill/>
                    </a:ln>
                    <a:extLst>
                      <a:ext uri="{53640926-AAD7-44D8-BBD7-CCE9431645EC}">
                        <a14:shadowObscured xmlns:a14="http://schemas.microsoft.com/office/drawing/2010/main"/>
                      </a:ext>
                    </a:extLst>
                  </pic:spPr>
                </pic:pic>
              </a:graphicData>
            </a:graphic>
          </wp:inline>
        </w:drawing>
      </w:r>
    </w:p>
    <w:p w14:paraId="44F52AD7" w14:textId="77777777" w:rsidR="004A5D7D" w:rsidRDefault="00A71C8C" w:rsidP="00A71C8C">
      <w:pPr>
        <w:pStyle w:val="Caption"/>
      </w:pPr>
      <w:bookmarkStart w:id="23" w:name="_Ref414975354"/>
      <w:r>
        <w:t xml:space="preserve">Figure </w:t>
      </w:r>
      <w:r w:rsidR="00897462">
        <w:fldChar w:fldCharType="begin"/>
      </w:r>
      <w:r>
        <w:instrText xml:space="preserve"> SEQ Figure \* ARABIC </w:instrText>
      </w:r>
      <w:r w:rsidR="00897462">
        <w:fldChar w:fldCharType="separate"/>
      </w:r>
      <w:r w:rsidR="000E54B2">
        <w:rPr>
          <w:noProof/>
        </w:rPr>
        <w:t>1</w:t>
      </w:r>
      <w:r w:rsidR="00897462">
        <w:fldChar w:fldCharType="end"/>
      </w:r>
      <w:bookmarkEnd w:id="23"/>
      <w:r>
        <w:t>. Paraquat</w:t>
      </w:r>
    </w:p>
    <w:p w14:paraId="0C79426A" w14:textId="77777777" w:rsidR="00CB0935" w:rsidRDefault="00CB0935" w:rsidP="00CB0935">
      <w:pPr>
        <w:rPr>
          <w:lang w:val="en-US" w:eastAsia="en-US"/>
        </w:rPr>
      </w:pPr>
    </w:p>
    <w:p w14:paraId="22F59ADA" w14:textId="77777777" w:rsidR="00CB0935" w:rsidRDefault="00CF5340" w:rsidP="00CB0935">
      <w:pPr>
        <w:rPr>
          <w:lang w:val="en-US" w:eastAsia="en-US"/>
        </w:rPr>
      </w:pPr>
      <w:r>
        <w:rPr>
          <w:noProof/>
        </w:rPr>
        <w:drawing>
          <wp:inline distT="0" distB="0" distL="0" distR="0" wp14:anchorId="3542E96F" wp14:editId="63020F67">
            <wp:extent cx="2047875" cy="788432"/>
            <wp:effectExtent l="0" t="0" r="0" b="0"/>
            <wp:docPr id="5" name="Picture 5" descr="\\central.health\dfsuserenv\Users\User_12\ballaj\Downloads\download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entral.health\dfsuserenv\Users\User_12\ballaj\Downloads\download (13).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3500" b="28000"/>
                    <a:stretch/>
                  </pic:blipFill>
                  <pic:spPr bwMode="auto">
                    <a:xfrm>
                      <a:off x="0" y="0"/>
                      <a:ext cx="2047875" cy="788432"/>
                    </a:xfrm>
                    <a:prstGeom prst="rect">
                      <a:avLst/>
                    </a:prstGeom>
                    <a:noFill/>
                    <a:ln>
                      <a:noFill/>
                    </a:ln>
                    <a:extLst>
                      <a:ext uri="{53640926-AAD7-44D8-BBD7-CCE9431645EC}">
                        <a14:shadowObscured xmlns:a14="http://schemas.microsoft.com/office/drawing/2010/main"/>
                      </a:ext>
                    </a:extLst>
                  </pic:spPr>
                </pic:pic>
              </a:graphicData>
            </a:graphic>
          </wp:inline>
        </w:drawing>
      </w:r>
    </w:p>
    <w:p w14:paraId="43425577" w14:textId="77777777" w:rsidR="00A71C8C" w:rsidRDefault="00CB0935" w:rsidP="00CB0935">
      <w:pPr>
        <w:pStyle w:val="Caption"/>
      </w:pPr>
      <w:bookmarkStart w:id="24" w:name="_Ref414975357"/>
      <w:r>
        <w:t xml:space="preserve">Figure </w:t>
      </w:r>
      <w:r w:rsidR="00897462">
        <w:fldChar w:fldCharType="begin"/>
      </w:r>
      <w:r>
        <w:instrText xml:space="preserve"> SEQ Figure \* ARABIC </w:instrText>
      </w:r>
      <w:r w:rsidR="00897462">
        <w:fldChar w:fldCharType="separate"/>
      </w:r>
      <w:r w:rsidR="000E54B2">
        <w:rPr>
          <w:noProof/>
        </w:rPr>
        <w:t>2</w:t>
      </w:r>
      <w:r w:rsidR="00897462">
        <w:fldChar w:fldCharType="end"/>
      </w:r>
      <w:bookmarkEnd w:id="24"/>
      <w:r>
        <w:t>. MPTP</w:t>
      </w:r>
    </w:p>
    <w:p w14:paraId="62D59FE1" w14:textId="77777777" w:rsidR="00CF5340" w:rsidRDefault="00CF5340" w:rsidP="00CF5340">
      <w:pPr>
        <w:rPr>
          <w:lang w:val="en-US" w:eastAsia="en-US"/>
        </w:rPr>
      </w:pPr>
    </w:p>
    <w:p w14:paraId="386358ED" w14:textId="77777777" w:rsidR="00CF5340" w:rsidRDefault="00CF5340" w:rsidP="00CF5340">
      <w:pPr>
        <w:keepNext/>
      </w:pPr>
      <w:r>
        <w:rPr>
          <w:noProof/>
        </w:rPr>
        <w:drawing>
          <wp:inline distT="0" distB="0" distL="0" distR="0" wp14:anchorId="6115D894" wp14:editId="1E2290C4">
            <wp:extent cx="2047875" cy="788432"/>
            <wp:effectExtent l="0" t="0" r="0" b="0"/>
            <wp:docPr id="9" name="Picture 9" descr="\\central.health\dfsuserenv\Users\User_12\ballaj\Downloads\download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entral.health\dfsuserenv\Users\User_12\ballaj\Downloads\download (15).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4500" b="27000"/>
                    <a:stretch/>
                  </pic:blipFill>
                  <pic:spPr bwMode="auto">
                    <a:xfrm>
                      <a:off x="0" y="0"/>
                      <a:ext cx="2047875" cy="788432"/>
                    </a:xfrm>
                    <a:prstGeom prst="rect">
                      <a:avLst/>
                    </a:prstGeom>
                    <a:noFill/>
                    <a:ln>
                      <a:noFill/>
                    </a:ln>
                    <a:extLst>
                      <a:ext uri="{53640926-AAD7-44D8-BBD7-CCE9431645EC}">
                        <a14:shadowObscured xmlns:a14="http://schemas.microsoft.com/office/drawing/2010/main"/>
                      </a:ext>
                    </a:extLst>
                  </pic:spPr>
                </pic:pic>
              </a:graphicData>
            </a:graphic>
          </wp:inline>
        </w:drawing>
      </w:r>
    </w:p>
    <w:p w14:paraId="56573BEF" w14:textId="77777777" w:rsidR="00CF5340" w:rsidRDefault="00CF5340" w:rsidP="00CF5340">
      <w:pPr>
        <w:pStyle w:val="Caption"/>
      </w:pPr>
      <w:bookmarkStart w:id="25" w:name="_Ref414975359"/>
      <w:r>
        <w:t xml:space="preserve">Figure </w:t>
      </w:r>
      <w:r w:rsidR="00897462">
        <w:fldChar w:fldCharType="begin"/>
      </w:r>
      <w:r>
        <w:instrText xml:space="preserve"> SEQ Figure \* ARABIC </w:instrText>
      </w:r>
      <w:r w:rsidR="00897462">
        <w:fldChar w:fldCharType="separate"/>
      </w:r>
      <w:r w:rsidR="000E54B2">
        <w:rPr>
          <w:noProof/>
        </w:rPr>
        <w:t>3</w:t>
      </w:r>
      <w:r w:rsidR="00897462">
        <w:fldChar w:fldCharType="end"/>
      </w:r>
      <w:bookmarkEnd w:id="25"/>
      <w:r>
        <w:t>. MPP+</w:t>
      </w:r>
    </w:p>
    <w:p w14:paraId="6BA336BC" w14:textId="77777777" w:rsidR="00CF5340" w:rsidRDefault="00CF5340" w:rsidP="00CF5340">
      <w:pPr>
        <w:rPr>
          <w:lang w:val="en-US" w:eastAsia="en-US"/>
        </w:rPr>
      </w:pPr>
    </w:p>
    <w:p w14:paraId="5D64B313" w14:textId="77777777" w:rsidR="002B2CFC" w:rsidRPr="002B2CFC" w:rsidRDefault="002B2CFC" w:rsidP="00CE5FD2">
      <w:pPr>
        <w:spacing w:line="240" w:lineRule="exact"/>
        <w:rPr>
          <w:szCs w:val="24"/>
          <w:lang w:val="en-US" w:eastAsia="en-US"/>
        </w:rPr>
      </w:pPr>
      <w:bookmarkStart w:id="26" w:name="_Toc278288456"/>
      <w:bookmarkEnd w:id="26"/>
    </w:p>
    <w:p w14:paraId="7B36DA68" w14:textId="77777777" w:rsidR="002B2CFC" w:rsidRPr="002B2CFC" w:rsidRDefault="00AC2B2A" w:rsidP="00385097">
      <w:pPr>
        <w:pStyle w:val="Heading2"/>
        <w:rPr>
          <w:lang w:eastAsia="en-US"/>
        </w:rPr>
      </w:pPr>
      <w:bookmarkStart w:id="27" w:name="_Toc459108277"/>
      <w:r>
        <w:rPr>
          <w:lang w:eastAsia="en-US"/>
        </w:rPr>
        <w:t>Neurotoxic</w:t>
      </w:r>
      <w:r w:rsidR="002B2CFC" w:rsidRPr="002B2CFC">
        <w:rPr>
          <w:lang w:eastAsia="en-US"/>
        </w:rPr>
        <w:t xml:space="preserve"> </w:t>
      </w:r>
      <w:r w:rsidR="00A572A1">
        <w:rPr>
          <w:lang w:eastAsia="en-US"/>
        </w:rPr>
        <w:t>profile</w:t>
      </w:r>
      <w:r w:rsidR="00A572A1" w:rsidRPr="002B2CFC">
        <w:rPr>
          <w:lang w:eastAsia="en-US"/>
        </w:rPr>
        <w:t xml:space="preserve"> </w:t>
      </w:r>
      <w:r w:rsidR="002B2CFC" w:rsidRPr="002B2CFC">
        <w:rPr>
          <w:lang w:eastAsia="en-US"/>
        </w:rPr>
        <w:t>of paraquat in rodents</w:t>
      </w:r>
      <w:bookmarkEnd w:id="27"/>
    </w:p>
    <w:p w14:paraId="0265C750" w14:textId="1E93E34C" w:rsidR="002B2CFC" w:rsidRPr="002B2CFC" w:rsidRDefault="002B2CFC" w:rsidP="00CE5FD2">
      <w:pPr>
        <w:rPr>
          <w:color w:val="000000"/>
          <w:szCs w:val="24"/>
          <w:lang w:val="en-US" w:eastAsia="en-US"/>
        </w:rPr>
      </w:pPr>
      <w:r w:rsidRPr="002B2CFC">
        <w:rPr>
          <w:szCs w:val="24"/>
          <w:lang w:val="en-US" w:eastAsia="en-US"/>
        </w:rPr>
        <w:t xml:space="preserve">Animal studies which demonstrate that paraquat reproduces most of the hallmarks of dopaminergic pathogenesis of Parkinson’s disease include studies </w:t>
      </w:r>
      <w:r w:rsidR="00116941">
        <w:rPr>
          <w:szCs w:val="24"/>
          <w:lang w:val="en-US" w:eastAsia="en-US"/>
        </w:rPr>
        <w:t>where paraquat is injected directly into the brain (</w:t>
      </w:r>
      <w:r w:rsidRPr="002B2CFC">
        <w:rPr>
          <w:szCs w:val="24"/>
          <w:lang w:val="en-US" w:eastAsia="en-US"/>
        </w:rPr>
        <w:t xml:space="preserve">Liou </w:t>
      </w:r>
      <w:r w:rsidR="00EE5CEB" w:rsidRPr="00EE5CEB">
        <w:rPr>
          <w:i/>
          <w:szCs w:val="24"/>
          <w:lang w:val="en-US" w:eastAsia="en-US"/>
        </w:rPr>
        <w:t>et al</w:t>
      </w:r>
      <w:r w:rsidR="00120920">
        <w:rPr>
          <w:i/>
          <w:szCs w:val="24"/>
          <w:lang w:val="en-US" w:eastAsia="en-US"/>
        </w:rPr>
        <w:t>,</w:t>
      </w:r>
      <w:r w:rsidR="00235031">
        <w:rPr>
          <w:i/>
          <w:szCs w:val="24"/>
          <w:lang w:val="en-US" w:eastAsia="en-US"/>
        </w:rPr>
        <w:t xml:space="preserve"> </w:t>
      </w:r>
      <w:r w:rsidRPr="002B2CFC">
        <w:rPr>
          <w:szCs w:val="24"/>
          <w:lang w:val="en-US" w:eastAsia="en-US"/>
        </w:rPr>
        <w:t>1996)</w:t>
      </w:r>
      <w:r w:rsidR="00116941">
        <w:rPr>
          <w:szCs w:val="24"/>
          <w:lang w:val="en-US" w:eastAsia="en-US"/>
        </w:rPr>
        <w:t xml:space="preserve"> or by the intraperitoneal route</w:t>
      </w:r>
      <w:r w:rsidR="00691E35">
        <w:rPr>
          <w:szCs w:val="24"/>
          <w:lang w:val="en-US" w:eastAsia="en-US"/>
        </w:rPr>
        <w:t xml:space="preserve"> </w:t>
      </w:r>
      <w:r w:rsidR="00116941">
        <w:rPr>
          <w:szCs w:val="24"/>
          <w:lang w:val="en-US" w:eastAsia="en-US"/>
        </w:rPr>
        <w:t>(</w:t>
      </w:r>
      <w:r w:rsidRPr="002B2CFC">
        <w:rPr>
          <w:szCs w:val="24"/>
          <w:lang w:val="en-US" w:eastAsia="en-US"/>
        </w:rPr>
        <w:t xml:space="preserve">McCormack </w:t>
      </w:r>
      <w:r w:rsidR="00EE5CEB" w:rsidRPr="00EE5CEB">
        <w:rPr>
          <w:i/>
          <w:szCs w:val="24"/>
          <w:lang w:val="en-US" w:eastAsia="en-US"/>
        </w:rPr>
        <w:t>et al</w:t>
      </w:r>
      <w:r w:rsidR="00120920">
        <w:rPr>
          <w:i/>
          <w:szCs w:val="24"/>
          <w:lang w:val="en-US" w:eastAsia="en-US"/>
        </w:rPr>
        <w:t>,</w:t>
      </w:r>
      <w:r w:rsidR="00235031">
        <w:rPr>
          <w:i/>
          <w:szCs w:val="24"/>
          <w:lang w:val="en-US" w:eastAsia="en-US"/>
        </w:rPr>
        <w:t xml:space="preserve"> </w:t>
      </w:r>
      <w:r w:rsidRPr="002B2CFC">
        <w:rPr>
          <w:szCs w:val="24"/>
          <w:lang w:val="en-US" w:eastAsia="en-US"/>
        </w:rPr>
        <w:t>2002</w:t>
      </w:r>
      <w:r w:rsidR="003E662D">
        <w:rPr>
          <w:szCs w:val="24"/>
          <w:lang w:val="en-US" w:eastAsia="en-US"/>
        </w:rPr>
        <w:t>)</w:t>
      </w:r>
      <w:r w:rsidRPr="002B2CFC">
        <w:rPr>
          <w:szCs w:val="24"/>
          <w:lang w:val="en-US" w:eastAsia="en-US"/>
        </w:rPr>
        <w:t xml:space="preserve">. Treatment of mice with paraquat has been shown in these studies to lead to </w:t>
      </w:r>
      <w:r w:rsidR="004B55E7">
        <w:rPr>
          <w:szCs w:val="24"/>
          <w:lang w:val="en-US" w:eastAsia="en-US"/>
        </w:rPr>
        <w:t>a decreased</w:t>
      </w:r>
      <w:r w:rsidR="00A00DB3">
        <w:rPr>
          <w:szCs w:val="24"/>
          <w:lang w:val="en-US" w:eastAsia="en-US"/>
        </w:rPr>
        <w:t xml:space="preserve"> </w:t>
      </w:r>
      <w:r w:rsidRPr="002B2CFC">
        <w:rPr>
          <w:szCs w:val="24"/>
          <w:lang w:val="en-US" w:eastAsia="en-US"/>
        </w:rPr>
        <w:t xml:space="preserve">number of </w:t>
      </w:r>
      <w:r w:rsidR="00A4092E">
        <w:rPr>
          <w:szCs w:val="24"/>
          <w:lang w:val="en-US" w:eastAsia="en-US"/>
        </w:rPr>
        <w:t>DA</w:t>
      </w:r>
      <w:r w:rsidRPr="002B2CFC">
        <w:rPr>
          <w:szCs w:val="24"/>
          <w:lang w:val="en-US" w:eastAsia="en-US"/>
        </w:rPr>
        <w:t xml:space="preserve"> neurons in the SN pc </w:t>
      </w:r>
      <w:r w:rsidR="004B55E7">
        <w:rPr>
          <w:szCs w:val="24"/>
          <w:lang w:val="en-US" w:eastAsia="en-US"/>
        </w:rPr>
        <w:t>and</w:t>
      </w:r>
      <w:r w:rsidRPr="002B2CFC">
        <w:rPr>
          <w:szCs w:val="24"/>
          <w:lang w:val="en-US" w:eastAsia="en-US"/>
        </w:rPr>
        <w:t xml:space="preserve"> development of </w:t>
      </w:r>
      <w:r w:rsidRPr="002B2CFC">
        <w:rPr>
          <w:szCs w:val="24"/>
          <w:lang w:eastAsia="en-US"/>
        </w:rPr>
        <w:t xml:space="preserve">pathological </w:t>
      </w:r>
      <w:r w:rsidR="00A00DB3">
        <w:rPr>
          <w:szCs w:val="24"/>
          <w:lang w:eastAsia="en-US"/>
        </w:rPr>
        <w:t>abnormalities</w:t>
      </w:r>
      <w:r w:rsidR="00A00DB3" w:rsidRPr="002B2CFC">
        <w:rPr>
          <w:szCs w:val="24"/>
          <w:lang w:eastAsia="en-US"/>
        </w:rPr>
        <w:t xml:space="preserve"> </w:t>
      </w:r>
      <w:r w:rsidRPr="002B2CFC">
        <w:rPr>
          <w:szCs w:val="24"/>
          <w:lang w:eastAsia="en-US"/>
        </w:rPr>
        <w:t xml:space="preserve">similar to those characteristic of Parkinson’s disease. Other research groups which have used this model of disease include: Brooks </w:t>
      </w:r>
      <w:r w:rsidRPr="002B2CFC">
        <w:rPr>
          <w:i/>
          <w:szCs w:val="24"/>
          <w:lang w:eastAsia="en-US"/>
        </w:rPr>
        <w:t>et al</w:t>
      </w:r>
      <w:r w:rsidRPr="002B2CFC">
        <w:rPr>
          <w:szCs w:val="24"/>
          <w:lang w:eastAsia="en-US"/>
        </w:rPr>
        <w:t xml:space="preserve"> (1999); Shimizu </w:t>
      </w:r>
      <w:r w:rsidRPr="002B2CFC">
        <w:rPr>
          <w:i/>
          <w:szCs w:val="24"/>
          <w:lang w:eastAsia="en-US"/>
        </w:rPr>
        <w:t>et al</w:t>
      </w:r>
      <w:r w:rsidRPr="002B2CFC">
        <w:rPr>
          <w:szCs w:val="24"/>
          <w:lang w:eastAsia="en-US"/>
        </w:rPr>
        <w:t xml:space="preserve"> (2003); Cicchetti </w:t>
      </w:r>
      <w:r w:rsidRPr="002B2CFC">
        <w:rPr>
          <w:i/>
          <w:szCs w:val="24"/>
          <w:lang w:eastAsia="en-US"/>
        </w:rPr>
        <w:t>et al</w:t>
      </w:r>
      <w:r w:rsidRPr="002B2CFC">
        <w:rPr>
          <w:szCs w:val="24"/>
          <w:lang w:eastAsia="en-US"/>
        </w:rPr>
        <w:t xml:space="preserve"> (2005); Ossowska </w:t>
      </w:r>
      <w:r w:rsidRPr="002B2CFC">
        <w:rPr>
          <w:i/>
          <w:szCs w:val="24"/>
          <w:lang w:eastAsia="en-US"/>
        </w:rPr>
        <w:t>et al</w:t>
      </w:r>
      <w:r w:rsidRPr="002B2CFC">
        <w:rPr>
          <w:szCs w:val="24"/>
          <w:lang w:eastAsia="en-US"/>
        </w:rPr>
        <w:t xml:space="preserve"> 2005a); Ossowska </w:t>
      </w:r>
      <w:r w:rsidRPr="002B2CFC">
        <w:rPr>
          <w:i/>
          <w:szCs w:val="24"/>
          <w:lang w:eastAsia="en-US"/>
        </w:rPr>
        <w:t>et al</w:t>
      </w:r>
      <w:r w:rsidRPr="002B2CFC">
        <w:rPr>
          <w:szCs w:val="24"/>
          <w:lang w:eastAsia="en-US"/>
        </w:rPr>
        <w:t xml:space="preserve"> (2005b); Kuter </w:t>
      </w:r>
      <w:r w:rsidRPr="002B2CFC">
        <w:rPr>
          <w:i/>
          <w:szCs w:val="24"/>
          <w:lang w:eastAsia="en-US"/>
        </w:rPr>
        <w:t>et al</w:t>
      </w:r>
      <w:r w:rsidRPr="002B2CFC">
        <w:rPr>
          <w:szCs w:val="24"/>
          <w:lang w:eastAsia="en-US"/>
        </w:rPr>
        <w:t xml:space="preserve"> (2007</w:t>
      </w:r>
      <w:r w:rsidR="001D4AEE" w:rsidRPr="001D4AEE">
        <w:rPr>
          <w:color w:val="000000"/>
          <w:szCs w:val="24"/>
          <w:lang w:val="en-US" w:eastAsia="en-US"/>
        </w:rPr>
        <w:t xml:space="preserve"> </w:t>
      </w:r>
      <w:r w:rsidR="001D4AEE">
        <w:rPr>
          <w:color w:val="000000"/>
          <w:szCs w:val="24"/>
          <w:lang w:val="en-US" w:eastAsia="en-US"/>
        </w:rPr>
        <w:t xml:space="preserve">and </w:t>
      </w:r>
      <w:r w:rsidR="001D4AEE" w:rsidRPr="002B2CFC">
        <w:rPr>
          <w:color w:val="000000"/>
          <w:szCs w:val="24"/>
          <w:lang w:val="en-US" w:eastAsia="en-US"/>
        </w:rPr>
        <w:t xml:space="preserve">Fei </w:t>
      </w:r>
      <w:r w:rsidR="001D4AEE" w:rsidRPr="00EE5CEB">
        <w:rPr>
          <w:i/>
          <w:color w:val="000000"/>
          <w:szCs w:val="24"/>
          <w:lang w:val="en-US" w:eastAsia="en-US"/>
        </w:rPr>
        <w:t>et al</w:t>
      </w:r>
      <w:r w:rsidR="001D4AEE">
        <w:rPr>
          <w:i/>
          <w:color w:val="000000"/>
          <w:szCs w:val="24"/>
          <w:lang w:val="en-US" w:eastAsia="en-US"/>
        </w:rPr>
        <w:t>,</w:t>
      </w:r>
      <w:r w:rsidR="001D4AEE" w:rsidRPr="002B2CFC">
        <w:rPr>
          <w:color w:val="000000"/>
          <w:szCs w:val="24"/>
          <w:lang w:val="en-US" w:eastAsia="en-US"/>
        </w:rPr>
        <w:t xml:space="preserve"> 2008</w:t>
      </w:r>
      <w:r w:rsidRPr="002B2CFC">
        <w:rPr>
          <w:szCs w:val="24"/>
          <w:lang w:eastAsia="en-US"/>
        </w:rPr>
        <w:t xml:space="preserve">). </w:t>
      </w:r>
    </w:p>
    <w:p w14:paraId="159C0189" w14:textId="77777777" w:rsidR="00E75747" w:rsidRDefault="00E75747" w:rsidP="0084215F">
      <w:pPr>
        <w:rPr>
          <w:color w:val="000000"/>
          <w:szCs w:val="24"/>
          <w:lang w:val="en-US" w:eastAsia="en-US"/>
        </w:rPr>
      </w:pPr>
    </w:p>
    <w:p w14:paraId="1CF3A477" w14:textId="4745C70B" w:rsidR="00B73085" w:rsidRDefault="00B73085" w:rsidP="00B73085">
      <w:pPr>
        <w:rPr>
          <w:color w:val="000000"/>
          <w:szCs w:val="24"/>
          <w:lang w:val="en-US" w:eastAsia="en-US"/>
        </w:rPr>
      </w:pPr>
      <w:r>
        <w:rPr>
          <w:color w:val="000000"/>
          <w:szCs w:val="24"/>
          <w:lang w:val="en-US" w:eastAsia="en-US"/>
        </w:rPr>
        <w:t xml:space="preserve">A critical issue for some of these studies, including McCormack </w:t>
      </w:r>
      <w:r w:rsidRPr="00CE5FD2">
        <w:rPr>
          <w:i/>
          <w:color w:val="000000"/>
          <w:szCs w:val="24"/>
          <w:lang w:val="en-US" w:eastAsia="en-US"/>
        </w:rPr>
        <w:t>et al</w:t>
      </w:r>
      <w:r>
        <w:rPr>
          <w:color w:val="000000"/>
          <w:szCs w:val="24"/>
          <w:lang w:val="en-US" w:eastAsia="en-US"/>
        </w:rPr>
        <w:t xml:space="preserve"> (2002), is that in 2012 the US Office of Research Integrity (ORI) found a study author (M. Thiruchelvam) engaged in research misconduct, by falsifying and fabricating data in a paper investigating an aspect of paraquat and Parkinson's disease (Thiruchelvam </w:t>
      </w:r>
      <w:r w:rsidRPr="00EE5CEB">
        <w:rPr>
          <w:i/>
          <w:color w:val="000000"/>
          <w:szCs w:val="24"/>
          <w:lang w:val="en-US" w:eastAsia="en-US"/>
        </w:rPr>
        <w:t>et al</w:t>
      </w:r>
      <w:r>
        <w:rPr>
          <w:i/>
          <w:color w:val="000000"/>
          <w:szCs w:val="24"/>
          <w:lang w:val="en-US" w:eastAsia="en-US"/>
        </w:rPr>
        <w:t xml:space="preserve">, </w:t>
      </w:r>
      <w:r>
        <w:rPr>
          <w:color w:val="000000"/>
          <w:szCs w:val="24"/>
          <w:lang w:val="en-US" w:eastAsia="en-US"/>
        </w:rPr>
        <w:t xml:space="preserve">2005). Two of the papers published as a direct result of this fabricated data were withdrawn (ORI, 2012). A further 8 studies included in this report were co-authored by Thiruchelvam. Due to the uncertainty surrounding the integrity of the data subsequent to this authors fraudulent action, these studies have been deemed unsuitable for regulatory use by the OCS. Four of these studies are included in this neurotoxicity supplement (detailed in </w:t>
      </w:r>
      <w:r>
        <w:rPr>
          <w:color w:val="000000"/>
          <w:szCs w:val="24"/>
          <w:lang w:val="en-US" w:eastAsia="en-US"/>
        </w:rPr>
        <w:fldChar w:fldCharType="begin"/>
      </w:r>
      <w:r>
        <w:rPr>
          <w:color w:val="000000"/>
          <w:szCs w:val="24"/>
          <w:lang w:val="en-US" w:eastAsia="en-US"/>
        </w:rPr>
        <w:instrText xml:space="preserve"> REF _Ref420929238 \r \h </w:instrText>
      </w:r>
      <w:r>
        <w:rPr>
          <w:color w:val="000000"/>
          <w:szCs w:val="24"/>
          <w:lang w:val="en-US" w:eastAsia="en-US"/>
        </w:rPr>
      </w:r>
      <w:r>
        <w:rPr>
          <w:color w:val="000000"/>
          <w:szCs w:val="24"/>
          <w:lang w:val="en-US" w:eastAsia="en-US"/>
        </w:rPr>
        <w:fldChar w:fldCharType="separate"/>
      </w:r>
      <w:r w:rsidR="000E54B2">
        <w:rPr>
          <w:color w:val="000000"/>
          <w:szCs w:val="24"/>
          <w:lang w:val="en-US" w:eastAsia="en-US"/>
        </w:rPr>
        <w:t>APPENDIX III</w:t>
      </w:r>
      <w:r>
        <w:rPr>
          <w:color w:val="000000"/>
          <w:szCs w:val="24"/>
          <w:lang w:val="en-US" w:eastAsia="en-US"/>
        </w:rPr>
        <w:fldChar w:fldCharType="end"/>
      </w:r>
      <w:r>
        <w:rPr>
          <w:color w:val="000000"/>
          <w:szCs w:val="24"/>
          <w:lang w:val="en-US" w:eastAsia="en-US"/>
        </w:rPr>
        <w:t xml:space="preserve">). Reference to these studies within the text of this report has been retained to provide the complete history of the paraquat neurotoxicity review, but have been clearly marked by footnote. </w:t>
      </w:r>
    </w:p>
    <w:p w14:paraId="49F91C7B" w14:textId="77777777" w:rsidR="00B73085" w:rsidRDefault="00B73085" w:rsidP="0084215F">
      <w:pPr>
        <w:rPr>
          <w:szCs w:val="24"/>
          <w:lang w:val="en-US" w:eastAsia="en-US"/>
        </w:rPr>
      </w:pPr>
    </w:p>
    <w:p w14:paraId="74C67DD0" w14:textId="5E8B7439" w:rsidR="00E75747" w:rsidRDefault="00DD14E7" w:rsidP="0084215F">
      <w:pPr>
        <w:rPr>
          <w:szCs w:val="24"/>
          <w:lang w:val="en-US" w:eastAsia="en-US"/>
        </w:rPr>
      </w:pPr>
      <w:r w:rsidRPr="0084215F">
        <w:rPr>
          <w:szCs w:val="24"/>
          <w:lang w:val="en-US" w:eastAsia="en-US"/>
        </w:rPr>
        <w:t xml:space="preserve">In a study by McCormack </w:t>
      </w:r>
      <w:r w:rsidRPr="0084215F">
        <w:rPr>
          <w:i/>
          <w:szCs w:val="24"/>
          <w:lang w:val="en-US" w:eastAsia="en-US"/>
        </w:rPr>
        <w:t>et al</w:t>
      </w:r>
      <w:r w:rsidRPr="0084215F">
        <w:rPr>
          <w:szCs w:val="24"/>
          <w:lang w:val="en-US" w:eastAsia="en-US"/>
        </w:rPr>
        <w:t xml:space="preserve">, 2002, it was found that administration of paraquat to mice induced the death of dopaminergic neurons in the SN pc </w:t>
      </w:r>
      <w:r w:rsidRPr="0084215F">
        <w:rPr>
          <w:i/>
          <w:szCs w:val="24"/>
          <w:lang w:val="en-US" w:eastAsia="en-US"/>
        </w:rPr>
        <w:t>via</w:t>
      </w:r>
      <w:r w:rsidRPr="0084215F">
        <w:rPr>
          <w:szCs w:val="24"/>
          <w:lang w:val="en-US" w:eastAsia="en-US"/>
        </w:rPr>
        <w:t xml:space="preserve"> apoptosis with an apparent LOEL of 1 mg/kg bw when administered by the intraperitoneal route (ip), once weekly for 3 weeks   </w:t>
      </w:r>
      <w:r w:rsidR="00E75747">
        <w:rPr>
          <w:szCs w:val="24"/>
          <w:lang w:val="en-US" w:eastAsia="en-US"/>
        </w:rPr>
        <w:t>T</w:t>
      </w:r>
      <w:r w:rsidRPr="0084215F">
        <w:rPr>
          <w:szCs w:val="24"/>
          <w:lang w:val="en-US" w:eastAsia="en-US"/>
        </w:rPr>
        <w:t>h</w:t>
      </w:r>
      <w:r w:rsidR="00456F42" w:rsidRPr="0084215F">
        <w:rPr>
          <w:szCs w:val="24"/>
          <w:lang w:val="en-US" w:eastAsia="en-US"/>
        </w:rPr>
        <w:t>e</w:t>
      </w:r>
      <w:r w:rsidRPr="0084215F">
        <w:rPr>
          <w:szCs w:val="24"/>
          <w:lang w:val="en-US" w:eastAsia="en-US"/>
        </w:rPr>
        <w:t xml:space="preserve"> study </w:t>
      </w:r>
      <w:r w:rsidR="00456F42" w:rsidRPr="0084215F">
        <w:rPr>
          <w:szCs w:val="24"/>
          <w:lang w:val="en-US" w:eastAsia="en-US"/>
        </w:rPr>
        <w:t>authors concluded</w:t>
      </w:r>
      <w:r w:rsidRPr="0084215F">
        <w:rPr>
          <w:szCs w:val="24"/>
          <w:lang w:val="en-US" w:eastAsia="en-US"/>
        </w:rPr>
        <w:t xml:space="preserve"> that the loss of dopaminergic neurons in the  SN pc was up to 28%, was </w:t>
      </w:r>
      <w:r w:rsidR="00E75747" w:rsidRPr="0084215F">
        <w:rPr>
          <w:szCs w:val="24"/>
          <w:lang w:val="en-US" w:eastAsia="en-US"/>
        </w:rPr>
        <w:t xml:space="preserve">dose dependent </w:t>
      </w:r>
      <w:r w:rsidR="00E75747">
        <w:rPr>
          <w:szCs w:val="24"/>
          <w:lang w:val="en-US" w:eastAsia="en-US"/>
        </w:rPr>
        <w:t xml:space="preserve">and </w:t>
      </w:r>
      <w:r w:rsidRPr="0084215F">
        <w:rPr>
          <w:szCs w:val="24"/>
          <w:lang w:val="en-US" w:eastAsia="en-US"/>
        </w:rPr>
        <w:t>statistically significant at all doses tested</w:t>
      </w:r>
      <w:r w:rsidR="00456F42" w:rsidRPr="0084215F">
        <w:rPr>
          <w:szCs w:val="24"/>
          <w:lang w:val="en-US" w:eastAsia="en-US"/>
        </w:rPr>
        <w:t xml:space="preserve"> (1, 5 and 10 mg/kg bw ip). </w:t>
      </w:r>
      <w:r w:rsidR="00E75747">
        <w:rPr>
          <w:color w:val="000000"/>
          <w:szCs w:val="24"/>
          <w:lang w:val="en-US" w:eastAsia="en-US"/>
        </w:rPr>
        <w:t xml:space="preserve">Of particular concern at first review by the OCS, was that in this study, microscopic lesions in the brain were induced by only 2-3 doses at weekly intervals. Although this study is no longer considered to be of regulatory value, </w:t>
      </w:r>
      <w:r w:rsidR="00E75747">
        <w:rPr>
          <w:szCs w:val="24"/>
          <w:lang w:val="en-US" w:eastAsia="en-US"/>
        </w:rPr>
        <w:t>it was a</w:t>
      </w:r>
      <w:r w:rsidR="00E75747" w:rsidRPr="0084215F">
        <w:rPr>
          <w:szCs w:val="24"/>
          <w:lang w:val="en-US" w:eastAsia="en-US"/>
        </w:rPr>
        <w:t xml:space="preserve"> catalyst for subsequent studies on the effect</w:t>
      </w:r>
      <w:r w:rsidR="00FC4B02">
        <w:rPr>
          <w:szCs w:val="24"/>
          <w:lang w:val="en-US" w:eastAsia="en-US"/>
        </w:rPr>
        <w:t xml:space="preserve"> </w:t>
      </w:r>
      <w:r w:rsidR="00E75747" w:rsidRPr="0084215F">
        <w:rPr>
          <w:szCs w:val="24"/>
          <w:lang w:val="en-US" w:eastAsia="en-US"/>
        </w:rPr>
        <w:t>of paraquat on the SN</w:t>
      </w:r>
      <w:r w:rsidR="00E75747">
        <w:rPr>
          <w:szCs w:val="24"/>
          <w:lang w:val="en-US" w:eastAsia="en-US"/>
        </w:rPr>
        <w:t xml:space="preserve"> </w:t>
      </w:r>
      <w:r w:rsidR="00E75747" w:rsidRPr="0084215F">
        <w:rPr>
          <w:szCs w:val="24"/>
          <w:lang w:val="en-US" w:eastAsia="en-US"/>
        </w:rPr>
        <w:t xml:space="preserve">pc and is retained in this discussion for </w:t>
      </w:r>
      <w:r w:rsidR="00236FA3">
        <w:rPr>
          <w:szCs w:val="24"/>
          <w:lang w:val="en-US" w:eastAsia="en-US"/>
        </w:rPr>
        <w:t>completeness</w:t>
      </w:r>
      <w:r w:rsidR="00E75747" w:rsidRPr="0084215F">
        <w:rPr>
          <w:szCs w:val="24"/>
          <w:lang w:val="en-US" w:eastAsia="en-US"/>
        </w:rPr>
        <w:t>.</w:t>
      </w:r>
      <w:r w:rsidR="00E75747">
        <w:rPr>
          <w:szCs w:val="24"/>
          <w:lang w:val="en-US" w:eastAsia="en-US"/>
        </w:rPr>
        <w:t xml:space="preserve"> </w:t>
      </w:r>
    </w:p>
    <w:p w14:paraId="7DD57A50" w14:textId="77777777" w:rsidR="00E75747" w:rsidRDefault="00E75747" w:rsidP="0084215F">
      <w:pPr>
        <w:rPr>
          <w:szCs w:val="24"/>
          <w:lang w:val="en-US" w:eastAsia="en-US"/>
        </w:rPr>
      </w:pPr>
    </w:p>
    <w:p w14:paraId="01C242AE" w14:textId="77777777" w:rsidR="002B2CFC" w:rsidRPr="0084215F" w:rsidRDefault="00E75747" w:rsidP="0084215F">
      <w:pPr>
        <w:rPr>
          <w:szCs w:val="24"/>
          <w:lang w:val="en-US" w:eastAsia="en-US"/>
        </w:rPr>
      </w:pPr>
      <w:r>
        <w:rPr>
          <w:szCs w:val="24"/>
          <w:lang w:val="en-US" w:eastAsia="en-US"/>
        </w:rPr>
        <w:t xml:space="preserve">The findings in the McCormack </w:t>
      </w:r>
      <w:r w:rsidRPr="0084215F">
        <w:rPr>
          <w:i/>
          <w:szCs w:val="24"/>
          <w:lang w:val="en-US" w:eastAsia="en-US"/>
        </w:rPr>
        <w:t>et al</w:t>
      </w:r>
      <w:r w:rsidRPr="0084215F">
        <w:rPr>
          <w:szCs w:val="24"/>
          <w:lang w:val="en-US" w:eastAsia="en-US"/>
        </w:rPr>
        <w:t xml:space="preserve"> </w:t>
      </w:r>
      <w:r>
        <w:rPr>
          <w:szCs w:val="24"/>
          <w:lang w:val="en-US" w:eastAsia="en-US"/>
        </w:rPr>
        <w:t>(</w:t>
      </w:r>
      <w:r w:rsidRPr="0084215F">
        <w:rPr>
          <w:szCs w:val="24"/>
          <w:lang w:val="en-US" w:eastAsia="en-US"/>
        </w:rPr>
        <w:t>2002</w:t>
      </w:r>
      <w:r>
        <w:rPr>
          <w:szCs w:val="24"/>
          <w:lang w:val="en-US" w:eastAsia="en-US"/>
        </w:rPr>
        <w:t xml:space="preserve">) </w:t>
      </w:r>
      <w:r>
        <w:rPr>
          <w:color w:val="000000"/>
          <w:szCs w:val="24"/>
          <w:lang w:val="en-US" w:eastAsia="en-US"/>
        </w:rPr>
        <w:t>were not reproducible in more recent and well conducted studies by Beck (2012 a,c).</w:t>
      </w:r>
    </w:p>
    <w:p w14:paraId="1484CB2E" w14:textId="77777777" w:rsidR="00456F42" w:rsidRPr="002B2CFC" w:rsidRDefault="00456F42" w:rsidP="0084215F">
      <w:pPr>
        <w:rPr>
          <w:color w:val="000000"/>
          <w:szCs w:val="24"/>
          <w:lang w:val="en-US" w:eastAsia="en-US"/>
        </w:rPr>
      </w:pPr>
    </w:p>
    <w:p w14:paraId="45735F82" w14:textId="4F432746" w:rsidR="002B2CFC" w:rsidRPr="002B2CFC" w:rsidRDefault="00DB34D3" w:rsidP="00CE5FD2">
      <w:pPr>
        <w:rPr>
          <w:color w:val="000000"/>
          <w:szCs w:val="24"/>
          <w:lang w:val="en-US" w:eastAsia="en-US"/>
        </w:rPr>
      </w:pPr>
      <w:r>
        <w:rPr>
          <w:color w:val="000000"/>
          <w:szCs w:val="24"/>
          <w:lang w:val="en-US" w:eastAsia="en-US"/>
        </w:rPr>
        <w:t xml:space="preserve">In </w:t>
      </w:r>
      <w:r w:rsidR="00340F7C">
        <w:rPr>
          <w:color w:val="000000"/>
          <w:szCs w:val="24"/>
          <w:lang w:val="en-US" w:eastAsia="en-US"/>
        </w:rPr>
        <w:t>the stud</w:t>
      </w:r>
      <w:r w:rsidR="00E75747">
        <w:rPr>
          <w:color w:val="000000"/>
          <w:szCs w:val="24"/>
          <w:lang w:val="en-US" w:eastAsia="en-US"/>
        </w:rPr>
        <w:t>ies</w:t>
      </w:r>
      <w:r w:rsidR="00340F7C">
        <w:rPr>
          <w:color w:val="000000"/>
          <w:szCs w:val="24"/>
          <w:lang w:val="en-US" w:eastAsia="en-US"/>
        </w:rPr>
        <w:t xml:space="preserve"> by Beck (2012a,c)</w:t>
      </w:r>
      <w:r w:rsidR="00CE5FD2">
        <w:rPr>
          <w:color w:val="000000"/>
          <w:szCs w:val="24"/>
          <w:lang w:val="en-US" w:eastAsia="en-US"/>
        </w:rPr>
        <w:t xml:space="preserve">, </w:t>
      </w:r>
      <w:r w:rsidR="002B2CFC" w:rsidRPr="002B2CFC">
        <w:rPr>
          <w:color w:val="000000"/>
          <w:szCs w:val="24"/>
          <w:lang w:val="en-US" w:eastAsia="en-US"/>
        </w:rPr>
        <w:t>C57BL/6J male mice received</w:t>
      </w:r>
      <w:r w:rsidR="00725CED">
        <w:rPr>
          <w:color w:val="000000"/>
          <w:szCs w:val="24"/>
          <w:lang w:val="en-US" w:eastAsia="en-US"/>
        </w:rPr>
        <w:t xml:space="preserve"> </w:t>
      </w:r>
      <w:r w:rsidR="002B2CFC" w:rsidRPr="002B2CFC">
        <w:rPr>
          <w:color w:val="000000"/>
          <w:szCs w:val="24"/>
          <w:lang w:val="en-US" w:eastAsia="en-US"/>
        </w:rPr>
        <w:t>ip injections of paraquat at 0,</w:t>
      </w:r>
      <w:r w:rsidR="00FD5416">
        <w:rPr>
          <w:color w:val="000000"/>
          <w:szCs w:val="24"/>
          <w:lang w:val="en-US" w:eastAsia="en-US"/>
        </w:rPr>
        <w:t xml:space="preserve"> 10, 15 or 25 mg/kg bw/dose </w:t>
      </w:r>
      <w:r w:rsidR="00FD5416" w:rsidRPr="003F10F2">
        <w:rPr>
          <w:szCs w:val="24"/>
        </w:rPr>
        <w:t xml:space="preserve">(equivalent to </w:t>
      </w:r>
      <w:r w:rsidR="00FD5416">
        <w:rPr>
          <w:szCs w:val="24"/>
        </w:rPr>
        <w:t xml:space="preserve">0, </w:t>
      </w:r>
      <w:r w:rsidR="00FD5416" w:rsidRPr="003F10F2">
        <w:rPr>
          <w:szCs w:val="24"/>
        </w:rPr>
        <w:t xml:space="preserve">7.2, 10.9, 18.1 </w:t>
      </w:r>
      <w:r w:rsidR="00FD5416">
        <w:rPr>
          <w:szCs w:val="24"/>
        </w:rPr>
        <w:t xml:space="preserve">mg </w:t>
      </w:r>
      <w:r w:rsidR="00FD5416" w:rsidRPr="003F10F2">
        <w:rPr>
          <w:szCs w:val="24"/>
        </w:rPr>
        <w:t>paraquat ion</w:t>
      </w:r>
      <w:r w:rsidR="00FD5416">
        <w:rPr>
          <w:szCs w:val="24"/>
        </w:rPr>
        <w:t>/kg bw/dose</w:t>
      </w:r>
      <w:r w:rsidR="00FD5416" w:rsidRPr="003F10F2">
        <w:rPr>
          <w:szCs w:val="24"/>
        </w:rPr>
        <w:t>)</w:t>
      </w:r>
      <w:r w:rsidR="002B2CFC" w:rsidRPr="002B2CFC">
        <w:rPr>
          <w:color w:val="000000"/>
          <w:szCs w:val="24"/>
          <w:lang w:val="en-US" w:eastAsia="en-US"/>
        </w:rPr>
        <w:t>, once weekly for 1, 2 or 3 injections. The lowest dose was chosen based on findings of the</w:t>
      </w:r>
      <w:r w:rsidR="00B910F6">
        <w:rPr>
          <w:color w:val="000000"/>
          <w:szCs w:val="24"/>
          <w:lang w:val="en-US" w:eastAsia="en-US"/>
        </w:rPr>
        <w:t xml:space="preserve"> </w:t>
      </w:r>
      <w:r w:rsidR="002B2CFC" w:rsidRPr="002B2CFC">
        <w:rPr>
          <w:color w:val="000000"/>
          <w:szCs w:val="24"/>
          <w:lang w:val="en-US" w:eastAsia="en-US"/>
        </w:rPr>
        <w:t xml:space="preserve">McCormack </w:t>
      </w:r>
      <w:r w:rsidR="002B2CFC" w:rsidRPr="002B2CFC">
        <w:rPr>
          <w:i/>
          <w:color w:val="000000"/>
          <w:szCs w:val="24"/>
          <w:lang w:val="en-US" w:eastAsia="en-US"/>
        </w:rPr>
        <w:t>et al</w:t>
      </w:r>
      <w:r w:rsidR="002B2CFC" w:rsidRPr="002B2CFC">
        <w:rPr>
          <w:color w:val="000000"/>
          <w:szCs w:val="24"/>
          <w:lang w:val="en-US" w:eastAsia="en-US"/>
        </w:rPr>
        <w:t xml:space="preserve"> (2002) study. A positive control received MPTP. Extensive examination of the brain by microscopic examination was conducted including specialist staining techniques and measurement of neurotransmitters/metabolites. There was no evidence of neuronal damage to the brain or alterations to the levels of </w:t>
      </w:r>
      <w:r w:rsidR="00A4092E">
        <w:rPr>
          <w:color w:val="000000"/>
          <w:szCs w:val="24"/>
          <w:lang w:val="en-US" w:eastAsia="en-US"/>
        </w:rPr>
        <w:t>DA</w:t>
      </w:r>
      <w:r w:rsidR="002B2CFC" w:rsidRPr="002B2CFC">
        <w:rPr>
          <w:color w:val="000000"/>
          <w:szCs w:val="24"/>
          <w:lang w:val="en-US" w:eastAsia="en-US"/>
        </w:rPr>
        <w:t xml:space="preserve"> or its two metabolites</w:t>
      </w:r>
      <w:r w:rsidR="00340F7C">
        <w:rPr>
          <w:color w:val="000000"/>
          <w:szCs w:val="24"/>
          <w:lang w:val="en-US" w:eastAsia="en-US"/>
        </w:rPr>
        <w:t xml:space="preserve">; </w:t>
      </w:r>
      <w:r w:rsidR="00340F7C" w:rsidRPr="00340F7C">
        <w:rPr>
          <w:color w:val="000000"/>
          <w:szCs w:val="24"/>
          <w:lang w:val="en-US" w:eastAsia="en-US"/>
        </w:rPr>
        <w:t xml:space="preserve">3,4-dihydroxyphentlacetic acid </w:t>
      </w:r>
      <w:r w:rsidR="00340F7C">
        <w:rPr>
          <w:color w:val="000000"/>
          <w:szCs w:val="24"/>
          <w:lang w:val="en-US" w:eastAsia="en-US"/>
        </w:rPr>
        <w:t>(</w:t>
      </w:r>
      <w:r w:rsidR="002B2CFC" w:rsidRPr="002B2CFC">
        <w:rPr>
          <w:color w:val="000000"/>
          <w:szCs w:val="24"/>
          <w:lang w:val="en-US" w:eastAsia="en-US"/>
        </w:rPr>
        <w:t>DOPAC</w:t>
      </w:r>
      <w:r w:rsidR="00340F7C">
        <w:rPr>
          <w:color w:val="000000"/>
          <w:szCs w:val="24"/>
          <w:lang w:val="en-US" w:eastAsia="en-US"/>
        </w:rPr>
        <w:t>)</w:t>
      </w:r>
      <w:r w:rsidR="002B2CFC" w:rsidRPr="002B2CFC">
        <w:rPr>
          <w:color w:val="000000"/>
          <w:szCs w:val="24"/>
          <w:lang w:val="en-US" w:eastAsia="en-US"/>
        </w:rPr>
        <w:t xml:space="preserve"> and </w:t>
      </w:r>
      <w:r w:rsidR="00340F7C">
        <w:rPr>
          <w:color w:val="000000"/>
          <w:szCs w:val="24"/>
          <w:lang w:val="en-US" w:eastAsia="en-US"/>
        </w:rPr>
        <w:t>homovanillic acid (</w:t>
      </w:r>
      <w:r w:rsidR="002B2CFC" w:rsidRPr="002B2CFC">
        <w:rPr>
          <w:color w:val="000000"/>
          <w:szCs w:val="24"/>
          <w:lang w:val="en-US" w:eastAsia="en-US"/>
        </w:rPr>
        <w:t xml:space="preserve">HVA). A 10% decrease in total contour volume of the SN pc in mice treated with 15 and 25 mg/kg bw/dose was noted, but the toxicological relevance of this is unclear and may be artifactual (due to methodology). The positive control group demonstrated the validity of the study design, with damage noted in the </w:t>
      </w:r>
      <w:r w:rsidR="004D01E6">
        <w:rPr>
          <w:color w:val="000000"/>
          <w:szCs w:val="24"/>
          <w:lang w:val="en-US" w:eastAsia="en-US"/>
        </w:rPr>
        <w:t>SN</w:t>
      </w:r>
      <w:r w:rsidR="002B2CFC" w:rsidRPr="002B2CFC">
        <w:rPr>
          <w:color w:val="000000"/>
          <w:szCs w:val="24"/>
          <w:lang w:val="en-US" w:eastAsia="en-US"/>
        </w:rPr>
        <w:t xml:space="preserve"> and </w:t>
      </w:r>
      <w:r w:rsidR="0083689C" w:rsidRPr="002B2CFC">
        <w:rPr>
          <w:color w:val="000000"/>
          <w:szCs w:val="24"/>
          <w:lang w:val="en-US" w:eastAsia="en-US"/>
        </w:rPr>
        <w:t>striatum</w:t>
      </w:r>
      <w:r w:rsidR="002B2CFC" w:rsidRPr="002B2CFC">
        <w:rPr>
          <w:color w:val="000000"/>
          <w:szCs w:val="24"/>
          <w:lang w:val="en-US" w:eastAsia="en-US"/>
        </w:rPr>
        <w:t>, indicative of cell death, glial cell activation and an inflammatory response. In addition, the positive control group had a reduction in the number of TH+ (</w:t>
      </w:r>
      <w:r w:rsidR="006F1A34">
        <w:rPr>
          <w:color w:val="000000"/>
          <w:szCs w:val="24"/>
          <w:lang w:val="en-US" w:eastAsia="en-US"/>
        </w:rPr>
        <w:t xml:space="preserve">tyrosine hydroxylase; an enzyme involved in the formation of </w:t>
      </w:r>
      <w:r w:rsidR="00A4092E">
        <w:rPr>
          <w:color w:val="000000"/>
          <w:szCs w:val="24"/>
          <w:lang w:val="en-US" w:eastAsia="en-US"/>
        </w:rPr>
        <w:t>DA</w:t>
      </w:r>
      <w:r w:rsidR="002B2CFC" w:rsidRPr="002B2CFC">
        <w:rPr>
          <w:color w:val="000000"/>
          <w:szCs w:val="24"/>
          <w:lang w:val="en-US" w:eastAsia="en-US"/>
        </w:rPr>
        <w:t xml:space="preserve">) neurons and decreased striatal </w:t>
      </w:r>
      <w:r w:rsidR="00A4092E">
        <w:rPr>
          <w:color w:val="000000"/>
          <w:szCs w:val="24"/>
          <w:lang w:val="en-US" w:eastAsia="en-US"/>
        </w:rPr>
        <w:t>DA</w:t>
      </w:r>
      <w:r w:rsidR="002B2CFC" w:rsidRPr="002B2CFC">
        <w:rPr>
          <w:color w:val="000000"/>
          <w:szCs w:val="24"/>
          <w:lang w:val="en-US" w:eastAsia="en-US"/>
        </w:rPr>
        <w:t xml:space="preserve">, DOPAC and HVA levels and an increase in </w:t>
      </w:r>
      <w:r w:rsidR="00A4092E">
        <w:rPr>
          <w:color w:val="000000"/>
          <w:szCs w:val="24"/>
          <w:lang w:val="en-US" w:eastAsia="en-US"/>
        </w:rPr>
        <w:t>DA</w:t>
      </w:r>
      <w:r w:rsidR="002B2CFC" w:rsidRPr="002B2CFC">
        <w:rPr>
          <w:color w:val="000000"/>
          <w:szCs w:val="24"/>
          <w:lang w:val="en-US" w:eastAsia="en-US"/>
        </w:rPr>
        <w:t xml:space="preserve"> turnover. </w:t>
      </w:r>
      <w:r w:rsidR="00D03D9C">
        <w:rPr>
          <w:color w:val="000000"/>
          <w:szCs w:val="24"/>
          <w:lang w:val="en-US" w:eastAsia="en-US"/>
        </w:rPr>
        <w:t xml:space="preserve">Unlike other published studies included in this review, </w:t>
      </w:r>
      <w:r w:rsidR="008971EF">
        <w:rPr>
          <w:color w:val="000000"/>
          <w:szCs w:val="24"/>
          <w:lang w:val="en-US" w:eastAsia="en-US"/>
        </w:rPr>
        <w:t xml:space="preserve">experimental methodology and raw data for </w:t>
      </w:r>
      <w:r w:rsidR="00D03D9C">
        <w:rPr>
          <w:color w:val="000000"/>
          <w:szCs w:val="24"/>
          <w:lang w:val="en-US" w:eastAsia="en-US"/>
        </w:rPr>
        <w:t xml:space="preserve">the </w:t>
      </w:r>
      <w:r w:rsidR="002B2CFC" w:rsidRPr="002B2CFC">
        <w:rPr>
          <w:color w:val="000000"/>
          <w:szCs w:val="24"/>
          <w:lang w:val="en-US" w:eastAsia="en-US"/>
        </w:rPr>
        <w:t xml:space="preserve">Beck study was </w:t>
      </w:r>
      <w:r w:rsidR="003C3036">
        <w:rPr>
          <w:color w:val="000000"/>
          <w:szCs w:val="24"/>
          <w:lang w:val="en-US" w:eastAsia="en-US"/>
        </w:rPr>
        <w:t xml:space="preserve">available to the OCS </w:t>
      </w:r>
      <w:r w:rsidR="002B2CFC" w:rsidRPr="002B2CFC">
        <w:rPr>
          <w:color w:val="000000"/>
          <w:szCs w:val="24"/>
          <w:lang w:val="en-US" w:eastAsia="en-US"/>
        </w:rPr>
        <w:t>which adds to its value from a regulatory perspective. Th</w:t>
      </w:r>
      <w:r w:rsidR="00340F7C">
        <w:rPr>
          <w:color w:val="000000"/>
          <w:szCs w:val="24"/>
          <w:lang w:val="en-US" w:eastAsia="en-US"/>
        </w:rPr>
        <w:t>e</w:t>
      </w:r>
      <w:r w:rsidR="002B2CFC" w:rsidRPr="002B2CFC">
        <w:rPr>
          <w:color w:val="000000"/>
          <w:szCs w:val="24"/>
          <w:lang w:val="en-US" w:eastAsia="en-US"/>
        </w:rPr>
        <w:t xml:space="preserve"> detailed assessment and  comprehensive methodology utilized in the study leads OCS to conclude that the Beck study casts </w:t>
      </w:r>
      <w:r w:rsidR="00236FA3">
        <w:rPr>
          <w:color w:val="000000"/>
          <w:szCs w:val="24"/>
          <w:lang w:val="en-US" w:eastAsia="en-US"/>
        </w:rPr>
        <w:t xml:space="preserve">significant </w:t>
      </w:r>
      <w:r w:rsidR="002B2CFC" w:rsidRPr="002B2CFC">
        <w:rPr>
          <w:color w:val="000000"/>
          <w:szCs w:val="24"/>
          <w:lang w:val="en-US" w:eastAsia="en-US"/>
        </w:rPr>
        <w:t xml:space="preserve">doubt on the reproducibility or reliability of findings in other studies showing effects in the brain following </w:t>
      </w:r>
      <w:r w:rsidR="00C67EAD">
        <w:rPr>
          <w:color w:val="000000"/>
          <w:szCs w:val="24"/>
          <w:lang w:val="en-US" w:eastAsia="en-US"/>
        </w:rPr>
        <w:t xml:space="preserve">ip </w:t>
      </w:r>
      <w:r w:rsidR="002B2CFC" w:rsidRPr="002B2CFC">
        <w:rPr>
          <w:color w:val="000000"/>
          <w:szCs w:val="24"/>
          <w:lang w:val="en-US" w:eastAsia="en-US"/>
        </w:rPr>
        <w:t>injection of paraquat.</w:t>
      </w:r>
    </w:p>
    <w:p w14:paraId="7623C6C1" w14:textId="77777777" w:rsidR="002B2CFC" w:rsidRPr="002B2CFC" w:rsidRDefault="002B2CFC" w:rsidP="0084215F">
      <w:pPr>
        <w:rPr>
          <w:color w:val="000000"/>
          <w:szCs w:val="24"/>
          <w:lang w:val="en-US" w:eastAsia="en-US"/>
        </w:rPr>
      </w:pPr>
    </w:p>
    <w:p w14:paraId="558CD3B9" w14:textId="26F6A3BF" w:rsidR="002B2CFC" w:rsidRPr="002B2CFC" w:rsidRDefault="002B2CFC" w:rsidP="0084215F">
      <w:pPr>
        <w:rPr>
          <w:color w:val="000000"/>
          <w:szCs w:val="24"/>
          <w:lang w:val="en-US" w:eastAsia="en-US"/>
        </w:rPr>
      </w:pPr>
      <w:r w:rsidRPr="002B2CFC">
        <w:rPr>
          <w:color w:val="000000"/>
          <w:szCs w:val="24"/>
          <w:lang w:val="en-US" w:eastAsia="en-US"/>
        </w:rPr>
        <w:lastRenderedPageBreak/>
        <w:t xml:space="preserve">More relevant to a human exposure scenario, oral studies on laboratory animals have also been conducted. </w:t>
      </w:r>
      <w:r w:rsidRPr="002B2CFC">
        <w:rPr>
          <w:szCs w:val="24"/>
          <w:lang w:val="en-US" w:eastAsia="en-US"/>
        </w:rPr>
        <w:t>The OCS has evaluated a neurotoxicity study on paraquat performed according to OECD Guideline 424 (Chivers, 2006). In this study, rats were administered paraquat cation in the diet for 90 days up to 150 ppm (males 10.2 mg/kg bw/d, females 11.9 mg/kg bw/d).</w:t>
      </w:r>
      <w:r w:rsidR="00C0145B">
        <w:rPr>
          <w:szCs w:val="24"/>
          <w:lang w:val="en-US" w:eastAsia="en-US"/>
        </w:rPr>
        <w:t xml:space="preserve"> </w:t>
      </w:r>
      <w:r w:rsidR="00C86B6C">
        <w:rPr>
          <w:szCs w:val="24"/>
          <w:lang w:val="en-US" w:eastAsia="en-US"/>
        </w:rPr>
        <w:t>Treatment-related effects were limited to effects on body weight at the high dose only.</w:t>
      </w:r>
      <w:r w:rsidRPr="002B2CFC">
        <w:rPr>
          <w:szCs w:val="24"/>
          <w:lang w:val="en-US" w:eastAsia="en-US"/>
        </w:rPr>
        <w:t xml:space="preserve"> No adverse effects were found in the histological examinations where the brain tissue was examined at 7 levels. </w:t>
      </w:r>
      <w:r w:rsidR="003C3036">
        <w:rPr>
          <w:szCs w:val="24"/>
          <w:lang w:val="en-US" w:eastAsia="en-US"/>
        </w:rPr>
        <w:t xml:space="preserve">As this study was conducted in accordance with </w:t>
      </w:r>
      <w:r w:rsidR="00C67EAD">
        <w:rPr>
          <w:szCs w:val="24"/>
          <w:lang w:val="en-US" w:eastAsia="en-US"/>
        </w:rPr>
        <w:t xml:space="preserve">OECD </w:t>
      </w:r>
      <w:r w:rsidR="003C3036">
        <w:rPr>
          <w:szCs w:val="24"/>
          <w:lang w:val="en-US" w:eastAsia="en-US"/>
        </w:rPr>
        <w:t xml:space="preserve">Guideline 424, the speciality studies conducted by Beck (both ip and oral studies) were </w:t>
      </w:r>
      <w:r w:rsidR="00C86B6C">
        <w:rPr>
          <w:szCs w:val="24"/>
          <w:lang w:val="en-US" w:eastAsia="en-US"/>
        </w:rPr>
        <w:t>not included</w:t>
      </w:r>
      <w:r w:rsidR="00A40882">
        <w:rPr>
          <w:szCs w:val="24"/>
          <w:lang w:val="en-US" w:eastAsia="en-US"/>
        </w:rPr>
        <w:t xml:space="preserve"> in the protocol</w:t>
      </w:r>
      <w:r w:rsidR="00C86B6C">
        <w:rPr>
          <w:szCs w:val="24"/>
          <w:lang w:val="en-US" w:eastAsia="en-US"/>
        </w:rPr>
        <w:t xml:space="preserve">. However, this study </w:t>
      </w:r>
      <w:r w:rsidR="00236FA3">
        <w:rPr>
          <w:szCs w:val="24"/>
          <w:lang w:val="en-US" w:eastAsia="en-US"/>
        </w:rPr>
        <w:t xml:space="preserve">demonstrated </w:t>
      </w:r>
      <w:r w:rsidR="00C86B6C">
        <w:rPr>
          <w:szCs w:val="24"/>
          <w:lang w:val="en-US" w:eastAsia="en-US"/>
        </w:rPr>
        <w:t>an absence of neurotoxicity in the parameters examined</w:t>
      </w:r>
      <w:r w:rsidR="003C3036">
        <w:rPr>
          <w:szCs w:val="24"/>
          <w:lang w:val="en-US" w:eastAsia="en-US"/>
        </w:rPr>
        <w:t>.</w:t>
      </w:r>
    </w:p>
    <w:p w14:paraId="16A3328E" w14:textId="77777777" w:rsidR="00C86B6C" w:rsidRPr="002B2CFC" w:rsidRDefault="00C86B6C" w:rsidP="0084215F">
      <w:pPr>
        <w:rPr>
          <w:color w:val="000000"/>
          <w:szCs w:val="24"/>
          <w:lang w:val="en-US" w:eastAsia="en-US"/>
        </w:rPr>
      </w:pPr>
    </w:p>
    <w:p w14:paraId="0DD73CF8" w14:textId="6A81451B" w:rsidR="002B2CFC" w:rsidRPr="002B2CFC" w:rsidRDefault="002B2CFC" w:rsidP="00035BA6">
      <w:pPr>
        <w:rPr>
          <w:color w:val="000000"/>
          <w:szCs w:val="24"/>
          <w:lang w:val="en-US" w:eastAsia="en-US"/>
        </w:rPr>
      </w:pPr>
      <w:r w:rsidRPr="002B2CFC">
        <w:rPr>
          <w:color w:val="000000"/>
          <w:szCs w:val="24"/>
          <w:lang w:val="en-US" w:eastAsia="en-US"/>
        </w:rPr>
        <w:t xml:space="preserve">A </w:t>
      </w:r>
      <w:r w:rsidR="00FA5F22">
        <w:rPr>
          <w:color w:val="000000"/>
          <w:szCs w:val="24"/>
          <w:lang w:val="en-US" w:eastAsia="en-US"/>
        </w:rPr>
        <w:t>study by Beck (2013) assessed</w:t>
      </w:r>
      <w:r w:rsidRPr="002B2CFC">
        <w:rPr>
          <w:color w:val="000000"/>
          <w:szCs w:val="24"/>
          <w:lang w:val="en-US" w:eastAsia="en-US"/>
        </w:rPr>
        <w:t xml:space="preserve"> the effect of dietary administration of up to 50 ppm </w:t>
      </w:r>
      <w:r w:rsidRPr="002B2CFC">
        <w:rPr>
          <w:szCs w:val="24"/>
          <w:lang w:val="en-US" w:eastAsia="en-US"/>
        </w:rPr>
        <w:t xml:space="preserve"> </w:t>
      </w:r>
      <w:r w:rsidRPr="002B2CFC">
        <w:rPr>
          <w:color w:val="000000"/>
          <w:szCs w:val="24"/>
          <w:lang w:val="en-US" w:eastAsia="en-US"/>
        </w:rPr>
        <w:t xml:space="preserve">paraquat dichloride </w:t>
      </w:r>
      <w:r w:rsidR="0021017C">
        <w:rPr>
          <w:szCs w:val="24"/>
        </w:rPr>
        <w:t xml:space="preserve">(equivalent to </w:t>
      </w:r>
      <w:r w:rsidR="00236FA3">
        <w:rPr>
          <w:szCs w:val="24"/>
        </w:rPr>
        <w:t xml:space="preserve">10.2 mg/kg bw/d </w:t>
      </w:r>
      <w:r w:rsidR="0021017C">
        <w:rPr>
          <w:szCs w:val="24"/>
        </w:rPr>
        <w:t xml:space="preserve">paraquat cation </w:t>
      </w:r>
      <w:r w:rsidR="00236FA3">
        <w:rPr>
          <w:szCs w:val="24"/>
        </w:rPr>
        <w:t xml:space="preserve">in </w:t>
      </w:r>
      <w:r w:rsidR="0021017C">
        <w:rPr>
          <w:szCs w:val="24"/>
        </w:rPr>
        <w:t>males</w:t>
      </w:r>
      <w:r w:rsidR="00236FA3">
        <w:rPr>
          <w:szCs w:val="24"/>
        </w:rPr>
        <w:t xml:space="preserve"> and </w:t>
      </w:r>
      <w:r w:rsidR="0021017C">
        <w:rPr>
          <w:szCs w:val="24"/>
        </w:rPr>
        <w:t>15.6 mg/kg bw/d</w:t>
      </w:r>
      <w:r w:rsidR="00236FA3">
        <w:rPr>
          <w:szCs w:val="24"/>
        </w:rPr>
        <w:t xml:space="preserve"> in females</w:t>
      </w:r>
      <w:r w:rsidR="0021017C">
        <w:rPr>
          <w:szCs w:val="24"/>
        </w:rPr>
        <w:t xml:space="preserve">) </w:t>
      </w:r>
      <w:r w:rsidRPr="002B2CFC">
        <w:rPr>
          <w:color w:val="000000"/>
          <w:szCs w:val="24"/>
          <w:lang w:val="en-US" w:eastAsia="en-US"/>
        </w:rPr>
        <w:t xml:space="preserve">on the dopaminergic neurons in the brains of C57BL/6J mice. Detailed examination of the brain through neuropathology with specialist staining showed paraquat exposure was not associated with any neuronal or glial changes in the </w:t>
      </w:r>
      <w:r w:rsidR="004D01E6">
        <w:rPr>
          <w:color w:val="000000"/>
          <w:szCs w:val="24"/>
          <w:lang w:val="en-US" w:eastAsia="en-US"/>
        </w:rPr>
        <w:t>SN</w:t>
      </w:r>
      <w:r w:rsidRPr="002B2CFC">
        <w:rPr>
          <w:color w:val="000000"/>
          <w:szCs w:val="24"/>
          <w:lang w:val="en-US" w:eastAsia="en-US"/>
        </w:rPr>
        <w:t xml:space="preserve"> or striatum. Stereology analysis of TH stained sections of the SN pc did not show any effects on the number of dopaminergic neuronal cells or total contour volume. There were also no effects on the levels of </w:t>
      </w:r>
      <w:r w:rsidR="00A4092E">
        <w:rPr>
          <w:color w:val="000000"/>
          <w:szCs w:val="24"/>
          <w:lang w:val="en-US" w:eastAsia="en-US"/>
        </w:rPr>
        <w:t>DA</w:t>
      </w:r>
      <w:r w:rsidRPr="002B2CFC">
        <w:rPr>
          <w:color w:val="000000"/>
          <w:szCs w:val="24"/>
          <w:lang w:val="en-US" w:eastAsia="en-US"/>
        </w:rPr>
        <w:t xml:space="preserve"> or its two metabolites (</w:t>
      </w:r>
      <w:r w:rsidR="00340F7C">
        <w:rPr>
          <w:color w:val="000000"/>
          <w:szCs w:val="24"/>
          <w:lang w:val="en-US" w:eastAsia="en-US"/>
        </w:rPr>
        <w:t>DOPAC and HVA</w:t>
      </w:r>
      <w:r w:rsidRPr="002B2CFC">
        <w:rPr>
          <w:color w:val="000000"/>
          <w:szCs w:val="24"/>
          <w:lang w:val="en-US" w:eastAsia="en-US"/>
        </w:rPr>
        <w:t xml:space="preserve">) in the striatal tissues. The test system was validated by findings in a positive control group treated with ip injections of MPTP (Minnema </w:t>
      </w:r>
      <w:r w:rsidR="00EE5CEB" w:rsidRPr="00EE5CEB">
        <w:rPr>
          <w:i/>
          <w:color w:val="000000"/>
          <w:szCs w:val="24"/>
          <w:lang w:val="en-US" w:eastAsia="en-US"/>
        </w:rPr>
        <w:t>et al</w:t>
      </w:r>
      <w:r w:rsidR="00120920">
        <w:rPr>
          <w:i/>
          <w:color w:val="000000"/>
          <w:szCs w:val="24"/>
          <w:lang w:val="en-US" w:eastAsia="en-US"/>
        </w:rPr>
        <w:t>,</w:t>
      </w:r>
      <w:r w:rsidRPr="002B2CFC">
        <w:rPr>
          <w:color w:val="000000"/>
          <w:szCs w:val="24"/>
          <w:lang w:val="en-US" w:eastAsia="en-US"/>
        </w:rPr>
        <w:t xml:space="preserve"> 2014).</w:t>
      </w:r>
    </w:p>
    <w:p w14:paraId="154A9F3B" w14:textId="77777777" w:rsidR="002B2CFC" w:rsidRDefault="002B2CFC" w:rsidP="00035BA6">
      <w:pPr>
        <w:rPr>
          <w:color w:val="000000"/>
          <w:szCs w:val="24"/>
          <w:lang w:val="en-US" w:eastAsia="en-US"/>
        </w:rPr>
      </w:pPr>
    </w:p>
    <w:p w14:paraId="6ACB698E" w14:textId="1407D7AA" w:rsidR="00397F81" w:rsidRDefault="00397F81" w:rsidP="00035BA6">
      <w:pPr>
        <w:rPr>
          <w:color w:val="000000"/>
          <w:szCs w:val="24"/>
          <w:lang w:val="en-US" w:eastAsia="en-US"/>
        </w:rPr>
      </w:pPr>
      <w:r>
        <w:rPr>
          <w:color w:val="000000"/>
          <w:szCs w:val="24"/>
          <w:lang w:val="en-US" w:eastAsia="en-US"/>
        </w:rPr>
        <w:t xml:space="preserve">A study by Rojo </w:t>
      </w:r>
      <w:r w:rsidRPr="00397F81">
        <w:rPr>
          <w:i/>
          <w:color w:val="000000"/>
          <w:szCs w:val="24"/>
          <w:lang w:val="en-US" w:eastAsia="en-US"/>
        </w:rPr>
        <w:t>et al</w:t>
      </w:r>
      <w:r>
        <w:rPr>
          <w:color w:val="000000"/>
          <w:szCs w:val="24"/>
          <w:lang w:val="en-US" w:eastAsia="en-US"/>
        </w:rPr>
        <w:t xml:space="preserve"> (2007)</w:t>
      </w:r>
      <w:r w:rsidR="00E82F3A">
        <w:rPr>
          <w:color w:val="000000"/>
          <w:szCs w:val="24"/>
          <w:lang w:val="en-US" w:eastAsia="en-US"/>
        </w:rPr>
        <w:t xml:space="preserve"> investigated if symptoms of Parkinson's could be produced in mice and rats following intranasal inoculation of paraquat (up to 30 mg/kg bw/d) daily for 30 days. Although this methodology </w:t>
      </w:r>
      <w:r w:rsidR="008C151D">
        <w:rPr>
          <w:color w:val="000000"/>
          <w:szCs w:val="24"/>
          <w:lang w:val="en-US" w:eastAsia="en-US"/>
        </w:rPr>
        <w:t xml:space="preserve">is not a standard route of administration in animal studies, the nasal mucosa would be a site of potential contact and absorption in humans following </w:t>
      </w:r>
      <w:r w:rsidR="00260059">
        <w:rPr>
          <w:color w:val="000000"/>
          <w:szCs w:val="24"/>
          <w:lang w:val="en-US" w:eastAsia="en-US"/>
        </w:rPr>
        <w:t xml:space="preserve">occupational </w:t>
      </w:r>
      <w:r w:rsidR="008C151D">
        <w:rPr>
          <w:color w:val="000000"/>
          <w:szCs w:val="24"/>
          <w:lang w:val="en-US" w:eastAsia="en-US"/>
        </w:rPr>
        <w:t>exposure.</w:t>
      </w:r>
      <w:r w:rsidR="00C0145B">
        <w:rPr>
          <w:color w:val="000000"/>
          <w:szCs w:val="24"/>
          <w:lang w:val="en-US" w:eastAsia="en-US"/>
        </w:rPr>
        <w:t xml:space="preserve"> </w:t>
      </w:r>
      <w:r w:rsidR="008C151D">
        <w:rPr>
          <w:color w:val="000000"/>
          <w:szCs w:val="24"/>
          <w:lang w:val="en-US" w:eastAsia="en-US"/>
        </w:rPr>
        <w:t xml:space="preserve">This study demonstrated that </w:t>
      </w:r>
      <w:r w:rsidR="00D24BAA">
        <w:rPr>
          <w:color w:val="000000"/>
          <w:szCs w:val="24"/>
          <w:lang w:val="en-US" w:eastAsia="en-US"/>
        </w:rPr>
        <w:t xml:space="preserve">paraquat was only detected in the olfactory bulb (10 minutes after a single dose of 20 mg/kg bw) </w:t>
      </w:r>
      <w:r w:rsidR="00881435">
        <w:rPr>
          <w:color w:val="000000"/>
          <w:szCs w:val="24"/>
          <w:lang w:val="en-US" w:eastAsia="en-US"/>
        </w:rPr>
        <w:t>and not other parts of the brain following this route of exposure. F</w:t>
      </w:r>
      <w:r w:rsidR="00D24BAA">
        <w:rPr>
          <w:color w:val="000000"/>
          <w:szCs w:val="24"/>
          <w:lang w:val="en-US" w:eastAsia="en-US"/>
        </w:rPr>
        <w:t xml:space="preserve">ollowing 30 </w:t>
      </w:r>
      <w:r w:rsidR="00881435">
        <w:rPr>
          <w:color w:val="000000"/>
          <w:szCs w:val="24"/>
          <w:lang w:val="en-US" w:eastAsia="en-US"/>
        </w:rPr>
        <w:t>daily doses, there was no</w:t>
      </w:r>
      <w:r w:rsidR="00D24BAA">
        <w:rPr>
          <w:color w:val="000000"/>
          <w:szCs w:val="24"/>
          <w:lang w:val="en-US" w:eastAsia="en-US"/>
        </w:rPr>
        <w:t xml:space="preserve"> effect </w:t>
      </w:r>
      <w:r w:rsidR="00881435">
        <w:rPr>
          <w:color w:val="000000"/>
          <w:szCs w:val="24"/>
          <w:lang w:val="en-US" w:eastAsia="en-US"/>
        </w:rPr>
        <w:t xml:space="preserve">on </w:t>
      </w:r>
      <w:r w:rsidR="00A4092E">
        <w:rPr>
          <w:color w:val="000000"/>
          <w:szCs w:val="24"/>
          <w:lang w:val="en-US" w:eastAsia="en-US"/>
        </w:rPr>
        <w:t>DA</w:t>
      </w:r>
      <w:r w:rsidR="00D24BAA">
        <w:rPr>
          <w:color w:val="000000"/>
          <w:szCs w:val="24"/>
          <w:lang w:val="en-US" w:eastAsia="en-US"/>
        </w:rPr>
        <w:t xml:space="preserve"> or DOPAC leve</w:t>
      </w:r>
      <w:r w:rsidR="00881435">
        <w:rPr>
          <w:color w:val="000000"/>
          <w:szCs w:val="24"/>
          <w:lang w:val="en-US" w:eastAsia="en-US"/>
        </w:rPr>
        <w:t>l</w:t>
      </w:r>
      <w:r w:rsidR="00D24BAA">
        <w:rPr>
          <w:color w:val="000000"/>
          <w:szCs w:val="24"/>
          <w:lang w:val="en-US" w:eastAsia="en-US"/>
        </w:rPr>
        <w:t>s, or the number of TH</w:t>
      </w:r>
      <w:r w:rsidR="00D24BAA" w:rsidRPr="00881435">
        <w:rPr>
          <w:color w:val="000000"/>
          <w:szCs w:val="24"/>
          <w:vertAlign w:val="superscript"/>
          <w:lang w:val="en-US" w:eastAsia="en-US"/>
        </w:rPr>
        <w:t>+</w:t>
      </w:r>
      <w:r w:rsidR="00D24BAA">
        <w:rPr>
          <w:color w:val="000000"/>
          <w:szCs w:val="24"/>
          <w:lang w:val="en-US" w:eastAsia="en-US"/>
        </w:rPr>
        <w:t xml:space="preserve"> neurons in the striatum or SN. </w:t>
      </w:r>
      <w:r w:rsidR="008C151D">
        <w:rPr>
          <w:color w:val="000000"/>
          <w:szCs w:val="24"/>
          <w:lang w:val="en-US" w:eastAsia="en-US"/>
        </w:rPr>
        <w:t>The doses resulted in severe toxic effects</w:t>
      </w:r>
      <w:r w:rsidR="00516DA8">
        <w:rPr>
          <w:color w:val="000000"/>
          <w:szCs w:val="24"/>
          <w:lang w:val="en-US" w:eastAsia="en-US"/>
        </w:rPr>
        <w:t xml:space="preserve"> (</w:t>
      </w:r>
      <w:r w:rsidR="00D24BAA">
        <w:rPr>
          <w:color w:val="000000"/>
          <w:szCs w:val="24"/>
          <w:lang w:val="en-US" w:eastAsia="en-US"/>
        </w:rPr>
        <w:t>weight loss, lung damage, death, hypokinesia, truncal dystonia and evidence of effects on the vestibular system</w:t>
      </w:r>
      <w:r w:rsidR="00516DA8">
        <w:rPr>
          <w:color w:val="000000"/>
          <w:szCs w:val="24"/>
          <w:lang w:val="en-US" w:eastAsia="en-US"/>
        </w:rPr>
        <w:t>)</w:t>
      </w:r>
      <w:r w:rsidR="00881435">
        <w:rPr>
          <w:color w:val="000000"/>
          <w:szCs w:val="24"/>
          <w:lang w:val="en-US" w:eastAsia="en-US"/>
        </w:rPr>
        <w:t xml:space="preserve"> </w:t>
      </w:r>
      <w:r w:rsidR="008C151D">
        <w:rPr>
          <w:color w:val="000000"/>
          <w:szCs w:val="24"/>
          <w:lang w:val="en-US" w:eastAsia="en-US"/>
        </w:rPr>
        <w:t xml:space="preserve">and due to the lack of effects in the neurotoxic parameters tested, is </w:t>
      </w:r>
      <w:r w:rsidR="00881435">
        <w:rPr>
          <w:color w:val="000000"/>
          <w:szCs w:val="24"/>
          <w:lang w:val="en-US" w:eastAsia="en-US"/>
        </w:rPr>
        <w:t>likely a result of generalised systemic toxicity and not neurotoxicity.</w:t>
      </w:r>
      <w:r w:rsidR="00D24BAA">
        <w:rPr>
          <w:color w:val="000000"/>
          <w:szCs w:val="24"/>
          <w:lang w:val="en-US" w:eastAsia="en-US"/>
        </w:rPr>
        <w:t xml:space="preserve"> </w:t>
      </w:r>
      <w:r w:rsidR="00881435">
        <w:rPr>
          <w:color w:val="000000"/>
          <w:szCs w:val="24"/>
          <w:lang w:val="en-US" w:eastAsia="en-US"/>
        </w:rPr>
        <w:t>This study was validated by concurrent treatment of a group of animals with MPTP by the same route, where clear effects were noted in the striatum.</w:t>
      </w:r>
      <w:r w:rsidR="008C151D">
        <w:rPr>
          <w:color w:val="000000"/>
          <w:szCs w:val="24"/>
          <w:lang w:val="en-US" w:eastAsia="en-US"/>
        </w:rPr>
        <w:t xml:space="preserve"> While it is recognised th</w:t>
      </w:r>
      <w:r w:rsidR="00340E30">
        <w:rPr>
          <w:color w:val="000000"/>
          <w:szCs w:val="24"/>
          <w:lang w:val="en-US" w:eastAsia="en-US"/>
        </w:rPr>
        <w:t>at</w:t>
      </w:r>
      <w:r w:rsidR="008C151D">
        <w:rPr>
          <w:color w:val="000000"/>
          <w:szCs w:val="24"/>
          <w:lang w:val="en-US" w:eastAsia="en-US"/>
        </w:rPr>
        <w:t xml:space="preserve"> intranasal </w:t>
      </w:r>
      <w:r w:rsidR="00340E30">
        <w:rPr>
          <w:color w:val="000000"/>
          <w:szCs w:val="24"/>
          <w:lang w:val="en-US" w:eastAsia="en-US"/>
        </w:rPr>
        <w:t>inoculation</w:t>
      </w:r>
      <w:r w:rsidR="008C151D">
        <w:rPr>
          <w:color w:val="000000"/>
          <w:szCs w:val="24"/>
          <w:lang w:val="en-US" w:eastAsia="en-US"/>
        </w:rPr>
        <w:t xml:space="preserve"> limits the site of absorption to the nasal cavity</w:t>
      </w:r>
      <w:r w:rsidR="00214962">
        <w:rPr>
          <w:color w:val="000000"/>
          <w:szCs w:val="24"/>
          <w:lang w:val="en-US" w:eastAsia="en-US"/>
        </w:rPr>
        <w:t xml:space="preserve"> (vs absorption via lungs in an </w:t>
      </w:r>
      <w:r w:rsidR="00340E30">
        <w:rPr>
          <w:color w:val="000000"/>
          <w:szCs w:val="24"/>
          <w:lang w:val="en-US" w:eastAsia="en-US"/>
        </w:rPr>
        <w:t>inhalation</w:t>
      </w:r>
      <w:r w:rsidR="00214962">
        <w:rPr>
          <w:color w:val="000000"/>
          <w:szCs w:val="24"/>
          <w:lang w:val="en-US" w:eastAsia="en-US"/>
        </w:rPr>
        <w:t xml:space="preserve"> study)</w:t>
      </w:r>
      <w:r w:rsidR="008C151D">
        <w:rPr>
          <w:color w:val="000000"/>
          <w:szCs w:val="24"/>
          <w:lang w:val="en-US" w:eastAsia="en-US"/>
        </w:rPr>
        <w:t xml:space="preserve">, </w:t>
      </w:r>
      <w:r w:rsidR="00214962">
        <w:rPr>
          <w:color w:val="000000"/>
          <w:szCs w:val="24"/>
          <w:lang w:val="en-US" w:eastAsia="en-US"/>
        </w:rPr>
        <w:t>the study</w:t>
      </w:r>
      <w:r w:rsidR="008C151D">
        <w:rPr>
          <w:color w:val="000000"/>
          <w:szCs w:val="24"/>
          <w:lang w:val="en-US" w:eastAsia="en-US"/>
        </w:rPr>
        <w:t xml:space="preserve"> provides evidence that even at doses causing severe toxicity</w:t>
      </w:r>
      <w:r w:rsidR="00214962">
        <w:rPr>
          <w:color w:val="000000"/>
          <w:szCs w:val="24"/>
          <w:lang w:val="en-US" w:eastAsia="en-US"/>
        </w:rPr>
        <w:t>,</w:t>
      </w:r>
      <w:r w:rsidR="008C151D">
        <w:rPr>
          <w:color w:val="000000"/>
          <w:szCs w:val="24"/>
          <w:lang w:val="en-US" w:eastAsia="en-US"/>
        </w:rPr>
        <w:t xml:space="preserve"> there </w:t>
      </w:r>
      <w:r w:rsidR="00516DA8">
        <w:rPr>
          <w:color w:val="000000"/>
          <w:szCs w:val="24"/>
          <w:lang w:val="en-US" w:eastAsia="en-US"/>
        </w:rPr>
        <w:t xml:space="preserve">are </w:t>
      </w:r>
      <w:r w:rsidR="008C151D">
        <w:rPr>
          <w:color w:val="000000"/>
          <w:szCs w:val="24"/>
          <w:lang w:val="en-US" w:eastAsia="en-US"/>
        </w:rPr>
        <w:t xml:space="preserve">no </w:t>
      </w:r>
      <w:r w:rsidR="00516DA8">
        <w:rPr>
          <w:color w:val="000000"/>
          <w:szCs w:val="24"/>
          <w:lang w:val="en-US" w:eastAsia="en-US"/>
        </w:rPr>
        <w:t xml:space="preserve">effects on dopaminergic neurons in </w:t>
      </w:r>
      <w:r w:rsidR="00214962">
        <w:rPr>
          <w:color w:val="000000"/>
          <w:szCs w:val="24"/>
          <w:lang w:val="en-US" w:eastAsia="en-US"/>
        </w:rPr>
        <w:t xml:space="preserve">both </w:t>
      </w:r>
      <w:r w:rsidR="00516DA8">
        <w:rPr>
          <w:color w:val="000000"/>
          <w:szCs w:val="24"/>
          <w:lang w:val="en-US" w:eastAsia="en-US"/>
        </w:rPr>
        <w:t>mice and rats.</w:t>
      </w:r>
    </w:p>
    <w:p w14:paraId="1B2D9F68" w14:textId="77777777" w:rsidR="00FA5F22" w:rsidRDefault="00FA5F22" w:rsidP="00035BA6">
      <w:pPr>
        <w:rPr>
          <w:color w:val="000000"/>
          <w:szCs w:val="24"/>
          <w:lang w:val="en-US" w:eastAsia="en-US"/>
        </w:rPr>
      </w:pPr>
    </w:p>
    <w:p w14:paraId="189D6599" w14:textId="027A6EF0" w:rsidR="00436573" w:rsidRDefault="002B2CFC" w:rsidP="00436573">
      <w:r w:rsidRPr="002B2CFC">
        <w:rPr>
          <w:szCs w:val="24"/>
          <w:lang w:val="en-US" w:eastAsia="en-US"/>
        </w:rPr>
        <w:t xml:space="preserve">Treatment of mice with paraquat at relatively high doses during pregnancy was reported to alter the chronology and magnitude of synaptic transmission in the developing mouse cerebellar cortex. Miranda-Contreras </w:t>
      </w:r>
      <w:r w:rsidRPr="002B2CFC">
        <w:rPr>
          <w:i/>
          <w:szCs w:val="24"/>
          <w:lang w:val="en-US" w:eastAsia="en-US"/>
        </w:rPr>
        <w:t>et al</w:t>
      </w:r>
      <w:r w:rsidRPr="002B2CFC">
        <w:rPr>
          <w:szCs w:val="24"/>
          <w:lang w:val="en-US" w:eastAsia="en-US"/>
        </w:rPr>
        <w:t xml:space="preserve"> (2005) used a repeat-dose protocol with exposure at 10 mg/kg bw/dose, ip, over gestation days 12 to 20 at 2 day intervals.</w:t>
      </w:r>
      <w:r w:rsidRPr="002B2CFC">
        <w:rPr>
          <w:szCs w:val="24"/>
          <w:vertAlign w:val="subscript"/>
          <w:lang w:val="en-US" w:eastAsia="en-US"/>
        </w:rPr>
        <w:t>.</w:t>
      </w:r>
      <w:r w:rsidR="00BA77D9">
        <w:rPr>
          <w:szCs w:val="24"/>
          <w:vertAlign w:val="subscript"/>
          <w:lang w:val="en-US" w:eastAsia="en-US"/>
        </w:rPr>
        <w:t xml:space="preserve"> </w:t>
      </w:r>
      <w:r w:rsidR="00260059">
        <w:rPr>
          <w:szCs w:val="24"/>
          <w:lang w:val="en-US" w:eastAsia="en-US"/>
        </w:rPr>
        <w:t>Fetal</w:t>
      </w:r>
      <w:r w:rsidRPr="002B2CFC">
        <w:rPr>
          <w:szCs w:val="24"/>
          <w:lang w:val="en-US" w:eastAsia="en-US"/>
        </w:rPr>
        <w:t xml:space="preserve"> resorptions, skeletal anomalies and maternal mortality have been reported when mouse dams received paraquat at 3.35 mg/kg bw/d, ip, over gestation days 8</w:t>
      </w:r>
      <w:r w:rsidRPr="002B2CFC">
        <w:rPr>
          <w:szCs w:val="24"/>
          <w:lang w:val="en-US" w:eastAsia="en-US"/>
        </w:rPr>
        <w:noBreakHyphen/>
        <w:t>14 (</w:t>
      </w:r>
      <w:r w:rsidRPr="0066476D">
        <w:rPr>
          <w:szCs w:val="24"/>
          <w:lang w:val="en-US" w:eastAsia="en-US"/>
        </w:rPr>
        <w:t>Bus</w:t>
      </w:r>
      <w:r w:rsidRPr="002B2CFC">
        <w:rPr>
          <w:i/>
          <w:szCs w:val="24"/>
          <w:lang w:val="en-US" w:eastAsia="en-US"/>
        </w:rPr>
        <w:t xml:space="preserve">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1975). Therefore, it </w:t>
      </w:r>
      <w:r w:rsidR="00260059">
        <w:rPr>
          <w:szCs w:val="24"/>
          <w:lang w:val="en-US" w:eastAsia="en-US"/>
        </w:rPr>
        <w:t>is likely</w:t>
      </w:r>
      <w:r w:rsidRPr="002B2CFC">
        <w:rPr>
          <w:szCs w:val="24"/>
          <w:lang w:val="en-US" w:eastAsia="en-US"/>
        </w:rPr>
        <w:t xml:space="preserve"> that the effect on the cerebellar cortex </w:t>
      </w:r>
      <w:r w:rsidR="00046081">
        <w:rPr>
          <w:szCs w:val="24"/>
          <w:lang w:val="en-US" w:eastAsia="en-US"/>
        </w:rPr>
        <w:t>are</w:t>
      </w:r>
      <w:r w:rsidRPr="002B2CFC">
        <w:rPr>
          <w:szCs w:val="24"/>
          <w:lang w:val="en-US" w:eastAsia="en-US"/>
        </w:rPr>
        <w:t xml:space="preserve"> a secondary effect </w:t>
      </w:r>
      <w:r w:rsidR="00046081">
        <w:rPr>
          <w:szCs w:val="24"/>
          <w:lang w:val="en-US" w:eastAsia="en-US"/>
        </w:rPr>
        <w:t>of</w:t>
      </w:r>
      <w:r w:rsidR="00260059">
        <w:rPr>
          <w:szCs w:val="24"/>
          <w:lang w:val="en-US" w:eastAsia="en-US"/>
        </w:rPr>
        <w:t xml:space="preserve"> maternotoxicity</w:t>
      </w:r>
      <w:r w:rsidRPr="002B2CFC">
        <w:rPr>
          <w:szCs w:val="24"/>
          <w:lang w:val="en-US" w:eastAsia="en-US"/>
        </w:rPr>
        <w:t xml:space="preserve">. </w:t>
      </w:r>
    </w:p>
    <w:p w14:paraId="694F5F8B" w14:textId="77777777" w:rsidR="00D250D0" w:rsidRDefault="00D250D0" w:rsidP="00436573"/>
    <w:p w14:paraId="251143D8" w14:textId="61CA3C16" w:rsidR="002B2CFC" w:rsidRDefault="00163706" w:rsidP="00CE5FD2">
      <w:pPr>
        <w:rPr>
          <w:szCs w:val="24"/>
          <w:lang w:val="en-US" w:eastAsia="en-US"/>
        </w:rPr>
      </w:pPr>
      <w:r>
        <w:rPr>
          <w:szCs w:val="24"/>
          <w:lang w:val="en-US" w:eastAsia="en-US"/>
        </w:rPr>
        <w:t>A single study was available to assess developmental neurotoxic effects by the oral route,</w:t>
      </w:r>
      <w:r w:rsidRPr="00163706">
        <w:rPr>
          <w:szCs w:val="24"/>
          <w:lang w:val="en-US" w:eastAsia="en-US"/>
        </w:rPr>
        <w:t xml:space="preserve"> </w:t>
      </w:r>
      <w:r>
        <w:rPr>
          <w:szCs w:val="24"/>
          <w:lang w:val="en-US" w:eastAsia="en-US"/>
        </w:rPr>
        <w:t xml:space="preserve">however no effects on neuronal pathology were reported. </w:t>
      </w:r>
      <w:r w:rsidR="00BA77D9">
        <w:rPr>
          <w:szCs w:val="24"/>
          <w:lang w:val="en-US" w:eastAsia="en-US"/>
        </w:rPr>
        <w:t>I</w:t>
      </w:r>
      <w:r w:rsidR="00B31EF5">
        <w:rPr>
          <w:szCs w:val="24"/>
          <w:lang w:val="en-US" w:eastAsia="en-US"/>
        </w:rPr>
        <w:t xml:space="preserve">n regulatory developmental studies </w:t>
      </w:r>
      <w:r w:rsidR="00B31EF5">
        <w:rPr>
          <w:szCs w:val="24"/>
          <w:lang w:val="en-US" w:eastAsia="en-US"/>
        </w:rPr>
        <w:lastRenderedPageBreak/>
        <w:t>(</w:t>
      </w:r>
      <w:r w:rsidR="00B31EF5" w:rsidRPr="00CE5FD2">
        <w:rPr>
          <w:szCs w:val="24"/>
          <w:lang w:val="en-US" w:eastAsia="en-US"/>
        </w:rPr>
        <w:t xml:space="preserve">presented in </w:t>
      </w:r>
      <w:r w:rsidR="00C725D0" w:rsidRPr="00CE5FD2">
        <w:rPr>
          <w:szCs w:val="24"/>
          <w:lang w:val="en-US" w:eastAsia="en-US"/>
        </w:rPr>
        <w:t>S</w:t>
      </w:r>
      <w:r w:rsidR="00B31EF5" w:rsidRPr="00CE5FD2">
        <w:rPr>
          <w:szCs w:val="24"/>
          <w:lang w:val="en-US" w:eastAsia="en-US"/>
        </w:rPr>
        <w:t>upplement</w:t>
      </w:r>
      <w:r w:rsidR="00C725D0" w:rsidRPr="00CE5FD2">
        <w:rPr>
          <w:szCs w:val="24"/>
          <w:lang w:val="en-US" w:eastAsia="en-US"/>
        </w:rPr>
        <w:t xml:space="preserve"> I: Toxicology</w:t>
      </w:r>
      <w:r w:rsidR="00C725D0">
        <w:rPr>
          <w:szCs w:val="24"/>
          <w:lang w:val="en-US" w:eastAsia="en-US"/>
        </w:rPr>
        <w:t>)</w:t>
      </w:r>
      <w:r w:rsidR="00F6593C">
        <w:rPr>
          <w:szCs w:val="24"/>
          <w:lang w:val="en-US" w:eastAsia="en-US"/>
        </w:rPr>
        <w:t xml:space="preserve"> there is no evidence of developmental effect</w:t>
      </w:r>
      <w:r>
        <w:rPr>
          <w:szCs w:val="24"/>
          <w:lang w:val="en-US" w:eastAsia="en-US"/>
        </w:rPr>
        <w:t>s</w:t>
      </w:r>
      <w:r w:rsidR="00F6593C">
        <w:rPr>
          <w:szCs w:val="24"/>
          <w:lang w:val="en-US" w:eastAsia="en-US"/>
        </w:rPr>
        <w:t xml:space="preserve"> </w:t>
      </w:r>
      <w:r w:rsidR="00B31EF5">
        <w:rPr>
          <w:szCs w:val="24"/>
          <w:lang w:val="en-US" w:eastAsia="en-US"/>
        </w:rPr>
        <w:t xml:space="preserve">at non-maternotoxic doses when paraquat is administered </w:t>
      </w:r>
      <w:r w:rsidR="00F6593C">
        <w:rPr>
          <w:szCs w:val="24"/>
          <w:lang w:val="en-US" w:eastAsia="en-US"/>
        </w:rPr>
        <w:t>by the oral route</w:t>
      </w:r>
      <w:r w:rsidR="00B31EF5">
        <w:rPr>
          <w:szCs w:val="24"/>
          <w:lang w:val="en-US" w:eastAsia="en-US"/>
        </w:rPr>
        <w:t>.</w:t>
      </w:r>
      <w:r w:rsidR="00235B81">
        <w:rPr>
          <w:szCs w:val="24"/>
          <w:lang w:val="en-US" w:eastAsia="en-US"/>
        </w:rPr>
        <w:t xml:space="preserve"> </w:t>
      </w:r>
      <w:r w:rsidR="00B317A9">
        <w:rPr>
          <w:szCs w:val="24"/>
          <w:lang w:val="en-US" w:eastAsia="en-US"/>
        </w:rPr>
        <w:t>Based on a weight-of-evidence approach, the OCS does not have concerns regarding developmental neurotoxicity by human relevant routes</w:t>
      </w:r>
      <w:r w:rsidR="00235B81">
        <w:rPr>
          <w:szCs w:val="24"/>
          <w:lang w:val="en-US" w:eastAsia="en-US"/>
        </w:rPr>
        <w:t>.</w:t>
      </w:r>
    </w:p>
    <w:p w14:paraId="226481F9" w14:textId="77777777" w:rsidR="00DC6241" w:rsidRPr="002B2CFC" w:rsidRDefault="00DC6241" w:rsidP="00CE5FD2">
      <w:pPr>
        <w:rPr>
          <w:szCs w:val="24"/>
          <w:lang w:val="en-US" w:eastAsia="en-US"/>
        </w:rPr>
      </w:pPr>
    </w:p>
    <w:p w14:paraId="04DAF265" w14:textId="77777777" w:rsidR="002B2CFC" w:rsidRPr="002B2CFC" w:rsidRDefault="00A572A1" w:rsidP="00385097">
      <w:pPr>
        <w:pStyle w:val="Heading2"/>
        <w:rPr>
          <w:lang w:eastAsia="en-US"/>
        </w:rPr>
      </w:pPr>
      <w:bookmarkStart w:id="28" w:name="_Toc459108278"/>
      <w:r>
        <w:rPr>
          <w:lang w:eastAsia="en-US"/>
        </w:rPr>
        <w:t>Toxi</w:t>
      </w:r>
      <w:r w:rsidRPr="002B2CFC">
        <w:rPr>
          <w:lang w:eastAsia="en-US"/>
        </w:rPr>
        <w:t>cokinetics</w:t>
      </w:r>
      <w:bookmarkEnd w:id="28"/>
    </w:p>
    <w:p w14:paraId="5E91C45D" w14:textId="77777777" w:rsidR="002B2CFC" w:rsidRPr="002B2CFC" w:rsidRDefault="002B2CFC" w:rsidP="0084215F">
      <w:pPr>
        <w:rPr>
          <w:szCs w:val="24"/>
          <w:lang w:val="en-US" w:eastAsia="en-US"/>
        </w:rPr>
      </w:pPr>
      <w:r w:rsidRPr="002B2CFC">
        <w:rPr>
          <w:szCs w:val="24"/>
          <w:lang w:val="en-US" w:eastAsia="en-US"/>
        </w:rPr>
        <w:t xml:space="preserve">There is a substantial database on the pharmacokinetics of paraquat, including repeat dose studies in mice, rats and rabbits and single dose studies in mice, rats, rabbits, dogs and monkeys. </w:t>
      </w:r>
    </w:p>
    <w:p w14:paraId="1926FC0E" w14:textId="77777777" w:rsidR="002B2CFC" w:rsidRPr="002B2CFC" w:rsidRDefault="002B2CFC" w:rsidP="0084215F">
      <w:pPr>
        <w:rPr>
          <w:szCs w:val="24"/>
          <w:lang w:val="en-US" w:eastAsia="en-US"/>
        </w:rPr>
      </w:pPr>
    </w:p>
    <w:p w14:paraId="07A05784" w14:textId="77777777" w:rsidR="002B2CFC" w:rsidRPr="002B2CFC" w:rsidRDefault="002B2CFC" w:rsidP="00CE5FD2">
      <w:pPr>
        <w:rPr>
          <w:szCs w:val="24"/>
          <w:lang w:val="en-US" w:eastAsia="en-US"/>
        </w:rPr>
      </w:pPr>
      <w:r w:rsidRPr="002B2CFC">
        <w:rPr>
          <w:szCs w:val="24"/>
          <w:lang w:val="en-US" w:eastAsia="en-US"/>
        </w:rPr>
        <w:t xml:space="preserve">Paraquat is absorbed poorly when received by the </w:t>
      </w:r>
      <w:r w:rsidR="001375F1">
        <w:rPr>
          <w:szCs w:val="24"/>
          <w:lang w:val="en-US" w:eastAsia="en-US"/>
        </w:rPr>
        <w:t>oral</w:t>
      </w:r>
      <w:r w:rsidR="001375F1" w:rsidRPr="002B2CFC">
        <w:rPr>
          <w:szCs w:val="24"/>
          <w:lang w:val="en-US" w:eastAsia="en-US"/>
        </w:rPr>
        <w:t> </w:t>
      </w:r>
      <w:r w:rsidRPr="002B2CFC">
        <w:rPr>
          <w:szCs w:val="24"/>
          <w:lang w:val="en-US" w:eastAsia="en-US"/>
        </w:rPr>
        <w:t>route with approximately 10% of a</w:t>
      </w:r>
      <w:r w:rsidR="001375F1">
        <w:rPr>
          <w:szCs w:val="24"/>
          <w:lang w:val="en-US" w:eastAsia="en-US"/>
        </w:rPr>
        <w:t>n oral</w:t>
      </w:r>
      <w:r w:rsidRPr="002B2CFC">
        <w:rPr>
          <w:szCs w:val="24"/>
          <w:lang w:val="en-US" w:eastAsia="en-US"/>
        </w:rPr>
        <w:t xml:space="preserve"> dose being absorbed in rats, rabbits and dogs with the remainder being eliminated in the faeces within 72 h. Plasma C</w:t>
      </w:r>
      <w:r w:rsidRPr="002B2CFC">
        <w:rPr>
          <w:szCs w:val="24"/>
          <w:vertAlign w:val="subscript"/>
          <w:lang w:val="en-US" w:eastAsia="en-US"/>
        </w:rPr>
        <w:t>max</w:t>
      </w:r>
      <w:r w:rsidRPr="002B2CFC">
        <w:rPr>
          <w:szCs w:val="24"/>
          <w:lang w:val="en-US" w:eastAsia="en-US"/>
        </w:rPr>
        <w:t xml:space="preserve"> following </w:t>
      </w:r>
      <w:r w:rsidR="001375F1">
        <w:rPr>
          <w:szCs w:val="24"/>
          <w:lang w:val="en-US" w:eastAsia="en-US"/>
        </w:rPr>
        <w:t>oral</w:t>
      </w:r>
      <w:r w:rsidR="001375F1" w:rsidRPr="002B2CFC">
        <w:rPr>
          <w:szCs w:val="24"/>
          <w:lang w:val="en-US" w:eastAsia="en-US"/>
        </w:rPr>
        <w:t> </w:t>
      </w:r>
      <w:r w:rsidRPr="002B2CFC">
        <w:rPr>
          <w:szCs w:val="24"/>
          <w:lang w:val="en-US" w:eastAsia="en-US"/>
        </w:rPr>
        <w:t xml:space="preserve">dosing was achieved from 15 min to 2 h and binding to plasma proteins appears to be low. </w:t>
      </w:r>
    </w:p>
    <w:p w14:paraId="2D4A1FCC" w14:textId="77777777" w:rsidR="002B2CFC" w:rsidRPr="002B2CFC" w:rsidRDefault="002B2CFC" w:rsidP="0084215F">
      <w:pPr>
        <w:rPr>
          <w:szCs w:val="24"/>
          <w:lang w:val="en-US" w:eastAsia="en-US"/>
        </w:rPr>
      </w:pPr>
    </w:p>
    <w:p w14:paraId="0FB29B78" w14:textId="267015A6" w:rsidR="002B2CFC" w:rsidRPr="002B2CFC" w:rsidRDefault="002B2CFC" w:rsidP="00CE5FD2">
      <w:pPr>
        <w:rPr>
          <w:szCs w:val="24"/>
          <w:lang w:val="en-US" w:eastAsia="en-US"/>
        </w:rPr>
      </w:pPr>
      <w:r w:rsidRPr="002B2CFC">
        <w:rPr>
          <w:szCs w:val="24"/>
          <w:lang w:val="en-US" w:eastAsia="en-US"/>
        </w:rPr>
        <w:t xml:space="preserve">Paraquat distributes to most organs of the body with initial concentrations being distributed to the lungs and the kidneys. In rabbits which received high doses of paraquat (e.g., 30 mg/kg bw), a rebound in plasma levels was noted at 72 h after dosing together with signs </w:t>
      </w:r>
      <w:r w:rsidRPr="000E2D8C">
        <w:rPr>
          <w:szCs w:val="24"/>
          <w:lang w:val="en-US" w:eastAsia="en-US"/>
        </w:rPr>
        <w:t xml:space="preserve">of impaired renal function. </w:t>
      </w:r>
      <w:r w:rsidR="00F33D8B" w:rsidRPr="000E2D8C">
        <w:rPr>
          <w:szCs w:val="24"/>
          <w:lang w:val="en-US" w:eastAsia="en-US"/>
        </w:rPr>
        <w:t>Equivocal</w:t>
      </w:r>
      <w:r w:rsidR="00CC6382" w:rsidRPr="000E2D8C">
        <w:rPr>
          <w:szCs w:val="24"/>
          <w:lang w:val="en-US" w:eastAsia="en-US"/>
        </w:rPr>
        <w:t xml:space="preserve"> data indicates that </w:t>
      </w:r>
      <w:r w:rsidR="006325C0" w:rsidRPr="000E2D8C">
        <w:rPr>
          <w:szCs w:val="24"/>
          <w:lang w:val="en-US" w:eastAsia="en-US"/>
        </w:rPr>
        <w:t>p</w:t>
      </w:r>
      <w:r w:rsidRPr="000E2D8C">
        <w:rPr>
          <w:szCs w:val="24"/>
          <w:lang w:val="en-US" w:eastAsia="en-US"/>
        </w:rPr>
        <w:t xml:space="preserve">araquat </w:t>
      </w:r>
      <w:r w:rsidR="00CC6382" w:rsidRPr="000E2D8C">
        <w:rPr>
          <w:szCs w:val="24"/>
          <w:lang w:val="en-US" w:eastAsia="en-US"/>
        </w:rPr>
        <w:t>may possibly</w:t>
      </w:r>
      <w:r w:rsidRPr="000E2D8C">
        <w:rPr>
          <w:szCs w:val="24"/>
          <w:lang w:val="en-US" w:eastAsia="en-US"/>
        </w:rPr>
        <w:t xml:space="preserve"> accumulate to a measurable level in lung tissue from rats or rabbits</w:t>
      </w:r>
      <w:r w:rsidR="000E2D8C" w:rsidRPr="000E2D8C">
        <w:rPr>
          <w:szCs w:val="24"/>
          <w:lang w:val="en-US" w:eastAsia="en-US"/>
        </w:rPr>
        <w:t xml:space="preserve">, due to </w:t>
      </w:r>
      <w:r w:rsidRPr="000E2D8C">
        <w:rPr>
          <w:szCs w:val="24"/>
          <w:lang w:val="en-US" w:eastAsia="en-US"/>
        </w:rPr>
        <w:t>an active uptake mechanism. The</w:t>
      </w:r>
      <w:r w:rsidRPr="002B2CFC">
        <w:rPr>
          <w:szCs w:val="24"/>
          <w:lang w:val="en-US" w:eastAsia="en-US"/>
        </w:rPr>
        <w:t xml:space="preserve"> rate of paraquat disposition into lung tissue from rats and rabbits was similar between these species and suggested that the extent of pulmonary exposure was not species specific. The d</w:t>
      </w:r>
      <w:r w:rsidR="0007238C">
        <w:rPr>
          <w:szCs w:val="24"/>
          <w:lang w:val="en-US" w:eastAsia="en-US"/>
        </w:rPr>
        <w:t>e</w:t>
      </w:r>
      <w:r w:rsidRPr="002B2CFC">
        <w:rPr>
          <w:szCs w:val="24"/>
          <w:lang w:val="en-US" w:eastAsia="en-US"/>
        </w:rPr>
        <w:t xml:space="preserve">position of paraquat in other rat tissues following </w:t>
      </w:r>
      <w:r w:rsidR="001375F1">
        <w:rPr>
          <w:szCs w:val="24"/>
          <w:lang w:val="en-US" w:eastAsia="en-US"/>
        </w:rPr>
        <w:t xml:space="preserve">oral </w:t>
      </w:r>
      <w:r w:rsidRPr="002B2CFC">
        <w:rPr>
          <w:szCs w:val="24"/>
          <w:lang w:val="en-US" w:eastAsia="en-US"/>
        </w:rPr>
        <w:t xml:space="preserve">dosing was generally low, with the exception of the pulmonary disposition following inhalational or intra-bronchial dosing. </w:t>
      </w:r>
    </w:p>
    <w:p w14:paraId="52031393" w14:textId="77777777" w:rsidR="002B2CFC" w:rsidRPr="002B2CFC" w:rsidRDefault="002B2CFC" w:rsidP="0084215F">
      <w:pPr>
        <w:rPr>
          <w:szCs w:val="24"/>
          <w:lang w:val="en-US" w:eastAsia="en-US"/>
        </w:rPr>
      </w:pPr>
    </w:p>
    <w:p w14:paraId="5B12C518" w14:textId="77777777" w:rsidR="002B2CFC" w:rsidRPr="002B2CFC" w:rsidRDefault="002B2CFC" w:rsidP="00401199">
      <w:pPr>
        <w:rPr>
          <w:szCs w:val="24"/>
          <w:lang w:val="en-US" w:eastAsia="en-US"/>
        </w:rPr>
      </w:pPr>
      <w:r w:rsidRPr="002B2CFC">
        <w:rPr>
          <w:szCs w:val="24"/>
          <w:lang w:val="en-US" w:eastAsia="en-US"/>
        </w:rPr>
        <w:t>Studies have shown that paraquat can distribute to the brain</w:t>
      </w:r>
      <w:r w:rsidR="00CC6382">
        <w:rPr>
          <w:szCs w:val="24"/>
          <w:lang w:val="en-US" w:eastAsia="en-US"/>
        </w:rPr>
        <w:t xml:space="preserve">. </w:t>
      </w:r>
      <w:r w:rsidR="00BE68D0">
        <w:rPr>
          <w:color w:val="000000"/>
          <w:szCs w:val="24"/>
          <w:lang w:val="en-US" w:eastAsia="en-US"/>
        </w:rPr>
        <w:t>In mice dosed two or three times a week with 6, 12, 18 or 24 doses of 10 mg/kg bw ip paraqua</w:t>
      </w:r>
      <w:r w:rsidR="00260064">
        <w:rPr>
          <w:color w:val="000000"/>
          <w:szCs w:val="24"/>
          <w:lang w:val="en-US" w:eastAsia="en-US"/>
        </w:rPr>
        <w:t>t</w:t>
      </w:r>
      <w:r w:rsidR="00BE68D0">
        <w:rPr>
          <w:color w:val="000000"/>
          <w:szCs w:val="24"/>
          <w:lang w:val="en-US" w:eastAsia="en-US"/>
        </w:rPr>
        <w:t xml:space="preserve">, it was demonstrated that the striatal level of paraquat plateaued at around 18 doses and the frequency of dosing did not affect </w:t>
      </w:r>
      <w:r w:rsidR="003716AF">
        <w:rPr>
          <w:color w:val="000000"/>
          <w:szCs w:val="24"/>
          <w:lang w:val="en-US" w:eastAsia="en-US"/>
        </w:rPr>
        <w:t xml:space="preserve">steady-state </w:t>
      </w:r>
      <w:r w:rsidR="00BE68D0">
        <w:rPr>
          <w:color w:val="000000"/>
          <w:szCs w:val="24"/>
          <w:lang w:val="en-US" w:eastAsia="en-US"/>
        </w:rPr>
        <w:t>levels. Following a single ip injection (10 mg/kg bw), the elimination half</w:t>
      </w:r>
      <w:r w:rsidR="00260064">
        <w:rPr>
          <w:color w:val="000000"/>
          <w:szCs w:val="24"/>
          <w:lang w:val="en-US" w:eastAsia="en-US"/>
        </w:rPr>
        <w:t>-</w:t>
      </w:r>
      <w:r w:rsidR="00BE68D0">
        <w:rPr>
          <w:color w:val="000000"/>
          <w:szCs w:val="24"/>
          <w:lang w:val="en-US" w:eastAsia="en-US"/>
        </w:rPr>
        <w:t>life</w:t>
      </w:r>
      <w:r w:rsidR="000E2D8C">
        <w:rPr>
          <w:color w:val="000000"/>
          <w:szCs w:val="24"/>
          <w:lang w:val="en-US" w:eastAsia="en-US"/>
        </w:rPr>
        <w:t xml:space="preserve"> </w:t>
      </w:r>
      <w:r w:rsidR="00FF3CEE">
        <w:rPr>
          <w:color w:val="000000"/>
          <w:szCs w:val="24"/>
          <w:lang w:val="en-US" w:eastAsia="en-US"/>
        </w:rPr>
        <w:t xml:space="preserve">in the brain </w:t>
      </w:r>
      <w:r w:rsidR="00BE68D0">
        <w:rPr>
          <w:color w:val="000000"/>
          <w:szCs w:val="24"/>
          <w:lang w:val="en-US" w:eastAsia="en-US"/>
        </w:rPr>
        <w:t xml:space="preserve">was found to vary with the strain of mouse from around 1 to 3 months (Prasad </w:t>
      </w:r>
      <w:r w:rsidR="00BE68D0" w:rsidRPr="000E2D8C">
        <w:rPr>
          <w:i/>
          <w:color w:val="000000"/>
          <w:szCs w:val="24"/>
          <w:lang w:val="en-US" w:eastAsia="en-US"/>
        </w:rPr>
        <w:t>et al</w:t>
      </w:r>
      <w:r w:rsidR="00BE68D0">
        <w:rPr>
          <w:color w:val="000000"/>
          <w:szCs w:val="24"/>
          <w:lang w:val="en-US" w:eastAsia="en-US"/>
        </w:rPr>
        <w:t xml:space="preserve">, 2009). </w:t>
      </w:r>
      <w:r w:rsidR="00B317A9">
        <w:rPr>
          <w:color w:val="000000"/>
          <w:szCs w:val="24"/>
          <w:lang w:val="en-US" w:eastAsia="en-US"/>
        </w:rPr>
        <w:t xml:space="preserve">Repeat oral administration of 5 mg/kg bw/d </w:t>
      </w:r>
      <w:r w:rsidR="003716AF">
        <w:rPr>
          <w:color w:val="000000"/>
          <w:szCs w:val="24"/>
          <w:lang w:val="en-US" w:eastAsia="en-US"/>
        </w:rPr>
        <w:t xml:space="preserve">to </w:t>
      </w:r>
      <w:r w:rsidR="009A69B8">
        <w:rPr>
          <w:color w:val="000000"/>
          <w:szCs w:val="24"/>
          <w:lang w:val="en-US" w:eastAsia="en-US"/>
        </w:rPr>
        <w:t>rats</w:t>
      </w:r>
      <w:r w:rsidR="00B317A9">
        <w:rPr>
          <w:color w:val="000000"/>
          <w:szCs w:val="24"/>
          <w:lang w:val="en-US" w:eastAsia="en-US"/>
        </w:rPr>
        <w:t xml:space="preserve"> for 14 days resulted in </w:t>
      </w:r>
      <w:r w:rsidR="009A69B8">
        <w:rPr>
          <w:color w:val="000000"/>
          <w:szCs w:val="24"/>
          <w:lang w:val="en-US" w:eastAsia="en-US"/>
        </w:rPr>
        <w:t>a 10-fold increase in brain concentration</w:t>
      </w:r>
      <w:r w:rsidR="00F015D9">
        <w:rPr>
          <w:color w:val="000000"/>
          <w:szCs w:val="24"/>
          <w:lang w:val="en-US" w:eastAsia="en-US"/>
        </w:rPr>
        <w:t xml:space="preserve"> as compared to a single dose, while a </w:t>
      </w:r>
      <w:r w:rsidR="009A69B8">
        <w:rPr>
          <w:color w:val="000000"/>
          <w:szCs w:val="24"/>
          <w:lang w:val="en-US" w:eastAsia="en-US"/>
        </w:rPr>
        <w:t xml:space="preserve">2 to 4 fold </w:t>
      </w:r>
      <w:r w:rsidR="00F015D9">
        <w:rPr>
          <w:color w:val="000000"/>
          <w:szCs w:val="24"/>
          <w:lang w:val="en-US" w:eastAsia="en-US"/>
        </w:rPr>
        <w:t>increase</w:t>
      </w:r>
      <w:r w:rsidR="004D61CD">
        <w:rPr>
          <w:color w:val="000000"/>
          <w:szCs w:val="24"/>
          <w:lang w:val="en-US" w:eastAsia="en-US"/>
        </w:rPr>
        <w:t xml:space="preserve"> was measured </w:t>
      </w:r>
      <w:r w:rsidR="009A69B8">
        <w:rPr>
          <w:color w:val="000000"/>
          <w:szCs w:val="24"/>
          <w:lang w:val="en-US" w:eastAsia="en-US"/>
        </w:rPr>
        <w:t>in other tissues tested</w:t>
      </w:r>
      <w:r w:rsidR="00A44577">
        <w:rPr>
          <w:color w:val="000000"/>
          <w:szCs w:val="24"/>
          <w:lang w:val="en-US" w:eastAsia="en-US"/>
        </w:rPr>
        <w:t xml:space="preserve"> </w:t>
      </w:r>
      <w:r w:rsidR="009A69B8">
        <w:rPr>
          <w:color w:val="000000"/>
          <w:szCs w:val="24"/>
          <w:lang w:val="en-US" w:eastAsia="en-US"/>
        </w:rPr>
        <w:t xml:space="preserve">(Widdowson </w:t>
      </w:r>
      <w:r w:rsidR="009A69B8" w:rsidRPr="00401199">
        <w:rPr>
          <w:i/>
          <w:color w:val="000000"/>
          <w:szCs w:val="24"/>
          <w:lang w:val="en-US" w:eastAsia="en-US"/>
        </w:rPr>
        <w:t>et al</w:t>
      </w:r>
      <w:r w:rsidR="009A69B8">
        <w:rPr>
          <w:color w:val="000000"/>
          <w:szCs w:val="24"/>
          <w:lang w:val="en-US" w:eastAsia="en-US"/>
        </w:rPr>
        <w:t xml:space="preserve">, 1996b). </w:t>
      </w:r>
      <w:r w:rsidRPr="002B2CFC">
        <w:rPr>
          <w:color w:val="000000"/>
          <w:szCs w:val="24"/>
          <w:lang w:val="en-US" w:eastAsia="en-US"/>
        </w:rPr>
        <w:t>Distribution into the rat brain has been reported to be 40% higher after a single ip dose compared to the same dose administered orally.</w:t>
      </w:r>
      <w:r w:rsidRPr="002B2CFC">
        <w:rPr>
          <w:szCs w:val="24"/>
          <w:lang w:eastAsia="en-US"/>
        </w:rPr>
        <w:t xml:space="preserve"> </w:t>
      </w:r>
      <w:r w:rsidR="00AF647F">
        <w:rPr>
          <w:szCs w:val="24"/>
          <w:lang w:eastAsia="en-US"/>
        </w:rPr>
        <w:t xml:space="preserve">Although paraquat has been shown to cross the </w:t>
      </w:r>
      <w:r w:rsidR="009E2A0B">
        <w:rPr>
          <w:szCs w:val="24"/>
          <w:lang w:eastAsia="en-US"/>
        </w:rPr>
        <w:t>BBB</w:t>
      </w:r>
      <w:r w:rsidR="00AF647F">
        <w:rPr>
          <w:szCs w:val="24"/>
          <w:lang w:eastAsia="en-US"/>
        </w:rPr>
        <w:t xml:space="preserve"> (</w:t>
      </w:r>
      <w:r w:rsidR="00093DFF">
        <w:rPr>
          <w:szCs w:val="24"/>
          <w:lang w:eastAsia="en-US"/>
        </w:rPr>
        <w:t xml:space="preserve">eg. Corasaniti </w:t>
      </w:r>
      <w:r w:rsidR="00093DFF" w:rsidRPr="00401199">
        <w:rPr>
          <w:i/>
          <w:szCs w:val="24"/>
          <w:lang w:eastAsia="en-US"/>
        </w:rPr>
        <w:t>et al</w:t>
      </w:r>
      <w:r w:rsidR="00093DFF">
        <w:rPr>
          <w:szCs w:val="24"/>
          <w:lang w:eastAsia="en-US"/>
        </w:rPr>
        <w:t xml:space="preserve">, 1991; Widdowson </w:t>
      </w:r>
      <w:r w:rsidR="00093DFF" w:rsidRPr="00401199">
        <w:rPr>
          <w:i/>
          <w:szCs w:val="24"/>
          <w:lang w:eastAsia="en-US"/>
        </w:rPr>
        <w:t>et al</w:t>
      </w:r>
      <w:r w:rsidR="00093DFF">
        <w:rPr>
          <w:szCs w:val="24"/>
          <w:lang w:eastAsia="en-US"/>
        </w:rPr>
        <w:t xml:space="preserve">, 1996b; Shimizu </w:t>
      </w:r>
      <w:r w:rsidR="00EE5CEB" w:rsidRPr="00EE5CEB">
        <w:rPr>
          <w:i/>
          <w:szCs w:val="24"/>
          <w:lang w:eastAsia="en-US"/>
        </w:rPr>
        <w:t>et al</w:t>
      </w:r>
      <w:r w:rsidR="00120920">
        <w:rPr>
          <w:i/>
          <w:szCs w:val="24"/>
          <w:lang w:eastAsia="en-US"/>
        </w:rPr>
        <w:t>,</w:t>
      </w:r>
      <w:r w:rsidR="00093DFF">
        <w:rPr>
          <w:szCs w:val="24"/>
          <w:lang w:eastAsia="en-US"/>
        </w:rPr>
        <w:t xml:space="preserve"> 2001)</w:t>
      </w:r>
      <w:r w:rsidR="00AF647F">
        <w:rPr>
          <w:szCs w:val="24"/>
          <w:lang w:eastAsia="en-US"/>
        </w:rPr>
        <w:t>,</w:t>
      </w:r>
      <w:r w:rsidRPr="002B2CFC">
        <w:rPr>
          <w:szCs w:val="24"/>
          <w:lang w:eastAsia="en-US"/>
        </w:rPr>
        <w:t xml:space="preserve"> </w:t>
      </w:r>
      <w:r w:rsidR="00D20B1D">
        <w:rPr>
          <w:szCs w:val="24"/>
          <w:lang w:eastAsia="en-US"/>
        </w:rPr>
        <w:t xml:space="preserve">other studies demonstrate the BBB impedes entry (Naylor </w:t>
      </w:r>
      <w:r w:rsidR="00EE5CEB" w:rsidRPr="00EE5CEB">
        <w:rPr>
          <w:i/>
          <w:szCs w:val="24"/>
          <w:lang w:eastAsia="en-US"/>
        </w:rPr>
        <w:t>et al</w:t>
      </w:r>
      <w:r w:rsidR="00120920">
        <w:rPr>
          <w:i/>
          <w:szCs w:val="24"/>
          <w:lang w:eastAsia="en-US"/>
        </w:rPr>
        <w:t>,</w:t>
      </w:r>
      <w:r w:rsidR="00D20B1D">
        <w:rPr>
          <w:szCs w:val="24"/>
          <w:lang w:eastAsia="en-US"/>
        </w:rPr>
        <w:t xml:space="preserve"> 1995</w:t>
      </w:r>
      <w:r w:rsidR="005A4082">
        <w:rPr>
          <w:szCs w:val="24"/>
          <w:lang w:eastAsia="en-US"/>
        </w:rPr>
        <w:t xml:space="preserve">) including an </w:t>
      </w:r>
      <w:r w:rsidR="00897462" w:rsidRPr="00EC12FD">
        <w:rPr>
          <w:i/>
          <w:szCs w:val="24"/>
          <w:lang w:eastAsia="en-US"/>
        </w:rPr>
        <w:t>in vivo</w:t>
      </w:r>
      <w:r w:rsidR="005A4082">
        <w:rPr>
          <w:szCs w:val="24"/>
          <w:lang w:eastAsia="en-US"/>
        </w:rPr>
        <w:t xml:space="preserve"> study in the rhesus monkey where</w:t>
      </w:r>
      <w:r w:rsidR="00131A96">
        <w:rPr>
          <w:szCs w:val="24"/>
          <w:lang w:eastAsia="en-US"/>
        </w:rPr>
        <w:t xml:space="preserve"> only minimal uptake and retention was noted in the whole brain, and particularly no selective accumulation in the </w:t>
      </w:r>
      <w:r w:rsidR="00A4092E">
        <w:rPr>
          <w:szCs w:val="24"/>
          <w:lang w:eastAsia="en-US"/>
        </w:rPr>
        <w:t>DA</w:t>
      </w:r>
      <w:r w:rsidR="00131A96">
        <w:rPr>
          <w:szCs w:val="24"/>
          <w:lang w:eastAsia="en-US"/>
        </w:rPr>
        <w:t xml:space="preserve"> terminals</w:t>
      </w:r>
      <w:r w:rsidR="00EC12FD">
        <w:rPr>
          <w:szCs w:val="24"/>
          <w:lang w:eastAsia="en-US"/>
        </w:rPr>
        <w:t xml:space="preserve"> </w:t>
      </w:r>
      <w:r w:rsidR="00131A96">
        <w:rPr>
          <w:szCs w:val="24"/>
          <w:lang w:eastAsia="en-US"/>
        </w:rPr>
        <w:t>(B</w:t>
      </w:r>
      <w:r w:rsidR="00D20B1D">
        <w:rPr>
          <w:szCs w:val="24"/>
          <w:lang w:eastAsia="en-US"/>
        </w:rPr>
        <w:t xml:space="preserve">artlett </w:t>
      </w:r>
      <w:r w:rsidR="00EE5CEB" w:rsidRPr="00EE5CEB">
        <w:rPr>
          <w:i/>
          <w:szCs w:val="24"/>
          <w:lang w:eastAsia="en-US"/>
        </w:rPr>
        <w:t>et al</w:t>
      </w:r>
      <w:r w:rsidR="00120920">
        <w:rPr>
          <w:i/>
          <w:szCs w:val="24"/>
          <w:lang w:eastAsia="en-US"/>
        </w:rPr>
        <w:t>,</w:t>
      </w:r>
      <w:r w:rsidR="00D20B1D">
        <w:rPr>
          <w:szCs w:val="24"/>
          <w:lang w:eastAsia="en-US"/>
        </w:rPr>
        <w:t xml:space="preserve"> 2009). D</w:t>
      </w:r>
      <w:r w:rsidR="00D20B1D" w:rsidRPr="002B2CFC">
        <w:rPr>
          <w:szCs w:val="24"/>
          <w:lang w:val="en-US" w:eastAsia="en-US"/>
        </w:rPr>
        <w:t>istribution to the brain is likely to be hindered given that paraquat is</w:t>
      </w:r>
      <w:r w:rsidR="00D20B1D" w:rsidRPr="002B2CFC">
        <w:rPr>
          <w:szCs w:val="24"/>
          <w:lang w:eastAsia="en-US"/>
        </w:rPr>
        <w:t xml:space="preserve"> a di-cation and would not readily cross biological membranes </w:t>
      </w:r>
      <w:r w:rsidR="00D20B1D" w:rsidRPr="002B2CFC">
        <w:rPr>
          <w:i/>
          <w:szCs w:val="24"/>
          <w:lang w:eastAsia="en-US"/>
        </w:rPr>
        <w:t>via</w:t>
      </w:r>
      <w:r w:rsidR="00D20B1D" w:rsidRPr="002B2CFC">
        <w:rPr>
          <w:szCs w:val="24"/>
          <w:lang w:eastAsia="en-US"/>
        </w:rPr>
        <w:t xml:space="preserve"> passive diffusion, including the </w:t>
      </w:r>
      <w:r w:rsidR="00143894">
        <w:rPr>
          <w:szCs w:val="24"/>
          <w:lang w:eastAsia="en-US"/>
        </w:rPr>
        <w:t>BBB</w:t>
      </w:r>
      <w:r w:rsidR="0083689C">
        <w:rPr>
          <w:szCs w:val="24"/>
          <w:lang w:eastAsia="en-US"/>
        </w:rPr>
        <w:t>. T</w:t>
      </w:r>
      <w:r w:rsidR="00D20B1D">
        <w:rPr>
          <w:szCs w:val="24"/>
          <w:lang w:eastAsia="en-US"/>
        </w:rPr>
        <w:t>his is in contrast to MPTP</w:t>
      </w:r>
      <w:r w:rsidR="000002B0">
        <w:rPr>
          <w:szCs w:val="24"/>
          <w:lang w:eastAsia="en-US"/>
        </w:rPr>
        <w:t xml:space="preserve"> which readily crosses the BBB (JMPR, 2003)</w:t>
      </w:r>
      <w:r w:rsidR="00416F5E">
        <w:rPr>
          <w:szCs w:val="24"/>
          <w:lang w:eastAsia="en-US"/>
        </w:rPr>
        <w:t xml:space="preserve">. In a study with a single administration via the intranasal route to mice and rats, paraquat was only detected in the olfactory bulb, whereas MPTP was detected in  the olfactory bulb, the striatum and ventral midbrain (Rojo </w:t>
      </w:r>
      <w:r w:rsidR="00897462" w:rsidRPr="00EC12FD">
        <w:rPr>
          <w:i/>
          <w:szCs w:val="24"/>
          <w:lang w:eastAsia="en-US"/>
        </w:rPr>
        <w:t>et al</w:t>
      </w:r>
      <w:r w:rsidR="00416F5E">
        <w:rPr>
          <w:szCs w:val="24"/>
          <w:lang w:eastAsia="en-US"/>
        </w:rPr>
        <w:t>, 2007)</w:t>
      </w:r>
      <w:r w:rsidR="005A4082">
        <w:rPr>
          <w:szCs w:val="24"/>
          <w:lang w:eastAsia="en-US"/>
        </w:rPr>
        <w:t>.</w:t>
      </w:r>
    </w:p>
    <w:p w14:paraId="7A2009A0" w14:textId="77777777" w:rsidR="002B2CFC" w:rsidRPr="002B2CFC" w:rsidRDefault="002B2CFC" w:rsidP="00401199">
      <w:pPr>
        <w:rPr>
          <w:szCs w:val="24"/>
          <w:lang w:val="en-US" w:eastAsia="en-US"/>
        </w:rPr>
      </w:pPr>
    </w:p>
    <w:p w14:paraId="3A1E2C25" w14:textId="02581DB0" w:rsidR="002B2CFC" w:rsidRPr="002B2CFC" w:rsidRDefault="002B2CFC" w:rsidP="009E40A8">
      <w:pPr>
        <w:rPr>
          <w:szCs w:val="24"/>
          <w:lang w:val="en-US" w:eastAsia="en-US"/>
        </w:rPr>
      </w:pPr>
      <w:r w:rsidRPr="002B2CFC">
        <w:rPr>
          <w:szCs w:val="24"/>
          <w:lang w:val="en-US" w:eastAsia="en-US"/>
        </w:rPr>
        <w:lastRenderedPageBreak/>
        <w:t xml:space="preserve">Paraquat is excreted largely unchanged in the urine (90-95%, 72 h) </w:t>
      </w:r>
      <w:r w:rsidR="00AB0C09">
        <w:rPr>
          <w:szCs w:val="24"/>
          <w:lang w:val="en-US" w:eastAsia="en-US"/>
        </w:rPr>
        <w:t xml:space="preserve">indicating </w:t>
      </w:r>
      <w:r w:rsidRPr="002B2CFC">
        <w:rPr>
          <w:szCs w:val="24"/>
          <w:lang w:val="en-US" w:eastAsia="en-US"/>
        </w:rPr>
        <w:t xml:space="preserve"> that it does not undergo extensive metabolism </w:t>
      </w:r>
      <w:r w:rsidRPr="002B2CFC">
        <w:rPr>
          <w:i/>
          <w:szCs w:val="24"/>
          <w:lang w:val="en-US" w:eastAsia="en-US"/>
        </w:rPr>
        <w:t>in vivo</w:t>
      </w:r>
      <w:r w:rsidRPr="002B2CFC">
        <w:rPr>
          <w:szCs w:val="24"/>
          <w:lang w:val="en-US" w:eastAsia="en-US"/>
        </w:rPr>
        <w:t xml:space="preserve">. In rats, three uncharacterised urinary metabolites (~0.1-0.8% of the administered dose), have been detected but not identified following </w:t>
      </w:r>
      <w:r w:rsidR="001375F1">
        <w:rPr>
          <w:szCs w:val="24"/>
          <w:lang w:val="en-US" w:eastAsia="en-US"/>
        </w:rPr>
        <w:t xml:space="preserve">oral </w:t>
      </w:r>
      <w:r w:rsidRPr="002B2CFC">
        <w:rPr>
          <w:szCs w:val="24"/>
          <w:lang w:val="en-US" w:eastAsia="en-US"/>
        </w:rPr>
        <w:t xml:space="preserve">dosing. </w:t>
      </w:r>
    </w:p>
    <w:p w14:paraId="32906C5F" w14:textId="77777777" w:rsidR="002B2CFC" w:rsidRPr="002B2CFC" w:rsidRDefault="002B2CFC" w:rsidP="009E40A8">
      <w:pPr>
        <w:rPr>
          <w:szCs w:val="24"/>
          <w:lang w:val="en-US" w:eastAsia="en-US"/>
        </w:rPr>
      </w:pPr>
    </w:p>
    <w:p w14:paraId="699A45B0" w14:textId="77777777" w:rsidR="002B2CFC" w:rsidRPr="002B2CFC" w:rsidRDefault="002B2CFC" w:rsidP="009E40A8">
      <w:pPr>
        <w:rPr>
          <w:szCs w:val="24"/>
          <w:lang w:val="en-US" w:eastAsia="en-US"/>
        </w:rPr>
      </w:pPr>
      <w:r w:rsidRPr="002B2CFC">
        <w:rPr>
          <w:szCs w:val="24"/>
          <w:lang w:val="en-US" w:eastAsia="en-US"/>
        </w:rPr>
        <w:t xml:space="preserve">In rats and monkeys, approx. 45% of </w:t>
      </w:r>
      <w:r w:rsidR="00B90627">
        <w:rPr>
          <w:szCs w:val="24"/>
          <w:lang w:val="en-US" w:eastAsia="en-US"/>
        </w:rPr>
        <w:t>an oral dose</w:t>
      </w:r>
      <w:r w:rsidRPr="002B2CFC">
        <w:rPr>
          <w:szCs w:val="24"/>
          <w:lang w:val="en-US" w:eastAsia="en-US"/>
        </w:rPr>
        <w:t xml:space="preserve"> was excreted </w:t>
      </w:r>
      <w:r w:rsidRPr="002B2CFC">
        <w:rPr>
          <w:i/>
          <w:szCs w:val="24"/>
          <w:lang w:val="en-US" w:eastAsia="en-US"/>
        </w:rPr>
        <w:t>via</w:t>
      </w:r>
      <w:r w:rsidRPr="002B2CFC">
        <w:rPr>
          <w:szCs w:val="24"/>
          <w:lang w:val="en-US" w:eastAsia="en-US"/>
        </w:rPr>
        <w:t xml:space="preserve"> the combined urinary and faecal routes within 48 h of treatment, which was consistent with other reports in </w:t>
      </w:r>
      <w:r w:rsidR="00897462" w:rsidRPr="00EC12FD">
        <w:rPr>
          <w:szCs w:val="24"/>
          <w:lang w:val="en-US" w:eastAsia="en-US"/>
        </w:rPr>
        <w:t>rats</w:t>
      </w:r>
      <w:r w:rsidRPr="00EC12FD">
        <w:rPr>
          <w:szCs w:val="24"/>
          <w:lang w:val="en-US" w:eastAsia="en-US"/>
        </w:rPr>
        <w:t>, rabbits</w:t>
      </w:r>
      <w:r w:rsidRPr="002B2CFC">
        <w:rPr>
          <w:szCs w:val="24"/>
          <w:lang w:val="en-US" w:eastAsia="en-US"/>
        </w:rPr>
        <w:t xml:space="preserve"> and dogs, where approx</w:t>
      </w:r>
      <w:r w:rsidR="00737580">
        <w:rPr>
          <w:szCs w:val="24"/>
          <w:lang w:val="en-US" w:eastAsia="en-US"/>
        </w:rPr>
        <w:t>imately</w:t>
      </w:r>
      <w:r w:rsidR="00737580" w:rsidRPr="002B2CFC">
        <w:rPr>
          <w:szCs w:val="24"/>
          <w:lang w:val="en-US" w:eastAsia="en-US"/>
        </w:rPr>
        <w:t xml:space="preserve"> </w:t>
      </w:r>
      <w:r w:rsidRPr="002B2CFC">
        <w:rPr>
          <w:szCs w:val="24"/>
          <w:lang w:val="en-US" w:eastAsia="en-US"/>
        </w:rPr>
        <w:t xml:space="preserve">10% of </w:t>
      </w:r>
      <w:r w:rsidR="0083689C" w:rsidRPr="002B2CFC">
        <w:rPr>
          <w:szCs w:val="24"/>
          <w:lang w:val="en-US" w:eastAsia="en-US"/>
        </w:rPr>
        <w:t>an</w:t>
      </w:r>
      <w:r w:rsidRPr="002B2CFC">
        <w:rPr>
          <w:szCs w:val="24"/>
          <w:lang w:val="en-US" w:eastAsia="en-US"/>
        </w:rPr>
        <w:t xml:space="preserve"> </w:t>
      </w:r>
      <w:r w:rsidR="001375F1">
        <w:rPr>
          <w:szCs w:val="24"/>
          <w:lang w:val="en-US" w:eastAsia="en-US"/>
        </w:rPr>
        <w:t xml:space="preserve">oral </w:t>
      </w:r>
      <w:r w:rsidRPr="002B2CFC">
        <w:rPr>
          <w:szCs w:val="24"/>
          <w:lang w:val="en-US" w:eastAsia="en-US"/>
        </w:rPr>
        <w:t xml:space="preserve">dose was absorbed and the remainder (90%) being eliminated in the faeces within 72 h. Elimination of </w:t>
      </w:r>
      <w:r w:rsidR="00B6409E">
        <w:rPr>
          <w:szCs w:val="24"/>
          <w:lang w:val="en-US" w:eastAsia="en-US"/>
        </w:rPr>
        <w:t xml:space="preserve">orally ingested </w:t>
      </w:r>
      <w:r w:rsidRPr="002B2CFC">
        <w:rPr>
          <w:szCs w:val="24"/>
          <w:lang w:val="en-US" w:eastAsia="en-US"/>
        </w:rPr>
        <w:t xml:space="preserve"> paraquat </w:t>
      </w:r>
      <w:r w:rsidRPr="002B2CFC">
        <w:rPr>
          <w:i/>
          <w:szCs w:val="24"/>
          <w:lang w:val="en-US" w:eastAsia="en-US"/>
        </w:rPr>
        <w:t>via</w:t>
      </w:r>
      <w:r w:rsidRPr="002B2CFC">
        <w:rPr>
          <w:szCs w:val="24"/>
          <w:lang w:val="en-US" w:eastAsia="en-US"/>
        </w:rPr>
        <w:t xml:space="preserve"> the urine </w:t>
      </w:r>
      <w:r w:rsidR="00DC0D2A">
        <w:rPr>
          <w:szCs w:val="24"/>
          <w:lang w:val="en-US" w:eastAsia="en-US"/>
        </w:rPr>
        <w:t xml:space="preserve">and faeces </w:t>
      </w:r>
      <w:r w:rsidRPr="002B2CFC">
        <w:rPr>
          <w:szCs w:val="24"/>
          <w:lang w:val="en-US" w:eastAsia="en-US"/>
        </w:rPr>
        <w:t>has been reported to be detectable for up to 21 d</w:t>
      </w:r>
      <w:r w:rsidR="00DC0D2A">
        <w:rPr>
          <w:szCs w:val="24"/>
          <w:lang w:val="en-US" w:eastAsia="en-US"/>
        </w:rPr>
        <w:t xml:space="preserve"> in monkeys</w:t>
      </w:r>
    </w:p>
    <w:p w14:paraId="5E704E39" w14:textId="77777777" w:rsidR="002B2CFC" w:rsidRPr="002B2CFC" w:rsidRDefault="002B2CFC" w:rsidP="009E40A8">
      <w:pPr>
        <w:rPr>
          <w:szCs w:val="24"/>
          <w:lang w:val="en-US" w:eastAsia="en-US"/>
        </w:rPr>
      </w:pPr>
    </w:p>
    <w:p w14:paraId="1575C005" w14:textId="77777777" w:rsidR="002B2CFC" w:rsidRPr="002B2CFC" w:rsidRDefault="001F6686" w:rsidP="00385097">
      <w:pPr>
        <w:pStyle w:val="Heading2"/>
        <w:rPr>
          <w:lang w:eastAsia="en-US"/>
        </w:rPr>
      </w:pPr>
      <w:bookmarkStart w:id="29" w:name="_Toc459108279"/>
      <w:r>
        <w:rPr>
          <w:lang w:eastAsia="en-US"/>
        </w:rPr>
        <w:t>Toxicodynamics</w:t>
      </w:r>
      <w:bookmarkEnd w:id="29"/>
    </w:p>
    <w:p w14:paraId="61543517" w14:textId="3151B8BD" w:rsidR="002B2CFC" w:rsidRPr="002B2CFC" w:rsidRDefault="002B2CFC" w:rsidP="009E40A8">
      <w:pPr>
        <w:rPr>
          <w:szCs w:val="24"/>
          <w:lang w:val="en-US" w:eastAsia="en-US"/>
        </w:rPr>
      </w:pPr>
      <w:r w:rsidRPr="002B2CFC">
        <w:rPr>
          <w:szCs w:val="24"/>
          <w:lang w:val="en-US" w:eastAsia="en-US"/>
        </w:rPr>
        <w:t>The biological activity of paraquat following absorption and distribution is generally accepted to be due to the generation of reactive oxygen species. Interaction with cellular reducing systems such as NAD(P)H oxidases leads to one electron reduction to form the paraquat radical (PQ</w:t>
      </w:r>
      <w:r w:rsidRPr="002B2CFC">
        <w:rPr>
          <w:b/>
          <w:szCs w:val="24"/>
          <w:vertAlign w:val="superscript"/>
          <w:lang w:val="en-US" w:eastAsia="en-US"/>
        </w:rPr>
        <w:t>.</w:t>
      </w:r>
      <w:r w:rsidRPr="002B2CFC">
        <w:rPr>
          <w:b/>
          <w:szCs w:val="24"/>
          <w:vertAlign w:val="superscript"/>
          <w:lang w:val="en-US" w:eastAsia="en-US"/>
        </w:rPr>
        <w:noBreakHyphen/>
      </w:r>
      <w:r w:rsidRPr="002B2CFC">
        <w:rPr>
          <w:szCs w:val="24"/>
          <w:lang w:val="en-US" w:eastAsia="en-US"/>
        </w:rPr>
        <w:t>), which can then react with dissolved O</w:t>
      </w:r>
      <w:r w:rsidRPr="002B2CFC">
        <w:rPr>
          <w:szCs w:val="24"/>
          <w:vertAlign w:val="subscript"/>
          <w:lang w:val="en-US" w:eastAsia="en-US"/>
        </w:rPr>
        <w:t>2</w:t>
      </w:r>
      <w:r w:rsidRPr="002B2CFC">
        <w:rPr>
          <w:szCs w:val="24"/>
          <w:lang w:val="en-US" w:eastAsia="en-US"/>
        </w:rPr>
        <w:t xml:space="preserve"> to form the superoxide anion (O</w:t>
      </w:r>
      <w:r w:rsidRPr="002B2CFC">
        <w:rPr>
          <w:szCs w:val="24"/>
          <w:vertAlign w:val="subscript"/>
          <w:lang w:val="en-US" w:eastAsia="en-US"/>
        </w:rPr>
        <w:t>2</w:t>
      </w:r>
      <w:r w:rsidRPr="002B2CFC">
        <w:rPr>
          <w:b/>
          <w:szCs w:val="24"/>
          <w:vertAlign w:val="superscript"/>
          <w:lang w:val="en-US" w:eastAsia="en-US"/>
        </w:rPr>
        <w:t>.</w:t>
      </w:r>
      <w:r w:rsidRPr="002B2CFC">
        <w:rPr>
          <w:b/>
          <w:szCs w:val="24"/>
          <w:vertAlign w:val="superscript"/>
          <w:lang w:val="en-US" w:eastAsia="en-US"/>
        </w:rPr>
        <w:noBreakHyphen/>
      </w:r>
      <w:r w:rsidRPr="002B2CFC">
        <w:rPr>
          <w:szCs w:val="24"/>
          <w:lang w:val="en-US" w:eastAsia="en-US"/>
        </w:rPr>
        <w:t>) with regeneration to the paraquat cation (PQ</w:t>
      </w:r>
      <w:r w:rsidRPr="002B2CFC">
        <w:rPr>
          <w:szCs w:val="24"/>
          <w:vertAlign w:val="superscript"/>
          <w:lang w:val="en-US" w:eastAsia="en-US"/>
        </w:rPr>
        <w:t>+</w:t>
      </w:r>
      <w:r w:rsidRPr="002B2CFC">
        <w:rPr>
          <w:szCs w:val="24"/>
          <w:lang w:val="en-US" w:eastAsia="en-US"/>
        </w:rPr>
        <w:t>)</w:t>
      </w:r>
      <w:r w:rsidR="00A44577">
        <w:rPr>
          <w:szCs w:val="24"/>
          <w:lang w:val="en-US" w:eastAsia="en-US"/>
        </w:rPr>
        <w:t xml:space="preserve"> (</w:t>
      </w:r>
      <w:r w:rsidR="001F6686">
        <w:rPr>
          <w:szCs w:val="24"/>
          <w:lang w:val="en-US" w:eastAsia="en-US"/>
        </w:rPr>
        <w:t>Figure 4</w:t>
      </w:r>
      <w:r w:rsidR="00A44577">
        <w:rPr>
          <w:szCs w:val="24"/>
          <w:lang w:val="en-US" w:eastAsia="en-US"/>
        </w:rPr>
        <w:t>)</w:t>
      </w:r>
      <w:r w:rsidRPr="002B2CFC">
        <w:rPr>
          <w:szCs w:val="24"/>
          <w:lang w:val="en-US" w:eastAsia="en-US"/>
        </w:rPr>
        <w:t>. It is also well-established that the former can then spontaneously and/or enzymatically, dismutate to hydrogen peroxide (H</w:t>
      </w:r>
      <w:r w:rsidRPr="002B2CFC">
        <w:rPr>
          <w:szCs w:val="24"/>
          <w:vertAlign w:val="subscript"/>
          <w:lang w:val="en-US" w:eastAsia="en-US"/>
        </w:rPr>
        <w:t>2</w:t>
      </w:r>
      <w:r w:rsidRPr="002B2CFC">
        <w:rPr>
          <w:szCs w:val="24"/>
          <w:lang w:val="en-US" w:eastAsia="en-US"/>
        </w:rPr>
        <w:t>O</w:t>
      </w:r>
      <w:r w:rsidRPr="002B2CFC">
        <w:rPr>
          <w:szCs w:val="24"/>
          <w:vertAlign w:val="subscript"/>
          <w:lang w:val="en-US" w:eastAsia="en-US"/>
        </w:rPr>
        <w:t>2</w:t>
      </w:r>
      <w:r w:rsidRPr="002B2CFC">
        <w:rPr>
          <w:szCs w:val="24"/>
          <w:lang w:val="en-US" w:eastAsia="en-US"/>
        </w:rPr>
        <w:t xml:space="preserve">), and then react </w:t>
      </w:r>
      <w:r w:rsidRPr="002B2CFC">
        <w:rPr>
          <w:i/>
          <w:szCs w:val="24"/>
          <w:lang w:val="en-US" w:eastAsia="en-US"/>
        </w:rPr>
        <w:t>via</w:t>
      </w:r>
      <w:r w:rsidRPr="002B2CFC">
        <w:rPr>
          <w:szCs w:val="24"/>
          <w:lang w:val="en-US" w:eastAsia="en-US"/>
        </w:rPr>
        <w:t xml:space="preserve"> Haber-Weiss or iron-catalysed Fenton reactions, to form the highly reactive hydroxyl radical (</w:t>
      </w:r>
      <w:r w:rsidRPr="002B2CFC">
        <w:rPr>
          <w:b/>
          <w:szCs w:val="24"/>
          <w:vertAlign w:val="superscript"/>
          <w:lang w:val="en-US" w:eastAsia="en-US"/>
        </w:rPr>
        <w:t>.</w:t>
      </w:r>
      <w:r w:rsidRPr="002B2CFC">
        <w:rPr>
          <w:szCs w:val="24"/>
          <w:lang w:val="en-US" w:eastAsia="en-US"/>
        </w:rPr>
        <w:t>OH) and hydroxide anion (</w:t>
      </w:r>
      <w:r w:rsidRPr="002B2CFC">
        <w:rPr>
          <w:szCs w:val="24"/>
          <w:vertAlign w:val="superscript"/>
          <w:lang w:val="en-US" w:eastAsia="en-US"/>
        </w:rPr>
        <w:t>-</w:t>
      </w:r>
      <w:r w:rsidRPr="002B2CFC">
        <w:rPr>
          <w:szCs w:val="24"/>
          <w:lang w:val="en-US" w:eastAsia="en-US"/>
        </w:rPr>
        <w:t>OH). These reactive species have the capacity to cause oxidation of membrane lipids and formation of reactive aldehydes, oxidation of glutathionyl or protein sulphydryl groups and potentially to form cross-links and oxidatively modify DNA. It is hypothesi</w:t>
      </w:r>
      <w:r w:rsidR="00772B39">
        <w:rPr>
          <w:szCs w:val="24"/>
          <w:lang w:val="en-US" w:eastAsia="en-US"/>
        </w:rPr>
        <w:t>s</w:t>
      </w:r>
      <w:r w:rsidRPr="002B2CFC">
        <w:rPr>
          <w:szCs w:val="24"/>
          <w:lang w:val="en-US" w:eastAsia="en-US"/>
        </w:rPr>
        <w:t xml:space="preserve">ed that these reactions may play a role in the potential neurotoxicity of paraquat, and this is discussed further in Section </w:t>
      </w:r>
      <w:r w:rsidR="00F07346">
        <w:fldChar w:fldCharType="begin"/>
      </w:r>
      <w:r w:rsidR="00F07346">
        <w:instrText xml:space="preserve"> REF _Ref278554576 \r \h  \* MERGEFORMAT </w:instrText>
      </w:r>
      <w:r w:rsidR="00F07346">
        <w:fldChar w:fldCharType="separate"/>
      </w:r>
      <w:r w:rsidR="000E54B2" w:rsidRPr="000E54B2">
        <w:rPr>
          <w:szCs w:val="24"/>
          <w:lang w:val="en-US" w:eastAsia="en-US"/>
        </w:rPr>
        <w:t>5.3</w:t>
      </w:r>
      <w:r w:rsidR="00F07346">
        <w:fldChar w:fldCharType="end"/>
      </w:r>
      <w:r w:rsidRPr="002B2CFC">
        <w:rPr>
          <w:szCs w:val="24"/>
          <w:lang w:val="en-US" w:eastAsia="en-US"/>
        </w:rPr>
        <w:t xml:space="preserve"> on neuromelanin. </w:t>
      </w:r>
    </w:p>
    <w:p w14:paraId="768592D0" w14:textId="77777777" w:rsidR="002B2CFC" w:rsidRPr="002B2CFC" w:rsidRDefault="00B521A7" w:rsidP="0008427E">
      <w:pPr>
        <w:rPr>
          <w:szCs w:val="24"/>
          <w:lang w:val="en-US" w:eastAsia="en-US"/>
        </w:rPr>
      </w:pPr>
      <w:r>
        <w:rPr>
          <w:noProof/>
        </w:rPr>
        <mc:AlternateContent>
          <mc:Choice Requires="wps">
            <w:drawing>
              <wp:anchor distT="0" distB="0" distL="114300" distR="114300" simplePos="0" relativeHeight="251659264" behindDoc="0" locked="0" layoutInCell="1" allowOverlap="1" wp14:anchorId="2F18715E" wp14:editId="57C1E589">
                <wp:simplePos x="0" y="0"/>
                <wp:positionH relativeFrom="column">
                  <wp:posOffset>638175</wp:posOffset>
                </wp:positionH>
                <wp:positionV relativeFrom="paragraph">
                  <wp:posOffset>1881505</wp:posOffset>
                </wp:positionV>
                <wp:extent cx="4502785" cy="405130"/>
                <wp:effectExtent l="0" t="0" r="0" b="0"/>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02785" cy="405130"/>
                        </a:xfrm>
                        <a:prstGeom prst="rect">
                          <a:avLst/>
                        </a:prstGeom>
                        <a:solidFill>
                          <a:prstClr val="white"/>
                        </a:solidFill>
                        <a:ln>
                          <a:noFill/>
                        </a:ln>
                        <a:effectLst/>
                      </wps:spPr>
                      <wps:txbx>
                        <w:txbxContent>
                          <w:p w14:paraId="6C16F538" w14:textId="77777777" w:rsidR="00022A40" w:rsidRDefault="00022A40" w:rsidP="00EE25B0">
                            <w:pPr>
                              <w:pStyle w:val="Caption"/>
                            </w:pPr>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r w:rsidRPr="00326E7A">
                              <w:t>Oxidation-reduction of paraquat and formation of free radicals</w:t>
                            </w:r>
                          </w:p>
                          <w:p w14:paraId="47CA5224" w14:textId="77777777" w:rsidR="00022A40" w:rsidRDefault="00022A40" w:rsidP="00EC12FD">
                            <w:pPr>
                              <w:pStyle w:val="Caption"/>
                            </w:pPr>
                            <w:r w:rsidRPr="002B2CFC">
                              <w:t>(Adapted</w:t>
                            </w:r>
                            <w:r>
                              <w:t xml:space="preserve"> from Bus &amp; Gibson, (1984); Bism</w:t>
                            </w:r>
                            <w:r w:rsidRPr="002B2CFC">
                              <w:t xml:space="preserve">uth </w:t>
                            </w:r>
                            <w:r w:rsidRPr="00EE5CEB">
                              <w:rPr>
                                <w:i/>
                              </w:rPr>
                              <w:t>et al</w:t>
                            </w:r>
                            <w:r w:rsidRPr="002B2CFC">
                              <w:t xml:space="preserve"> (1990) &amp; Honroé </w:t>
                            </w:r>
                            <w:r w:rsidRPr="002B2CFC">
                              <w:rPr>
                                <w:i/>
                              </w:rPr>
                              <w:t>et al</w:t>
                            </w:r>
                            <w:r w:rsidRPr="002B2CFC">
                              <w:t>, (1994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8715E" id="_x0000_t202" coordsize="21600,21600" o:spt="202" path="m,l,21600r21600,l21600,xe">
                <v:stroke joinstyle="miter"/>
                <v:path gradientshapeok="t" o:connecttype="rect"/>
              </v:shapetype>
              <v:shape id="Text Box 7" o:spid="_x0000_s1026" type="#_x0000_t202" style="position:absolute;left:0;text-align:left;margin-left:50.25pt;margin-top:148.15pt;width:354.55pt;height:3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" stroked="f">
                <v:path arrowok="t"/>
                <v:textbox inset="0,0,0,0">
                  <w:txbxContent>
                    <w:p w14:paraId="6C16F538" w14:textId="77777777" w:rsidR="00022A40" w:rsidRDefault="00022A40" w:rsidP="00EE25B0">
                      <w:pPr>
                        <w:pStyle w:val="Caption"/>
                      </w:pPr>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r w:rsidRPr="00326E7A">
                        <w:t>Oxidation-reduction of paraquat and formation of free radicals</w:t>
                      </w:r>
                    </w:p>
                    <w:p w14:paraId="47CA5224" w14:textId="77777777" w:rsidR="00022A40" w:rsidRDefault="00022A40" w:rsidP="00EC12FD">
                      <w:pPr>
                        <w:pStyle w:val="Caption"/>
                      </w:pPr>
                      <w:r w:rsidRPr="002B2CFC">
                        <w:t>(Adapted</w:t>
                      </w:r>
                      <w:r>
                        <w:t xml:space="preserve"> from Bus &amp; Gibson, (1984); Bism</w:t>
                      </w:r>
                      <w:r w:rsidRPr="002B2CFC">
                        <w:t xml:space="preserve">uth </w:t>
                      </w:r>
                      <w:r w:rsidRPr="00EE5CEB">
                        <w:rPr>
                          <w:i/>
                        </w:rPr>
                        <w:t>et al</w:t>
                      </w:r>
                      <w:r w:rsidRPr="002B2CFC">
                        <w:t xml:space="preserve"> (1990) &amp; Honroé </w:t>
                      </w:r>
                      <w:r w:rsidRPr="002B2CFC">
                        <w:rPr>
                          <w:i/>
                        </w:rPr>
                        <w:t>et al</w:t>
                      </w:r>
                      <w:r w:rsidRPr="002B2CFC">
                        <w:t>, (1994</w:t>
                      </w:r>
                    </w:p>
                  </w:txbxContent>
                </v:textbox>
                <w10:wrap type="topAndBottom"/>
              </v:shape>
            </w:pict>
          </mc:Fallback>
        </mc:AlternateContent>
      </w:r>
      <w:r w:rsidR="003A31EB">
        <w:rPr>
          <w:sz w:val="20"/>
          <w:lang w:val="en-US" w:eastAsia="en-US"/>
        </w:rPr>
        <w:object w:dxaOrig="1440" w:dyaOrig="1440" w14:anchorId="4B2980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03.8pt;margin-top:4.05pt;width:200.5pt;height:139.95pt;z-index:251662848;mso-position-horizontal-relative:text;mso-position-vertical-relative:text" o:allowincell="f">
            <v:imagedata r:id="rId11" o:title=""/>
            <w10:wrap type="topAndBottom"/>
          </v:shape>
          <o:OLEObject Type="Embed" ProgID="Chemistry4DDraw.v2" ShapeID="_x0000_s1029" DrawAspect="Content" ObjectID="_1538978291" r:id="rId12"/>
        </w:object>
      </w:r>
    </w:p>
    <w:p w14:paraId="7D5E1F22" w14:textId="77777777" w:rsidR="002B2CFC" w:rsidRPr="002B2CFC" w:rsidRDefault="002B2CFC" w:rsidP="009E40A8">
      <w:pPr>
        <w:rPr>
          <w:szCs w:val="24"/>
          <w:lang w:val="en-US" w:eastAsia="en-US"/>
        </w:rPr>
      </w:pPr>
      <w:r w:rsidRPr="002B2CFC">
        <w:rPr>
          <w:szCs w:val="24"/>
          <w:lang w:val="en-US" w:eastAsia="en-US"/>
        </w:rPr>
        <w:t xml:space="preserve">In order to prevent oxidative </w:t>
      </w:r>
      <w:r w:rsidR="003A3A9A">
        <w:rPr>
          <w:szCs w:val="24"/>
          <w:lang w:val="en-US" w:eastAsia="en-US"/>
        </w:rPr>
        <w:t>tissue damage</w:t>
      </w:r>
      <w:r w:rsidRPr="002B2CFC">
        <w:rPr>
          <w:szCs w:val="24"/>
          <w:lang w:val="en-US" w:eastAsia="en-US"/>
        </w:rPr>
        <w:t xml:space="preserve">, antioxidant defense systems </w:t>
      </w:r>
      <w:r w:rsidR="00F61A49">
        <w:rPr>
          <w:szCs w:val="24"/>
          <w:lang w:val="en-US" w:eastAsia="en-US"/>
        </w:rPr>
        <w:t xml:space="preserve">have </w:t>
      </w:r>
      <w:r w:rsidRPr="002B2CFC">
        <w:rPr>
          <w:szCs w:val="24"/>
          <w:lang w:val="en-US" w:eastAsia="en-US"/>
        </w:rPr>
        <w:t>evolved to counter-act the reactive nature of these chemical species within lipid bilayer structures, soluble cellular fractions and the extracellular milieu. These systems include both chemical and enzymatic mechanisms (enzymatic e.g., catalase, glutathione peroxidase/ reductase and non-enzymatic, e.g., glutathione, ascorbic acid, tocopherols) and it is well established that free radical-dependent intracellular damage is generally delayed until the antioxidant defenses are overwhelmed or depleted. The antioxidant capacity of the neurons of the SN pc in mice or humans ha</w:t>
      </w:r>
      <w:r w:rsidR="00F61A49">
        <w:rPr>
          <w:szCs w:val="24"/>
          <w:lang w:val="en-US" w:eastAsia="en-US"/>
        </w:rPr>
        <w:t>ve</w:t>
      </w:r>
      <w:r w:rsidRPr="002B2CFC">
        <w:rPr>
          <w:szCs w:val="24"/>
          <w:lang w:val="en-US" w:eastAsia="en-US"/>
        </w:rPr>
        <w:t xml:space="preserve"> not been thoroughly </w:t>
      </w:r>
      <w:r w:rsidR="00772B39" w:rsidRPr="002B2CFC">
        <w:rPr>
          <w:szCs w:val="24"/>
          <w:lang w:val="en-US" w:eastAsia="en-US"/>
        </w:rPr>
        <w:t>characteri</w:t>
      </w:r>
      <w:r w:rsidR="00772B39">
        <w:rPr>
          <w:szCs w:val="24"/>
          <w:lang w:val="en-US" w:eastAsia="en-US"/>
        </w:rPr>
        <w:t>s</w:t>
      </w:r>
      <w:r w:rsidR="00772B39" w:rsidRPr="002B2CFC">
        <w:rPr>
          <w:szCs w:val="24"/>
          <w:lang w:val="en-US" w:eastAsia="en-US"/>
        </w:rPr>
        <w:t>ed</w:t>
      </w:r>
      <w:r w:rsidRPr="002B2CFC">
        <w:rPr>
          <w:szCs w:val="24"/>
          <w:lang w:val="en-US" w:eastAsia="en-US"/>
        </w:rPr>
        <w:t xml:space="preserve">, however, it has been suggested that this capacity is insufficient or impaired in the neurons of the SN pc in animal models of Parkinson’s disease (Zecca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2001, 2006). Although one study claimed to demonstrate that the over-</w:t>
      </w:r>
      <w:r w:rsidRPr="002B2CFC">
        <w:rPr>
          <w:szCs w:val="24"/>
          <w:lang w:val="en-US" w:eastAsia="en-US"/>
        </w:rPr>
        <w:lastRenderedPageBreak/>
        <w:t xml:space="preserve">expression of superoxide dismutase or glutathione peroxidase offers protection against neuronal/ brain injury due to treatment with paraquat + maneb (Thiruchelvam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2005</w:t>
      </w:r>
      <w:r w:rsidR="00C725D0">
        <w:rPr>
          <w:rStyle w:val="FootnoteReference"/>
          <w:szCs w:val="24"/>
          <w:lang w:val="en-US" w:eastAsia="en-US"/>
        </w:rPr>
        <w:footnoteReference w:id="1"/>
      </w:r>
      <w:r w:rsidRPr="002B2CFC">
        <w:rPr>
          <w:szCs w:val="24"/>
          <w:lang w:val="en-US" w:eastAsia="en-US"/>
        </w:rPr>
        <w:t xml:space="preserve">), this paper has been retracted as fraudulent (ORI 2012). </w:t>
      </w:r>
    </w:p>
    <w:p w14:paraId="1EDD5902" w14:textId="77777777" w:rsidR="002B2CFC" w:rsidRPr="002B2CFC" w:rsidRDefault="002B2CFC" w:rsidP="009E40A8">
      <w:pPr>
        <w:rPr>
          <w:szCs w:val="24"/>
          <w:lang w:val="en-US" w:eastAsia="en-US"/>
        </w:rPr>
      </w:pPr>
    </w:p>
    <w:p w14:paraId="2CAC6CBB" w14:textId="77777777" w:rsidR="002B2CFC" w:rsidRDefault="002B2CFC" w:rsidP="009E40A8">
      <w:pPr>
        <w:rPr>
          <w:szCs w:val="24"/>
          <w:lang w:val="en-US" w:eastAsia="en-US"/>
        </w:rPr>
      </w:pPr>
      <w:r w:rsidRPr="002B2CFC">
        <w:rPr>
          <w:szCs w:val="24"/>
          <w:lang w:val="en-US" w:eastAsia="en-US"/>
        </w:rPr>
        <w:t xml:space="preserve">In mice which received paraquat, 4-OH-2-nonenal, a major product of lipid peroxidation (primarily from the oxidation of arachidonic acid) has been detected and localized to the SN pc using immunohistochemistry (McCormack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2005). It is well established in the scientific literature on free radical research that this aldehyde reacts readily with reduced thiols such as glutathione or protein thiols and causes protein modification, cross-linking, aggregate formation and loss of thiol-dependent enzyme function and is associated with many disease pathologies.</w:t>
      </w:r>
    </w:p>
    <w:p w14:paraId="6DD414F4" w14:textId="77777777" w:rsidR="002922BD" w:rsidRDefault="002922BD" w:rsidP="009E40A8">
      <w:pPr>
        <w:rPr>
          <w:szCs w:val="24"/>
          <w:lang w:val="en-US" w:eastAsia="en-US"/>
        </w:rPr>
      </w:pPr>
    </w:p>
    <w:p w14:paraId="18D6D3B9" w14:textId="755E6A5C" w:rsidR="003E662D" w:rsidRDefault="00FB3616" w:rsidP="003E662D">
      <w:pPr>
        <w:rPr>
          <w:szCs w:val="24"/>
          <w:lang w:val="en-US"/>
        </w:rPr>
      </w:pPr>
      <w:r>
        <w:rPr>
          <w:szCs w:val="24"/>
          <w:lang w:val="en-US"/>
        </w:rPr>
        <w:t xml:space="preserve">In a study by Castello </w:t>
      </w:r>
      <w:r w:rsidRPr="009E40A8">
        <w:rPr>
          <w:i/>
          <w:szCs w:val="24"/>
          <w:lang w:val="en-US"/>
        </w:rPr>
        <w:t>et al</w:t>
      </w:r>
      <w:r>
        <w:rPr>
          <w:szCs w:val="24"/>
          <w:lang w:val="en-US"/>
        </w:rPr>
        <w:t xml:space="preserve"> (2007), </w:t>
      </w:r>
      <w:r w:rsidRPr="009E40A8">
        <w:rPr>
          <w:i/>
          <w:szCs w:val="24"/>
          <w:lang w:val="en-US"/>
        </w:rPr>
        <w:t>i</w:t>
      </w:r>
      <w:r w:rsidR="002922BD" w:rsidRPr="009E40A8">
        <w:rPr>
          <w:i/>
          <w:szCs w:val="24"/>
          <w:lang w:val="en-US"/>
        </w:rPr>
        <w:t>n vitro</w:t>
      </w:r>
      <w:r w:rsidR="002922BD">
        <w:rPr>
          <w:szCs w:val="24"/>
          <w:lang w:val="en-US"/>
        </w:rPr>
        <w:t xml:space="preserve"> exposure of rat brain mitochondria </w:t>
      </w:r>
      <w:r>
        <w:rPr>
          <w:szCs w:val="24"/>
          <w:lang w:val="en-US"/>
        </w:rPr>
        <w:t xml:space="preserve">to paraquat </w:t>
      </w:r>
      <w:r w:rsidR="002922BD">
        <w:rPr>
          <w:szCs w:val="24"/>
          <w:lang w:val="en-US"/>
        </w:rPr>
        <w:t xml:space="preserve">demonstrated production of </w:t>
      </w:r>
      <w:r>
        <w:rPr>
          <w:szCs w:val="24"/>
          <w:lang w:val="en-US"/>
        </w:rPr>
        <w:t>hydrogen peroxide (</w:t>
      </w:r>
      <w:r w:rsidR="002922BD">
        <w:rPr>
          <w:szCs w:val="24"/>
          <w:lang w:val="en-US"/>
        </w:rPr>
        <w:t>H</w:t>
      </w:r>
      <w:r w:rsidR="002922BD">
        <w:rPr>
          <w:szCs w:val="24"/>
          <w:vertAlign w:val="subscript"/>
          <w:lang w:val="en-US"/>
        </w:rPr>
        <w:t>2</w:t>
      </w:r>
      <w:r w:rsidR="002922BD">
        <w:rPr>
          <w:szCs w:val="24"/>
          <w:lang w:val="en-US"/>
        </w:rPr>
        <w:t>0</w:t>
      </w:r>
      <w:r w:rsidR="002922BD">
        <w:rPr>
          <w:szCs w:val="24"/>
          <w:vertAlign w:val="subscript"/>
          <w:lang w:val="en-US"/>
        </w:rPr>
        <w:t>2</w:t>
      </w:r>
      <w:r>
        <w:rPr>
          <w:szCs w:val="24"/>
          <w:lang w:val="en-US"/>
        </w:rPr>
        <w:t>)</w:t>
      </w:r>
      <w:r w:rsidR="002922BD">
        <w:rPr>
          <w:szCs w:val="24"/>
          <w:lang w:val="en-US"/>
        </w:rPr>
        <w:t>. It was proposed that mitochondrial H</w:t>
      </w:r>
      <w:r w:rsidR="002922BD">
        <w:rPr>
          <w:szCs w:val="24"/>
          <w:vertAlign w:val="subscript"/>
          <w:lang w:val="en-US"/>
        </w:rPr>
        <w:t>2</w:t>
      </w:r>
      <w:r w:rsidR="002922BD">
        <w:rPr>
          <w:szCs w:val="24"/>
          <w:lang w:val="en-US"/>
        </w:rPr>
        <w:t>O</w:t>
      </w:r>
      <w:r w:rsidR="002922BD">
        <w:rPr>
          <w:szCs w:val="24"/>
          <w:vertAlign w:val="subscript"/>
          <w:lang w:val="en-US"/>
        </w:rPr>
        <w:t>2</w:t>
      </w:r>
      <w:r w:rsidR="002922BD">
        <w:rPr>
          <w:szCs w:val="24"/>
          <w:lang w:val="en-US"/>
        </w:rPr>
        <w:t xml:space="preserve"> production induced by PQ</w:t>
      </w:r>
      <w:r w:rsidR="002922BD">
        <w:rPr>
          <w:szCs w:val="24"/>
          <w:vertAlign w:val="superscript"/>
          <w:lang w:val="en-US"/>
        </w:rPr>
        <w:t>2+</w:t>
      </w:r>
      <w:r w:rsidR="002922BD">
        <w:rPr>
          <w:szCs w:val="24"/>
          <w:lang w:val="en-US"/>
        </w:rPr>
        <w:t xml:space="preserve"> in the brain is an early event that may later initiate other cellular events, such as nonspecific </w:t>
      </w:r>
      <w:r w:rsidR="00682065">
        <w:rPr>
          <w:szCs w:val="24"/>
          <w:lang w:val="en-US"/>
        </w:rPr>
        <w:t>electron transport chain (</w:t>
      </w:r>
      <w:r w:rsidR="002922BD">
        <w:rPr>
          <w:szCs w:val="24"/>
          <w:lang w:val="en-US"/>
        </w:rPr>
        <w:t>ETC</w:t>
      </w:r>
      <w:r w:rsidR="00682065">
        <w:rPr>
          <w:szCs w:val="24"/>
          <w:lang w:val="en-US"/>
        </w:rPr>
        <w:t>)</w:t>
      </w:r>
      <w:r w:rsidR="002922BD">
        <w:rPr>
          <w:szCs w:val="24"/>
          <w:lang w:val="en-US"/>
        </w:rPr>
        <w:t xml:space="preserve"> inactivation, microgliosis, and NADPH oxidase activation. </w:t>
      </w:r>
    </w:p>
    <w:p w14:paraId="0D91E55D" w14:textId="4D823FCF" w:rsidR="002B2CFC" w:rsidRPr="003E662D" w:rsidRDefault="002B2CFC" w:rsidP="003E7C7F">
      <w:pPr>
        <w:pStyle w:val="Heading2"/>
        <w:rPr>
          <w:szCs w:val="24"/>
          <w:lang w:val="en-US" w:eastAsia="en-US"/>
        </w:rPr>
      </w:pPr>
      <w:bookmarkStart w:id="30" w:name="_Toc459108280"/>
      <w:r w:rsidRPr="002B2CFC">
        <w:rPr>
          <w:lang w:eastAsia="en-US"/>
        </w:rPr>
        <w:lastRenderedPageBreak/>
        <w:t>Summary</w:t>
      </w:r>
      <w:bookmarkEnd w:id="30"/>
    </w:p>
    <w:p w14:paraId="3118D3F6" w14:textId="097792FA" w:rsidR="00A4169F" w:rsidRDefault="002B2CFC" w:rsidP="0084215F">
      <w:pPr>
        <w:keepNext/>
        <w:keepLines/>
        <w:rPr>
          <w:color w:val="000000"/>
          <w:szCs w:val="24"/>
          <w:lang w:val="en-US" w:eastAsia="en-US"/>
        </w:rPr>
      </w:pPr>
      <w:r w:rsidRPr="002B2CFC">
        <w:rPr>
          <w:szCs w:val="24"/>
          <w:lang w:val="en-US" w:eastAsia="en-US"/>
        </w:rPr>
        <w:t>Some observations of the effects of paraquat in mice and rats suggest that paraquat is capable of causing a selective injury to the SN pc TH</w:t>
      </w:r>
      <w:r w:rsidRPr="008663C1">
        <w:rPr>
          <w:szCs w:val="24"/>
          <w:vertAlign w:val="superscript"/>
          <w:lang w:val="en-US" w:eastAsia="en-US"/>
        </w:rPr>
        <w:t>+</w:t>
      </w:r>
      <w:r w:rsidRPr="002B2CFC">
        <w:rPr>
          <w:szCs w:val="24"/>
          <w:lang w:val="en-US" w:eastAsia="en-US"/>
        </w:rPr>
        <w:t xml:space="preserve"> neurons leading to loss of cells and decreased </w:t>
      </w:r>
      <w:r w:rsidR="00A4092E">
        <w:rPr>
          <w:szCs w:val="24"/>
          <w:lang w:val="en-US" w:eastAsia="en-US"/>
        </w:rPr>
        <w:t>DA</w:t>
      </w:r>
      <w:r w:rsidRPr="002B2CFC">
        <w:rPr>
          <w:szCs w:val="24"/>
          <w:lang w:val="en-US" w:eastAsia="en-US"/>
        </w:rPr>
        <w:t xml:space="preserve"> production</w:t>
      </w:r>
      <w:r w:rsidR="0015009A">
        <w:rPr>
          <w:szCs w:val="24"/>
          <w:lang w:val="en-US" w:eastAsia="en-US"/>
        </w:rPr>
        <w:t xml:space="preserve"> when administered by the intraperitoneal route</w:t>
      </w:r>
      <w:r w:rsidRPr="002B2CFC">
        <w:rPr>
          <w:szCs w:val="24"/>
          <w:lang w:val="en-US" w:eastAsia="en-US"/>
        </w:rPr>
        <w:t>. These observations are recognised hallmarks of the neuronal deficit described in Parkinson’s disease.</w:t>
      </w:r>
      <w:r w:rsidR="0015009A">
        <w:rPr>
          <w:szCs w:val="24"/>
          <w:lang w:val="en-US" w:eastAsia="en-US"/>
        </w:rPr>
        <w:t xml:space="preserve"> </w:t>
      </w:r>
      <w:r w:rsidRPr="002B2CFC">
        <w:rPr>
          <w:szCs w:val="24"/>
          <w:lang w:val="en-US" w:eastAsia="en-US"/>
        </w:rPr>
        <w:t xml:space="preserve">However, evidence of effects resulting from intraperitoneal injection of paraquat </w:t>
      </w:r>
      <w:r w:rsidR="0015009A">
        <w:rPr>
          <w:szCs w:val="24"/>
          <w:lang w:val="en-US" w:eastAsia="en-US"/>
        </w:rPr>
        <w:t xml:space="preserve">is challenged by </w:t>
      </w:r>
      <w:r w:rsidR="0083689C">
        <w:rPr>
          <w:szCs w:val="24"/>
          <w:lang w:val="en-US" w:eastAsia="en-US"/>
        </w:rPr>
        <w:t xml:space="preserve">compelling </w:t>
      </w:r>
      <w:r w:rsidR="0083689C" w:rsidRPr="002B2CFC">
        <w:rPr>
          <w:szCs w:val="24"/>
          <w:lang w:val="en-US" w:eastAsia="en-US"/>
        </w:rPr>
        <w:t>results</w:t>
      </w:r>
      <w:r w:rsidRPr="002B2CFC">
        <w:rPr>
          <w:szCs w:val="24"/>
          <w:lang w:val="en-US" w:eastAsia="en-US"/>
        </w:rPr>
        <w:t xml:space="preserve"> from </w:t>
      </w:r>
      <w:r w:rsidR="00093FB6">
        <w:rPr>
          <w:szCs w:val="24"/>
          <w:lang w:val="en-US" w:eastAsia="en-US"/>
        </w:rPr>
        <w:t xml:space="preserve">recent </w:t>
      </w:r>
      <w:r w:rsidRPr="002B2CFC">
        <w:rPr>
          <w:szCs w:val="24"/>
          <w:lang w:val="en-US" w:eastAsia="en-US"/>
        </w:rPr>
        <w:t xml:space="preserve">studies in mice. </w:t>
      </w:r>
      <w:r w:rsidR="00A4169F">
        <w:rPr>
          <w:color w:val="000000"/>
          <w:szCs w:val="24"/>
          <w:lang w:val="en-US" w:eastAsia="en-US"/>
        </w:rPr>
        <w:t xml:space="preserve">In </w:t>
      </w:r>
      <w:r w:rsidR="00107D04">
        <w:rPr>
          <w:color w:val="000000"/>
          <w:szCs w:val="24"/>
          <w:lang w:val="en-US" w:eastAsia="en-US"/>
        </w:rPr>
        <w:t xml:space="preserve">one of </w:t>
      </w:r>
      <w:r w:rsidR="00A4169F">
        <w:rPr>
          <w:color w:val="000000"/>
          <w:szCs w:val="24"/>
          <w:lang w:val="en-US" w:eastAsia="en-US"/>
        </w:rPr>
        <w:t xml:space="preserve">these </w:t>
      </w:r>
      <w:r w:rsidR="0083689C">
        <w:rPr>
          <w:color w:val="000000"/>
          <w:szCs w:val="24"/>
          <w:lang w:val="en-US" w:eastAsia="en-US"/>
        </w:rPr>
        <w:t>studies,</w:t>
      </w:r>
      <w:r w:rsidRPr="002B2CFC">
        <w:rPr>
          <w:color w:val="000000"/>
          <w:szCs w:val="24"/>
          <w:lang w:val="en-US" w:eastAsia="en-US"/>
        </w:rPr>
        <w:t xml:space="preserve"> no effect in the brain was found following up to 25 mg</w:t>
      </w:r>
      <w:r w:rsidR="0021017C">
        <w:rPr>
          <w:color w:val="000000"/>
          <w:szCs w:val="24"/>
          <w:lang w:val="en-US" w:eastAsia="en-US"/>
        </w:rPr>
        <w:t xml:space="preserve"> paraquat dichloride</w:t>
      </w:r>
      <w:r w:rsidRPr="002B2CFC">
        <w:rPr>
          <w:color w:val="000000"/>
          <w:szCs w:val="24"/>
          <w:lang w:val="en-US" w:eastAsia="en-US"/>
        </w:rPr>
        <w:t xml:space="preserve">/kg bw/dose </w:t>
      </w:r>
      <w:r w:rsidR="0021017C">
        <w:rPr>
          <w:color w:val="000000"/>
          <w:szCs w:val="24"/>
          <w:lang w:val="en-US" w:eastAsia="en-US"/>
        </w:rPr>
        <w:t xml:space="preserve">(equivalent to 18.1 mg paraquat ion/kg bw/dose) </w:t>
      </w:r>
      <w:r w:rsidR="00285F3D">
        <w:rPr>
          <w:color w:val="000000"/>
          <w:szCs w:val="24"/>
          <w:lang w:val="en-US" w:eastAsia="en-US"/>
        </w:rPr>
        <w:t xml:space="preserve">of </w:t>
      </w:r>
      <w:r w:rsidRPr="002B2CFC">
        <w:rPr>
          <w:color w:val="000000"/>
          <w:szCs w:val="24"/>
          <w:lang w:val="en-US" w:eastAsia="en-US"/>
        </w:rPr>
        <w:t>up to 3 weekly injections</w:t>
      </w:r>
      <w:r w:rsidR="00093FB6">
        <w:rPr>
          <w:color w:val="000000"/>
          <w:szCs w:val="24"/>
          <w:lang w:val="en-US" w:eastAsia="en-US"/>
        </w:rPr>
        <w:t xml:space="preserve"> (ip)</w:t>
      </w:r>
      <w:r w:rsidRPr="002B2CFC">
        <w:rPr>
          <w:color w:val="000000"/>
          <w:szCs w:val="24"/>
          <w:lang w:val="en-US" w:eastAsia="en-US"/>
        </w:rPr>
        <w:t xml:space="preserve">, despite evidence of systemic </w:t>
      </w:r>
      <w:r w:rsidR="00AB0C09">
        <w:rPr>
          <w:color w:val="000000"/>
          <w:szCs w:val="24"/>
          <w:lang w:val="en-US" w:eastAsia="en-US"/>
        </w:rPr>
        <w:t>toxicity</w:t>
      </w:r>
      <w:r w:rsidRPr="002B2CFC">
        <w:rPr>
          <w:color w:val="000000"/>
          <w:szCs w:val="24"/>
          <w:lang w:val="en-US" w:eastAsia="en-US"/>
        </w:rPr>
        <w:t xml:space="preserve">. This study was supported by evidence of neuronal damage in the brains in a positive control group (ip, MPTP). </w:t>
      </w:r>
      <w:r w:rsidR="00A4169F">
        <w:rPr>
          <w:color w:val="000000"/>
          <w:szCs w:val="24"/>
          <w:lang w:val="en-US" w:eastAsia="en-US"/>
        </w:rPr>
        <w:t>Th</w:t>
      </w:r>
      <w:r w:rsidR="00107D04">
        <w:rPr>
          <w:color w:val="000000"/>
          <w:szCs w:val="24"/>
          <w:lang w:val="en-US" w:eastAsia="en-US"/>
        </w:rPr>
        <w:t>is study</w:t>
      </w:r>
      <w:r w:rsidR="00452FA0">
        <w:rPr>
          <w:color w:val="000000"/>
          <w:szCs w:val="24"/>
          <w:lang w:val="en-US" w:eastAsia="en-US"/>
        </w:rPr>
        <w:t xml:space="preserve"> </w:t>
      </w:r>
      <w:r w:rsidR="00107D04">
        <w:rPr>
          <w:color w:val="000000"/>
          <w:szCs w:val="24"/>
          <w:lang w:val="en-US" w:eastAsia="en-US"/>
        </w:rPr>
        <w:t>is of</w:t>
      </w:r>
      <w:r w:rsidR="00A4169F">
        <w:rPr>
          <w:color w:val="000000"/>
          <w:szCs w:val="24"/>
          <w:lang w:val="en-US" w:eastAsia="en-US"/>
        </w:rPr>
        <w:t xml:space="preserve"> </w:t>
      </w:r>
      <w:r w:rsidR="001744B4">
        <w:rPr>
          <w:color w:val="000000"/>
          <w:szCs w:val="24"/>
          <w:lang w:val="en-US" w:eastAsia="en-US"/>
        </w:rPr>
        <w:t>high regulatory value and cast</w:t>
      </w:r>
      <w:r w:rsidR="0005510B">
        <w:rPr>
          <w:color w:val="000000"/>
          <w:szCs w:val="24"/>
          <w:lang w:val="en-US" w:eastAsia="en-US"/>
        </w:rPr>
        <w:t>s</w:t>
      </w:r>
      <w:r w:rsidR="001744B4">
        <w:rPr>
          <w:color w:val="000000"/>
          <w:szCs w:val="24"/>
          <w:lang w:val="en-US" w:eastAsia="en-US"/>
        </w:rPr>
        <w:t xml:space="preserve"> doubt on the reliability/reproducibility of the previous </w:t>
      </w:r>
      <w:r w:rsidR="00A4169F">
        <w:rPr>
          <w:color w:val="000000"/>
          <w:szCs w:val="24"/>
          <w:lang w:val="en-US" w:eastAsia="en-US"/>
        </w:rPr>
        <w:t>studies</w:t>
      </w:r>
      <w:r w:rsidR="001744B4">
        <w:rPr>
          <w:color w:val="000000"/>
          <w:szCs w:val="24"/>
          <w:lang w:val="en-US" w:eastAsia="en-US"/>
        </w:rPr>
        <w:t xml:space="preserve">. </w:t>
      </w:r>
      <w:r w:rsidR="00107D04">
        <w:rPr>
          <w:szCs w:val="24"/>
          <w:lang w:val="en-US" w:eastAsia="en-US"/>
        </w:rPr>
        <w:t>In this study, paraquat did not act like MPTP.</w:t>
      </w:r>
    </w:p>
    <w:p w14:paraId="20886088" w14:textId="77777777" w:rsidR="00A4169F" w:rsidRDefault="00A4169F" w:rsidP="00035BA6">
      <w:pPr>
        <w:keepNext/>
        <w:keepLines/>
        <w:rPr>
          <w:color w:val="000000"/>
          <w:szCs w:val="24"/>
          <w:lang w:val="en-US" w:eastAsia="en-US"/>
        </w:rPr>
      </w:pPr>
    </w:p>
    <w:p w14:paraId="2AEC04EB" w14:textId="77777777" w:rsidR="002B2CFC" w:rsidRDefault="00093FB6" w:rsidP="00035BA6">
      <w:pPr>
        <w:keepNext/>
        <w:keepLines/>
        <w:rPr>
          <w:color w:val="000000"/>
          <w:szCs w:val="24"/>
          <w:lang w:val="en-US" w:eastAsia="en-US"/>
        </w:rPr>
      </w:pPr>
      <w:r>
        <w:rPr>
          <w:color w:val="000000"/>
          <w:szCs w:val="24"/>
          <w:lang w:val="en-US" w:eastAsia="en-US"/>
        </w:rPr>
        <w:t xml:space="preserve">More importantly from a human health perspective, </w:t>
      </w:r>
      <w:r w:rsidR="002B2CFC" w:rsidRPr="002B2CFC">
        <w:rPr>
          <w:color w:val="000000"/>
          <w:szCs w:val="24"/>
          <w:lang w:val="en-US" w:eastAsia="en-US"/>
        </w:rPr>
        <w:t>when paraquat dichloride was administered in the diet of mice for up to 90 days, there were no effects on the dopaminergic neurons at up to 50 ppm</w:t>
      </w:r>
      <w:r w:rsidR="002B2CFC" w:rsidRPr="002B2CFC">
        <w:rPr>
          <w:szCs w:val="24"/>
          <w:lang w:val="en-US" w:eastAsia="en-US"/>
        </w:rPr>
        <w:t xml:space="preserve"> (</w:t>
      </w:r>
      <w:r w:rsidR="0021017C">
        <w:rPr>
          <w:szCs w:val="24"/>
        </w:rPr>
        <w:t>equivalent to paraquat cation of 10.2 mg/kg bw/d (males) and 15.6 mg/kg bw/d (females))</w:t>
      </w:r>
      <w:r w:rsidR="002B2CFC" w:rsidRPr="002B2CFC">
        <w:rPr>
          <w:szCs w:val="24"/>
          <w:lang w:val="en-US" w:eastAsia="en-US"/>
        </w:rPr>
        <w:t>, the highest dose tested, despite evidence</w:t>
      </w:r>
      <w:r w:rsidR="002B2CFC" w:rsidRPr="002B2CFC">
        <w:rPr>
          <w:color w:val="000000"/>
          <w:szCs w:val="24"/>
          <w:lang w:val="en-US" w:eastAsia="en-US"/>
        </w:rPr>
        <w:t xml:space="preserve"> </w:t>
      </w:r>
      <w:r w:rsidR="002B2CFC" w:rsidRPr="002B2CFC">
        <w:rPr>
          <w:szCs w:val="24"/>
          <w:lang w:val="en-US" w:eastAsia="en-US"/>
        </w:rPr>
        <w:t xml:space="preserve">of damage to the brains of the positive control group (ip, MPTP). </w:t>
      </w:r>
      <w:r w:rsidR="001744B4">
        <w:rPr>
          <w:szCs w:val="24"/>
          <w:lang w:val="en-US" w:eastAsia="en-US"/>
        </w:rPr>
        <w:t xml:space="preserve"> The oral route is more relevant to human exposure than intraperitoneal injection</w:t>
      </w:r>
      <w:r w:rsidR="00D06B09">
        <w:rPr>
          <w:szCs w:val="24"/>
          <w:lang w:val="en-US" w:eastAsia="en-US"/>
        </w:rPr>
        <w:t xml:space="preserve"> and hence this study is more </w:t>
      </w:r>
      <w:r w:rsidR="004C01A1">
        <w:rPr>
          <w:szCs w:val="24"/>
          <w:lang w:val="en-US" w:eastAsia="en-US"/>
        </w:rPr>
        <w:t>applicable</w:t>
      </w:r>
      <w:r w:rsidR="00D06B09">
        <w:rPr>
          <w:szCs w:val="24"/>
          <w:lang w:val="en-US" w:eastAsia="en-US"/>
        </w:rPr>
        <w:t xml:space="preserve"> to the human health risk assessment</w:t>
      </w:r>
      <w:r w:rsidR="001744B4">
        <w:rPr>
          <w:szCs w:val="24"/>
          <w:lang w:val="en-US" w:eastAsia="en-US"/>
        </w:rPr>
        <w:t>.</w:t>
      </w:r>
      <w:r w:rsidR="00107D04">
        <w:rPr>
          <w:szCs w:val="24"/>
          <w:lang w:val="en-US" w:eastAsia="en-US"/>
        </w:rPr>
        <w:t xml:space="preserve"> </w:t>
      </w:r>
      <w:r w:rsidR="00A240E1">
        <w:rPr>
          <w:szCs w:val="24"/>
          <w:lang w:val="en-US" w:eastAsia="en-US"/>
        </w:rPr>
        <w:t>In addition, intranasal inoculation in mice and rats of up to 30 mg/kg bw/d for 30 days did not result in any evidence of neurotoxicity, despite severe systemic toxicity. Although this is not a standard route of administration in animal studies, the nasal mucosa is a potential site of contact and absorption in humans following inhalation of paraquat.</w:t>
      </w:r>
      <w:r w:rsidR="00BF00F5">
        <w:rPr>
          <w:szCs w:val="24"/>
          <w:lang w:val="en-US" w:eastAsia="en-US"/>
        </w:rPr>
        <w:t xml:space="preserve"> </w:t>
      </w:r>
      <w:r w:rsidR="00BF00F5" w:rsidRPr="00BE2302">
        <w:rPr>
          <w:color w:val="000000"/>
          <w:szCs w:val="24"/>
          <w:lang w:val="en-US" w:eastAsia="en-US"/>
        </w:rPr>
        <w:t>While recognising that the absorption is limited to a specific area of the respiratory tract, the study provided no evidence that paraquat might lead to the development of PD in rats and mice</w:t>
      </w:r>
      <w:r w:rsidR="00BF00F5">
        <w:rPr>
          <w:color w:val="000000"/>
          <w:szCs w:val="24"/>
          <w:lang w:val="en-US" w:eastAsia="en-US"/>
        </w:rPr>
        <w:t>.</w:t>
      </w:r>
      <w:r w:rsidR="0005510B" w:rsidRPr="0005510B">
        <w:rPr>
          <w:color w:val="000000"/>
          <w:szCs w:val="24"/>
          <w:lang w:val="en-US" w:eastAsia="en-US"/>
        </w:rPr>
        <w:t xml:space="preserve"> </w:t>
      </w:r>
      <w:r w:rsidR="0005510B">
        <w:rPr>
          <w:color w:val="000000"/>
          <w:szCs w:val="24"/>
          <w:lang w:val="en-US" w:eastAsia="en-US"/>
        </w:rPr>
        <w:t xml:space="preserve">This conclusion was validated by concurrent treatment of a group of animals with MPTP by the same route, where clear effects were noted in the striatum. </w:t>
      </w:r>
      <w:r w:rsidR="00BF00F5">
        <w:rPr>
          <w:color w:val="000000"/>
          <w:szCs w:val="24"/>
          <w:lang w:val="en-US" w:eastAsia="en-US"/>
        </w:rPr>
        <w:t xml:space="preserve"> </w:t>
      </w:r>
    </w:p>
    <w:p w14:paraId="404913AD" w14:textId="77777777" w:rsidR="00FA5F22" w:rsidRPr="002B2CFC" w:rsidRDefault="00FA5F22" w:rsidP="00035BA6">
      <w:pPr>
        <w:keepNext/>
        <w:keepLines/>
        <w:rPr>
          <w:szCs w:val="24"/>
          <w:lang w:val="en-US" w:eastAsia="en-US"/>
        </w:rPr>
      </w:pPr>
    </w:p>
    <w:p w14:paraId="342A9F68" w14:textId="76F03BA4" w:rsidR="002B2CFC" w:rsidRPr="001F685E" w:rsidRDefault="002B2CFC" w:rsidP="001F685E">
      <w:pPr>
        <w:keepNext/>
        <w:keepLines/>
        <w:rPr>
          <w:szCs w:val="24"/>
          <w:lang w:val="en-US" w:eastAsia="en-US"/>
        </w:rPr>
      </w:pPr>
      <w:r w:rsidRPr="002B2CFC">
        <w:rPr>
          <w:szCs w:val="24"/>
          <w:lang w:val="en-US" w:eastAsia="en-US"/>
        </w:rPr>
        <w:t xml:space="preserve">Therefore, evidence for paraquat having a neurotoxic effect is limited mainly to studies in mice dosed via the intraperitoneal route (Brooks </w:t>
      </w:r>
      <w:r w:rsidRPr="002B2CFC">
        <w:rPr>
          <w:i/>
          <w:szCs w:val="24"/>
          <w:lang w:val="en-US" w:eastAsia="en-US"/>
        </w:rPr>
        <w:t>et al</w:t>
      </w:r>
      <w:r w:rsidR="00120920">
        <w:rPr>
          <w:i/>
          <w:szCs w:val="24"/>
          <w:lang w:val="en-US" w:eastAsia="en-US"/>
        </w:rPr>
        <w:t>,</w:t>
      </w:r>
      <w:r w:rsidR="001A1FAA">
        <w:rPr>
          <w:szCs w:val="24"/>
          <w:lang w:val="en-US" w:eastAsia="en-US"/>
        </w:rPr>
        <w:t xml:space="preserve"> </w:t>
      </w:r>
      <w:r w:rsidR="00D003C0" w:rsidRPr="002B2CFC">
        <w:rPr>
          <w:szCs w:val="24"/>
          <w:lang w:val="en-US" w:eastAsia="en-US"/>
        </w:rPr>
        <w:t>199</w:t>
      </w:r>
      <w:r w:rsidR="00D003C0">
        <w:rPr>
          <w:szCs w:val="24"/>
          <w:lang w:val="en-US" w:eastAsia="en-US"/>
        </w:rPr>
        <w:t>9</w:t>
      </w:r>
      <w:r w:rsidR="00A4169F">
        <w:rPr>
          <w:szCs w:val="24"/>
          <w:lang w:val="en-US" w:eastAsia="en-US"/>
        </w:rPr>
        <w:t xml:space="preserve">, Ossowaka </w:t>
      </w:r>
      <w:r w:rsidR="00A4169F" w:rsidRPr="008D0BDE">
        <w:rPr>
          <w:i/>
          <w:szCs w:val="24"/>
          <w:lang w:val="en-US" w:eastAsia="en-US"/>
        </w:rPr>
        <w:t>et al</w:t>
      </w:r>
      <w:r w:rsidR="00120920">
        <w:rPr>
          <w:i/>
          <w:szCs w:val="24"/>
          <w:lang w:val="en-US" w:eastAsia="en-US"/>
        </w:rPr>
        <w:t>,</w:t>
      </w:r>
      <w:r w:rsidR="00A4169F">
        <w:rPr>
          <w:szCs w:val="24"/>
          <w:lang w:val="en-US" w:eastAsia="en-US"/>
        </w:rPr>
        <w:t xml:space="preserve"> 2005b</w:t>
      </w:r>
      <w:r w:rsidRPr="002B2CFC">
        <w:rPr>
          <w:szCs w:val="24"/>
          <w:lang w:val="en-US" w:eastAsia="en-US"/>
        </w:rPr>
        <w:t xml:space="preserve"> and McCormack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2002</w:t>
      </w:r>
      <w:r w:rsidR="00C725D0">
        <w:rPr>
          <w:rStyle w:val="FootnoteReference"/>
          <w:szCs w:val="24"/>
          <w:lang w:val="en-US" w:eastAsia="en-US"/>
        </w:rPr>
        <w:footnoteReference w:id="2"/>
      </w:r>
      <w:r w:rsidRPr="002B2CFC">
        <w:rPr>
          <w:szCs w:val="24"/>
          <w:lang w:val="en-US" w:eastAsia="en-US"/>
        </w:rPr>
        <w:t>), and these findings were not reproducible in a more recent comprehensive study by the same route</w:t>
      </w:r>
      <w:r w:rsidR="00706EC7">
        <w:rPr>
          <w:szCs w:val="24"/>
          <w:lang w:val="en-US" w:eastAsia="en-US"/>
        </w:rPr>
        <w:t xml:space="preserve"> (Beck</w:t>
      </w:r>
      <w:r w:rsidR="00A4169F">
        <w:rPr>
          <w:szCs w:val="24"/>
          <w:lang w:val="en-US" w:eastAsia="en-US"/>
        </w:rPr>
        <w:t>, 2012 a,c</w:t>
      </w:r>
      <w:r w:rsidR="00706EC7">
        <w:rPr>
          <w:szCs w:val="24"/>
          <w:lang w:val="en-US" w:eastAsia="en-US"/>
        </w:rPr>
        <w:t>)</w:t>
      </w:r>
      <w:r w:rsidRPr="002B2CFC">
        <w:rPr>
          <w:szCs w:val="24"/>
          <w:lang w:val="en-US" w:eastAsia="en-US"/>
        </w:rPr>
        <w:t>. The remainder of the database does not report any other evidence of neurotoxicity in rodents, rabbits or dogs, including any clinical signs (consistent with a neurotoxicant) or neuropathy.</w:t>
      </w:r>
      <w:r w:rsidR="001F685E">
        <w:rPr>
          <w:szCs w:val="24"/>
          <w:lang w:val="en-US" w:eastAsia="en-US"/>
        </w:rPr>
        <w:br w:type="page"/>
      </w:r>
    </w:p>
    <w:p w14:paraId="6232322B" w14:textId="77777777" w:rsidR="002B2CFC" w:rsidRPr="002B2CFC" w:rsidRDefault="002B2CFC" w:rsidP="00AA1EA2">
      <w:pPr>
        <w:pStyle w:val="Heading1"/>
        <w:jc w:val="left"/>
      </w:pPr>
      <w:bookmarkStart w:id="31" w:name="_Ref399231484"/>
      <w:bookmarkStart w:id="32" w:name="_Toc459108281"/>
      <w:r w:rsidRPr="002B2CFC">
        <w:lastRenderedPageBreak/>
        <w:t>The relevance to humans of the findings in rodents</w:t>
      </w:r>
      <w:bookmarkEnd w:id="31"/>
      <w:bookmarkEnd w:id="32"/>
    </w:p>
    <w:p w14:paraId="3ABB9036" w14:textId="77777777" w:rsidR="002B2CFC" w:rsidRPr="002B2CFC" w:rsidRDefault="002B2CFC" w:rsidP="00385097">
      <w:pPr>
        <w:pStyle w:val="Heading2"/>
        <w:rPr>
          <w:lang w:eastAsia="en-US"/>
        </w:rPr>
      </w:pPr>
      <w:bookmarkStart w:id="33" w:name="_Toc459108282"/>
      <w:r w:rsidRPr="002B2CFC">
        <w:rPr>
          <w:lang w:eastAsia="en-US"/>
        </w:rPr>
        <w:t>Evidence of neurotoxicity from human exposure</w:t>
      </w:r>
      <w:bookmarkEnd w:id="33"/>
    </w:p>
    <w:p w14:paraId="4898335F" w14:textId="77777777" w:rsidR="002B2CFC" w:rsidRPr="002B2CFC" w:rsidRDefault="002B2CFC" w:rsidP="0084215F">
      <w:pPr>
        <w:rPr>
          <w:szCs w:val="24"/>
          <w:lang w:val="en-US" w:eastAsia="en-US"/>
        </w:rPr>
      </w:pPr>
      <w:r w:rsidRPr="002B2CFC">
        <w:rPr>
          <w:szCs w:val="24"/>
          <w:lang w:val="en-US" w:eastAsia="en-US"/>
        </w:rPr>
        <w:t xml:space="preserve">Numerous poisoning cases have provided no clear indication that paraquat was neurotoxic to humans. Several case reports have described cerebral damage in subjects who died following paraquat poisoning (Grant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1980; Hughes, 1988), however, this tissue injury appears to have been secondary to more severe effects on other organ systems and may have been indirectly due to hypoxia. Extensive case reports have been appended in Part 2 of this report. </w:t>
      </w:r>
    </w:p>
    <w:p w14:paraId="11F78F7E" w14:textId="77777777" w:rsidR="002B2CFC" w:rsidRPr="002B2CFC" w:rsidRDefault="002B2CFC" w:rsidP="0084215F">
      <w:pPr>
        <w:rPr>
          <w:szCs w:val="24"/>
          <w:lang w:val="en-US" w:eastAsia="en-US"/>
        </w:rPr>
      </w:pPr>
    </w:p>
    <w:p w14:paraId="61488F4A" w14:textId="77777777" w:rsidR="002B2CFC" w:rsidRPr="002B2CFC" w:rsidRDefault="002B2CFC" w:rsidP="0084215F">
      <w:pPr>
        <w:rPr>
          <w:szCs w:val="24"/>
          <w:lang w:val="en-US" w:eastAsia="en-US"/>
        </w:rPr>
      </w:pPr>
      <w:r w:rsidRPr="002B2CFC">
        <w:rPr>
          <w:szCs w:val="24"/>
          <w:lang w:val="en-US" w:eastAsia="en-US"/>
        </w:rPr>
        <w:t>Paraquat has been detected in the brains of poisoned humans at levels ranging from 0.08-0.35 </w:t>
      </w:r>
      <w:r w:rsidRPr="002B2CFC">
        <w:rPr>
          <w:szCs w:val="24"/>
          <w:lang w:val="en-US" w:eastAsia="en-US"/>
        </w:rPr>
        <w:sym w:font="Symbol" w:char="006D"/>
      </w:r>
      <w:r w:rsidRPr="002B2CFC">
        <w:rPr>
          <w:szCs w:val="24"/>
          <w:lang w:val="en-US" w:eastAsia="en-US"/>
        </w:rPr>
        <w:t xml:space="preserve">g/g tissue (Ameno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1994)</w:t>
      </w:r>
      <w:r w:rsidR="000004A4">
        <w:rPr>
          <w:szCs w:val="24"/>
          <w:lang w:val="en-US" w:eastAsia="en-US"/>
        </w:rPr>
        <w:t xml:space="preserve"> </w:t>
      </w:r>
      <w:r w:rsidRPr="002B2CFC">
        <w:rPr>
          <w:szCs w:val="24"/>
          <w:lang w:val="en-US" w:eastAsia="en-US"/>
        </w:rPr>
        <w:t xml:space="preserve">compared to up to </w:t>
      </w:r>
      <w:r w:rsidR="001068D6">
        <w:rPr>
          <w:szCs w:val="24"/>
          <w:lang w:val="en-US" w:eastAsia="en-US"/>
        </w:rPr>
        <w:t xml:space="preserve">1.98 ng/mg </w:t>
      </w:r>
      <w:r w:rsidRPr="002B2CFC">
        <w:rPr>
          <w:szCs w:val="24"/>
          <w:lang w:val="en-US" w:eastAsia="en-US"/>
        </w:rPr>
        <w:t>brain tissue from mice which received 10 mg/kg bw paraquat (ip)</w:t>
      </w:r>
      <w:r w:rsidR="001068D6">
        <w:rPr>
          <w:szCs w:val="24"/>
          <w:lang w:val="en-US" w:eastAsia="en-US"/>
        </w:rPr>
        <w:t xml:space="preserve"> for twice a week for 24 doses</w:t>
      </w:r>
      <w:r w:rsidR="004F0BFD">
        <w:rPr>
          <w:szCs w:val="24"/>
          <w:lang w:val="en-US" w:eastAsia="en-US"/>
        </w:rPr>
        <w:t xml:space="preserve"> (Prasad </w:t>
      </w:r>
      <w:r w:rsidR="004F0BFD">
        <w:rPr>
          <w:i/>
          <w:szCs w:val="24"/>
          <w:lang w:val="en-US" w:eastAsia="en-US"/>
        </w:rPr>
        <w:t>et al</w:t>
      </w:r>
      <w:r w:rsidR="00120920">
        <w:rPr>
          <w:i/>
          <w:szCs w:val="24"/>
          <w:lang w:val="en-US" w:eastAsia="en-US"/>
        </w:rPr>
        <w:t>,</w:t>
      </w:r>
      <w:r w:rsidR="004F0BFD">
        <w:rPr>
          <w:szCs w:val="24"/>
          <w:lang w:val="en-US" w:eastAsia="en-US"/>
        </w:rPr>
        <w:t xml:space="preserve"> 2009)</w:t>
      </w:r>
      <w:r w:rsidRPr="002B2CFC">
        <w:rPr>
          <w:szCs w:val="24"/>
          <w:lang w:val="en-US" w:eastAsia="en-US"/>
        </w:rPr>
        <w:t xml:space="preserve">. The OCS is not aware of reports of subsequent development of Parkinson-like symptoms or neurological signs and symptoms in survivors of poisoning events or evidence of accumulation of paraquat in brain tissue of paraquat-poisoned humans. </w:t>
      </w:r>
    </w:p>
    <w:p w14:paraId="37AE04C4" w14:textId="77777777" w:rsidR="002B2CFC" w:rsidRPr="002B2CFC" w:rsidRDefault="002B2CFC" w:rsidP="00035BA6">
      <w:pPr>
        <w:rPr>
          <w:szCs w:val="24"/>
          <w:lang w:val="en-US" w:eastAsia="en-US"/>
        </w:rPr>
      </w:pPr>
    </w:p>
    <w:p w14:paraId="29F9A8D9" w14:textId="77777777" w:rsidR="002B2CFC" w:rsidRPr="002B2CFC" w:rsidRDefault="002B2CFC" w:rsidP="00385097">
      <w:pPr>
        <w:pStyle w:val="Heading2"/>
        <w:rPr>
          <w:lang w:eastAsia="en-US"/>
        </w:rPr>
      </w:pPr>
      <w:bookmarkStart w:id="34" w:name="_Toc459108283"/>
      <w:r w:rsidRPr="002B2CFC">
        <w:rPr>
          <w:lang w:eastAsia="en-US"/>
        </w:rPr>
        <w:t>Comparative pharmacokinetics</w:t>
      </w:r>
      <w:bookmarkEnd w:id="34"/>
    </w:p>
    <w:p w14:paraId="229DA976" w14:textId="7CC18AA6" w:rsidR="002B2CFC" w:rsidRPr="002B2CFC" w:rsidRDefault="002B2CFC" w:rsidP="00691664">
      <w:pPr>
        <w:spacing w:before="240"/>
        <w:rPr>
          <w:szCs w:val="24"/>
          <w:lang w:val="en-US" w:eastAsia="en-US"/>
        </w:rPr>
      </w:pPr>
      <w:r w:rsidRPr="002B2CFC">
        <w:rPr>
          <w:szCs w:val="24"/>
          <w:lang w:val="en-US" w:eastAsia="en-US"/>
        </w:rPr>
        <w:t xml:space="preserve">A difficulty in determining the human relevance of the available animal studies which describe neurotoxicity findings has been that animal studies </w:t>
      </w:r>
      <w:r w:rsidR="003A0426">
        <w:rPr>
          <w:szCs w:val="24"/>
          <w:lang w:val="en-US" w:eastAsia="en-US"/>
        </w:rPr>
        <w:t>demonstrating</w:t>
      </w:r>
      <w:r w:rsidRPr="002B2CFC">
        <w:rPr>
          <w:szCs w:val="24"/>
          <w:lang w:val="en-US" w:eastAsia="en-US"/>
        </w:rPr>
        <w:t xml:space="preserve"> neuronal injury have used exposure routes which are not relevant to the likely human exposure routes. Generally, animal studies have used the ip, sc or </w:t>
      </w:r>
      <w:r w:rsidR="001375F1">
        <w:rPr>
          <w:szCs w:val="24"/>
          <w:lang w:val="en-US" w:eastAsia="en-US"/>
        </w:rPr>
        <w:t xml:space="preserve">oral </w:t>
      </w:r>
      <w:r w:rsidRPr="002B2CFC">
        <w:rPr>
          <w:szCs w:val="24"/>
          <w:lang w:val="en-US" w:eastAsia="en-US"/>
        </w:rPr>
        <w:t xml:space="preserve">dietary routes whereas the most likely route of exposure for humans is </w:t>
      </w:r>
      <w:r w:rsidRPr="002B2CFC">
        <w:rPr>
          <w:i/>
          <w:szCs w:val="24"/>
          <w:lang w:val="en-US" w:eastAsia="en-US"/>
        </w:rPr>
        <w:t>via</w:t>
      </w:r>
      <w:r w:rsidRPr="002B2CFC">
        <w:rPr>
          <w:szCs w:val="24"/>
          <w:lang w:val="en-US" w:eastAsia="en-US"/>
        </w:rPr>
        <w:t xml:space="preserve"> </w:t>
      </w:r>
      <w:r w:rsidR="008A689B">
        <w:rPr>
          <w:szCs w:val="24"/>
          <w:lang w:val="en-US" w:eastAsia="en-US"/>
        </w:rPr>
        <w:t>oral</w:t>
      </w:r>
      <w:r w:rsidRPr="002B2CFC">
        <w:rPr>
          <w:szCs w:val="24"/>
          <w:lang w:val="en-US" w:eastAsia="en-US"/>
        </w:rPr>
        <w:t xml:space="preserve">, inhalational or dermal routes. </w:t>
      </w:r>
    </w:p>
    <w:p w14:paraId="157AE504" w14:textId="77777777" w:rsidR="002B2CFC" w:rsidRPr="002B2CFC" w:rsidRDefault="002B2CFC" w:rsidP="009E40A8">
      <w:pPr>
        <w:rPr>
          <w:szCs w:val="24"/>
          <w:lang w:val="en-US" w:eastAsia="en-US"/>
        </w:rPr>
      </w:pPr>
    </w:p>
    <w:p w14:paraId="26B0996E" w14:textId="77777777" w:rsidR="002B2CFC" w:rsidRPr="002B2CFC" w:rsidRDefault="002B2CFC" w:rsidP="00385097">
      <w:pPr>
        <w:pStyle w:val="Heading2"/>
        <w:rPr>
          <w:lang w:eastAsia="en-US"/>
        </w:rPr>
      </w:pPr>
      <w:bookmarkStart w:id="35" w:name="_Ref278554576"/>
      <w:bookmarkStart w:id="36" w:name="_Toc459108284"/>
      <w:r w:rsidRPr="002B2CFC">
        <w:rPr>
          <w:lang w:eastAsia="en-US"/>
        </w:rPr>
        <w:t>Neuromelanin and oxidative stress</w:t>
      </w:r>
      <w:bookmarkEnd w:id="35"/>
      <w:bookmarkEnd w:id="36"/>
    </w:p>
    <w:p w14:paraId="5FFAD5AB" w14:textId="77777777" w:rsidR="002B2CFC" w:rsidRPr="002B2CFC" w:rsidRDefault="002B2CFC" w:rsidP="009E40A8">
      <w:pPr>
        <w:rPr>
          <w:szCs w:val="24"/>
          <w:lang w:val="en-US" w:eastAsia="en-US"/>
        </w:rPr>
      </w:pPr>
      <w:r w:rsidRPr="002B2CFC">
        <w:rPr>
          <w:szCs w:val="24"/>
          <w:lang w:val="en-US" w:eastAsia="en-US"/>
        </w:rPr>
        <w:t xml:space="preserve">An innate property of neuromelanin (NM), which is present in the neurons of the </w:t>
      </w:r>
      <w:r w:rsidR="004D01E6">
        <w:rPr>
          <w:szCs w:val="24"/>
          <w:lang w:val="en-US" w:eastAsia="en-US"/>
        </w:rPr>
        <w:t>SN</w:t>
      </w:r>
      <w:r w:rsidRPr="002B2CFC">
        <w:rPr>
          <w:szCs w:val="24"/>
          <w:lang w:val="en-US" w:eastAsia="en-US"/>
        </w:rPr>
        <w:t>, is the capacity to act as a molecular ‘sink’ for poorly regulated natural molecules/compounds and also to bind extraneous molecules such as pesticides, including paraquat (Lin</w:t>
      </w:r>
      <w:r w:rsidR="00391498">
        <w:rPr>
          <w:szCs w:val="24"/>
          <w:lang w:val="en-US" w:eastAsia="en-US"/>
        </w:rPr>
        <w:t>d</w:t>
      </w:r>
      <w:r w:rsidRPr="002B2CFC">
        <w:rPr>
          <w:szCs w:val="24"/>
          <w:lang w:val="en-US" w:eastAsia="en-US"/>
        </w:rPr>
        <w:t xml:space="preserve">quist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1988). This binding activity by NM has led to an array of experimental evidence which suggests that the NM which has been isolated from autopsy samples of the </w:t>
      </w:r>
      <w:r w:rsidR="004D01E6">
        <w:rPr>
          <w:szCs w:val="24"/>
          <w:lang w:val="en-US" w:eastAsia="en-US"/>
        </w:rPr>
        <w:t>SN</w:t>
      </w:r>
      <w:r w:rsidRPr="002B2CFC">
        <w:rPr>
          <w:szCs w:val="24"/>
          <w:lang w:val="en-US" w:eastAsia="en-US"/>
        </w:rPr>
        <w:t xml:space="preserve"> of Parkinson’s disease patients has molecular characteristics which suggest that the NM was modified and that those modifications were consistent with prior exposure to increased oxidative stress. The following discussion represents a contemporary opinion as to how these findings may relate to the hypothesised association between exposure to paraquat and the development of neuronal injury which has similarities to the pathology observed in Parkinson’s disease patients. </w:t>
      </w:r>
    </w:p>
    <w:p w14:paraId="34E3F09E" w14:textId="77777777" w:rsidR="002B2CFC" w:rsidRPr="002B2CFC" w:rsidRDefault="002B2CFC" w:rsidP="009E40A8">
      <w:pPr>
        <w:rPr>
          <w:szCs w:val="24"/>
          <w:lang w:val="en-US" w:eastAsia="en-US"/>
        </w:rPr>
      </w:pPr>
    </w:p>
    <w:p w14:paraId="27929BAA" w14:textId="77777777" w:rsidR="002B2CFC" w:rsidRPr="002B2CFC" w:rsidRDefault="002B2CFC" w:rsidP="009E40A8">
      <w:pPr>
        <w:rPr>
          <w:szCs w:val="24"/>
          <w:lang w:val="en-US" w:eastAsia="en-US"/>
        </w:rPr>
      </w:pPr>
      <w:r w:rsidRPr="002B2CFC">
        <w:rPr>
          <w:szCs w:val="24"/>
          <w:lang w:val="en-US" w:eastAsia="en-US"/>
        </w:rPr>
        <w:t xml:space="preserve">Neuromelanin is broadly a member of the melanin pigment family (such as the peripheral melanins) but with distinct differences in origin and composition. NM is most abundant in human brain tissue, present in lesser amounts in non-human primates and appears to be absent from the brain of many lower order species, such as rodents (see review by Fedorow </w:t>
      </w:r>
      <w:r w:rsidRPr="002B2CFC">
        <w:rPr>
          <w:i/>
          <w:szCs w:val="24"/>
          <w:lang w:val="en-US" w:eastAsia="en-US"/>
        </w:rPr>
        <w:t>et al</w:t>
      </w:r>
      <w:r w:rsidRPr="002B2CFC">
        <w:rPr>
          <w:szCs w:val="24"/>
          <w:lang w:val="en-US" w:eastAsia="en-US"/>
        </w:rPr>
        <w:t xml:space="preserve">, 2005). The latter observation may represent a possible divergence between the mechanisms of action of paraquat in the mouse model of neuronal injury initiated by paraquat and the observations from end-stage disease brain tissue samples available from Parkinson’s disease patients at autopsy. </w:t>
      </w:r>
    </w:p>
    <w:p w14:paraId="3E6AA06D" w14:textId="77777777" w:rsidR="002B2CFC" w:rsidRPr="002B2CFC" w:rsidRDefault="002B2CFC" w:rsidP="009E40A8">
      <w:pPr>
        <w:rPr>
          <w:szCs w:val="24"/>
          <w:lang w:val="en-US" w:eastAsia="en-US"/>
        </w:rPr>
      </w:pPr>
    </w:p>
    <w:p w14:paraId="1B993D02" w14:textId="77777777" w:rsidR="002B2CFC" w:rsidRPr="002B2CFC" w:rsidRDefault="002B2CFC" w:rsidP="009E40A8">
      <w:pPr>
        <w:rPr>
          <w:szCs w:val="24"/>
          <w:lang w:val="en-US" w:eastAsia="en-US"/>
        </w:rPr>
      </w:pPr>
      <w:r w:rsidRPr="002B2CFC">
        <w:rPr>
          <w:szCs w:val="24"/>
          <w:lang w:val="en-US" w:eastAsia="en-US"/>
        </w:rPr>
        <w:lastRenderedPageBreak/>
        <w:t xml:space="preserve">Neuromelanin which has been isolated from autopsy tissue from Parkinson’s disease patients differs from NM isolated from normal human brain tissue. Early studies reported the marked accumulation of iron in the </w:t>
      </w:r>
      <w:r w:rsidR="004D01E6">
        <w:rPr>
          <w:szCs w:val="24"/>
          <w:lang w:val="en-US" w:eastAsia="en-US"/>
        </w:rPr>
        <w:t>SN</w:t>
      </w:r>
      <w:r w:rsidRPr="002B2CFC">
        <w:rPr>
          <w:szCs w:val="24"/>
          <w:lang w:val="en-US" w:eastAsia="en-US"/>
        </w:rPr>
        <w:t xml:space="preserve"> neurons; this was thought to be associated with the severity of Parkinson’s disease and that the disease may be related to a dysfunction in the regulation of iron storage in the SN pc neurons. The relevance of this observation to oxidative stress and tissue injury is that iron is a key catalyst of the Fenton-reaction which leads to the formation of the highly reactive hydroxyl radical which can initiate the oxidation of lipids, proteins and DNA. A pro</w:t>
      </w:r>
      <w:r w:rsidRPr="002B2CFC">
        <w:rPr>
          <w:szCs w:val="24"/>
          <w:lang w:val="en-US" w:eastAsia="en-US"/>
        </w:rPr>
        <w:noBreakHyphen/>
        <w:t>oxidant status of NM, i.e., promotion of oxidant reactions, is suggested by a report that the reduction/oxidation (or redox) activity of NM-aggregates isolated from Parkinsonian patients was significantly increased (69%) and was highest in patients with the most severe neuronal loss (</w:t>
      </w:r>
      <w:r w:rsidRPr="002B2CFC">
        <w:rPr>
          <w:szCs w:val="24"/>
          <w:lang w:eastAsia="en-US"/>
        </w:rPr>
        <w:t xml:space="preserve">Faucheux </w:t>
      </w:r>
      <w:r w:rsidR="00EE5CEB" w:rsidRPr="00EE5CEB">
        <w:rPr>
          <w:i/>
          <w:szCs w:val="24"/>
          <w:lang w:eastAsia="en-US"/>
        </w:rPr>
        <w:t>et al</w:t>
      </w:r>
      <w:r w:rsidR="00120920">
        <w:rPr>
          <w:i/>
          <w:szCs w:val="24"/>
          <w:lang w:eastAsia="en-US"/>
        </w:rPr>
        <w:t>,</w:t>
      </w:r>
      <w:r w:rsidRPr="002B2CFC">
        <w:rPr>
          <w:szCs w:val="24"/>
          <w:lang w:eastAsia="en-US"/>
        </w:rPr>
        <w:t xml:space="preserve"> 2003</w:t>
      </w:r>
      <w:r w:rsidRPr="002B2CFC">
        <w:rPr>
          <w:szCs w:val="24"/>
          <w:lang w:val="en-US" w:eastAsia="en-US"/>
        </w:rPr>
        <w:t xml:space="preserve">). High and low affinity iron binding sites have been described on normal NM. Therefore, it is conceivable that if there is high binding site vacancy, particularly of the high affinity binding sites as would be expected in normal neurons, then NM could have an anti-catalytic activity and suppress iron-mediated </w:t>
      </w:r>
      <w:r w:rsidR="0083689C" w:rsidRPr="002B2CFC">
        <w:rPr>
          <w:szCs w:val="24"/>
          <w:lang w:val="en-US" w:eastAsia="en-US"/>
        </w:rPr>
        <w:t>injury</w:t>
      </w:r>
      <w:r w:rsidRPr="002B2CFC">
        <w:rPr>
          <w:szCs w:val="24"/>
          <w:lang w:val="en-US" w:eastAsia="en-US"/>
        </w:rPr>
        <w:t xml:space="preserve">. </w:t>
      </w:r>
    </w:p>
    <w:p w14:paraId="60C62D2C" w14:textId="77777777" w:rsidR="002B2CFC" w:rsidRPr="002B2CFC" w:rsidRDefault="002B2CFC" w:rsidP="009E40A8">
      <w:pPr>
        <w:rPr>
          <w:szCs w:val="24"/>
          <w:lang w:val="en-US" w:eastAsia="en-US"/>
        </w:rPr>
      </w:pPr>
    </w:p>
    <w:p w14:paraId="2DBFDAB6" w14:textId="14D9787F" w:rsidR="002B2CFC" w:rsidRPr="002B2CFC" w:rsidRDefault="002B2CFC" w:rsidP="009E40A8">
      <w:pPr>
        <w:rPr>
          <w:szCs w:val="24"/>
          <w:lang w:val="en-US" w:eastAsia="en-US"/>
        </w:rPr>
      </w:pPr>
      <w:r w:rsidRPr="002B2CFC">
        <w:rPr>
          <w:szCs w:val="24"/>
          <w:lang w:val="en-US" w:eastAsia="en-US"/>
        </w:rPr>
        <w:t xml:space="preserve">Parkinson’s disease has been associated with descriptions of modified NM protein which would be consistent with the effects of oxidant stress. NM extracted from </w:t>
      </w:r>
      <w:r w:rsidR="004D01E6">
        <w:rPr>
          <w:szCs w:val="24"/>
          <w:lang w:val="en-US" w:eastAsia="en-US"/>
        </w:rPr>
        <w:t>SN</w:t>
      </w:r>
      <w:r w:rsidRPr="002B2CFC">
        <w:rPr>
          <w:szCs w:val="24"/>
          <w:lang w:val="en-US" w:eastAsia="en-US"/>
        </w:rPr>
        <w:t xml:space="preserve"> brain tissue from Parkinson’s disease patients was found to be composed of highly cross-linked, protease resistant, lipoprotein material when compared to NM isolated from normal brain tissue (Aime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2000,  Halliday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2005). Another early observation in the SN pc of Parkinson’s disease patients is the presence of Lewy bodies as a hallmark of disease. Prior to Lewy body formation, intracellular changes in the optical density of NM were associated with a loss of NM-associated cholesterol and an aggregation of a lipoprotein later described as α</w:t>
      </w:r>
      <w:r w:rsidRPr="002B2CFC">
        <w:rPr>
          <w:szCs w:val="24"/>
          <w:lang w:val="en-US" w:eastAsia="en-US"/>
        </w:rPr>
        <w:noBreakHyphen/>
        <w:t xml:space="preserve">synuclein, to the NM lipid (see Halliday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2005). The changes in the optical density of NM from Parkinson’s disease patients were comparable to normal NM which had been treated with H</w:t>
      </w:r>
      <w:r w:rsidRPr="002B2CFC">
        <w:rPr>
          <w:szCs w:val="24"/>
          <w:vertAlign w:val="subscript"/>
          <w:lang w:val="en-US" w:eastAsia="en-US"/>
        </w:rPr>
        <w:t>2</w:t>
      </w:r>
      <w:r w:rsidRPr="002B2CFC">
        <w:rPr>
          <w:szCs w:val="24"/>
          <w:lang w:val="en-US" w:eastAsia="en-US"/>
        </w:rPr>
        <w:t>O</w:t>
      </w:r>
      <w:r w:rsidRPr="002B2CFC">
        <w:rPr>
          <w:szCs w:val="24"/>
          <w:vertAlign w:val="subscript"/>
          <w:lang w:val="en-US" w:eastAsia="en-US"/>
        </w:rPr>
        <w:t>2</w:t>
      </w:r>
      <w:r w:rsidRPr="002B2CFC">
        <w:rPr>
          <w:szCs w:val="24"/>
          <w:lang w:val="en-US" w:eastAsia="en-US"/>
        </w:rPr>
        <w:t xml:space="preserve"> (Faucheux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2003) and may be an early biochemical event due to increased cellular oxidation and saturation of the iron-binding capacity in Parkinson’s disease (Halliday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2005). </w:t>
      </w:r>
    </w:p>
    <w:p w14:paraId="343636E8" w14:textId="77777777" w:rsidR="002B2CFC" w:rsidRPr="002B2CFC" w:rsidRDefault="002B2CFC" w:rsidP="009E40A8">
      <w:pPr>
        <w:rPr>
          <w:szCs w:val="24"/>
          <w:lang w:val="en-US" w:eastAsia="en-US"/>
        </w:rPr>
      </w:pPr>
    </w:p>
    <w:p w14:paraId="5C7C74B5" w14:textId="32E044DD" w:rsidR="002B2CFC" w:rsidRPr="002B2CFC" w:rsidRDefault="002B2CFC" w:rsidP="009E40A8">
      <w:pPr>
        <w:rPr>
          <w:szCs w:val="24"/>
          <w:lang w:val="en-US" w:eastAsia="en-US"/>
        </w:rPr>
      </w:pPr>
      <w:r w:rsidRPr="002B2CFC">
        <w:rPr>
          <w:szCs w:val="24"/>
          <w:lang w:val="en-US" w:eastAsia="en-US"/>
        </w:rPr>
        <w:t>α</w:t>
      </w:r>
      <w:r w:rsidRPr="002B2CFC">
        <w:rPr>
          <w:szCs w:val="24"/>
          <w:lang w:val="en-US" w:eastAsia="en-US"/>
        </w:rPr>
        <w:noBreakHyphen/>
        <w:t>Synuclein has been extracted from Lewy bodies and Lewy neurites from Parkinson’s disease patients where it was present as insoluble β</w:t>
      </w:r>
      <w:r w:rsidRPr="002B2CFC">
        <w:rPr>
          <w:szCs w:val="24"/>
          <w:lang w:val="en-US" w:eastAsia="en-US"/>
        </w:rPr>
        <w:noBreakHyphen/>
        <w:t>sheet-rich amyloid filaments compared to the normal form of an unstructured, very soluble lipoprotein in an α</w:t>
      </w:r>
      <w:r w:rsidRPr="002B2CFC">
        <w:rPr>
          <w:szCs w:val="24"/>
          <w:lang w:val="en-US" w:eastAsia="en-US"/>
        </w:rPr>
        <w:noBreakHyphen/>
        <w:t>helix structure when in contact with membranes (Cole, 2008). No publications were found which might indicate that paraquat could modify α</w:t>
      </w:r>
      <w:r w:rsidRPr="002B2CFC">
        <w:rPr>
          <w:szCs w:val="24"/>
          <w:lang w:val="en-US" w:eastAsia="en-US"/>
        </w:rPr>
        <w:noBreakHyphen/>
        <w:t xml:space="preserve">synuclein directly to the form of α-synuclein which was found associated with NM lipid. </w:t>
      </w:r>
      <w:r w:rsidR="00F45306">
        <w:rPr>
          <w:szCs w:val="24"/>
          <w:lang w:val="en-US" w:eastAsia="en-US"/>
        </w:rPr>
        <w:t>There is e</w:t>
      </w:r>
      <w:r w:rsidRPr="002B2CFC">
        <w:rPr>
          <w:szCs w:val="24"/>
          <w:lang w:val="en-US" w:eastAsia="en-US"/>
        </w:rPr>
        <w:t xml:space="preserve">vidence </w:t>
      </w:r>
      <w:r w:rsidR="0059714C" w:rsidRPr="002B2CFC">
        <w:rPr>
          <w:szCs w:val="24"/>
          <w:lang w:val="en-US" w:eastAsia="en-US"/>
        </w:rPr>
        <w:t xml:space="preserve">from other </w:t>
      </w:r>
      <w:r w:rsidR="0059714C">
        <w:rPr>
          <w:szCs w:val="24"/>
          <w:lang w:val="en-US" w:eastAsia="en-US"/>
        </w:rPr>
        <w:t xml:space="preserve">studies </w:t>
      </w:r>
      <w:r w:rsidRPr="002B2CFC">
        <w:rPr>
          <w:szCs w:val="24"/>
          <w:lang w:val="en-US" w:eastAsia="en-US"/>
        </w:rPr>
        <w:t>describ</w:t>
      </w:r>
      <w:r w:rsidR="0059714C">
        <w:rPr>
          <w:szCs w:val="24"/>
          <w:lang w:val="en-US" w:eastAsia="en-US"/>
        </w:rPr>
        <w:t>ing</w:t>
      </w:r>
      <w:r w:rsidRPr="002B2CFC">
        <w:rPr>
          <w:szCs w:val="24"/>
          <w:lang w:val="en-US" w:eastAsia="en-US"/>
        </w:rPr>
        <w:t xml:space="preserve"> </w:t>
      </w:r>
      <w:r w:rsidR="0059714C" w:rsidRPr="002B2CFC">
        <w:rPr>
          <w:szCs w:val="24"/>
          <w:lang w:val="en-US" w:eastAsia="en-US"/>
        </w:rPr>
        <w:t>the formation of α</w:t>
      </w:r>
      <w:r w:rsidR="0059714C" w:rsidRPr="002B2CFC">
        <w:rPr>
          <w:szCs w:val="24"/>
          <w:lang w:val="en-US" w:eastAsia="en-US"/>
        </w:rPr>
        <w:noBreakHyphen/>
        <w:t>synuclein fibrils</w:t>
      </w:r>
      <w:r w:rsidR="0059714C" w:rsidRPr="002B2CFC" w:rsidDel="0059714C">
        <w:rPr>
          <w:szCs w:val="24"/>
          <w:lang w:val="en-US" w:eastAsia="en-US"/>
        </w:rPr>
        <w:t xml:space="preserve"> </w:t>
      </w:r>
      <w:r w:rsidRPr="002B2CFC">
        <w:rPr>
          <w:szCs w:val="24"/>
          <w:lang w:val="en-US" w:eastAsia="en-US"/>
        </w:rPr>
        <w:t>in the presence of iron (Fe</w:t>
      </w:r>
      <w:r w:rsidRPr="002B2CFC">
        <w:rPr>
          <w:szCs w:val="24"/>
          <w:vertAlign w:val="superscript"/>
          <w:lang w:val="en-US" w:eastAsia="en-US"/>
        </w:rPr>
        <w:t>2+</w:t>
      </w:r>
      <w:r w:rsidRPr="002B2CFC">
        <w:rPr>
          <w:szCs w:val="24"/>
          <w:lang w:val="en-US" w:eastAsia="en-US"/>
        </w:rPr>
        <w:t>) , whereas reaction with aldehydes from lipid peroxidation (e.g., 4</w:t>
      </w:r>
      <w:r w:rsidRPr="002B2CFC">
        <w:rPr>
          <w:szCs w:val="24"/>
          <w:lang w:val="en-US" w:eastAsia="en-US"/>
        </w:rPr>
        <w:noBreakHyphen/>
        <w:t>hydroxy-2</w:t>
      </w:r>
      <w:r w:rsidRPr="002B2CFC">
        <w:rPr>
          <w:szCs w:val="24"/>
          <w:lang w:val="en-US" w:eastAsia="en-US"/>
        </w:rPr>
        <w:noBreakHyphen/>
        <w:t>nonenal), led to the formation of soluble oligomers rather than insoluble filaments (reviewed in Cole, 2008)</w:t>
      </w:r>
      <w:r w:rsidR="0059714C">
        <w:rPr>
          <w:szCs w:val="24"/>
          <w:lang w:val="en-US" w:eastAsia="en-US"/>
        </w:rPr>
        <w:t>.  T</w:t>
      </w:r>
      <w:r w:rsidRPr="002B2CFC">
        <w:rPr>
          <w:szCs w:val="24"/>
          <w:lang w:val="en-US" w:eastAsia="en-US"/>
        </w:rPr>
        <w:t xml:space="preserve">he former share structural properties with amyloidogenic peptides/ proteins which are capable of forming membrane pores and permeabilising lipid bilayers, causing proteosome dysfunction, and may initiate α-synuclein filament formation. This area of research is in its early stages and </w:t>
      </w:r>
      <w:r w:rsidR="003A0426">
        <w:rPr>
          <w:szCs w:val="24"/>
          <w:lang w:val="en-US" w:eastAsia="en-US"/>
        </w:rPr>
        <w:t>is not considered relevant</w:t>
      </w:r>
      <w:r w:rsidRPr="002B2CFC">
        <w:rPr>
          <w:szCs w:val="24"/>
          <w:lang w:val="en-US" w:eastAsia="en-US"/>
        </w:rPr>
        <w:t xml:space="preserve"> to paraquat-mediated neuronal injury and/or Parkinson’s disease</w:t>
      </w:r>
      <w:r w:rsidR="00F50B06">
        <w:rPr>
          <w:szCs w:val="24"/>
          <w:lang w:val="en-US" w:eastAsia="en-US"/>
        </w:rPr>
        <w:t xml:space="preserve"> in humans</w:t>
      </w:r>
      <w:r w:rsidRPr="002B2CFC">
        <w:rPr>
          <w:szCs w:val="24"/>
          <w:lang w:val="en-US" w:eastAsia="en-US"/>
        </w:rPr>
        <w:t xml:space="preserve">. </w:t>
      </w:r>
      <w:r w:rsidR="001F685E">
        <w:rPr>
          <w:szCs w:val="24"/>
          <w:lang w:val="en-US" w:eastAsia="en-US"/>
        </w:rPr>
        <w:br w:type="page"/>
      </w:r>
    </w:p>
    <w:p w14:paraId="2D962430" w14:textId="090C8057" w:rsidR="002B2CFC" w:rsidRPr="002B2CFC" w:rsidRDefault="002B2CFC" w:rsidP="00AA1EA2">
      <w:pPr>
        <w:pStyle w:val="Heading1"/>
        <w:jc w:val="left"/>
      </w:pPr>
      <w:bookmarkStart w:id="37" w:name="_Ref399231509"/>
      <w:bookmarkStart w:id="38" w:name="_Toc459108285"/>
      <w:r w:rsidRPr="002B2CFC">
        <w:lastRenderedPageBreak/>
        <w:t xml:space="preserve">Recent epidemiological </w:t>
      </w:r>
      <w:r w:rsidR="0088497F">
        <w:t>studies</w:t>
      </w:r>
      <w:r w:rsidR="00EA4D49">
        <w:t xml:space="preserve"> on</w:t>
      </w:r>
      <w:r w:rsidR="0086192B">
        <w:t xml:space="preserve"> </w:t>
      </w:r>
      <w:r w:rsidR="00EA4D49">
        <w:t xml:space="preserve">the </w:t>
      </w:r>
      <w:r w:rsidRPr="002B2CFC">
        <w:t>associations between Parkinson’s disease and exposure to paraquat</w:t>
      </w:r>
      <w:bookmarkEnd w:id="37"/>
      <w:bookmarkEnd w:id="38"/>
    </w:p>
    <w:p w14:paraId="73F71682" w14:textId="77777777" w:rsidR="002B2CFC" w:rsidRPr="002B2CFC" w:rsidRDefault="002B2CFC" w:rsidP="00385097">
      <w:pPr>
        <w:pStyle w:val="Heading2"/>
        <w:rPr>
          <w:lang w:eastAsia="en-US"/>
        </w:rPr>
      </w:pPr>
      <w:bookmarkStart w:id="39" w:name="_Toc459108286"/>
      <w:r w:rsidRPr="002B2CFC">
        <w:rPr>
          <w:lang w:eastAsia="en-US"/>
        </w:rPr>
        <w:t>Introduction</w:t>
      </w:r>
      <w:bookmarkEnd w:id="39"/>
      <w:r w:rsidRPr="002B2CFC">
        <w:rPr>
          <w:lang w:eastAsia="en-US"/>
        </w:rPr>
        <w:t xml:space="preserve"> </w:t>
      </w:r>
    </w:p>
    <w:p w14:paraId="69276798" w14:textId="75F05D5A" w:rsidR="002B2CFC" w:rsidRPr="002B2CFC" w:rsidRDefault="002B2CFC" w:rsidP="009E40A8">
      <w:pPr>
        <w:rPr>
          <w:szCs w:val="24"/>
          <w:lang w:val="en-US" w:eastAsia="en-US"/>
        </w:rPr>
      </w:pPr>
      <w:r w:rsidRPr="002B2CFC">
        <w:rPr>
          <w:szCs w:val="24"/>
          <w:lang w:val="en-US" w:eastAsia="en-US"/>
        </w:rPr>
        <w:t xml:space="preserve">Several epidemiology studies have been carried out to investigate whether there is a </w:t>
      </w:r>
      <w:r w:rsidR="00F43A40">
        <w:rPr>
          <w:szCs w:val="24"/>
          <w:lang w:val="en-US" w:eastAsia="en-US"/>
        </w:rPr>
        <w:t>statistical association between</w:t>
      </w:r>
      <w:r w:rsidRPr="002B2CFC">
        <w:rPr>
          <w:szCs w:val="24"/>
          <w:lang w:val="en-US" w:eastAsia="en-US"/>
        </w:rPr>
        <w:t xml:space="preserve"> developing Parkinson’s disease following exposure to paraquat</w:t>
      </w:r>
      <w:r w:rsidR="00F50B06">
        <w:rPr>
          <w:szCs w:val="24"/>
          <w:lang w:val="en-US" w:eastAsia="en-US"/>
        </w:rPr>
        <w:t>.</w:t>
      </w:r>
      <w:r w:rsidRPr="002B2CFC">
        <w:rPr>
          <w:szCs w:val="24"/>
          <w:lang w:val="en-US" w:eastAsia="en-US"/>
        </w:rPr>
        <w:t xml:space="preserve"> Some studies have claimed to find a positive association specifically for paraquat (Barbeau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1987; Hertzman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1990; Liou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1997), or an association between the occupational use of herbicides in general and the development of Parkinson’s disease (Semchuk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1992; Ritz &amp; Yu, 2000), whereas other studies have </w:t>
      </w:r>
      <w:r w:rsidR="00F43A40">
        <w:rPr>
          <w:szCs w:val="24"/>
          <w:lang w:val="en-US" w:eastAsia="en-US"/>
        </w:rPr>
        <w:t>concluded</w:t>
      </w:r>
      <w:r w:rsidR="00F43A40" w:rsidRPr="002B2CFC">
        <w:rPr>
          <w:szCs w:val="24"/>
          <w:lang w:val="en-US" w:eastAsia="en-US"/>
        </w:rPr>
        <w:t xml:space="preserve"> </w:t>
      </w:r>
      <w:r w:rsidRPr="002B2CFC">
        <w:rPr>
          <w:szCs w:val="24"/>
          <w:lang w:val="en-US" w:eastAsia="en-US"/>
        </w:rPr>
        <w:t xml:space="preserve">that </w:t>
      </w:r>
      <w:r w:rsidR="00F43A40">
        <w:rPr>
          <w:szCs w:val="24"/>
          <w:lang w:val="en-US" w:eastAsia="en-US"/>
        </w:rPr>
        <w:t xml:space="preserve">there is no </w:t>
      </w:r>
      <w:r w:rsidRPr="002B2CFC">
        <w:rPr>
          <w:szCs w:val="24"/>
          <w:lang w:val="en-US" w:eastAsia="en-US"/>
        </w:rPr>
        <w:t xml:space="preserve">evidence to support a causal association between pesticide exposure and Parkinson’s disease (Li </w:t>
      </w:r>
      <w:r w:rsidR="00EE5CEB" w:rsidRPr="00EE5CEB">
        <w:rPr>
          <w:i/>
          <w:szCs w:val="24"/>
          <w:lang w:val="en-US" w:eastAsia="en-US"/>
        </w:rPr>
        <w:t>et al</w:t>
      </w:r>
      <w:r w:rsidR="00120920">
        <w:rPr>
          <w:i/>
          <w:szCs w:val="24"/>
          <w:lang w:val="en-US" w:eastAsia="en-US"/>
        </w:rPr>
        <w:t>,</w:t>
      </w:r>
      <w:r w:rsidRPr="002B2CFC">
        <w:rPr>
          <w:szCs w:val="24"/>
          <w:lang w:val="en-US" w:eastAsia="en-US"/>
        </w:rPr>
        <w:t xml:space="preserve"> 2005). </w:t>
      </w:r>
    </w:p>
    <w:p w14:paraId="27BE217D" w14:textId="77777777" w:rsidR="002B2CFC" w:rsidRPr="002B2CFC" w:rsidRDefault="002B2CFC" w:rsidP="009E40A8">
      <w:pPr>
        <w:rPr>
          <w:szCs w:val="24"/>
          <w:lang w:val="en-US" w:eastAsia="en-US"/>
        </w:rPr>
      </w:pPr>
    </w:p>
    <w:p w14:paraId="44178822" w14:textId="75E453C8" w:rsidR="002B2CFC" w:rsidRPr="002B2CFC" w:rsidRDefault="002B2CFC" w:rsidP="009E40A8">
      <w:pPr>
        <w:rPr>
          <w:szCs w:val="24"/>
          <w:lang w:val="en-US" w:eastAsia="en-US"/>
        </w:rPr>
      </w:pPr>
      <w:r w:rsidRPr="002B2CFC">
        <w:rPr>
          <w:szCs w:val="24"/>
          <w:lang w:val="en-US" w:eastAsia="en-US"/>
        </w:rPr>
        <w:t xml:space="preserve">The APVMA requested the OCS provide comment on the robustness of two contemporary epidemiology studies in which associations between Parkinson’s disease and exposure to paraquat or pesticides were claimed by the study authors. The papers (Kamel </w:t>
      </w:r>
      <w:r w:rsidRPr="002B2CFC">
        <w:rPr>
          <w:i/>
          <w:szCs w:val="24"/>
          <w:lang w:val="en-US" w:eastAsia="en-US"/>
        </w:rPr>
        <w:t>et al</w:t>
      </w:r>
      <w:r w:rsidR="00120920">
        <w:rPr>
          <w:i/>
          <w:szCs w:val="24"/>
          <w:lang w:val="en-US" w:eastAsia="en-US"/>
        </w:rPr>
        <w:t>,</w:t>
      </w:r>
      <w:r w:rsidR="00A817ED">
        <w:rPr>
          <w:i/>
          <w:szCs w:val="24"/>
          <w:lang w:val="en-US" w:eastAsia="en-US"/>
        </w:rPr>
        <w:t xml:space="preserve"> </w:t>
      </w:r>
      <w:r w:rsidRPr="002B2CFC">
        <w:rPr>
          <w:szCs w:val="24"/>
          <w:lang w:val="en-US" w:eastAsia="en-US"/>
        </w:rPr>
        <w:t xml:space="preserve">2007; Costello </w:t>
      </w:r>
      <w:r w:rsidRPr="002B2CFC">
        <w:rPr>
          <w:i/>
          <w:szCs w:val="24"/>
          <w:lang w:val="en-US" w:eastAsia="en-US"/>
        </w:rPr>
        <w:t>et al</w:t>
      </w:r>
      <w:r w:rsidR="00120920">
        <w:rPr>
          <w:i/>
          <w:szCs w:val="24"/>
          <w:lang w:val="en-US" w:eastAsia="en-US"/>
        </w:rPr>
        <w:t>,</w:t>
      </w:r>
      <w:r w:rsidR="00A817ED">
        <w:rPr>
          <w:i/>
          <w:szCs w:val="24"/>
          <w:lang w:val="en-US" w:eastAsia="en-US"/>
        </w:rPr>
        <w:t xml:space="preserve"> </w:t>
      </w:r>
      <w:r w:rsidR="00FA5F22">
        <w:rPr>
          <w:szCs w:val="24"/>
          <w:lang w:val="en-US" w:eastAsia="en-US"/>
        </w:rPr>
        <w:t>(</w:t>
      </w:r>
      <w:r w:rsidRPr="002B2CFC">
        <w:rPr>
          <w:szCs w:val="24"/>
          <w:lang w:val="en-US" w:eastAsia="en-US"/>
        </w:rPr>
        <w:t xml:space="preserve">2009) have been evaluated in regards to the relationship between pesticide exposure and presence of Parkinson’s disease. In 2013, the OCS was asked to review an additional </w:t>
      </w:r>
      <w:r w:rsidR="00064D04">
        <w:rPr>
          <w:szCs w:val="24"/>
          <w:lang w:val="en-US" w:eastAsia="en-US"/>
        </w:rPr>
        <w:t xml:space="preserve">epidemiological </w:t>
      </w:r>
      <w:r w:rsidRPr="002B2CFC">
        <w:rPr>
          <w:szCs w:val="24"/>
          <w:lang w:val="en-US" w:eastAsia="en-US"/>
        </w:rPr>
        <w:t>study (Tomenson &amp; Campbell</w:t>
      </w:r>
      <w:r w:rsidR="00120920">
        <w:rPr>
          <w:szCs w:val="24"/>
          <w:lang w:val="en-US" w:eastAsia="en-US"/>
        </w:rPr>
        <w:t>,</w:t>
      </w:r>
      <w:r w:rsidRPr="002B2CFC">
        <w:rPr>
          <w:szCs w:val="24"/>
          <w:lang w:val="en-US" w:eastAsia="en-US"/>
        </w:rPr>
        <w:t xml:space="preserve"> 2011). As this study was not included in the review of Kamel </w:t>
      </w:r>
      <w:r w:rsidRPr="002B2CFC">
        <w:rPr>
          <w:i/>
          <w:szCs w:val="24"/>
          <w:lang w:val="en-US" w:eastAsia="en-US"/>
        </w:rPr>
        <w:t>et al</w:t>
      </w:r>
      <w:r w:rsidRPr="002B2CFC">
        <w:rPr>
          <w:szCs w:val="24"/>
          <w:lang w:val="en-US" w:eastAsia="en-US"/>
        </w:rPr>
        <w:t xml:space="preserve"> and Costello </w:t>
      </w:r>
      <w:r w:rsidRPr="002B2CFC">
        <w:rPr>
          <w:i/>
          <w:szCs w:val="24"/>
          <w:lang w:val="en-US" w:eastAsia="en-US"/>
        </w:rPr>
        <w:t>et al</w:t>
      </w:r>
      <w:r w:rsidRPr="002B2CFC">
        <w:rPr>
          <w:szCs w:val="24"/>
          <w:lang w:val="en-US" w:eastAsia="en-US"/>
        </w:rPr>
        <w:t>, this assessment is presented separately in Part 2, Section</w:t>
      </w:r>
      <w:r w:rsidR="00F43A40">
        <w:rPr>
          <w:szCs w:val="24"/>
          <w:lang w:val="en-US" w:eastAsia="en-US"/>
        </w:rPr>
        <w:t xml:space="preserve"> </w:t>
      </w:r>
      <w:r w:rsidR="00F07346">
        <w:fldChar w:fldCharType="begin"/>
      </w:r>
      <w:r w:rsidR="00F07346">
        <w:instrText xml:space="preserve"> REF _Ref399855672 \r \h  \* MERGEFORMAT </w:instrText>
      </w:r>
      <w:r w:rsidR="00F07346">
        <w:fldChar w:fldCharType="separate"/>
      </w:r>
      <w:r w:rsidR="000E54B2" w:rsidRPr="000E54B2">
        <w:rPr>
          <w:szCs w:val="24"/>
          <w:lang w:val="en-US" w:eastAsia="en-US"/>
        </w:rPr>
        <w:t>10.1</w:t>
      </w:r>
      <w:r w:rsidR="00F07346">
        <w:fldChar w:fldCharType="end"/>
      </w:r>
      <w:r w:rsidRPr="002B2CFC">
        <w:rPr>
          <w:szCs w:val="24"/>
          <w:lang w:val="en-US" w:eastAsia="en-US"/>
        </w:rPr>
        <w:t>.</w:t>
      </w:r>
    </w:p>
    <w:p w14:paraId="55CE6461" w14:textId="77777777" w:rsidR="002B2CFC" w:rsidRPr="002B2CFC" w:rsidRDefault="002B2CFC" w:rsidP="009E40A8">
      <w:pPr>
        <w:rPr>
          <w:szCs w:val="24"/>
          <w:lang w:val="en-US" w:eastAsia="en-US"/>
        </w:rPr>
      </w:pPr>
    </w:p>
    <w:p w14:paraId="69EDC9E2" w14:textId="37B32B40" w:rsidR="002B2CFC" w:rsidRPr="002B2CFC" w:rsidRDefault="002B2CFC" w:rsidP="009E40A8">
      <w:pPr>
        <w:rPr>
          <w:szCs w:val="24"/>
          <w:lang w:val="en-US" w:eastAsia="en-US"/>
        </w:rPr>
      </w:pPr>
      <w:r w:rsidRPr="002B2CFC">
        <w:rPr>
          <w:szCs w:val="24"/>
          <w:lang w:val="en-US" w:eastAsia="en-US"/>
        </w:rPr>
        <w:t xml:space="preserve">A comprehensive analysis </w:t>
      </w:r>
      <w:r w:rsidR="00FA5F22">
        <w:rPr>
          <w:szCs w:val="24"/>
          <w:lang w:val="en-US" w:eastAsia="en-US"/>
        </w:rPr>
        <w:t xml:space="preserve">of the robustness </w:t>
      </w:r>
      <w:r w:rsidR="00662F47">
        <w:rPr>
          <w:szCs w:val="24"/>
          <w:lang w:val="en-US" w:eastAsia="en-US"/>
        </w:rPr>
        <w:t>of</w:t>
      </w:r>
      <w:r w:rsidR="00F43A40" w:rsidRPr="002B2CFC">
        <w:rPr>
          <w:szCs w:val="24"/>
          <w:lang w:val="en-US" w:eastAsia="en-US"/>
        </w:rPr>
        <w:t xml:space="preserve"> </w:t>
      </w:r>
      <w:r w:rsidRPr="002B2CFC">
        <w:rPr>
          <w:szCs w:val="24"/>
          <w:lang w:val="en-US" w:eastAsia="en-US"/>
        </w:rPr>
        <w:t>these studies</w:t>
      </w:r>
      <w:r w:rsidR="00662F47">
        <w:rPr>
          <w:szCs w:val="24"/>
          <w:lang w:val="en-US" w:eastAsia="en-US"/>
        </w:rPr>
        <w:t xml:space="preserve"> was conducted </w:t>
      </w:r>
      <w:r w:rsidR="0056704E">
        <w:rPr>
          <w:szCs w:val="24"/>
          <w:lang w:val="en-US" w:eastAsia="en-US"/>
        </w:rPr>
        <w:t xml:space="preserve">by </w:t>
      </w:r>
      <w:r w:rsidR="0056704E" w:rsidRPr="002B2CFC">
        <w:rPr>
          <w:szCs w:val="24"/>
          <w:lang w:val="en-US" w:eastAsia="en-US"/>
        </w:rPr>
        <w:t xml:space="preserve">Kamel </w:t>
      </w:r>
      <w:r w:rsidR="0056704E">
        <w:rPr>
          <w:i/>
          <w:szCs w:val="24"/>
          <w:lang w:val="en-US" w:eastAsia="en-US"/>
        </w:rPr>
        <w:t xml:space="preserve">et al </w:t>
      </w:r>
      <w:r w:rsidR="00FA5F22">
        <w:rPr>
          <w:szCs w:val="24"/>
          <w:lang w:val="en-US" w:eastAsia="en-US"/>
        </w:rPr>
        <w:t xml:space="preserve">(2007) </w:t>
      </w:r>
      <w:r w:rsidR="0056704E" w:rsidRPr="0056704E">
        <w:rPr>
          <w:szCs w:val="24"/>
          <w:lang w:val="en-US" w:eastAsia="en-US"/>
        </w:rPr>
        <w:t xml:space="preserve">and </w:t>
      </w:r>
      <w:r w:rsidR="0056704E" w:rsidRPr="002B2CFC">
        <w:rPr>
          <w:szCs w:val="24"/>
          <w:lang w:val="en-US" w:eastAsia="en-US"/>
        </w:rPr>
        <w:t xml:space="preserve">Costello </w:t>
      </w:r>
      <w:r w:rsidR="0056704E" w:rsidRPr="002B2CFC">
        <w:rPr>
          <w:i/>
          <w:szCs w:val="24"/>
          <w:lang w:val="en-US" w:eastAsia="en-US"/>
        </w:rPr>
        <w:t>et al</w:t>
      </w:r>
      <w:r w:rsidR="00122DDB">
        <w:rPr>
          <w:i/>
          <w:szCs w:val="24"/>
          <w:lang w:val="en-US" w:eastAsia="en-US"/>
        </w:rPr>
        <w:t xml:space="preserve"> </w:t>
      </w:r>
      <w:r w:rsidR="00FA5F22">
        <w:rPr>
          <w:szCs w:val="24"/>
          <w:lang w:val="en-US" w:eastAsia="en-US"/>
        </w:rPr>
        <w:t xml:space="preserve">(2009) </w:t>
      </w:r>
      <w:r w:rsidRPr="002B2CFC">
        <w:rPr>
          <w:szCs w:val="24"/>
          <w:lang w:val="en-US" w:eastAsia="en-US"/>
        </w:rPr>
        <w:t>(</w:t>
      </w:r>
      <w:r w:rsidR="00662F47">
        <w:rPr>
          <w:szCs w:val="24"/>
          <w:lang w:val="en-US" w:eastAsia="en-US"/>
        </w:rPr>
        <w:t>s</w:t>
      </w:r>
      <w:r w:rsidRPr="002B2CFC">
        <w:rPr>
          <w:szCs w:val="24"/>
          <w:lang w:val="en-US" w:eastAsia="en-US"/>
        </w:rPr>
        <w:t>ee Section</w:t>
      </w:r>
      <w:r w:rsidR="00F43A40">
        <w:rPr>
          <w:szCs w:val="24"/>
          <w:lang w:val="en-US" w:eastAsia="en-US"/>
        </w:rPr>
        <w:t xml:space="preserve"> </w:t>
      </w:r>
      <w:r w:rsidR="00F07346">
        <w:fldChar w:fldCharType="begin"/>
      </w:r>
      <w:r w:rsidR="00F07346">
        <w:instrText xml:space="preserve"> REF _Ref278788670 \r \h  \* MERGEFORMAT </w:instrText>
      </w:r>
      <w:r w:rsidR="00F07346">
        <w:fldChar w:fldCharType="separate"/>
      </w:r>
      <w:r w:rsidR="000E54B2" w:rsidRPr="000E54B2">
        <w:rPr>
          <w:szCs w:val="24"/>
          <w:lang w:val="en-US" w:eastAsia="en-US"/>
        </w:rPr>
        <w:t>11</w:t>
      </w:r>
      <w:r w:rsidR="00F07346">
        <w:fldChar w:fldCharType="end"/>
      </w:r>
      <w:r w:rsidRPr="002B2CFC">
        <w:rPr>
          <w:szCs w:val="24"/>
          <w:lang w:val="en-US" w:eastAsia="en-US"/>
        </w:rPr>
        <w:t xml:space="preserve">). </w:t>
      </w:r>
    </w:p>
    <w:p w14:paraId="6266CB7A" w14:textId="77777777" w:rsidR="002B2CFC" w:rsidRPr="002B2CFC" w:rsidRDefault="002B2CFC" w:rsidP="009E40A8">
      <w:pPr>
        <w:rPr>
          <w:szCs w:val="24"/>
          <w:lang w:val="en-US" w:eastAsia="en-US"/>
        </w:rPr>
      </w:pPr>
    </w:p>
    <w:p w14:paraId="1C98E223" w14:textId="77777777" w:rsidR="002B2CFC" w:rsidRPr="002B2CFC" w:rsidRDefault="002B2CFC" w:rsidP="00385097">
      <w:pPr>
        <w:pStyle w:val="Heading2"/>
        <w:rPr>
          <w:lang w:eastAsia="en-US"/>
        </w:rPr>
      </w:pPr>
      <w:bookmarkStart w:id="40" w:name="_Toc459108287"/>
      <w:r w:rsidRPr="002B2CFC">
        <w:rPr>
          <w:lang w:eastAsia="en-US"/>
        </w:rPr>
        <w:t>Summary of the studies</w:t>
      </w:r>
      <w:bookmarkEnd w:id="40"/>
    </w:p>
    <w:p w14:paraId="302811E3" w14:textId="40CD59AE" w:rsidR="002B2CFC" w:rsidRPr="002B2CFC" w:rsidRDefault="002B2CFC" w:rsidP="009E40A8">
      <w:pPr>
        <w:rPr>
          <w:szCs w:val="24"/>
          <w:lang w:val="en-US" w:eastAsia="en-US"/>
        </w:rPr>
      </w:pPr>
      <w:r w:rsidRPr="002B2CFC">
        <w:rPr>
          <w:szCs w:val="24"/>
          <w:lang w:val="en-US" w:eastAsia="en-US"/>
        </w:rPr>
        <w:t xml:space="preserve">The study by Kamel </w:t>
      </w:r>
      <w:r w:rsidRPr="002B2CFC">
        <w:rPr>
          <w:i/>
          <w:szCs w:val="24"/>
          <w:lang w:val="en-US" w:eastAsia="en-US"/>
        </w:rPr>
        <w:t>et al</w:t>
      </w:r>
      <w:r w:rsidRPr="002B2CFC">
        <w:rPr>
          <w:szCs w:val="24"/>
          <w:lang w:val="en-US" w:eastAsia="en-US"/>
        </w:rPr>
        <w:t xml:space="preserve"> (2007) reported that</w:t>
      </w:r>
      <w:r w:rsidR="00F50B06">
        <w:rPr>
          <w:szCs w:val="24"/>
          <w:lang w:val="en-US" w:eastAsia="en-US"/>
        </w:rPr>
        <w:t xml:space="preserve"> the</w:t>
      </w:r>
      <w:r w:rsidRPr="002B2CFC">
        <w:rPr>
          <w:szCs w:val="24"/>
          <w:lang w:val="en-US" w:eastAsia="en-US"/>
        </w:rPr>
        <w:t xml:space="preserve"> </w:t>
      </w:r>
      <w:r w:rsidR="00F50B06" w:rsidRPr="002B2CFC">
        <w:rPr>
          <w:szCs w:val="24"/>
          <w:lang w:val="en-US" w:eastAsia="en-US"/>
        </w:rPr>
        <w:t>inciden</w:t>
      </w:r>
      <w:r w:rsidR="00F50B06">
        <w:rPr>
          <w:szCs w:val="24"/>
          <w:lang w:val="en-US" w:eastAsia="en-US"/>
        </w:rPr>
        <w:t>ce</w:t>
      </w:r>
      <w:r w:rsidR="00F50B06" w:rsidRPr="002B2CFC">
        <w:rPr>
          <w:szCs w:val="24"/>
          <w:lang w:val="en-US" w:eastAsia="en-US"/>
        </w:rPr>
        <w:t xml:space="preserve"> </w:t>
      </w:r>
      <w:r w:rsidR="00F50B06">
        <w:rPr>
          <w:szCs w:val="24"/>
          <w:lang w:val="en-US" w:eastAsia="en-US"/>
        </w:rPr>
        <w:t xml:space="preserve">of </w:t>
      </w:r>
      <w:r w:rsidRPr="002B2CFC">
        <w:rPr>
          <w:szCs w:val="24"/>
          <w:lang w:val="en-US" w:eastAsia="en-US"/>
        </w:rPr>
        <w:t>Parkinson’s disease (newly diagnosed cases) was associated with cumulative days of pesticide use at enrolment for the highest quartile versus the lowest quartile, with an Odds Ratio (OR) of</w:t>
      </w:r>
      <w:r w:rsidR="007A5E9A">
        <w:rPr>
          <w:szCs w:val="24"/>
          <w:lang w:val="en-US" w:eastAsia="en-US"/>
        </w:rPr>
        <w:t xml:space="preserve"> 2.3 (95% CI=1.2,4.5)</w:t>
      </w:r>
      <w:r w:rsidRPr="002B2CFC">
        <w:rPr>
          <w:szCs w:val="24"/>
          <w:lang w:val="en-US" w:eastAsia="en-US"/>
        </w:rPr>
        <w:t xml:space="preserve">. The authors also claimed that </w:t>
      </w:r>
      <w:r w:rsidR="00DF2E96">
        <w:rPr>
          <w:szCs w:val="24"/>
          <w:lang w:val="en-US" w:eastAsia="en-US"/>
        </w:rPr>
        <w:t xml:space="preserve">the </w:t>
      </w:r>
      <w:r w:rsidRPr="002B2CFC">
        <w:rPr>
          <w:szCs w:val="24"/>
          <w:lang w:val="en-US" w:eastAsia="en-US"/>
        </w:rPr>
        <w:t>inciden</w:t>
      </w:r>
      <w:r w:rsidR="00F50B06">
        <w:rPr>
          <w:szCs w:val="24"/>
          <w:lang w:val="en-US" w:eastAsia="en-US"/>
        </w:rPr>
        <w:t xml:space="preserve">ce of </w:t>
      </w:r>
      <w:r w:rsidRPr="002B2CFC">
        <w:rPr>
          <w:szCs w:val="24"/>
          <w:lang w:val="en-US" w:eastAsia="en-US"/>
        </w:rPr>
        <w:t xml:space="preserve"> Parkinson’s disease was associated with personally applying pesticides more than half the time but  was not statistically significant. Exposure to pesticides was obtained by respondents’ recall, which may have been biased due to </w:t>
      </w:r>
      <w:r w:rsidR="003745D2">
        <w:rPr>
          <w:szCs w:val="24"/>
          <w:lang w:val="en-US" w:eastAsia="en-US"/>
        </w:rPr>
        <w:t xml:space="preserve">the </w:t>
      </w:r>
      <w:r w:rsidRPr="002B2CFC">
        <w:rPr>
          <w:szCs w:val="24"/>
          <w:lang w:val="en-US" w:eastAsia="en-US"/>
        </w:rPr>
        <w:t xml:space="preserve">length of time since exposure, or having a Parkinson’s disease diagnosis. The large number of respondents ensured that some associations were likely to be found, but the strengths of those associations were not compelling, and many were not statistically significant. The data at best indicated a trend towards a positive association between pesticide exposure and </w:t>
      </w:r>
      <w:r w:rsidR="003745D2">
        <w:rPr>
          <w:szCs w:val="24"/>
          <w:lang w:val="en-US" w:eastAsia="en-US"/>
        </w:rPr>
        <w:t xml:space="preserve">the </w:t>
      </w:r>
      <w:r w:rsidRPr="002B2CFC">
        <w:rPr>
          <w:szCs w:val="24"/>
          <w:lang w:val="en-US" w:eastAsia="en-US"/>
        </w:rPr>
        <w:t xml:space="preserve">presence of Parkinson’s disease. </w:t>
      </w:r>
    </w:p>
    <w:p w14:paraId="0C42FBA6" w14:textId="77777777" w:rsidR="002B2CFC" w:rsidRPr="002B2CFC" w:rsidRDefault="002B2CFC" w:rsidP="009E40A8">
      <w:pPr>
        <w:rPr>
          <w:szCs w:val="24"/>
          <w:lang w:val="en-US" w:eastAsia="en-US"/>
        </w:rPr>
      </w:pPr>
    </w:p>
    <w:p w14:paraId="00BCBC0B" w14:textId="77777777" w:rsidR="002B2CFC" w:rsidRPr="002B2CFC" w:rsidRDefault="002B2CFC" w:rsidP="009E40A8">
      <w:pPr>
        <w:rPr>
          <w:szCs w:val="24"/>
          <w:lang w:val="en-US" w:eastAsia="en-US"/>
        </w:rPr>
      </w:pPr>
      <w:r w:rsidRPr="002B2CFC">
        <w:rPr>
          <w:szCs w:val="24"/>
          <w:lang w:val="en-US" w:eastAsia="en-US"/>
        </w:rPr>
        <w:t xml:space="preserve">The study by Costello </w:t>
      </w:r>
      <w:r w:rsidRPr="002B2CFC">
        <w:rPr>
          <w:i/>
          <w:szCs w:val="24"/>
          <w:lang w:val="en-US" w:eastAsia="en-US"/>
        </w:rPr>
        <w:t>et al</w:t>
      </w:r>
      <w:r w:rsidRPr="002B2CFC">
        <w:rPr>
          <w:szCs w:val="24"/>
          <w:lang w:val="en-US" w:eastAsia="en-US"/>
        </w:rPr>
        <w:t xml:space="preserve"> (2009) reported that exposure to paraquat and maneb within 500 m of the home increased the risk of Parkinson’s disease by 75% above the background rate (OR=1.75, 95% CI=1.13, 2.73), and that persons &lt;60 years at the time of diagnosis were at a higher risk of Parkinson’s disease when exposed to either paraquat or maneb alone. These findings were statistically significant. In contrast, the study by Kamel </w:t>
      </w:r>
      <w:r w:rsidRPr="002B2CFC">
        <w:rPr>
          <w:i/>
          <w:szCs w:val="24"/>
          <w:lang w:val="en-US" w:eastAsia="en-US"/>
        </w:rPr>
        <w:t>et al</w:t>
      </w:r>
      <w:r w:rsidRPr="002B2CFC">
        <w:rPr>
          <w:szCs w:val="24"/>
          <w:lang w:val="en-US" w:eastAsia="en-US"/>
        </w:rPr>
        <w:t xml:space="preserve"> (2007) indicated that persons aged ≥</w:t>
      </w:r>
      <w:r w:rsidR="003745D2">
        <w:rPr>
          <w:szCs w:val="24"/>
          <w:lang w:val="en-US" w:eastAsia="en-US"/>
        </w:rPr>
        <w:t xml:space="preserve"> </w:t>
      </w:r>
      <w:r w:rsidRPr="002B2CFC">
        <w:rPr>
          <w:szCs w:val="24"/>
          <w:lang w:val="en-US" w:eastAsia="en-US"/>
        </w:rPr>
        <w:t>60 years were at greater risk for Parkinson’s disease. The authors enrolled 368 incident Parkinson’s disease cases who had lived for ≥</w:t>
      </w:r>
      <w:r w:rsidR="003745D2">
        <w:rPr>
          <w:szCs w:val="24"/>
          <w:lang w:val="en-US" w:eastAsia="en-US"/>
        </w:rPr>
        <w:t xml:space="preserve"> </w:t>
      </w:r>
      <w:r w:rsidRPr="002B2CFC">
        <w:rPr>
          <w:szCs w:val="24"/>
          <w:lang w:val="en-US" w:eastAsia="en-US"/>
        </w:rPr>
        <w:t xml:space="preserve">5 years among a largely agricultural population. Controls came from the same population without a diagnosis of Parkinson’s disease. Costello </w:t>
      </w:r>
      <w:r w:rsidRPr="002B2CFC">
        <w:rPr>
          <w:i/>
          <w:szCs w:val="24"/>
          <w:lang w:val="en-US" w:eastAsia="en-US"/>
        </w:rPr>
        <w:t>et al</w:t>
      </w:r>
      <w:r w:rsidRPr="002B2CFC">
        <w:rPr>
          <w:szCs w:val="24"/>
          <w:lang w:val="en-US" w:eastAsia="en-US"/>
        </w:rPr>
        <w:t xml:space="preserve"> (2009) reported that respondents &lt;60 years old showed over twice the </w:t>
      </w:r>
      <w:r w:rsidRPr="002B2CFC">
        <w:rPr>
          <w:szCs w:val="24"/>
          <w:lang w:val="en-US" w:eastAsia="en-US"/>
        </w:rPr>
        <w:lastRenderedPageBreak/>
        <w:t xml:space="preserve">risk of a Parkinson’s disease diagnosis, while those exposed to both paraquat and maneb were over four-times more likely to be diagnosed with Parkinson’s disease. These data indicate that </w:t>
      </w:r>
      <w:r w:rsidR="003745D2">
        <w:rPr>
          <w:szCs w:val="24"/>
          <w:lang w:val="en-US" w:eastAsia="en-US"/>
        </w:rPr>
        <w:t xml:space="preserve">there was a statistical association between </w:t>
      </w:r>
      <w:r w:rsidRPr="002B2CFC">
        <w:rPr>
          <w:szCs w:val="24"/>
          <w:lang w:val="en-US" w:eastAsia="en-US"/>
        </w:rPr>
        <w:t xml:space="preserve">exposure to pesticides </w:t>
      </w:r>
      <w:r w:rsidR="003745D2">
        <w:rPr>
          <w:szCs w:val="24"/>
          <w:lang w:val="en-US" w:eastAsia="en-US"/>
        </w:rPr>
        <w:t>and</w:t>
      </w:r>
      <w:r w:rsidRPr="002B2CFC">
        <w:rPr>
          <w:szCs w:val="24"/>
          <w:lang w:val="en-US" w:eastAsia="en-US"/>
        </w:rPr>
        <w:t xml:space="preserve"> Parkinson’s disease diagnosis. </w:t>
      </w:r>
    </w:p>
    <w:p w14:paraId="63868FF7" w14:textId="77777777" w:rsidR="002B2CFC" w:rsidRPr="002B2CFC" w:rsidRDefault="002B2CFC" w:rsidP="009E40A8">
      <w:pPr>
        <w:rPr>
          <w:szCs w:val="24"/>
          <w:lang w:val="en-US" w:eastAsia="en-US"/>
        </w:rPr>
      </w:pPr>
    </w:p>
    <w:p w14:paraId="3C4DE9BF" w14:textId="77777777" w:rsidR="002B2CFC" w:rsidRPr="002B2CFC" w:rsidRDefault="002B2CFC" w:rsidP="00385097">
      <w:pPr>
        <w:pStyle w:val="Heading2"/>
        <w:rPr>
          <w:lang w:eastAsia="en-US"/>
        </w:rPr>
      </w:pPr>
      <w:bookmarkStart w:id="41" w:name="_Toc459108288"/>
      <w:r w:rsidRPr="002B2CFC">
        <w:rPr>
          <w:lang w:eastAsia="en-US"/>
        </w:rPr>
        <w:t>Summary analysis of methodology</w:t>
      </w:r>
      <w:bookmarkEnd w:id="41"/>
    </w:p>
    <w:p w14:paraId="140D22B9" w14:textId="77777777" w:rsidR="002B2CFC" w:rsidRPr="002B2CFC" w:rsidRDefault="002B2CFC" w:rsidP="009E40A8">
      <w:pPr>
        <w:rPr>
          <w:szCs w:val="24"/>
          <w:lang w:val="en-US" w:eastAsia="en-US"/>
        </w:rPr>
      </w:pPr>
      <w:r w:rsidRPr="002B2CFC">
        <w:rPr>
          <w:szCs w:val="24"/>
          <w:lang w:val="en-US" w:eastAsia="en-US"/>
        </w:rPr>
        <w:t xml:space="preserve">In studies of exposure to environmental hazards relating to human disease, both the </w:t>
      </w:r>
      <w:r w:rsidR="004666B5">
        <w:rPr>
          <w:szCs w:val="24"/>
          <w:lang w:val="en-US" w:eastAsia="en-US"/>
        </w:rPr>
        <w:t>level</w:t>
      </w:r>
      <w:r w:rsidRPr="002B2CFC">
        <w:rPr>
          <w:szCs w:val="24"/>
          <w:lang w:val="en-US" w:eastAsia="en-US"/>
        </w:rPr>
        <w:t xml:space="preserve"> of exposure and the ascertainment of disease are critical elements to the study design, and both exposure and end-points should be defined carefully. In the study by Kamel </w:t>
      </w:r>
      <w:r w:rsidRPr="002B2CFC">
        <w:rPr>
          <w:i/>
          <w:szCs w:val="24"/>
          <w:lang w:val="en-US" w:eastAsia="en-US"/>
        </w:rPr>
        <w:t>et al</w:t>
      </w:r>
      <w:r w:rsidRPr="002B2CFC">
        <w:rPr>
          <w:szCs w:val="24"/>
          <w:lang w:val="en-US" w:eastAsia="en-US"/>
        </w:rPr>
        <w:t xml:space="preserve"> (2007), exposure was not well defined, and the presence of Parkinson’s disease was at times loosely defined as having “a health professional”, which could be a nurse, dentist or podiatrist, decide the diagnosis for the individual. Further, it was apparent that the respondents knew of the purpose of the study and that pesticide use was a factor of interest in the study. The study was further weakened by the authors’ choice of controls. More than 99% of applicators had personally mixed or applied pesticides and 56% of spouses also had mixed or applied pesticides in the timeframe under discussion. Therefore, it appears that half the controls were exposed to pesticides. These shortcomings contributed to the findings of a weak association between pesticide use and a Parkinson’s disease diagnosis. </w:t>
      </w:r>
    </w:p>
    <w:p w14:paraId="56F9E0FB" w14:textId="77777777" w:rsidR="002B2CFC" w:rsidRPr="002B2CFC" w:rsidRDefault="002B2CFC" w:rsidP="009E40A8">
      <w:pPr>
        <w:rPr>
          <w:szCs w:val="24"/>
          <w:lang w:val="en-US" w:eastAsia="en-US"/>
        </w:rPr>
      </w:pPr>
    </w:p>
    <w:p w14:paraId="4B38EBDA" w14:textId="77777777" w:rsidR="002B2CFC" w:rsidRPr="002B2CFC" w:rsidRDefault="002B2CFC" w:rsidP="009E40A8">
      <w:pPr>
        <w:rPr>
          <w:szCs w:val="24"/>
          <w:lang w:val="en-US" w:eastAsia="en-US"/>
        </w:rPr>
      </w:pPr>
      <w:r w:rsidRPr="002B2CFC">
        <w:rPr>
          <w:szCs w:val="24"/>
          <w:lang w:val="en-US" w:eastAsia="en-US"/>
        </w:rPr>
        <w:t xml:space="preserve">In the study by Costello </w:t>
      </w:r>
      <w:r w:rsidRPr="002B2CFC">
        <w:rPr>
          <w:i/>
          <w:szCs w:val="24"/>
          <w:lang w:val="en-US" w:eastAsia="en-US"/>
        </w:rPr>
        <w:t>et al</w:t>
      </w:r>
      <w:r w:rsidRPr="002B2CFC">
        <w:rPr>
          <w:szCs w:val="24"/>
          <w:lang w:val="en-US" w:eastAsia="en-US"/>
        </w:rPr>
        <w:t xml:space="preserve"> (2009), exposure was clearly defined but was still only a modeled estimate with pesticide application rates being averaged over specific time periods and weighted by the annual application rate</w:t>
      </w:r>
      <w:r w:rsidRPr="002B2CFC">
        <w:rPr>
          <w:sz w:val="20"/>
          <w:lang w:val="en-US" w:eastAsia="en-US"/>
        </w:rPr>
        <w:t>.</w:t>
      </w:r>
      <w:r w:rsidRPr="002B2CFC">
        <w:rPr>
          <w:szCs w:val="24"/>
          <w:lang w:val="en-US" w:eastAsia="en-US"/>
        </w:rPr>
        <w:t xml:space="preserve"> The presence of Parkinson’s disease was documented by neurologists, while cases were also recruited from clinics, Health Maintenance Organisations (HMOs), Veteran’s Administration newspapers and local radio stations. The study did not explain how ‘caseness’ was determined other than a neurologist’s report, and this was considered to be a </w:t>
      </w:r>
      <w:r w:rsidR="00963B7B">
        <w:rPr>
          <w:szCs w:val="24"/>
          <w:lang w:val="en-US" w:eastAsia="en-US"/>
        </w:rPr>
        <w:t>limitation</w:t>
      </w:r>
      <w:r w:rsidR="00963B7B" w:rsidRPr="002B2CFC">
        <w:rPr>
          <w:szCs w:val="24"/>
          <w:lang w:val="en-US" w:eastAsia="en-US"/>
        </w:rPr>
        <w:t xml:space="preserve"> </w:t>
      </w:r>
      <w:r w:rsidRPr="002B2CFC">
        <w:rPr>
          <w:szCs w:val="24"/>
          <w:lang w:val="en-US" w:eastAsia="en-US"/>
        </w:rPr>
        <w:t xml:space="preserve">of the study. Controls were appropriately selected from residents residing primarily in the designated counties under study for at least five years, without Parkinson’s disease, and at least 45 years of age, with only one person per household permitted to enrol. The methodology in this study was more robust than the study by Kamel </w:t>
      </w:r>
      <w:r w:rsidRPr="002B2CFC">
        <w:rPr>
          <w:i/>
          <w:szCs w:val="24"/>
          <w:lang w:val="en-US" w:eastAsia="en-US"/>
        </w:rPr>
        <w:t>et al</w:t>
      </w:r>
      <w:r w:rsidRPr="002B2CFC">
        <w:rPr>
          <w:szCs w:val="24"/>
          <w:lang w:val="en-US" w:eastAsia="en-US"/>
        </w:rPr>
        <w:t xml:space="preserve"> (2009), and the findings showed a more robust association between pesticide use and a diagnosis of Parkinson’s disease. </w:t>
      </w:r>
    </w:p>
    <w:p w14:paraId="61BCEEE6" w14:textId="77777777" w:rsidR="002B2CFC" w:rsidRPr="002B2CFC" w:rsidRDefault="002B2CFC" w:rsidP="009E40A8">
      <w:pPr>
        <w:rPr>
          <w:szCs w:val="24"/>
          <w:lang w:val="en-US" w:eastAsia="en-US"/>
        </w:rPr>
      </w:pPr>
    </w:p>
    <w:p w14:paraId="2825CC31" w14:textId="77777777" w:rsidR="002B2CFC" w:rsidRPr="00D85D3B" w:rsidRDefault="002B2CFC" w:rsidP="00385097">
      <w:pPr>
        <w:pStyle w:val="Heading2"/>
        <w:rPr>
          <w:lang w:eastAsia="en-US"/>
        </w:rPr>
      </w:pPr>
      <w:bookmarkStart w:id="42" w:name="_Toc459108289"/>
      <w:r w:rsidRPr="00D85D3B">
        <w:rPr>
          <w:lang w:eastAsia="en-US"/>
        </w:rPr>
        <w:t>Results</w:t>
      </w:r>
      <w:r w:rsidR="00AA1EA2">
        <w:rPr>
          <w:lang w:eastAsia="en-US"/>
        </w:rPr>
        <w:t xml:space="preserve"> and conclusions</w:t>
      </w:r>
      <w:bookmarkEnd w:id="42"/>
    </w:p>
    <w:p w14:paraId="4D173716" w14:textId="77777777" w:rsidR="002B2CFC" w:rsidRPr="002B2CFC" w:rsidRDefault="002B2CFC" w:rsidP="009E40A8">
      <w:pPr>
        <w:keepNext/>
        <w:keepLines/>
        <w:rPr>
          <w:szCs w:val="24"/>
          <w:lang w:val="en-US" w:eastAsia="en-US"/>
        </w:rPr>
      </w:pPr>
      <w:r w:rsidRPr="002B2CFC">
        <w:rPr>
          <w:szCs w:val="24"/>
          <w:lang w:val="en-US" w:eastAsia="en-US"/>
        </w:rPr>
        <w:t xml:space="preserve">In the study by Kamel </w:t>
      </w:r>
      <w:r w:rsidRPr="002B2CFC">
        <w:rPr>
          <w:i/>
          <w:szCs w:val="24"/>
          <w:lang w:val="en-US" w:eastAsia="en-US"/>
        </w:rPr>
        <w:t>et al</w:t>
      </w:r>
      <w:r w:rsidRPr="002B2CFC">
        <w:rPr>
          <w:szCs w:val="24"/>
          <w:lang w:val="en-US" w:eastAsia="en-US"/>
        </w:rPr>
        <w:t xml:space="preserve"> (2007), the odds ratios were reported to be elevated for prevalent Parkinson’s disease cases for the herbicides pendimethalin, paraquat, and cyanazine, and the fumigants carbon disulphide/carbon tetrachloride and ethylene dibromide. Odds ratios for inciden</w:t>
      </w:r>
      <w:r w:rsidR="00DF2E96">
        <w:rPr>
          <w:szCs w:val="24"/>
          <w:lang w:val="en-US" w:eastAsia="en-US"/>
        </w:rPr>
        <w:t>ce of</w:t>
      </w:r>
      <w:r w:rsidRPr="002B2CFC">
        <w:rPr>
          <w:szCs w:val="24"/>
          <w:lang w:val="en-US" w:eastAsia="en-US"/>
        </w:rPr>
        <w:t xml:space="preserve"> Parkinson’s disease associated with exposure were not statistically significant for dicamba, trifuralin, 2,4,5-trichlorophenoxyacetic acid, butylate, lindane, phorate, chlorothanolil, benomyl and methyl bromide. The exception was an association with cyanazine, where statistical significance was found. </w:t>
      </w:r>
    </w:p>
    <w:p w14:paraId="0EA9252E" w14:textId="77777777" w:rsidR="002B2CFC" w:rsidRPr="002B2CFC" w:rsidRDefault="002B2CFC" w:rsidP="009E40A8">
      <w:pPr>
        <w:rPr>
          <w:szCs w:val="24"/>
          <w:lang w:val="en-US" w:eastAsia="en-US"/>
        </w:rPr>
      </w:pPr>
    </w:p>
    <w:p w14:paraId="0A04158E" w14:textId="77777777" w:rsidR="002B2CFC" w:rsidRPr="002B2CFC" w:rsidRDefault="002B2CFC" w:rsidP="009E40A8">
      <w:pPr>
        <w:rPr>
          <w:szCs w:val="24"/>
          <w:lang w:val="en-US" w:eastAsia="en-US"/>
        </w:rPr>
      </w:pPr>
      <w:r w:rsidRPr="002B2CFC">
        <w:rPr>
          <w:szCs w:val="24"/>
          <w:lang w:val="en-US" w:eastAsia="en-US"/>
        </w:rPr>
        <w:t xml:space="preserve">Costello </w:t>
      </w:r>
      <w:r w:rsidRPr="002B2CFC">
        <w:rPr>
          <w:i/>
          <w:szCs w:val="24"/>
          <w:lang w:val="en-US" w:eastAsia="en-US"/>
        </w:rPr>
        <w:t>et al</w:t>
      </w:r>
      <w:r w:rsidRPr="002B2CFC">
        <w:rPr>
          <w:szCs w:val="24"/>
          <w:lang w:val="en-US" w:eastAsia="en-US"/>
        </w:rPr>
        <w:t xml:space="preserve"> (2009) used a GIS model which allowed the estimation of the likely dosage of active ingredients. The authors also acknowledged that these quantities were not comparable across all pesticides and exposure could not be estimated with any degree of accuracy for individual pesticides. The study also lacked statistical power to perform extensive analysis </w:t>
      </w:r>
      <w:r w:rsidR="00EA4D49">
        <w:rPr>
          <w:szCs w:val="24"/>
          <w:lang w:val="en-US" w:eastAsia="en-US"/>
        </w:rPr>
        <w:t>as the</w:t>
      </w:r>
      <w:r w:rsidRPr="002B2CFC">
        <w:rPr>
          <w:szCs w:val="24"/>
          <w:lang w:val="en-US" w:eastAsia="en-US"/>
        </w:rPr>
        <w:t xml:space="preserve"> sample cohort comprised of only three cases exposed to maneb alone with one control case. </w:t>
      </w:r>
    </w:p>
    <w:p w14:paraId="59BB92C5" w14:textId="77777777" w:rsidR="002B2CFC" w:rsidRPr="002B2CFC" w:rsidRDefault="002B2CFC" w:rsidP="009E40A8">
      <w:pPr>
        <w:rPr>
          <w:szCs w:val="24"/>
          <w:lang w:val="en-US" w:eastAsia="en-US"/>
        </w:rPr>
      </w:pPr>
    </w:p>
    <w:p w14:paraId="0BFA7386" w14:textId="77777777" w:rsidR="002B2CFC" w:rsidRPr="002B2CFC" w:rsidRDefault="002B2CFC" w:rsidP="009E40A8">
      <w:pPr>
        <w:rPr>
          <w:szCs w:val="24"/>
          <w:lang w:val="en-US" w:eastAsia="en-US"/>
        </w:rPr>
      </w:pPr>
      <w:r w:rsidRPr="002B2CFC">
        <w:rPr>
          <w:szCs w:val="24"/>
          <w:lang w:val="en-US" w:eastAsia="en-US"/>
        </w:rPr>
        <w:t xml:space="preserve">The study by Costello </w:t>
      </w:r>
      <w:r w:rsidRPr="002B2CFC">
        <w:rPr>
          <w:i/>
          <w:szCs w:val="24"/>
          <w:lang w:val="en-US" w:eastAsia="en-US"/>
        </w:rPr>
        <w:t>et al</w:t>
      </w:r>
      <w:r w:rsidRPr="002B2CFC">
        <w:rPr>
          <w:szCs w:val="24"/>
          <w:lang w:val="en-US" w:eastAsia="en-US"/>
        </w:rPr>
        <w:t xml:space="preserve"> (2009) also found that there was a positive relationship between Parkinson’s disease and exposure to both paraquat and maneb from the earlier years of observation, 1974-1989, and 1974-1999, but not for later years of 1990-1999. The basis for this </w:t>
      </w:r>
      <w:r w:rsidR="0083689C" w:rsidRPr="002B2CFC">
        <w:rPr>
          <w:szCs w:val="24"/>
          <w:lang w:val="en-US" w:eastAsia="en-US"/>
        </w:rPr>
        <w:t>cannot</w:t>
      </w:r>
      <w:r w:rsidRPr="002B2CFC">
        <w:rPr>
          <w:szCs w:val="24"/>
          <w:lang w:val="en-US" w:eastAsia="en-US"/>
        </w:rPr>
        <w:t xml:space="preserve"> be discerned from the data available as there would be many confounding factors to consider. It is possible that the lower association in recent years may be attributable to the disease requiring time to develop to a diagnosable condition. Alternatively, this association may only be apparent when exposures to both paraquat and maneb have occurred. An intriguing observation in the epidemiology analysis of Kamel </w:t>
      </w:r>
      <w:r w:rsidR="00EE5CEB" w:rsidRPr="00EE5CEB">
        <w:rPr>
          <w:i/>
          <w:szCs w:val="24"/>
          <w:lang w:val="en-US" w:eastAsia="en-US"/>
        </w:rPr>
        <w:t>et al</w:t>
      </w:r>
      <w:r w:rsidRPr="002B2CFC">
        <w:rPr>
          <w:szCs w:val="24"/>
          <w:lang w:val="en-US" w:eastAsia="en-US"/>
        </w:rPr>
        <w:t xml:space="preserve"> (2007) was a ‘protective effect’ of education and, speculating from an epidemiological perspective, given that the same ‘protective effect’ of education was also present in the cohort surveyed by Costello </w:t>
      </w:r>
      <w:r w:rsidR="00EE5CEB" w:rsidRPr="00EE5CEB">
        <w:rPr>
          <w:i/>
          <w:szCs w:val="24"/>
          <w:lang w:val="en-US" w:eastAsia="en-US"/>
        </w:rPr>
        <w:t>et al</w:t>
      </w:r>
      <w:r w:rsidRPr="002B2CFC">
        <w:rPr>
          <w:szCs w:val="24"/>
          <w:lang w:val="en-US" w:eastAsia="en-US"/>
        </w:rPr>
        <w:t xml:space="preserve"> (2009), then later users of pesticides may have been more </w:t>
      </w:r>
      <w:r w:rsidR="00EA4D49" w:rsidRPr="002B2CFC">
        <w:rPr>
          <w:szCs w:val="24"/>
          <w:lang w:val="en-US" w:eastAsia="en-US"/>
        </w:rPr>
        <w:t>cogni</w:t>
      </w:r>
      <w:r w:rsidR="00EA4D49">
        <w:rPr>
          <w:szCs w:val="24"/>
          <w:lang w:val="en-US" w:eastAsia="en-US"/>
        </w:rPr>
        <w:t>s</w:t>
      </w:r>
      <w:r w:rsidR="00EA4D49" w:rsidRPr="002B2CFC">
        <w:rPr>
          <w:szCs w:val="24"/>
          <w:lang w:val="en-US" w:eastAsia="en-US"/>
        </w:rPr>
        <w:t xml:space="preserve">ant </w:t>
      </w:r>
      <w:r w:rsidRPr="002B2CFC">
        <w:rPr>
          <w:szCs w:val="24"/>
          <w:lang w:val="en-US" w:eastAsia="en-US"/>
        </w:rPr>
        <w:t xml:space="preserve">of the risks of paraquat toxicity or more attentive to the requirements of protective clothing. This study lends some weight to the suggestion that there is a positive association between adverse health effects and exposure to pesticides (i.e., paraquat and maneb), but presently, the strength of that association does not extend to exposure to paraquat alone. </w:t>
      </w:r>
    </w:p>
    <w:p w14:paraId="222E9AFF" w14:textId="77777777" w:rsidR="002B2CFC" w:rsidRPr="002B2CFC" w:rsidRDefault="002B2CFC" w:rsidP="002B2CFC">
      <w:pPr>
        <w:rPr>
          <w:szCs w:val="24"/>
          <w:lang w:val="en-US" w:eastAsia="en-US"/>
        </w:rPr>
      </w:pPr>
    </w:p>
    <w:p w14:paraId="70FCEEC4" w14:textId="77777777" w:rsidR="002B2CFC" w:rsidRPr="002B2CFC" w:rsidRDefault="007202C4" w:rsidP="00385097">
      <w:pPr>
        <w:pStyle w:val="Heading2"/>
        <w:rPr>
          <w:lang w:eastAsia="en-US"/>
        </w:rPr>
      </w:pPr>
      <w:bookmarkStart w:id="43" w:name="_Toc459108290"/>
      <w:r>
        <w:rPr>
          <w:lang w:eastAsia="en-US"/>
        </w:rPr>
        <w:t>Conclusions</w:t>
      </w:r>
      <w:bookmarkEnd w:id="43"/>
    </w:p>
    <w:p w14:paraId="3260D602" w14:textId="77777777" w:rsidR="002B2CFC" w:rsidRPr="002B2CFC" w:rsidRDefault="002B2CFC" w:rsidP="009E40A8">
      <w:pPr>
        <w:keepNext/>
        <w:keepLines/>
        <w:rPr>
          <w:szCs w:val="24"/>
          <w:lang w:val="en-US" w:eastAsia="en-US"/>
        </w:rPr>
      </w:pPr>
      <w:r w:rsidRPr="002B2CFC">
        <w:rPr>
          <w:szCs w:val="24"/>
          <w:lang w:val="en-US" w:eastAsia="en-US"/>
        </w:rPr>
        <w:t xml:space="preserve">The examination of the Kamel </w:t>
      </w:r>
      <w:r w:rsidRPr="002B2CFC">
        <w:rPr>
          <w:i/>
          <w:szCs w:val="24"/>
          <w:lang w:val="en-US" w:eastAsia="en-US"/>
        </w:rPr>
        <w:t>et al</w:t>
      </w:r>
      <w:r w:rsidRPr="002B2CFC">
        <w:rPr>
          <w:szCs w:val="24"/>
          <w:lang w:val="en-US" w:eastAsia="en-US"/>
        </w:rPr>
        <w:t xml:space="preserve"> (2007) and Costello </w:t>
      </w:r>
      <w:r w:rsidRPr="002B2CFC">
        <w:rPr>
          <w:i/>
          <w:szCs w:val="24"/>
          <w:lang w:val="en-US" w:eastAsia="en-US"/>
        </w:rPr>
        <w:t xml:space="preserve">et al </w:t>
      </w:r>
      <w:r w:rsidRPr="002B2CFC">
        <w:rPr>
          <w:szCs w:val="24"/>
          <w:lang w:val="en-US" w:eastAsia="en-US"/>
        </w:rPr>
        <w:t xml:space="preserve">(2009) studies revealed that neither of these studies made a robust case for an association between Parkinson’s disease and the exposure to pesticides, in particular to paraquat. The findings by Costello </w:t>
      </w:r>
      <w:r w:rsidRPr="002B2CFC">
        <w:rPr>
          <w:i/>
          <w:szCs w:val="24"/>
          <w:lang w:val="en-US" w:eastAsia="en-US"/>
        </w:rPr>
        <w:t>et al</w:t>
      </w:r>
      <w:r w:rsidRPr="002B2CFC">
        <w:rPr>
          <w:szCs w:val="24"/>
          <w:lang w:val="en-US" w:eastAsia="en-US"/>
        </w:rPr>
        <w:t xml:space="preserve"> (2009) were considered more robust as the authors went to greater lengths to define the exposure and the case ascertainment in a more stringent manner than in the study by Kamel </w:t>
      </w:r>
      <w:r w:rsidRPr="002B2CFC">
        <w:rPr>
          <w:i/>
          <w:szCs w:val="24"/>
          <w:lang w:val="en-US" w:eastAsia="en-US"/>
        </w:rPr>
        <w:t>et al</w:t>
      </w:r>
      <w:r w:rsidRPr="002B2CFC">
        <w:rPr>
          <w:szCs w:val="24"/>
          <w:lang w:val="en-US" w:eastAsia="en-US"/>
        </w:rPr>
        <w:t xml:space="preserve"> (2007). Assignment of exposure (to paraquat or pesticides) was also assessed differently, and the outcome, Parkinson’s disease, was assessed by a variety of inputs</w:t>
      </w:r>
      <w:r w:rsidR="00EA4D49">
        <w:rPr>
          <w:szCs w:val="24"/>
          <w:lang w:val="en-US" w:eastAsia="en-US"/>
        </w:rPr>
        <w:t>;</w:t>
      </w:r>
      <w:r w:rsidRPr="002B2CFC">
        <w:rPr>
          <w:szCs w:val="24"/>
          <w:lang w:val="en-US" w:eastAsia="en-US"/>
        </w:rPr>
        <w:t xml:space="preserve"> as being diagnosed by a neurologist, or being assessed by a doctor, or a health professional</w:t>
      </w:r>
      <w:r w:rsidR="00E30FF4">
        <w:rPr>
          <w:szCs w:val="24"/>
          <w:lang w:val="en-US" w:eastAsia="en-US"/>
        </w:rPr>
        <w:t>.</w:t>
      </w:r>
      <w:r w:rsidRPr="002B2CFC">
        <w:rPr>
          <w:szCs w:val="24"/>
          <w:lang w:val="en-US" w:eastAsia="en-US"/>
        </w:rPr>
        <w:t xml:space="preserve"> The latter definition broadened the catchment of cases, but was a weaker description of the disease. </w:t>
      </w:r>
    </w:p>
    <w:p w14:paraId="47FEC77E" w14:textId="77777777" w:rsidR="002B2CFC" w:rsidRPr="002B2CFC" w:rsidRDefault="002B2CFC" w:rsidP="009E40A8">
      <w:pPr>
        <w:keepNext/>
        <w:keepLines/>
        <w:rPr>
          <w:szCs w:val="24"/>
          <w:lang w:val="en-US" w:eastAsia="en-US"/>
        </w:rPr>
      </w:pPr>
    </w:p>
    <w:p w14:paraId="462B9225" w14:textId="72076FA2" w:rsidR="00C111A1" w:rsidRDefault="002B2CFC" w:rsidP="009E40A8">
      <w:pPr>
        <w:keepNext/>
        <w:keepLines/>
        <w:rPr>
          <w:szCs w:val="24"/>
          <w:lang w:val="en-US" w:eastAsia="en-US"/>
        </w:rPr>
      </w:pPr>
      <w:r w:rsidRPr="002B2CFC">
        <w:rPr>
          <w:szCs w:val="24"/>
          <w:lang w:eastAsia="en-US"/>
        </w:rPr>
        <w:t xml:space="preserve">Overall, the above findings from the two epidemiology surveys, particularly the study by Costello </w:t>
      </w:r>
      <w:r w:rsidRPr="002B2CFC">
        <w:rPr>
          <w:i/>
          <w:color w:val="303030"/>
          <w:szCs w:val="24"/>
          <w:lang w:eastAsia="en-US"/>
        </w:rPr>
        <w:t>et al</w:t>
      </w:r>
      <w:r w:rsidRPr="002B2CFC">
        <w:rPr>
          <w:szCs w:val="24"/>
          <w:lang w:eastAsia="en-US"/>
        </w:rPr>
        <w:t xml:space="preserve"> (2009), lend some weight to the suggestion that there is a positive association between adverse health effects and exposure to pesticides (</w:t>
      </w:r>
      <w:r w:rsidR="00DF2E96">
        <w:rPr>
          <w:szCs w:val="24"/>
          <w:lang w:eastAsia="en-US"/>
        </w:rPr>
        <w:t xml:space="preserve">including </w:t>
      </w:r>
      <w:r w:rsidRPr="002B2CFC">
        <w:rPr>
          <w:szCs w:val="24"/>
          <w:lang w:eastAsia="en-US"/>
        </w:rPr>
        <w:t xml:space="preserve">paraquat and maneb), but presently, the strength of that association would not be considered robust. </w:t>
      </w:r>
      <w:r w:rsidR="00A343C0">
        <w:rPr>
          <w:szCs w:val="24"/>
          <w:lang w:eastAsia="en-US"/>
        </w:rPr>
        <w:t xml:space="preserve">An </w:t>
      </w:r>
      <w:r w:rsidR="00624233">
        <w:rPr>
          <w:szCs w:val="24"/>
          <w:lang w:eastAsia="en-US"/>
        </w:rPr>
        <w:t xml:space="preserve">additional retrospective cohort study by Tomenson &amp; Campbell (2011) reviewed by the OCS at a later date, showed no evidence of an increased incidence of </w:t>
      </w:r>
      <w:r w:rsidR="00624233">
        <w:rPr>
          <w:szCs w:val="24"/>
          <w:lang w:val="en-US" w:eastAsia="en-US"/>
        </w:rPr>
        <w:t xml:space="preserve">Parkinson’s disease, </w:t>
      </w:r>
      <w:r w:rsidR="00624233" w:rsidRPr="002B2CFC">
        <w:rPr>
          <w:szCs w:val="24"/>
          <w:lang w:val="en-US" w:eastAsia="en-US"/>
        </w:rPr>
        <w:t>as compared to control populations.</w:t>
      </w:r>
      <w:r w:rsidR="001F685E">
        <w:rPr>
          <w:szCs w:val="24"/>
          <w:lang w:val="en-US" w:eastAsia="en-US"/>
        </w:rPr>
        <w:br w:type="page"/>
      </w:r>
    </w:p>
    <w:p w14:paraId="10926BC3" w14:textId="77777777" w:rsidR="002B2CFC" w:rsidRPr="002B2CFC" w:rsidRDefault="007202C4" w:rsidP="00AA1EA2">
      <w:pPr>
        <w:pStyle w:val="Heading1"/>
        <w:jc w:val="left"/>
      </w:pPr>
      <w:bookmarkStart w:id="44" w:name="_Ref399231543"/>
      <w:bookmarkStart w:id="45" w:name="_Toc459108291"/>
      <w:r>
        <w:lastRenderedPageBreak/>
        <w:t xml:space="preserve">Overall </w:t>
      </w:r>
      <w:r w:rsidR="002B2CFC" w:rsidRPr="002B2CFC">
        <w:t>Conclusions</w:t>
      </w:r>
      <w:bookmarkEnd w:id="44"/>
      <w:bookmarkEnd w:id="45"/>
    </w:p>
    <w:p w14:paraId="5C3CD4E8" w14:textId="77777777" w:rsidR="00593BA9" w:rsidRDefault="00593BA9" w:rsidP="009E40A8">
      <w:pPr>
        <w:rPr>
          <w:szCs w:val="24"/>
          <w:lang w:val="en-US" w:eastAsia="en-US"/>
        </w:rPr>
      </w:pPr>
      <w:r>
        <w:rPr>
          <w:szCs w:val="24"/>
          <w:lang w:val="en-US" w:eastAsia="en-US"/>
        </w:rPr>
        <w:t>This supplementary report addresses</w:t>
      </w:r>
      <w:r w:rsidR="00D85D3B">
        <w:rPr>
          <w:szCs w:val="24"/>
          <w:lang w:val="en-US" w:eastAsia="en-US"/>
        </w:rPr>
        <w:t xml:space="preserve"> t</w:t>
      </w:r>
      <w:r w:rsidR="002B2CFC" w:rsidRPr="002B2CFC">
        <w:rPr>
          <w:szCs w:val="24"/>
          <w:lang w:val="en-US" w:eastAsia="en-US"/>
        </w:rPr>
        <w:t xml:space="preserve">he hypothesis that there </w:t>
      </w:r>
      <w:r w:rsidR="0083689C" w:rsidRPr="002B2CFC">
        <w:rPr>
          <w:szCs w:val="24"/>
          <w:lang w:val="en-US" w:eastAsia="en-US"/>
        </w:rPr>
        <w:t>may be</w:t>
      </w:r>
      <w:r w:rsidR="002B2CFC" w:rsidRPr="002B2CFC">
        <w:rPr>
          <w:szCs w:val="24"/>
          <w:lang w:val="en-US" w:eastAsia="en-US"/>
        </w:rPr>
        <w:t xml:space="preserve"> sufficient new toxicological information to support a case that paraquat may have a previously unrecognized adverse effect on human health</w:t>
      </w:r>
      <w:r w:rsidR="00EA4D49">
        <w:rPr>
          <w:szCs w:val="24"/>
          <w:lang w:val="en-US" w:eastAsia="en-US"/>
        </w:rPr>
        <w:t>,</w:t>
      </w:r>
      <w:r w:rsidR="002B2CFC" w:rsidRPr="002B2CFC">
        <w:rPr>
          <w:szCs w:val="24"/>
          <w:lang w:val="en-US" w:eastAsia="en-US"/>
        </w:rPr>
        <w:t xml:space="preserve"> </w:t>
      </w:r>
      <w:r w:rsidR="00D85D3B">
        <w:rPr>
          <w:szCs w:val="24"/>
          <w:lang w:val="en-US" w:eastAsia="en-US"/>
        </w:rPr>
        <w:t xml:space="preserve"> </w:t>
      </w:r>
      <w:r w:rsidR="00EA4D49">
        <w:rPr>
          <w:szCs w:val="24"/>
          <w:lang w:val="en-US" w:eastAsia="en-US"/>
        </w:rPr>
        <w:t>s</w:t>
      </w:r>
      <w:r>
        <w:rPr>
          <w:szCs w:val="24"/>
          <w:lang w:val="en-US" w:eastAsia="en-US"/>
        </w:rPr>
        <w:t xml:space="preserve">pecifically, </w:t>
      </w:r>
      <w:r w:rsidR="00EA4D49">
        <w:rPr>
          <w:szCs w:val="24"/>
          <w:lang w:val="en-US" w:eastAsia="en-US"/>
        </w:rPr>
        <w:t>investigations into whether</w:t>
      </w:r>
      <w:r>
        <w:rPr>
          <w:szCs w:val="24"/>
          <w:lang w:val="en-US" w:eastAsia="en-US"/>
        </w:rPr>
        <w:t xml:space="preserve"> p</w:t>
      </w:r>
      <w:r w:rsidR="002B2CFC" w:rsidRPr="002B2CFC">
        <w:rPr>
          <w:szCs w:val="24"/>
          <w:lang w:val="en-US" w:eastAsia="en-US"/>
        </w:rPr>
        <w:t xml:space="preserve">araquat may cause neurotoxicity in humans in the form of injury to the </w:t>
      </w:r>
      <w:r w:rsidR="004666B5">
        <w:rPr>
          <w:szCs w:val="24"/>
          <w:lang w:val="en-US" w:eastAsia="en-US"/>
        </w:rPr>
        <w:t>SN pc</w:t>
      </w:r>
      <w:r w:rsidR="002B2CFC" w:rsidRPr="002B2CFC">
        <w:rPr>
          <w:szCs w:val="24"/>
          <w:lang w:val="en-US" w:eastAsia="en-US"/>
        </w:rPr>
        <w:t xml:space="preserve"> resulting in the loss of dopaminergic neurons and development of clinical signs consistent with Parkinson’s disease.</w:t>
      </w:r>
    </w:p>
    <w:p w14:paraId="24C0A38C" w14:textId="77777777" w:rsidR="004666B5" w:rsidRDefault="004666B5" w:rsidP="009E40A8">
      <w:pPr>
        <w:rPr>
          <w:szCs w:val="24"/>
          <w:lang w:val="en-US" w:eastAsia="en-US"/>
        </w:rPr>
      </w:pPr>
    </w:p>
    <w:p w14:paraId="0D4EEE7B" w14:textId="77777777" w:rsidR="00FE579B" w:rsidRPr="002B2CFC" w:rsidRDefault="002B2CFC" w:rsidP="009E40A8">
      <w:pPr>
        <w:rPr>
          <w:szCs w:val="24"/>
          <w:lang w:val="en-US" w:eastAsia="en-US"/>
        </w:rPr>
      </w:pPr>
      <w:r w:rsidRPr="002B2CFC">
        <w:rPr>
          <w:szCs w:val="24"/>
          <w:lang w:val="en-US" w:eastAsia="en-US"/>
        </w:rPr>
        <w:t>Th</w:t>
      </w:r>
      <w:r w:rsidR="00A343C0">
        <w:rPr>
          <w:szCs w:val="24"/>
          <w:lang w:val="en-US" w:eastAsia="en-US"/>
        </w:rPr>
        <w:t xml:space="preserve">is </w:t>
      </w:r>
      <w:r w:rsidR="00593BA9">
        <w:rPr>
          <w:szCs w:val="24"/>
          <w:lang w:val="en-US" w:eastAsia="en-US"/>
        </w:rPr>
        <w:t xml:space="preserve">supplement </w:t>
      </w:r>
      <w:r w:rsidRPr="002B2CFC">
        <w:rPr>
          <w:szCs w:val="24"/>
          <w:lang w:val="en-US" w:eastAsia="en-US"/>
        </w:rPr>
        <w:t>discusses the pharmacokinetic profile of paraquat, relevant findings in laboratory animal studies</w:t>
      </w:r>
      <w:r w:rsidR="00ED22D5">
        <w:rPr>
          <w:szCs w:val="24"/>
          <w:lang w:val="en-US" w:eastAsia="en-US"/>
        </w:rPr>
        <w:t xml:space="preserve"> and cases of human poisoning, </w:t>
      </w:r>
      <w:r w:rsidRPr="002B2CFC">
        <w:rPr>
          <w:szCs w:val="24"/>
          <w:lang w:val="en-US" w:eastAsia="en-US"/>
        </w:rPr>
        <w:t xml:space="preserve">relevant advances in the understanding of the possible role of neuromelanin in Parkinson’s disease and its possible interaction with paraquat and comments on </w:t>
      </w:r>
      <w:r w:rsidR="00DF2E96">
        <w:rPr>
          <w:szCs w:val="24"/>
          <w:lang w:val="en-US" w:eastAsia="en-US"/>
        </w:rPr>
        <w:t>three</w:t>
      </w:r>
      <w:r w:rsidR="00DF2E96" w:rsidRPr="002B2CFC">
        <w:rPr>
          <w:szCs w:val="24"/>
          <w:lang w:val="en-US" w:eastAsia="en-US"/>
        </w:rPr>
        <w:t xml:space="preserve"> </w:t>
      </w:r>
      <w:r w:rsidRPr="002B2CFC">
        <w:rPr>
          <w:szCs w:val="24"/>
          <w:lang w:val="en-US" w:eastAsia="en-US"/>
        </w:rPr>
        <w:t xml:space="preserve">recent epidemiology studies </w:t>
      </w:r>
      <w:r w:rsidR="00EA4D49">
        <w:rPr>
          <w:szCs w:val="24"/>
          <w:lang w:val="en-US" w:eastAsia="en-US"/>
        </w:rPr>
        <w:t>with differing conclusions on the</w:t>
      </w:r>
      <w:r w:rsidRPr="002B2CFC">
        <w:rPr>
          <w:szCs w:val="24"/>
          <w:lang w:val="en-US" w:eastAsia="en-US"/>
        </w:rPr>
        <w:t xml:space="preserve"> association between exposure to pesticides, including paraquat, and the development of Parkinson’s disease.</w:t>
      </w:r>
    </w:p>
    <w:p w14:paraId="281F9623" w14:textId="77777777" w:rsidR="002B2CFC" w:rsidRPr="002B2CFC" w:rsidRDefault="002B2CFC" w:rsidP="009E40A8">
      <w:pPr>
        <w:rPr>
          <w:szCs w:val="24"/>
          <w:lang w:val="en-US" w:eastAsia="en-US"/>
        </w:rPr>
      </w:pPr>
    </w:p>
    <w:p w14:paraId="5ECF920E" w14:textId="77777777" w:rsidR="008E356B" w:rsidRDefault="00F740B7" w:rsidP="009E40A8">
      <w:pPr>
        <w:rPr>
          <w:szCs w:val="24"/>
          <w:lang w:val="en-US" w:eastAsia="en-US"/>
        </w:rPr>
      </w:pPr>
      <w:r w:rsidRPr="002B2CFC">
        <w:rPr>
          <w:szCs w:val="24"/>
          <w:lang w:val="en-US" w:eastAsia="en-US"/>
        </w:rPr>
        <w:t>Earl</w:t>
      </w:r>
      <w:r>
        <w:rPr>
          <w:szCs w:val="24"/>
          <w:lang w:val="en-US" w:eastAsia="en-US"/>
        </w:rPr>
        <w:t>y</w:t>
      </w:r>
      <w:r w:rsidRPr="002B2CFC">
        <w:rPr>
          <w:szCs w:val="24"/>
          <w:lang w:val="en-US" w:eastAsia="en-US"/>
        </w:rPr>
        <w:t xml:space="preserve"> </w:t>
      </w:r>
      <w:r w:rsidR="002B2CFC" w:rsidRPr="002B2CFC">
        <w:rPr>
          <w:szCs w:val="24"/>
          <w:lang w:val="en-US" w:eastAsia="en-US"/>
        </w:rPr>
        <w:t xml:space="preserve">studies in mice showed that injections (ip and sc) of paraquat results in the loss of dopaminergic neurons in the </w:t>
      </w:r>
      <w:r w:rsidR="004D01E6" w:rsidRPr="002B2CFC">
        <w:rPr>
          <w:szCs w:val="24"/>
          <w:lang w:val="en-US" w:eastAsia="en-US"/>
        </w:rPr>
        <w:t>SN pc</w:t>
      </w:r>
      <w:r w:rsidR="004D01E6" w:rsidRPr="002B2CFC" w:rsidDel="004D01E6">
        <w:rPr>
          <w:szCs w:val="24"/>
          <w:lang w:val="en-US" w:eastAsia="en-US"/>
        </w:rPr>
        <w:t xml:space="preserve"> </w:t>
      </w:r>
      <w:r w:rsidR="002B2CFC" w:rsidRPr="002B2CFC">
        <w:rPr>
          <w:szCs w:val="24"/>
          <w:lang w:val="en-US" w:eastAsia="en-US"/>
        </w:rPr>
        <w:t xml:space="preserve">with the LOEL for this effect only 1 mg/kg bw/wk (ip, weekly for 3 weeks). </w:t>
      </w:r>
      <w:r w:rsidR="006A67DD">
        <w:rPr>
          <w:szCs w:val="24"/>
          <w:lang w:val="en-US" w:eastAsia="en-US"/>
        </w:rPr>
        <w:t xml:space="preserve">However, not only has one of these studies been determined to </w:t>
      </w:r>
      <w:r>
        <w:rPr>
          <w:szCs w:val="24"/>
          <w:lang w:val="en-US" w:eastAsia="en-US"/>
        </w:rPr>
        <w:t>be fraudulent</w:t>
      </w:r>
      <w:r w:rsidR="006A67DD">
        <w:rPr>
          <w:szCs w:val="24"/>
          <w:lang w:val="en-US" w:eastAsia="en-US"/>
        </w:rPr>
        <w:t>, a</w:t>
      </w:r>
      <w:r w:rsidR="002B2CFC" w:rsidRPr="002B2CFC">
        <w:rPr>
          <w:szCs w:val="24"/>
          <w:lang w:val="en-US" w:eastAsia="en-US"/>
        </w:rPr>
        <w:t xml:space="preserve"> recent comprehensive </w:t>
      </w:r>
      <w:r w:rsidR="00DF2E96">
        <w:rPr>
          <w:szCs w:val="24"/>
          <w:lang w:val="en-US" w:eastAsia="en-US"/>
        </w:rPr>
        <w:t xml:space="preserve">and contemporary </w:t>
      </w:r>
      <w:r w:rsidR="002B2CFC" w:rsidRPr="002B2CFC">
        <w:rPr>
          <w:szCs w:val="24"/>
          <w:lang w:val="en-US" w:eastAsia="en-US"/>
        </w:rPr>
        <w:t xml:space="preserve">study demonstrated no effects on the dopaminergic neurons in the SN pc at up to 25 mg/kg bw/dose (ip, weekly for 1-3 weeks) </w:t>
      </w:r>
      <w:r>
        <w:rPr>
          <w:szCs w:val="24"/>
          <w:lang w:val="en-US" w:eastAsia="en-US"/>
        </w:rPr>
        <w:t>over-riding</w:t>
      </w:r>
      <w:r w:rsidR="002B2CFC" w:rsidRPr="002B2CFC">
        <w:rPr>
          <w:szCs w:val="24"/>
          <w:lang w:val="en-US" w:eastAsia="en-US"/>
        </w:rPr>
        <w:t xml:space="preserve"> the reliability of earlier studies</w:t>
      </w:r>
      <w:r w:rsidR="006A67DD">
        <w:rPr>
          <w:szCs w:val="24"/>
          <w:lang w:val="en-US" w:eastAsia="en-US"/>
        </w:rPr>
        <w:t>.  Critically for this human health risk assessment, n</w:t>
      </w:r>
      <w:r w:rsidR="002B2CFC" w:rsidRPr="002B2CFC">
        <w:rPr>
          <w:szCs w:val="24"/>
          <w:lang w:val="en-US" w:eastAsia="en-US"/>
        </w:rPr>
        <w:t xml:space="preserve">ew data demonstrated that when paraquat is administered orally to </w:t>
      </w:r>
      <w:r w:rsidR="008E356B">
        <w:rPr>
          <w:szCs w:val="24"/>
          <w:lang w:val="en-US" w:eastAsia="en-US"/>
        </w:rPr>
        <w:t xml:space="preserve">adult </w:t>
      </w:r>
      <w:r w:rsidR="002B2CFC" w:rsidRPr="002B2CFC">
        <w:rPr>
          <w:szCs w:val="24"/>
          <w:lang w:val="en-US" w:eastAsia="en-US"/>
        </w:rPr>
        <w:t xml:space="preserve">mice, a more </w:t>
      </w:r>
      <w:r>
        <w:rPr>
          <w:szCs w:val="24"/>
          <w:lang w:val="en-US" w:eastAsia="en-US"/>
        </w:rPr>
        <w:t xml:space="preserve">relevant </w:t>
      </w:r>
      <w:r w:rsidR="002B2CFC" w:rsidRPr="002B2CFC">
        <w:rPr>
          <w:szCs w:val="24"/>
          <w:lang w:val="en-US" w:eastAsia="en-US"/>
        </w:rPr>
        <w:t>route of exposure to humans, no such effect was seen in the SN pc at doses up to 50 ppm</w:t>
      </w:r>
      <w:r w:rsidR="007C0100">
        <w:rPr>
          <w:szCs w:val="24"/>
          <w:lang w:val="en-US" w:eastAsia="en-US"/>
        </w:rPr>
        <w:t xml:space="preserve"> paraquat dichloride (</w:t>
      </w:r>
      <w:r w:rsidR="00DF1D20">
        <w:rPr>
          <w:szCs w:val="24"/>
          <w:lang w:val="en-US" w:eastAsia="en-US"/>
        </w:rPr>
        <w:t>≈</w:t>
      </w:r>
      <w:r w:rsidR="007C0100">
        <w:rPr>
          <w:szCs w:val="24"/>
          <w:lang w:val="en-US" w:eastAsia="en-US"/>
        </w:rPr>
        <w:t>10 mg/kg bw/d paraquat ion)</w:t>
      </w:r>
      <w:r w:rsidR="002B2CFC" w:rsidRPr="002B2CFC">
        <w:rPr>
          <w:szCs w:val="24"/>
          <w:lang w:val="en-US" w:eastAsia="en-US"/>
        </w:rPr>
        <w:t xml:space="preserve">. </w:t>
      </w:r>
    </w:p>
    <w:p w14:paraId="5C231F04" w14:textId="77777777" w:rsidR="008E356B" w:rsidRDefault="008E356B" w:rsidP="009E40A8">
      <w:pPr>
        <w:rPr>
          <w:szCs w:val="24"/>
          <w:lang w:val="en-US" w:eastAsia="en-US"/>
        </w:rPr>
      </w:pPr>
    </w:p>
    <w:p w14:paraId="4A69C6ED" w14:textId="2191770E" w:rsidR="004A5D7D" w:rsidRDefault="00FA569C" w:rsidP="009E40A8">
      <w:pPr>
        <w:rPr>
          <w:szCs w:val="24"/>
          <w:lang w:val="en-US" w:eastAsia="en-US"/>
        </w:rPr>
      </w:pPr>
      <w:r>
        <w:rPr>
          <w:szCs w:val="24"/>
          <w:lang w:val="en-US" w:eastAsia="en-US"/>
        </w:rPr>
        <w:t>Epidemio</w:t>
      </w:r>
      <w:r w:rsidR="00C229F8">
        <w:rPr>
          <w:szCs w:val="24"/>
          <w:lang w:val="en-US" w:eastAsia="en-US"/>
        </w:rPr>
        <w:t>logical studies do not demonstrate a</w:t>
      </w:r>
      <w:r w:rsidR="00E21D62">
        <w:rPr>
          <w:szCs w:val="24"/>
          <w:lang w:val="en-US" w:eastAsia="en-US"/>
        </w:rPr>
        <w:t xml:space="preserve"> robust </w:t>
      </w:r>
      <w:r w:rsidR="00784E58">
        <w:rPr>
          <w:szCs w:val="24"/>
          <w:lang w:val="en-US" w:eastAsia="en-US"/>
        </w:rPr>
        <w:t xml:space="preserve">statistical </w:t>
      </w:r>
      <w:r w:rsidR="00E21D62">
        <w:rPr>
          <w:szCs w:val="24"/>
          <w:lang w:val="en-US" w:eastAsia="en-US"/>
        </w:rPr>
        <w:t>correlation b</w:t>
      </w:r>
      <w:r w:rsidR="00C229F8">
        <w:rPr>
          <w:szCs w:val="24"/>
          <w:lang w:val="en-US" w:eastAsia="en-US"/>
        </w:rPr>
        <w:t xml:space="preserve">etween human exposure to pesticides, including paraquat, </w:t>
      </w:r>
      <w:r w:rsidR="00B81F8C">
        <w:rPr>
          <w:szCs w:val="24"/>
          <w:lang w:val="en-US" w:eastAsia="en-US"/>
        </w:rPr>
        <w:t>with</w:t>
      </w:r>
      <w:r w:rsidR="00C229F8">
        <w:rPr>
          <w:szCs w:val="24"/>
          <w:lang w:val="en-US" w:eastAsia="en-US"/>
        </w:rPr>
        <w:t xml:space="preserve"> Parkinson's disease.</w:t>
      </w:r>
      <w:r w:rsidR="00C229F8" w:rsidRPr="002B2CFC">
        <w:rPr>
          <w:szCs w:val="24"/>
          <w:lang w:val="en-US" w:eastAsia="en-US"/>
        </w:rPr>
        <w:t xml:space="preserve"> </w:t>
      </w:r>
    </w:p>
    <w:p w14:paraId="57015035" w14:textId="77777777" w:rsidR="004A5D7D" w:rsidRDefault="004A5D7D" w:rsidP="009E40A8">
      <w:pPr>
        <w:rPr>
          <w:szCs w:val="24"/>
          <w:lang w:val="en-US" w:eastAsia="en-US"/>
        </w:rPr>
      </w:pPr>
    </w:p>
    <w:p w14:paraId="57E9FFF2" w14:textId="470CC373" w:rsidR="002B2CFC" w:rsidRPr="002B2CFC" w:rsidRDefault="00AE2E2B" w:rsidP="009E40A8">
      <w:pPr>
        <w:rPr>
          <w:szCs w:val="24"/>
          <w:lang w:val="en-US" w:eastAsia="en-US"/>
        </w:rPr>
      </w:pPr>
      <w:r w:rsidRPr="004A5D7D">
        <w:rPr>
          <w:szCs w:val="24"/>
          <w:lang w:val="en-US" w:eastAsia="en-US"/>
        </w:rPr>
        <w:t xml:space="preserve">The OCS is therefore satisfied that </w:t>
      </w:r>
      <w:r w:rsidR="00D91DD1" w:rsidRPr="004A5D7D">
        <w:rPr>
          <w:szCs w:val="24"/>
          <w:lang w:val="en-US" w:eastAsia="en-US"/>
        </w:rPr>
        <w:t xml:space="preserve">exposure to paraquat, </w:t>
      </w:r>
      <w:r w:rsidR="00D85D3B" w:rsidRPr="004A5D7D">
        <w:rPr>
          <w:szCs w:val="24"/>
          <w:lang w:val="en-US" w:eastAsia="en-US"/>
        </w:rPr>
        <w:t>when used</w:t>
      </w:r>
      <w:r w:rsidR="00D91DD1" w:rsidRPr="004A5D7D">
        <w:rPr>
          <w:szCs w:val="24"/>
          <w:lang w:val="en-US" w:eastAsia="en-US"/>
        </w:rPr>
        <w:t xml:space="preserve"> as a herbicide, </w:t>
      </w:r>
      <w:r w:rsidRPr="004A5D7D">
        <w:rPr>
          <w:szCs w:val="24"/>
          <w:lang w:val="en-US" w:eastAsia="en-US"/>
        </w:rPr>
        <w:t xml:space="preserve">does not pose </w:t>
      </w:r>
      <w:r w:rsidR="00F740B7" w:rsidRPr="004A5D7D">
        <w:rPr>
          <w:szCs w:val="24"/>
          <w:lang w:val="en-US" w:eastAsia="en-US"/>
        </w:rPr>
        <w:t>a</w:t>
      </w:r>
      <w:r w:rsidR="00F740B7">
        <w:rPr>
          <w:szCs w:val="24"/>
          <w:lang w:val="en-US" w:eastAsia="en-US"/>
        </w:rPr>
        <w:t xml:space="preserve"> </w:t>
      </w:r>
      <w:r w:rsidRPr="004A5D7D">
        <w:rPr>
          <w:szCs w:val="24"/>
          <w:lang w:val="en-US" w:eastAsia="en-US"/>
        </w:rPr>
        <w:t>risk</w:t>
      </w:r>
      <w:r w:rsidR="00D91DD1" w:rsidRPr="004A5D7D">
        <w:rPr>
          <w:szCs w:val="24"/>
          <w:lang w:val="en-US" w:eastAsia="en-US"/>
        </w:rPr>
        <w:t xml:space="preserve"> </w:t>
      </w:r>
      <w:r w:rsidR="00B81F8C">
        <w:rPr>
          <w:szCs w:val="24"/>
          <w:lang w:val="en-US" w:eastAsia="en-US"/>
        </w:rPr>
        <w:t xml:space="preserve">for </w:t>
      </w:r>
      <w:r w:rsidR="00B81F8C" w:rsidRPr="004A5D7D">
        <w:rPr>
          <w:szCs w:val="24"/>
          <w:lang w:val="en-US" w:eastAsia="en-US"/>
        </w:rPr>
        <w:t xml:space="preserve">neurotoxicity </w:t>
      </w:r>
      <w:r w:rsidR="00B81F8C">
        <w:rPr>
          <w:szCs w:val="24"/>
          <w:lang w:val="en-US" w:eastAsia="en-US"/>
        </w:rPr>
        <w:t>in</w:t>
      </w:r>
      <w:r w:rsidR="00B81F8C" w:rsidRPr="004A5D7D">
        <w:rPr>
          <w:szCs w:val="24"/>
          <w:lang w:val="en-US" w:eastAsia="en-US"/>
        </w:rPr>
        <w:t xml:space="preserve"> </w:t>
      </w:r>
      <w:r w:rsidR="00D91DD1" w:rsidRPr="004A5D7D">
        <w:rPr>
          <w:szCs w:val="24"/>
          <w:lang w:val="en-US" w:eastAsia="en-US"/>
        </w:rPr>
        <w:t>humans</w:t>
      </w:r>
      <w:r w:rsidRPr="004A5D7D">
        <w:rPr>
          <w:szCs w:val="24"/>
          <w:lang w:val="en-US" w:eastAsia="en-US"/>
        </w:rPr>
        <w:t>.</w:t>
      </w:r>
      <w:r w:rsidR="00D91DD1" w:rsidRPr="004A5D7D">
        <w:rPr>
          <w:szCs w:val="24"/>
          <w:lang w:val="en-US" w:eastAsia="en-US"/>
        </w:rPr>
        <w:t xml:space="preserve"> </w:t>
      </w:r>
      <w:r w:rsidR="001F685E">
        <w:rPr>
          <w:szCs w:val="24"/>
          <w:lang w:val="en-US" w:eastAsia="en-US"/>
        </w:rPr>
        <w:br w:type="page"/>
      </w:r>
    </w:p>
    <w:p w14:paraId="00A6F015" w14:textId="77777777" w:rsidR="002B2CFC" w:rsidRDefault="002B2CFC" w:rsidP="00C2420A">
      <w:pPr>
        <w:pStyle w:val="Part"/>
        <w:numPr>
          <w:ilvl w:val="0"/>
          <w:numId w:val="14"/>
        </w:numPr>
      </w:pPr>
      <w:bookmarkStart w:id="46" w:name="_Toc459108292"/>
      <w:r w:rsidRPr="008D0BDE">
        <w:lastRenderedPageBreak/>
        <w:t>Part 2</w:t>
      </w:r>
      <w:bookmarkEnd w:id="46"/>
    </w:p>
    <w:p w14:paraId="1F5512D9" w14:textId="77777777" w:rsidR="00673925" w:rsidRDefault="00104BF5" w:rsidP="00AA1EA2">
      <w:pPr>
        <w:pStyle w:val="Heading1"/>
        <w:jc w:val="left"/>
      </w:pPr>
      <w:bookmarkStart w:id="47" w:name="_Toc459108293"/>
      <w:r>
        <w:t>Summary of neurotoxicity studies</w:t>
      </w:r>
      <w:bookmarkEnd w:id="47"/>
    </w:p>
    <w:p w14:paraId="1DC0D1AC" w14:textId="77777777" w:rsidR="00AD66E6" w:rsidRPr="002B2CFC" w:rsidRDefault="00AD66E6" w:rsidP="00385097">
      <w:pPr>
        <w:pStyle w:val="Heading2"/>
        <w:rPr>
          <w:lang w:eastAsia="en-US"/>
        </w:rPr>
      </w:pPr>
      <w:bookmarkStart w:id="48" w:name="_Toc459108294"/>
      <w:r>
        <w:rPr>
          <w:lang w:eastAsia="en-US"/>
        </w:rPr>
        <w:t>Oral Administration</w:t>
      </w:r>
      <w:bookmarkEnd w:id="48"/>
      <w:r w:rsidRPr="002B2CFC">
        <w:rPr>
          <w:lang w:eastAsia="en-US"/>
        </w:rPr>
        <w:t xml:space="preserve"> </w:t>
      </w:r>
    </w:p>
    <w:p w14:paraId="0938735D" w14:textId="77777777" w:rsidR="002447C7" w:rsidRPr="00CE0C20" w:rsidRDefault="002447C7" w:rsidP="009E40A8">
      <w:r>
        <w:t xml:space="preserve">The acute neurotoxicity of paraquat in rats was investigated following single po gavage doses of </w:t>
      </w:r>
      <w:r w:rsidR="00726562" w:rsidRPr="00E23F9C">
        <w:t xml:space="preserve">0, </w:t>
      </w:r>
      <w:r w:rsidR="00726562">
        <w:t xml:space="preserve">8, </w:t>
      </w:r>
      <w:r w:rsidR="00726562" w:rsidRPr="00E23F9C">
        <w:t>25, or 84 mg/kg bw paraquat ion/kg bw</w:t>
      </w:r>
      <w:r w:rsidR="00726562" w:rsidDel="00726562">
        <w:t xml:space="preserve"> </w:t>
      </w:r>
      <w:r>
        <w:t xml:space="preserve">according to OECD Test Guideline 424 and included functional observational battery parameters of landing foot-splay, sensory perception and muscle weakness </w:t>
      </w:r>
      <w:r w:rsidRPr="0060620D">
        <w:t>(Brammer, 2006</w:t>
      </w:r>
      <w:r>
        <w:t xml:space="preserve">).  Mortalities and clinical signs of systemic toxicity were observed consistent with the high dose administered.  A slight increased incidence of reduced foot-splay reflex was noted in male but not in female rats in addition to an increased incidence in female control animals. Histopathological examination did not include examination of brain / </w:t>
      </w:r>
      <w:r w:rsidRPr="0024057E">
        <w:t>SN pc</w:t>
      </w:r>
      <w:r>
        <w:t xml:space="preserve">.  Overall, on the parameters measured there was no evidence of neurotoxicity following the oral administration of a single dose of up to 84 mg paraquat ion/kg bw to rats.  </w:t>
      </w:r>
    </w:p>
    <w:p w14:paraId="55AE77A2" w14:textId="77777777" w:rsidR="002447C7" w:rsidRDefault="002447C7" w:rsidP="009E40A8"/>
    <w:p w14:paraId="213076EE" w14:textId="77777777" w:rsidR="00FD2C5D" w:rsidRDefault="00FD2C5D" w:rsidP="0008427E">
      <w:pPr>
        <w:rPr>
          <w:color w:val="000000"/>
        </w:rPr>
      </w:pPr>
      <w:r>
        <w:rPr>
          <w:color w:val="000000"/>
        </w:rPr>
        <w:t xml:space="preserve">A study by Beck (2013) was specifically designed to assess the effect of dietary administration of up to 50 ppm </w:t>
      </w:r>
      <w:r>
        <w:t xml:space="preserve"> </w:t>
      </w:r>
      <w:r>
        <w:rPr>
          <w:color w:val="000000"/>
        </w:rPr>
        <w:t xml:space="preserve">paraquat dichloride </w:t>
      </w:r>
      <w:r w:rsidR="00BF00F5">
        <w:t xml:space="preserve">(equivalent to paraquat ion in males 10.2 mg/kg bw/d, females 15.6 mg/kg bw/d) </w:t>
      </w:r>
      <w:r>
        <w:rPr>
          <w:color w:val="000000"/>
        </w:rPr>
        <w:t xml:space="preserve">on the dopaminergic neurons in the brains of C57BL/6J mice. Detailed examination of the brain through neuropathology with specialist staining showed paraquat exposure was not associated with any neuronal or glial changes in the </w:t>
      </w:r>
      <w:r w:rsidR="004D01E6">
        <w:rPr>
          <w:color w:val="000000"/>
        </w:rPr>
        <w:t>SN</w:t>
      </w:r>
      <w:r>
        <w:rPr>
          <w:color w:val="000000"/>
        </w:rPr>
        <w:t xml:space="preserve"> or striatum. Stereology analysis of TH stained sections of the SN pc did not show any effects on the number of dopaminergic neuronal cells or total contour volume. There were no effects on the levels of dopamine or its two metabolites (</w:t>
      </w:r>
      <w:r w:rsidR="00340F7C">
        <w:rPr>
          <w:color w:val="000000"/>
        </w:rPr>
        <w:t>HVA and DOPAC</w:t>
      </w:r>
      <w:r>
        <w:rPr>
          <w:color w:val="000000"/>
        </w:rPr>
        <w:t xml:space="preserve">) in the striatal tissues. The test system was validated by findings in a positive control group treated with ip injections of MPTP. </w:t>
      </w:r>
      <w:r w:rsidR="006E1DEB">
        <w:rPr>
          <w:color w:val="000000"/>
        </w:rPr>
        <w:t>No LOEL was identified for neuronal cell loss in the striatum or SN pc</w:t>
      </w:r>
      <w:r w:rsidR="00893658">
        <w:rPr>
          <w:color w:val="000000"/>
        </w:rPr>
        <w:t>,</w:t>
      </w:r>
      <w:r w:rsidR="006E1DEB">
        <w:rPr>
          <w:color w:val="000000"/>
        </w:rPr>
        <w:t xml:space="preserve"> with no effects no</w:t>
      </w:r>
      <w:r w:rsidR="00726562">
        <w:rPr>
          <w:color w:val="000000"/>
        </w:rPr>
        <w:t>ted at the highest dose tested (</w:t>
      </w:r>
      <w:r w:rsidR="006E1DEB">
        <w:rPr>
          <w:color w:val="000000"/>
        </w:rPr>
        <w:t>≈ 10 mg/kg bw/d paraquat ion)</w:t>
      </w:r>
      <w:r w:rsidR="00726562">
        <w:rPr>
          <w:color w:val="000000"/>
        </w:rPr>
        <w:t>. Therefore, t</w:t>
      </w:r>
      <w:r>
        <w:rPr>
          <w:color w:val="000000"/>
        </w:rPr>
        <w:t xml:space="preserve">he NOEL </w:t>
      </w:r>
      <w:r w:rsidR="0083689C">
        <w:rPr>
          <w:color w:val="000000"/>
        </w:rPr>
        <w:t>for neuronal</w:t>
      </w:r>
      <w:r>
        <w:rPr>
          <w:color w:val="000000"/>
        </w:rPr>
        <w:t xml:space="preserve"> cell loss was</w:t>
      </w:r>
      <w:r w:rsidR="00726562">
        <w:rPr>
          <w:color w:val="000000"/>
        </w:rPr>
        <w:t xml:space="preserve">  </w:t>
      </w:r>
      <w:r>
        <w:rPr>
          <w:color w:val="000000"/>
        </w:rPr>
        <w:t xml:space="preserve">10 mg paraquat ion/kg bw/d (the highest dose tested). This study has </w:t>
      </w:r>
      <w:r w:rsidR="00AA6F80">
        <w:rPr>
          <w:color w:val="000000"/>
        </w:rPr>
        <w:t>since been published</w:t>
      </w:r>
      <w:r>
        <w:rPr>
          <w:color w:val="000000"/>
        </w:rPr>
        <w:t xml:space="preserve"> in Regulatory Toxicology and Pharmacology (Minnema </w:t>
      </w:r>
      <w:r w:rsidR="00EE5CEB" w:rsidRPr="00EE5CEB">
        <w:rPr>
          <w:i/>
          <w:color w:val="000000"/>
        </w:rPr>
        <w:t>et al</w:t>
      </w:r>
      <w:r w:rsidR="00142A36">
        <w:rPr>
          <w:i/>
          <w:color w:val="000000"/>
        </w:rPr>
        <w:t>,</w:t>
      </w:r>
      <w:r>
        <w:rPr>
          <w:color w:val="000000"/>
        </w:rPr>
        <w:t xml:space="preserve"> 2014).</w:t>
      </w:r>
    </w:p>
    <w:p w14:paraId="5B4F4800" w14:textId="77777777" w:rsidR="00FD2C5D" w:rsidRDefault="00FD2C5D" w:rsidP="009E40A8"/>
    <w:p w14:paraId="0B8A030B" w14:textId="77777777" w:rsidR="002447C7" w:rsidRDefault="002447C7" w:rsidP="009E40A8">
      <w:r>
        <w:t>The neurotoxicity of paraquat technical was investigated in a subchronic study where rats were administered paraquat cation in the diet for 90 days at 0, 15, 50 or 150 ppm or 0, 1.0, 3.4 or 10.2 mg/kg bw/d in males and 0, 1.1, 3.9 or 11.9 mg/kg bw/d in females (respectively) (Chivers, 2006).  The study was performed according to OECD test Guideline 424 and included functional observational battery</w:t>
      </w:r>
      <w:r w:rsidR="0095617C">
        <w:t xml:space="preserve"> (FOB)</w:t>
      </w:r>
      <w:r>
        <w:t xml:space="preserve"> parameters of landing foot-splay, sensory perception, grip strength</w:t>
      </w:r>
      <w:r w:rsidR="0095617C">
        <w:t>,</w:t>
      </w:r>
      <w:r w:rsidR="00F015D9">
        <w:t xml:space="preserve"> </w:t>
      </w:r>
      <w:r>
        <w:t xml:space="preserve">muscle weakness, and motor activity.  Nervous system tissues from control and high dose animals were examined histologically, however, the </w:t>
      </w:r>
      <w:r w:rsidRPr="0024057E">
        <w:t>SN pc</w:t>
      </w:r>
      <w:r>
        <w:t xml:space="preserve"> was not included in the tissues selected for examination.  Treatment-related clinical signs of toxicity were limited to changes in body weights at the high dose.  </w:t>
      </w:r>
      <w:r w:rsidR="009B20BD">
        <w:t xml:space="preserve">There were no treatment-related FOB abnormalities </w:t>
      </w:r>
      <w:r>
        <w:t xml:space="preserve">and there were no treatment-related histological changes observed in the nervous system tissues selected for examination.  </w:t>
      </w:r>
      <w:r w:rsidR="00B86E39">
        <w:t>As per Guideline, t</w:t>
      </w:r>
      <w:r>
        <w:t xml:space="preserve">he </w:t>
      </w:r>
      <w:r w:rsidRPr="0024057E">
        <w:t>SN pc</w:t>
      </w:r>
      <w:r>
        <w:t xml:space="preserve"> was not </w:t>
      </w:r>
      <w:r w:rsidR="00B86E39">
        <w:t xml:space="preserve">specifically </w:t>
      </w:r>
      <w:r>
        <w:t>examined. The NOEL was 150 ppm or 10.2 and 11.9 mg/kg bw/d in male and female rats (respectively)</w:t>
      </w:r>
      <w:r w:rsidR="004D61CD">
        <w:t>, the highest dose tested</w:t>
      </w:r>
      <w:r>
        <w:t xml:space="preserve">.  </w:t>
      </w:r>
    </w:p>
    <w:p w14:paraId="48A364B5" w14:textId="77777777" w:rsidR="002447C7" w:rsidRPr="002447C7" w:rsidRDefault="002447C7" w:rsidP="009E40A8"/>
    <w:p w14:paraId="3F5B57EF" w14:textId="77777777" w:rsidR="002447C7" w:rsidRDefault="002447C7" w:rsidP="0008427E">
      <w:r>
        <w:t>The effect of Gramoxone</w:t>
      </w:r>
      <w:r w:rsidR="00142A36">
        <w:t xml:space="preserve"> (a </w:t>
      </w:r>
      <w:r w:rsidR="00142A36" w:rsidRPr="00FE6941" w:rsidDel="00072FD7">
        <w:rPr>
          <w:szCs w:val="24"/>
          <w:lang w:eastAsia="en-US"/>
        </w:rPr>
        <w:t xml:space="preserve">paraquat-containing </w:t>
      </w:r>
      <w:r w:rsidR="009B20BD">
        <w:rPr>
          <w:szCs w:val="24"/>
          <w:lang w:eastAsia="en-US"/>
        </w:rPr>
        <w:t>formulation</w:t>
      </w:r>
      <w:r w:rsidR="00142A36">
        <w:rPr>
          <w:szCs w:val="24"/>
          <w:lang w:eastAsia="en-US"/>
        </w:rPr>
        <w:t>)</w:t>
      </w:r>
      <w:r>
        <w:t xml:space="preserve"> on the concentration of various central monoamines and acetylcholine were determined in the cerebral cortex, midbrain and pons/medulla oblongata 12 days after po administration to male mice at 0, 3.12, 10.4 and 31.2 mg/kg bw/d (equivalent to 0, 2.25, 7.5 and 22.5 mg/kg bw paraquat cation) for 3 consecutive </w:t>
      </w:r>
      <w:r>
        <w:lastRenderedPageBreak/>
        <w:t xml:space="preserve">days. There was a significant elevation in the concentration of choline in the cerebral cortex at 10.4 and 31.2 mg/kg bw/d, and in the midbrain and pons/medulla oblongata at all doses. The elevation in midbrain choline levels did not follow a dose-response pattern and therefore the toxicological significance of this finding was unclear. There was a dose-related depression in the concentration of </w:t>
      </w:r>
      <w:r w:rsidR="00A4092E">
        <w:t>DA</w:t>
      </w:r>
      <w:r>
        <w:t xml:space="preserve"> and norepinephrine in the midbrain, with the effect statistically significant at the highest dose only. The concentration of serotonin</w:t>
      </w:r>
      <w:r w:rsidR="00496B2D">
        <w:t xml:space="preserve"> (5-HT)</w:t>
      </w:r>
      <w:r>
        <w:t xml:space="preserve"> in the midbrain was significantly lower than the control at every dose, but in the absence of a dose-response effect the toxicological significance of this finding was unclear. The concentration DOPAC in the midbrain and pons/medulla oblongata was significantly elevated at the highest dose. A significant depression in the concentration of </w:t>
      </w:r>
      <w:r w:rsidR="001875D7">
        <w:t>5-HT</w:t>
      </w:r>
      <w:r>
        <w:t xml:space="preserve"> in the pons/medulla/oblongata occurred at the low and high dose. In the absence of a dose response effect these findings were not considered to be toxicologically relevant. No evidence was provided that these neurochemical effects were due to paraquat (eg measurement of paraquat levels in the brain) and it is thus conceivable that other Gramoxone components could have been responsible </w:t>
      </w:r>
      <w:r w:rsidRPr="00A83F5E">
        <w:t xml:space="preserve">(Endo </w:t>
      </w:r>
      <w:r w:rsidRPr="00A83F5E">
        <w:rPr>
          <w:i/>
        </w:rPr>
        <w:t>et al</w:t>
      </w:r>
      <w:r w:rsidR="00120920">
        <w:rPr>
          <w:i/>
        </w:rPr>
        <w:t>,</w:t>
      </w:r>
      <w:r w:rsidRPr="00A83F5E">
        <w:t xml:space="preserve"> 1988).</w:t>
      </w:r>
      <w:r w:rsidR="00DB3E70">
        <w:t xml:space="preserve"> Additional detail is presented in </w:t>
      </w:r>
      <w:r w:rsidR="00897462">
        <w:fldChar w:fldCharType="begin"/>
      </w:r>
      <w:r w:rsidR="00DB3E70">
        <w:instrText xml:space="preserve"> REF _Ref420929342 \r \h </w:instrText>
      </w:r>
      <w:r w:rsidR="00897462">
        <w:fldChar w:fldCharType="separate"/>
      </w:r>
      <w:r w:rsidR="000E54B2">
        <w:t>APPENDIX I</w:t>
      </w:r>
      <w:r w:rsidR="00897462">
        <w:fldChar w:fldCharType="end"/>
      </w:r>
      <w:r w:rsidR="00DB3E70">
        <w:t>.</w:t>
      </w:r>
    </w:p>
    <w:p w14:paraId="2E49400C" w14:textId="77777777" w:rsidR="002447C7" w:rsidRDefault="002447C7" w:rsidP="0008427E"/>
    <w:p w14:paraId="4B2AC621" w14:textId="77777777" w:rsidR="002447C7" w:rsidRDefault="002447C7" w:rsidP="0008427E">
      <w:r>
        <w:t xml:space="preserve">A study was undertaken to investigate whether paraquat would affect the dopaminergic system and the behaviour of adult mice in a manner similar to MPTP when given to neonatal mice during the brain growth spurt. Paraquat was administered orally to male mice (aged 10-11 days) at 0, 0.07 or 0.36 mg/kg bw (equivalent to 0, 0.05 and 0.26 mg/kg bw paraquat cation). Two additional groups received MPTP orally at 0.3 or 20 mg/kg bw. No signs of acute toxicity or differences in body weight gain were observed in any of the paraquat- or MPTP-treated mice, although no supporting data were provided to substantiate these findings. The LOEL was 0.07 mg/kg bw (equivalent to 0.05 mg/kg bw paraquat cation), the lowest dose tested. Hypoactivity at 60 and 120 days of age, and a significant depression in striatal HVA at 125 days of age, were observed at 0.07 and 0.36 mg/kg bw (equivalent to 0.05 and 0.26 mg/kg bw paraquat </w:t>
      </w:r>
      <w:r w:rsidRPr="005E5854">
        <w:t xml:space="preserve">cation). At 0.36 mg/kg bw, a significant depression in striatal </w:t>
      </w:r>
      <w:r w:rsidR="00A4092E">
        <w:t>DA</w:t>
      </w:r>
      <w:r w:rsidRPr="005E5854">
        <w:t xml:space="preserve"> and DOPAC occurred.</w:t>
      </w:r>
      <w:r w:rsidRPr="00AA26F7">
        <w:t xml:space="preserve"> Although the study authors concluded that the observed changes were permanent, no behavioural or neurochemical measurements were performed beyond 120 days (Fredriksson </w:t>
      </w:r>
      <w:r w:rsidRPr="00AA26F7">
        <w:rPr>
          <w:i/>
        </w:rPr>
        <w:t>et al</w:t>
      </w:r>
      <w:r w:rsidR="00120920">
        <w:rPr>
          <w:i/>
        </w:rPr>
        <w:t>,</w:t>
      </w:r>
      <w:r w:rsidRPr="00AA26F7">
        <w:t xml:space="preserve"> 1993)</w:t>
      </w:r>
      <w:r>
        <w:t>.</w:t>
      </w:r>
    </w:p>
    <w:p w14:paraId="42FFBB8D" w14:textId="77777777" w:rsidR="002447C7" w:rsidRDefault="002447C7" w:rsidP="0008427E"/>
    <w:p w14:paraId="67CAE8B6" w14:textId="075DD16B" w:rsidR="00A672E2" w:rsidRDefault="00FD2C5D" w:rsidP="0008427E">
      <w:r>
        <w:t xml:space="preserve">The neurotoxicity and tissue distribution of paraquat were examined in male rats following multiple po oral dosing at 0 or 5 mg/kg </w:t>
      </w:r>
      <w:r w:rsidR="00C05659">
        <w:t xml:space="preserve">paraquat cation </w:t>
      </w:r>
      <w:r>
        <w:t xml:space="preserve">bw/d for 14 days. There were no treatment-related effects on behaviour, motor coordination, grip strength or total locomotor activity. Paraquat-treated rats showed a significantly higher striatal </w:t>
      </w:r>
      <w:r w:rsidR="00A4092E">
        <w:t>DA</w:t>
      </w:r>
      <w:r>
        <w:t xml:space="preserve"> concentration compared to the control which the study authors suggested may have been due to a paraquat-induced stress response. In contrast, there was no treatment-related effect on the concentration of </w:t>
      </w:r>
      <w:r w:rsidR="00A4092E">
        <w:t>DA</w:t>
      </w:r>
      <w:r>
        <w:t xml:space="preserve"> in the hypothalamus. There was no perturbation in the level of DOPAC in the striatum or hypothalamus. Noradrenaline appeared to be slightly elevated in the striatum, hypothalamus and frontal cortex, however none of these results were statistically significant. There was no treatment-related effect on the density of dopamineD1</w:t>
      </w:r>
      <w:r w:rsidR="00A4092E">
        <w:t xml:space="preserve"> and</w:t>
      </w:r>
      <w:r>
        <w:t xml:space="preserve"> D2, muscarinic, NMDA or benzodiazepine receptors. Paraquat-treated rats showed no signs of neuronal cell damage or death. Collectively, these observations suggested that paraquat was not neurotoxic. Twenty-four h</w:t>
      </w:r>
      <w:r w:rsidR="00382B1B">
        <w:t>ours</w:t>
      </w:r>
      <w:r>
        <w:t xml:space="preserve"> after a single po dose, the lung had the highest concentration of </w:t>
      </w:r>
      <w:r w:rsidR="003E14A1">
        <w:t>[</w:t>
      </w:r>
      <w:r>
        <w:rPr>
          <w:vertAlign w:val="superscript"/>
        </w:rPr>
        <w:t>14</w:t>
      </w:r>
      <w:r>
        <w:t>C</w:t>
      </w:r>
      <w:r w:rsidR="003E14A1">
        <w:t>]</w:t>
      </w:r>
      <w:r>
        <w:t>-paraquat followed by the kidney, liver, brain and plasma. Twenty-four h</w:t>
      </w:r>
      <w:r w:rsidR="00382B1B">
        <w:t>ours</w:t>
      </w:r>
      <w:r>
        <w:t xml:space="preserve"> after 14 daily po doses, the lung again showed the highest paraquat concentration followed by the brain, the kidney, liver and plasma. The brain exhibited an approximately 10-fold greater paraquat concentration after 14 repeat doses compared to a single dose while all other tissue only</w:t>
      </w:r>
      <w:r w:rsidR="00A672E2">
        <w:t xml:space="preserve"> showed a 2- to 4-fold increase</w:t>
      </w:r>
      <w:r>
        <w:t xml:space="preserve"> (Widdowson </w:t>
      </w:r>
      <w:r w:rsidRPr="0058670C">
        <w:rPr>
          <w:i/>
        </w:rPr>
        <w:t>et al</w:t>
      </w:r>
      <w:r w:rsidR="00120920">
        <w:rPr>
          <w:i/>
        </w:rPr>
        <w:t>,</w:t>
      </w:r>
      <w:r>
        <w:t xml:space="preserve"> 1996b)</w:t>
      </w:r>
      <w:r w:rsidR="00A672E2">
        <w:t>.</w:t>
      </w:r>
    </w:p>
    <w:p w14:paraId="6E4E7BCF" w14:textId="77777777" w:rsidR="00FC3EA4" w:rsidRDefault="00FC3EA4" w:rsidP="00C27F52"/>
    <w:p w14:paraId="53F0B167" w14:textId="77777777" w:rsidR="00AD66E6" w:rsidRPr="002B2CFC" w:rsidRDefault="00AD66E6" w:rsidP="00385097">
      <w:pPr>
        <w:pStyle w:val="Heading2"/>
        <w:rPr>
          <w:lang w:eastAsia="en-US"/>
        </w:rPr>
      </w:pPr>
      <w:bookmarkStart w:id="49" w:name="_Toc459108295"/>
      <w:r>
        <w:rPr>
          <w:lang w:eastAsia="en-US"/>
        </w:rPr>
        <w:t>Subcutaneous and Intravenous Administration</w:t>
      </w:r>
      <w:bookmarkEnd w:id="49"/>
      <w:r w:rsidRPr="002B2CFC">
        <w:rPr>
          <w:lang w:eastAsia="en-US"/>
        </w:rPr>
        <w:t xml:space="preserve"> </w:t>
      </w:r>
    </w:p>
    <w:p w14:paraId="53D2AA56" w14:textId="77777777" w:rsidR="002447C7" w:rsidRDefault="002447C7" w:rsidP="0008427E">
      <w:r>
        <w:t xml:space="preserve">A study was undertaken to compare the effect of </w:t>
      </w:r>
      <w:r w:rsidRPr="00C27F52">
        <w:t>repeated sc</w:t>
      </w:r>
      <w:r>
        <w:t xml:space="preserve"> injections of the </w:t>
      </w:r>
      <w:r w:rsidR="008177D4">
        <w:t>maximum tolerated dose (</w:t>
      </w:r>
      <w:r>
        <w:t>MTD</w:t>
      </w:r>
      <w:r w:rsidR="008177D4">
        <w:t>)</w:t>
      </w:r>
      <w:r>
        <w:t xml:space="preserve"> of paraquat, reduced paraquat, MPTP (single dose only) and two MPTP analogues, on striatal levels of </w:t>
      </w:r>
      <w:r w:rsidR="00A4092E">
        <w:t>DA</w:t>
      </w:r>
      <w:r>
        <w:t>, DOPAC and</w:t>
      </w:r>
      <w:r w:rsidR="00340F7C">
        <w:t xml:space="preserve"> </w:t>
      </w:r>
      <w:r>
        <w:t>HVA in mice. Paraquat was injected at a dose of 14.5 mg/kg bw (equivalent to 10.44 mg/kg bw paraquat cation) on 3 occasions, each separated by 3-day intervals. Reduced paraquat was given over 6 days at between 7.3 to 116.3 mg/kg bw/d. MTIQ (N-methyl-1,2,3,4-tetrahydroisoquinoline) was administered over 8 days at 40 to 160 mg/kg bw/d. MTHBC (2-methyl-1,2,3,4-tetrahydro-</w:t>
      </w:r>
      <w:r>
        <w:sym w:font="Symbol" w:char="F062"/>
      </w:r>
      <w:r>
        <w:t xml:space="preserve">-carboline) was administered at 40 mg/kg bw on a single day, and then 80 mg/kg bw/d for three consecutive days. A single injection of MPTP was administered at 40 mg/kg bw. Rapid weight loss and death were reported in paraquat-treated mice during preliminary experiments, but no clinical signs were reported in mice given reduced paraquat. Sedation, ataxia, tremors, convulsions or death were observed at the highest doses of MTIQ and MTHBC. MPTP-treated mice exhibited no clinical signs. One month after the last injection, striatal </w:t>
      </w:r>
      <w:r w:rsidR="00A4092E">
        <w:t>DA</w:t>
      </w:r>
      <w:r>
        <w:t xml:space="preserve"> was significantly elevated in paraquat-treated mice, while DOPAC and HVA were unaffected. This effect on striatal </w:t>
      </w:r>
      <w:r w:rsidR="00A4092E">
        <w:t>DA</w:t>
      </w:r>
      <w:r>
        <w:t xml:space="preserve"> was not considered to be toxicologically relevant. In contrast, MPTP caused a significant depression in striatal </w:t>
      </w:r>
      <w:r w:rsidR="00A4092E">
        <w:t>DA</w:t>
      </w:r>
      <w:r>
        <w:t xml:space="preserve">, DOPAC and HVA. Reduced paraquat, MTIQ or MTHBC had no effect on striatal levels of </w:t>
      </w:r>
      <w:r w:rsidR="00A4092E">
        <w:t>DA</w:t>
      </w:r>
      <w:r>
        <w:t xml:space="preserve">, DOPAC or HVA (Perry </w:t>
      </w:r>
      <w:r w:rsidRPr="0058670C">
        <w:rPr>
          <w:i/>
        </w:rPr>
        <w:t>et al</w:t>
      </w:r>
      <w:r w:rsidR="00120920">
        <w:rPr>
          <w:i/>
        </w:rPr>
        <w:t>,</w:t>
      </w:r>
      <w:r>
        <w:t xml:space="preserve"> 1986).</w:t>
      </w:r>
    </w:p>
    <w:p w14:paraId="53DD90FD" w14:textId="77777777" w:rsidR="000F1244" w:rsidRDefault="000F1244" w:rsidP="0008427E"/>
    <w:p w14:paraId="76101B64" w14:textId="77777777" w:rsidR="000F1244" w:rsidRDefault="000F1244" w:rsidP="0008427E">
      <w:r>
        <w:t xml:space="preserve">A range of experiments were performed to determine the effect of acute paraquat exposure on complex I activity (NADH: ubiquinone oxidoreductase), lipid peroxidation and catecholamines in </w:t>
      </w:r>
      <w:r w:rsidR="008177D4">
        <w:t xml:space="preserve">the </w:t>
      </w:r>
      <w:r>
        <w:t>rat brain. A single iv injection was given to 8-week old male rats at 20 mg/kg bw/d for 5 days (equivalent to 14.4 mg/kg bw/d</w:t>
      </w:r>
      <w:r w:rsidR="0038217A">
        <w:t xml:space="preserve"> paraquat ion</w:t>
      </w:r>
      <w:r>
        <w:t xml:space="preserve">). A significant treatment-related depression in striatal </w:t>
      </w:r>
      <w:r w:rsidR="00A4092E">
        <w:t>DA</w:t>
      </w:r>
      <w:r>
        <w:t xml:space="preserve"> occurred, while there was no effect on striatal norepinephrine. Lipid peroxidation was significantly elevated in the brain and liver but not the plasma. Complex I activity was significantly inhibited in the brain and liver of paraquat-treated rats. (Tawara </w:t>
      </w:r>
      <w:r w:rsidRPr="0058670C">
        <w:rPr>
          <w:i/>
        </w:rPr>
        <w:t>et al</w:t>
      </w:r>
      <w:r w:rsidR="00120920">
        <w:rPr>
          <w:i/>
        </w:rPr>
        <w:t>,</w:t>
      </w:r>
      <w:r>
        <w:t xml:space="preserve"> 1996)</w:t>
      </w:r>
      <w:r w:rsidR="00A03EA4">
        <w:t>.</w:t>
      </w:r>
    </w:p>
    <w:p w14:paraId="62F7B13B" w14:textId="77777777" w:rsidR="000F1244" w:rsidRDefault="000F1244" w:rsidP="0008427E"/>
    <w:p w14:paraId="5356FF78" w14:textId="77777777" w:rsidR="00FD2C5D" w:rsidRDefault="00FD2C5D" w:rsidP="0008427E">
      <w:pPr>
        <w:rPr>
          <w:i/>
          <w:iCs/>
          <w:lang w:val="en-US"/>
        </w:rPr>
      </w:pPr>
      <w:r>
        <w:rPr>
          <w:lang w:val="en-US"/>
        </w:rPr>
        <w:t xml:space="preserve">Shimizu </w:t>
      </w:r>
      <w:r w:rsidRPr="0058670C">
        <w:rPr>
          <w:i/>
          <w:lang w:val="en-US"/>
        </w:rPr>
        <w:t>et al</w:t>
      </w:r>
      <w:r>
        <w:rPr>
          <w:lang w:val="en-US"/>
        </w:rPr>
        <w:t xml:space="preserve"> (2003) studied the </w:t>
      </w:r>
      <w:r>
        <w:rPr>
          <w:i/>
          <w:lang w:val="en-US"/>
        </w:rPr>
        <w:t>in vivo</w:t>
      </w:r>
      <w:r>
        <w:rPr>
          <w:lang w:val="en-US"/>
        </w:rPr>
        <w:t xml:space="preserve"> toxic mechanism of paraquat to </w:t>
      </w:r>
      <w:r w:rsidR="00A4092E">
        <w:rPr>
          <w:lang w:val="en-US"/>
        </w:rPr>
        <w:t>DA</w:t>
      </w:r>
      <w:r>
        <w:rPr>
          <w:lang w:val="en-US"/>
        </w:rPr>
        <w:t xml:space="preserve"> neurons. Paraquat dichloride (10 mg/kg </w:t>
      </w:r>
      <w:r w:rsidR="006659F7">
        <w:rPr>
          <w:lang w:val="en-US"/>
        </w:rPr>
        <w:t xml:space="preserve">bw </w:t>
      </w:r>
      <w:r>
        <w:rPr>
          <w:lang w:val="en-US"/>
        </w:rPr>
        <w:t xml:space="preserve">sc, equal to 40 µmol) was given to male Wistar rats (8 weeks old, 210-260 g; SLC, Shizuoka, Japan) once a day </w:t>
      </w:r>
      <w:r w:rsidR="008D78CD">
        <w:rPr>
          <w:lang w:val="en-US"/>
        </w:rPr>
        <w:t xml:space="preserve">sc </w:t>
      </w:r>
      <w:r>
        <w:rPr>
          <w:lang w:val="en-US"/>
        </w:rPr>
        <w:t xml:space="preserve">for 5 days. Monoamine concentrations in eight regions of brain were determined 2 days after the 5-day treatment with paraquat. Paraquat affected </w:t>
      </w:r>
      <w:r w:rsidR="00A4092E">
        <w:rPr>
          <w:lang w:val="en-US"/>
        </w:rPr>
        <w:t>DA</w:t>
      </w:r>
      <w:r>
        <w:rPr>
          <w:lang w:val="en-US"/>
        </w:rPr>
        <w:t xml:space="preserve"> and its acidic </w:t>
      </w:r>
      <w:r w:rsidR="004941D1">
        <w:rPr>
          <w:lang w:val="en-US"/>
        </w:rPr>
        <w:t xml:space="preserve">metabolites HVA and DOPAC </w:t>
      </w:r>
      <w:r>
        <w:rPr>
          <w:lang w:val="en-US"/>
        </w:rPr>
        <w:t xml:space="preserve">in the striatum, midbrain and cortex. </w:t>
      </w:r>
      <w:r w:rsidR="00A4092E">
        <w:rPr>
          <w:lang w:val="en-US"/>
        </w:rPr>
        <w:t>DA</w:t>
      </w:r>
      <w:r>
        <w:rPr>
          <w:lang w:val="en-US"/>
        </w:rPr>
        <w:t xml:space="preserve"> content in the striatum was reduced to 70% of that in control rats (p &lt; 0.05). The HVA level was 80% of control value in the striatum (p &lt; 0.01). Paraquat reduced DOPAC and HVA contents to 40-60% and 25-50% compared with the control in the midbrain and cortex </w:t>
      </w:r>
      <w:r>
        <w:rPr>
          <w:iCs/>
          <w:lang w:val="en-US"/>
        </w:rPr>
        <w:t>(p &lt; 0.05</w:t>
      </w:r>
      <w:r w:rsidRPr="00A9129C">
        <w:rPr>
          <w:iCs/>
          <w:lang w:val="en-US"/>
        </w:rPr>
        <w:t>).</w:t>
      </w:r>
    </w:p>
    <w:p w14:paraId="4B939308" w14:textId="77777777" w:rsidR="00A03EA4" w:rsidRDefault="00A03EA4" w:rsidP="0008427E">
      <w:pPr>
        <w:rPr>
          <w:iCs/>
          <w:lang w:val="en-US"/>
        </w:rPr>
      </w:pPr>
    </w:p>
    <w:p w14:paraId="777C7E15" w14:textId="77777777" w:rsidR="00FD2C5D" w:rsidRDefault="00FD2C5D" w:rsidP="009E40A8">
      <w:pPr>
        <w:rPr>
          <w:lang w:val="en-US"/>
        </w:rPr>
      </w:pPr>
      <w:r w:rsidRPr="009E40A8">
        <w:rPr>
          <w:lang w:val="en-US"/>
        </w:rPr>
        <w:t xml:space="preserve">A study by Kuter </w:t>
      </w:r>
      <w:r w:rsidRPr="00A03EA4">
        <w:rPr>
          <w:i/>
          <w:lang w:val="en-US"/>
        </w:rPr>
        <w:t>et al</w:t>
      </w:r>
      <w:r w:rsidRPr="009E40A8">
        <w:rPr>
          <w:lang w:val="en-US"/>
        </w:rPr>
        <w:t xml:space="preserve"> (2007) examined whether </w:t>
      </w:r>
      <w:r w:rsidR="00BF00F5">
        <w:rPr>
          <w:lang w:val="en-US"/>
        </w:rPr>
        <w:t>short-term</w:t>
      </w:r>
      <w:r w:rsidRPr="009E40A8">
        <w:rPr>
          <w:lang w:val="en-US"/>
        </w:rPr>
        <w:t xml:space="preserve">, </w:t>
      </w:r>
      <w:r w:rsidR="004941D1">
        <w:rPr>
          <w:lang w:val="en-US"/>
        </w:rPr>
        <w:t>daily</w:t>
      </w:r>
      <w:r w:rsidRPr="009E40A8">
        <w:rPr>
          <w:lang w:val="en-US"/>
        </w:rPr>
        <w:t>, paraquat</w:t>
      </w:r>
      <w:r>
        <w:rPr>
          <w:lang w:val="en-US"/>
        </w:rPr>
        <w:t xml:space="preserve"> </w:t>
      </w:r>
      <w:r w:rsidR="00A9129C">
        <w:rPr>
          <w:lang w:val="en-US"/>
        </w:rPr>
        <w:t xml:space="preserve">sc </w:t>
      </w:r>
      <w:r>
        <w:rPr>
          <w:lang w:val="en-US"/>
        </w:rPr>
        <w:t xml:space="preserve">injections in rats </w:t>
      </w:r>
      <w:r w:rsidR="004941D1">
        <w:rPr>
          <w:lang w:val="en-US"/>
        </w:rPr>
        <w:t>produced</w:t>
      </w:r>
      <w:r>
        <w:rPr>
          <w:lang w:val="en-US"/>
        </w:rPr>
        <w:t xml:space="preserve"> neuropathological and neurochemical alterations, similar to those observed after long-term administration. Male Wistar rats (</w:t>
      </w:r>
      <w:r w:rsidR="008D78CD">
        <w:rPr>
          <w:lang w:val="en-US"/>
        </w:rPr>
        <w:t>≈</w:t>
      </w:r>
      <w:r w:rsidR="009B20BD">
        <w:rPr>
          <w:lang w:val="en-US"/>
        </w:rPr>
        <w:t xml:space="preserve"> </w:t>
      </w:r>
      <w:r>
        <w:rPr>
          <w:lang w:val="en-US"/>
        </w:rPr>
        <w:t>250 g) were treated with paraquat dichloride dissolved in sterile distilled water and administered sc at a dose of 10 mg/kg bw</w:t>
      </w:r>
      <w:r w:rsidR="00BF00F5">
        <w:rPr>
          <w:lang w:val="en-US"/>
        </w:rPr>
        <w:t xml:space="preserve"> (7.2 mg paraquat ion/kg bw)</w:t>
      </w:r>
      <w:r>
        <w:rPr>
          <w:lang w:val="en-US"/>
        </w:rPr>
        <w:t>. Injections were made once a day for five consecutive days. Control animals received saline sc. At necropsy 2 and 3 days after</w:t>
      </w:r>
      <w:r w:rsidRPr="009E40A8">
        <w:rPr>
          <w:lang w:val="en-US"/>
        </w:rPr>
        <w:t xml:space="preserve"> </w:t>
      </w:r>
      <w:r>
        <w:rPr>
          <w:lang w:val="en-US"/>
        </w:rPr>
        <w:t xml:space="preserve">the last injection, the animals were subjected to biochemical analyses and histopathological examination. The main finding was that a short-term paraquat administration induces the 22% loss of dopaminergic (TH-ir) neurons in the </w:t>
      </w:r>
      <w:r w:rsidR="00BF00F5">
        <w:rPr>
          <w:lang w:val="en-US"/>
        </w:rPr>
        <w:t>SN pc</w:t>
      </w:r>
      <w:r>
        <w:rPr>
          <w:lang w:val="en-US"/>
        </w:rPr>
        <w:t xml:space="preserve">. Concomitantly with this neuropathological alteration, a moderate </w:t>
      </w:r>
      <w:r>
        <w:rPr>
          <w:lang w:val="en-US"/>
        </w:rPr>
        <w:lastRenderedPageBreak/>
        <w:t>decrease in the [</w:t>
      </w:r>
      <w:r w:rsidRPr="00CF6BF1">
        <w:rPr>
          <w:vertAlign w:val="superscript"/>
          <w:lang w:val="en-US"/>
        </w:rPr>
        <w:t>3</w:t>
      </w:r>
      <w:r>
        <w:rPr>
          <w:lang w:val="en-US"/>
        </w:rPr>
        <w:t xml:space="preserve">H]GBR 12,935 binding to DAT and reductions of the levels of </w:t>
      </w:r>
      <w:r w:rsidR="00A4092E">
        <w:rPr>
          <w:lang w:val="en-US"/>
        </w:rPr>
        <w:t>DA</w:t>
      </w:r>
      <w:r>
        <w:rPr>
          <w:lang w:val="en-US"/>
        </w:rPr>
        <w:t xml:space="preserve"> metabolites and </w:t>
      </w:r>
      <w:r w:rsidR="00A4092E">
        <w:rPr>
          <w:lang w:val="en-US"/>
        </w:rPr>
        <w:t>DA</w:t>
      </w:r>
      <w:r>
        <w:rPr>
          <w:lang w:val="en-US"/>
        </w:rPr>
        <w:t xml:space="preserve"> turnover in the caudate-putamen, </w:t>
      </w:r>
      <w:r w:rsidR="00BF00F5">
        <w:rPr>
          <w:lang w:val="en-US"/>
        </w:rPr>
        <w:t>SN</w:t>
      </w:r>
      <w:r>
        <w:rPr>
          <w:lang w:val="en-US"/>
        </w:rPr>
        <w:t xml:space="preserve"> and prefrontal cortex</w:t>
      </w:r>
      <w:r w:rsidR="009E2A0B">
        <w:rPr>
          <w:lang w:val="en-US"/>
        </w:rPr>
        <w:t xml:space="preserve"> (PFC)</w:t>
      </w:r>
      <w:r>
        <w:rPr>
          <w:lang w:val="en-US"/>
        </w:rPr>
        <w:t>, were observed, especially 2 days after withdrawal. Subchronic paraquat administration by subcutaneous injection triggers processes characteristic of early stages of degeneration of dopaminergic neurons, and activates compensatory mechanisms involving dopaminergic, noradrenergic, serotonergic and GABA</w:t>
      </w:r>
      <w:r w:rsidR="00E62A7A">
        <w:rPr>
          <w:lang w:val="en-US"/>
        </w:rPr>
        <w:t>n</w:t>
      </w:r>
      <w:r>
        <w:rPr>
          <w:lang w:val="en-US"/>
        </w:rPr>
        <w:t>ergic transmissions.</w:t>
      </w:r>
    </w:p>
    <w:p w14:paraId="7DFDE635" w14:textId="77777777" w:rsidR="00FC3EA4" w:rsidRPr="009E40A8" w:rsidRDefault="00FC3EA4" w:rsidP="009E40A8">
      <w:pPr>
        <w:rPr>
          <w:lang w:val="en-US"/>
        </w:rPr>
      </w:pPr>
    </w:p>
    <w:p w14:paraId="107585C1" w14:textId="77777777" w:rsidR="00AD66E6" w:rsidRPr="002B2CFC" w:rsidRDefault="00AD66E6" w:rsidP="00385097">
      <w:pPr>
        <w:pStyle w:val="Heading2"/>
        <w:rPr>
          <w:lang w:eastAsia="en-US"/>
        </w:rPr>
      </w:pPr>
      <w:bookmarkStart w:id="50" w:name="_Toc459108296"/>
      <w:r w:rsidRPr="002B2CFC">
        <w:rPr>
          <w:lang w:eastAsia="en-US"/>
        </w:rPr>
        <w:t>I</w:t>
      </w:r>
      <w:r>
        <w:rPr>
          <w:lang w:eastAsia="en-US"/>
        </w:rPr>
        <w:t>ntraperitoneal Administration</w:t>
      </w:r>
      <w:bookmarkEnd w:id="50"/>
      <w:r w:rsidRPr="002B2CFC">
        <w:rPr>
          <w:lang w:eastAsia="en-US"/>
        </w:rPr>
        <w:t xml:space="preserve"> </w:t>
      </w:r>
    </w:p>
    <w:p w14:paraId="0798F264" w14:textId="77777777" w:rsidR="00FD2C5D" w:rsidRDefault="00FD2C5D" w:rsidP="0008427E">
      <w:pPr>
        <w:rPr>
          <w:color w:val="000000"/>
        </w:rPr>
      </w:pPr>
      <w:r>
        <w:rPr>
          <w:color w:val="000000"/>
        </w:rPr>
        <w:t>In a study by Beck (2012a,c), C57BL/6J male mice received ip injections of paraquat</w:t>
      </w:r>
      <w:r w:rsidR="00893658">
        <w:rPr>
          <w:color w:val="000000"/>
        </w:rPr>
        <w:t xml:space="preserve"> dichoride</w:t>
      </w:r>
      <w:r>
        <w:rPr>
          <w:color w:val="000000"/>
        </w:rPr>
        <w:t xml:space="preserve"> at 0, 10, 15 or 25 mg/kg bw/dose</w:t>
      </w:r>
      <w:r w:rsidR="00893658">
        <w:rPr>
          <w:color w:val="000000"/>
        </w:rPr>
        <w:t xml:space="preserve"> </w:t>
      </w:r>
      <w:r w:rsidR="00893658" w:rsidRPr="003F10F2">
        <w:rPr>
          <w:szCs w:val="24"/>
        </w:rPr>
        <w:t xml:space="preserve">(equivalent to 7.2, 10.9, 18.1 </w:t>
      </w:r>
      <w:r w:rsidR="00893658">
        <w:rPr>
          <w:szCs w:val="24"/>
        </w:rPr>
        <w:t xml:space="preserve">mg </w:t>
      </w:r>
      <w:r w:rsidR="00893658" w:rsidRPr="003F10F2">
        <w:rPr>
          <w:szCs w:val="24"/>
        </w:rPr>
        <w:t>paraquat ion</w:t>
      </w:r>
      <w:r w:rsidR="00893658">
        <w:rPr>
          <w:szCs w:val="24"/>
        </w:rPr>
        <w:t>/kg bw/dose</w:t>
      </w:r>
      <w:r w:rsidR="00893658" w:rsidRPr="003F10F2">
        <w:rPr>
          <w:szCs w:val="24"/>
        </w:rPr>
        <w:t>)</w:t>
      </w:r>
      <w:r>
        <w:rPr>
          <w:color w:val="000000"/>
        </w:rPr>
        <w:t xml:space="preserve">, once weekly for 1, 2 or 3 injections. The lowest dose was chosen based on findings of the McCormack </w:t>
      </w:r>
      <w:r>
        <w:rPr>
          <w:i/>
          <w:color w:val="000000"/>
        </w:rPr>
        <w:t>et al</w:t>
      </w:r>
      <w:r>
        <w:rPr>
          <w:color w:val="000000"/>
        </w:rPr>
        <w:t xml:space="preserve"> (2002) study. A positive control received MPTP. Extensive examination of the brain by microscopic examination was conducted including specialist staining techniques and measurement of neurotransmitters/metabolites. Decreased body weight gain was noted from 15 mg/kg bw/dose and reduced food consumption at 25 mg/kg bw/dose. There was a single mortality at the highest dose. There was no evidence of neuronal damage to the brain or alterations to the levels of </w:t>
      </w:r>
      <w:r w:rsidR="00A4092E">
        <w:rPr>
          <w:color w:val="000000"/>
        </w:rPr>
        <w:t>DA</w:t>
      </w:r>
      <w:r>
        <w:rPr>
          <w:color w:val="000000"/>
        </w:rPr>
        <w:t xml:space="preserve"> or its two metabolites (DOPAC and HVA). A 10% decreased in total contour volume of the SN pc in mice treated with 15 and 25 mg/kg bw/dose was noted, but the toxicological relevance of this is unclear and may be artifactual (due to </w:t>
      </w:r>
      <w:r w:rsidR="009B20BD">
        <w:rPr>
          <w:color w:val="000000"/>
        </w:rPr>
        <w:t xml:space="preserve">the </w:t>
      </w:r>
      <w:r>
        <w:rPr>
          <w:color w:val="000000"/>
        </w:rPr>
        <w:t xml:space="preserve">methodology). The positive control group demonstrated the validity of the study design, with damage noted in the </w:t>
      </w:r>
      <w:r w:rsidR="00A4092E">
        <w:rPr>
          <w:color w:val="000000"/>
        </w:rPr>
        <w:t>SN</w:t>
      </w:r>
      <w:r>
        <w:rPr>
          <w:color w:val="000000"/>
        </w:rPr>
        <w:t xml:space="preserve"> and </w:t>
      </w:r>
      <w:r w:rsidR="0083689C">
        <w:rPr>
          <w:color w:val="000000"/>
        </w:rPr>
        <w:t>striatum</w:t>
      </w:r>
      <w:r>
        <w:rPr>
          <w:color w:val="000000"/>
        </w:rPr>
        <w:t xml:space="preserve">, indicative of cell death, glial cell activation and an inflammatory response. In addition, the positive control group had a reduction in the number of TH+ (dopamine) neurons and decreased striatal </w:t>
      </w:r>
      <w:r w:rsidR="00A4092E">
        <w:rPr>
          <w:color w:val="000000"/>
        </w:rPr>
        <w:t>DA</w:t>
      </w:r>
      <w:r>
        <w:rPr>
          <w:color w:val="000000"/>
        </w:rPr>
        <w:t xml:space="preserve">, DOPAC and HVA levels and an increase in </w:t>
      </w:r>
      <w:r w:rsidR="00A4092E">
        <w:rPr>
          <w:color w:val="000000"/>
        </w:rPr>
        <w:t>DA</w:t>
      </w:r>
      <w:r>
        <w:rPr>
          <w:color w:val="000000"/>
        </w:rPr>
        <w:t xml:space="preserve"> turnover. The NOEL for neuronal cell loss was </w:t>
      </w:r>
      <w:r w:rsidR="00893658">
        <w:rPr>
          <w:color w:val="000000"/>
        </w:rPr>
        <w:t>18.1</w:t>
      </w:r>
      <w:r>
        <w:rPr>
          <w:color w:val="000000"/>
        </w:rPr>
        <w:t xml:space="preserve"> mg</w:t>
      </w:r>
      <w:r w:rsidR="00893658">
        <w:rPr>
          <w:color w:val="000000"/>
        </w:rPr>
        <w:t xml:space="preserve"> paraquat ion</w:t>
      </w:r>
      <w:r>
        <w:rPr>
          <w:color w:val="000000"/>
        </w:rPr>
        <w:t>/kg bw/ for 3 x weekly ip injections (the highest dose tested).</w:t>
      </w:r>
      <w:r w:rsidR="008D78CD">
        <w:rPr>
          <w:color w:val="000000"/>
        </w:rPr>
        <w:t xml:space="preserve"> </w:t>
      </w:r>
      <w:r>
        <w:rPr>
          <w:color w:val="000000"/>
        </w:rPr>
        <w:t xml:space="preserve">Unlike other studies showing a possible neurotoxic effect following ip injection, the </w:t>
      </w:r>
      <w:r w:rsidR="008971EF">
        <w:rPr>
          <w:color w:val="000000"/>
        </w:rPr>
        <w:t xml:space="preserve">experimental methodology and raw data from the </w:t>
      </w:r>
      <w:r>
        <w:rPr>
          <w:color w:val="000000"/>
        </w:rPr>
        <w:t>Beck study was</w:t>
      </w:r>
      <w:r w:rsidR="00CF6BF1">
        <w:rPr>
          <w:color w:val="000000"/>
        </w:rPr>
        <w:t xml:space="preserve"> available to the </w:t>
      </w:r>
      <w:r>
        <w:rPr>
          <w:color w:val="000000"/>
        </w:rPr>
        <w:t xml:space="preserve"> OCS which increases its value from a regulatory perspective. The comprehensive methodology utilised in the Beck (2012a,c) study leads OCS to conclude that the reproducibility and/or reliability of findings in other studies showing effects in the brain following injection of paraquat are questionable for regulatory purposes.</w:t>
      </w:r>
    </w:p>
    <w:p w14:paraId="11979F6D" w14:textId="77777777" w:rsidR="00FD2C5D" w:rsidRPr="00FD2C5D" w:rsidRDefault="00FD2C5D" w:rsidP="009E40A8"/>
    <w:p w14:paraId="00CBDBD0" w14:textId="12D9B468" w:rsidR="002447C7" w:rsidRDefault="002447C7" w:rsidP="0008427E">
      <w:r>
        <w:t>To compare the neurotoxicity of paraquat and MPTP, 3 ip injections of paraquat were given to adult male mice at 0, 5 or 10 mg/kg bw</w:t>
      </w:r>
      <w:r w:rsidR="00DE542B">
        <w:t xml:space="preserve"> (equivalent to 0, 3.6 or 7.2 g/kg bw paraquat ion)</w:t>
      </w:r>
      <w:r>
        <w:t>, whilst 4 ip injections of MPTP were given to separate groups of mice at 0, 10 or 30 mg/kg bw. Both compounds caused a significant loss of dopaminergic neurons at and above 5 and 10 mg/kg bw, respectively, as shown by the reduction of Fluoro-gold and/or TH</w:t>
      </w:r>
      <w:r w:rsidR="00897462" w:rsidRPr="009F19B0">
        <w:rPr>
          <w:vertAlign w:val="superscript"/>
        </w:rPr>
        <w:t>+</w:t>
      </w:r>
      <w:r>
        <w:t xml:space="preserve"> cells in the </w:t>
      </w:r>
      <w:r w:rsidR="00A4092E">
        <w:t>SN</w:t>
      </w:r>
      <w:r>
        <w:t xml:space="preserve">. Both compounds also caused a significant reduction in ambulatory locomotor activity, however, </w:t>
      </w:r>
      <w:r w:rsidRPr="00BF193E">
        <w:t>this finding was difficult to interpret due to the limited reporting of the results, t</w:t>
      </w:r>
      <w:r>
        <w:t xml:space="preserve">he small group sizes and that paraquat and MPTP were each administered using different protocols (Brooks </w:t>
      </w:r>
      <w:r w:rsidRPr="0058670C">
        <w:rPr>
          <w:i/>
        </w:rPr>
        <w:t>et al</w:t>
      </w:r>
      <w:r w:rsidR="00120920">
        <w:rPr>
          <w:i/>
        </w:rPr>
        <w:t>,</w:t>
      </w:r>
      <w:r>
        <w:t xml:space="preserve"> 1999).</w:t>
      </w:r>
    </w:p>
    <w:p w14:paraId="27BC6B6B" w14:textId="77777777" w:rsidR="002447C7" w:rsidRDefault="002447C7" w:rsidP="0008427E"/>
    <w:p w14:paraId="0271ABD6" w14:textId="77777777" w:rsidR="000F1244" w:rsidRDefault="002447C7" w:rsidP="009E40A8">
      <w:r>
        <w:t xml:space="preserve">To investigate the possibility that opioid receptors are involved in paraquat-induced shaking behaviour in male rats, a single ip injection was given at 0, 30, 50 or 70 mg/kg bw (equivalent to 0, 21.6, 36 and 50.4 mg/kg bw paraquat cation, respectively), or a single intracerebroventricular injection was given at 12.9 or 25.7 </w:t>
      </w:r>
      <w:r>
        <w:sym w:font="Symbol" w:char="F06D"/>
      </w:r>
      <w:r>
        <w:t xml:space="preserve">g/10 </w:t>
      </w:r>
      <w:r>
        <w:sym w:font="Symbol" w:char="F06D"/>
      </w:r>
      <w:r>
        <w:t xml:space="preserve">L/rat (equivalent to 9.3 and 18.5 </w:t>
      </w:r>
      <w:r>
        <w:sym w:font="Symbol" w:char="F06D"/>
      </w:r>
      <w:r>
        <w:t xml:space="preserve">g cation, respectively), in the presence and absence of morphine or naloxone (5 and 1.5 mg/kg bw, ip, respectively). When administered intraperitoneally, paraquat caused a significant </w:t>
      </w:r>
      <w:r>
        <w:lastRenderedPageBreak/>
        <w:t xml:space="preserve">dose-related increase in the frequency of shaking behaviour at and above 30 mg/kg bw (equivalent to 21.6 mg/kg bw paraquat cation). Myoclonus was seen only at 70 mg/kg bw (equivalent to 50.6 mg/kg bw paraquat cation). Morphine but not naloxone </w:t>
      </w:r>
      <w:r w:rsidR="0083689C">
        <w:t>pre-treatment</w:t>
      </w:r>
      <w:r>
        <w:t xml:space="preserve"> significantly reduced paraquat-induced shaking behaviour suggesting that shaking behaviour was mediated by opioid receptors. Intracerebroventricular injection of paraquat induced tremor, but not shaking behaviour or myoclonus, at 23.7 </w:t>
      </w:r>
      <w:r>
        <w:sym w:font="Symbol" w:char="F06D"/>
      </w:r>
      <w:r>
        <w:t xml:space="preserve">g/rat (equivalent to 18.5 </w:t>
      </w:r>
      <w:r>
        <w:sym w:font="Symbol" w:char="F06D"/>
      </w:r>
      <w:r>
        <w:t xml:space="preserve">g paraquat cation). Although no neurohistopathological abnormalities were detected in any rats, fluorescein uptake by the brain was significantly elevated with paraquat treatment, an effect that was prevented by morphine. These later findings suggested that paraquat increased the vascular permeability of the brain (Hara </w:t>
      </w:r>
      <w:r w:rsidRPr="0058670C">
        <w:rPr>
          <w:i/>
        </w:rPr>
        <w:t>et al</w:t>
      </w:r>
      <w:r w:rsidR="00120920">
        <w:rPr>
          <w:i/>
        </w:rPr>
        <w:t>,</w:t>
      </w:r>
      <w:r>
        <w:t xml:space="preserve"> 1993)</w:t>
      </w:r>
      <w:r w:rsidR="0077519C">
        <w:t>.</w:t>
      </w:r>
      <w:r w:rsidR="000F1244" w:rsidRPr="002447C7">
        <w:t xml:space="preserve"> </w:t>
      </w:r>
    </w:p>
    <w:p w14:paraId="5DD9E60D" w14:textId="77777777" w:rsidR="00FD2C5D" w:rsidRDefault="00FD2C5D" w:rsidP="0008427E"/>
    <w:p w14:paraId="0B5B76DA" w14:textId="77777777" w:rsidR="00FD2C5D" w:rsidRDefault="00FD2C5D" w:rsidP="0008427E">
      <w:pPr>
        <w:rPr>
          <w:lang w:val="en-US"/>
        </w:rPr>
      </w:pPr>
      <w:r w:rsidRPr="009E40A8">
        <w:rPr>
          <w:lang w:val="en-US"/>
        </w:rPr>
        <w:t xml:space="preserve">Cicchetti </w:t>
      </w:r>
      <w:r w:rsidRPr="009E40A8">
        <w:rPr>
          <w:i/>
          <w:lang w:val="en-US"/>
        </w:rPr>
        <w:t>et al</w:t>
      </w:r>
      <w:r w:rsidRPr="009E40A8">
        <w:rPr>
          <w:lang w:val="en-US"/>
        </w:rPr>
        <w:t xml:space="preserve"> (2005) provided evidence that paraquat alone and paraquat in combination with maneb is toxic to dopaminergic neurons of eight week old male Sprague Dawley rats both </w:t>
      </w:r>
      <w:r w:rsidRPr="009E40A8">
        <w:rPr>
          <w:i/>
          <w:lang w:val="en-US"/>
        </w:rPr>
        <w:t>in</w:t>
      </w:r>
      <w:r w:rsidRPr="009E40A8">
        <w:rPr>
          <w:lang w:val="en-US"/>
        </w:rPr>
        <w:t xml:space="preserve"> </w:t>
      </w:r>
      <w:r w:rsidRPr="009E40A8">
        <w:rPr>
          <w:i/>
          <w:lang w:val="en-US"/>
        </w:rPr>
        <w:t>vitro</w:t>
      </w:r>
      <w:r w:rsidRPr="009E40A8">
        <w:rPr>
          <w:lang w:val="en-US"/>
        </w:rPr>
        <w:t xml:space="preserve"> and </w:t>
      </w:r>
      <w:r w:rsidRPr="009E40A8">
        <w:rPr>
          <w:i/>
          <w:lang w:val="en-US"/>
        </w:rPr>
        <w:t>in vivo</w:t>
      </w:r>
      <w:r w:rsidRPr="009E40A8">
        <w:rPr>
          <w:lang w:val="en-US"/>
        </w:rPr>
        <w:t xml:space="preserve"> and that the combination leads to Parkinson-like movement deficits. The rats were injected ip twice a week for four weeks with 10 mg/kg bw paraquat dichloride hydrate </w:t>
      </w:r>
      <w:r w:rsidR="00BF00F5">
        <w:rPr>
          <w:lang w:val="en-US"/>
        </w:rPr>
        <w:t xml:space="preserve">(7.2 mg paraquat ion/kg bw) </w:t>
      </w:r>
      <w:r w:rsidRPr="009E40A8">
        <w:rPr>
          <w:lang w:val="en-US"/>
        </w:rPr>
        <w:t xml:space="preserve">or a combination of paraquat and maneb at 10 mg/kg bw and 30 mg/kg bw respectively. </w:t>
      </w:r>
      <w:r w:rsidR="00BF00F5">
        <w:rPr>
          <w:lang w:val="en-US"/>
        </w:rPr>
        <w:t>E</w:t>
      </w:r>
      <w:r w:rsidRPr="009E40A8">
        <w:rPr>
          <w:lang w:val="en-US"/>
        </w:rPr>
        <w:t xml:space="preserve">vidence for the induction of Parkinson-like movement deficits by paraquat was limited. </w:t>
      </w:r>
    </w:p>
    <w:p w14:paraId="4EEB4E21" w14:textId="77777777" w:rsidR="00FD2C5D" w:rsidRDefault="00FD2C5D" w:rsidP="009E40A8"/>
    <w:p w14:paraId="34212606" w14:textId="77777777" w:rsidR="00FD2C5D" w:rsidRDefault="00FD2C5D" w:rsidP="0008427E">
      <w:r>
        <w:t xml:space="preserve">Ossowska </w:t>
      </w:r>
      <w:r w:rsidRPr="0058670C">
        <w:rPr>
          <w:i/>
        </w:rPr>
        <w:t>et al</w:t>
      </w:r>
      <w:r>
        <w:t xml:space="preserve"> (2005a) examined whether paraquat  affects DAT </w:t>
      </w:r>
      <w:r>
        <w:rPr>
          <w:i/>
        </w:rPr>
        <w:t>in vivo</w:t>
      </w:r>
      <w:r>
        <w:t xml:space="preserve"> in rats. MPP</w:t>
      </w:r>
      <w:r>
        <w:rPr>
          <w:vertAlign w:val="superscript"/>
        </w:rPr>
        <w:t>+</w:t>
      </w:r>
      <w:r>
        <w:t xml:space="preserve"> is an active metabolite of MPTP, a parkinsonism inducing compound which is taken into dopaminergic neurons by DAT. </w:t>
      </w:r>
      <w:r>
        <w:rPr>
          <w:color w:val="000000"/>
          <w:szCs w:val="24"/>
          <w:lang w:val="en-US"/>
        </w:rPr>
        <w:t xml:space="preserve">Paraquat dichloride was administered at a dose of 10 mg/kg bw </w:t>
      </w:r>
      <w:r w:rsidR="00BF00F5">
        <w:rPr>
          <w:color w:val="000000"/>
          <w:szCs w:val="24"/>
          <w:lang w:val="en-US"/>
        </w:rPr>
        <w:t xml:space="preserve">(7.2 mg paraquat ion/kg bw) </w:t>
      </w:r>
      <w:r>
        <w:rPr>
          <w:iCs/>
          <w:color w:val="000000"/>
          <w:szCs w:val="24"/>
          <w:lang w:val="en-US"/>
        </w:rPr>
        <w:t>ip to male Wistar rats (250 g)</w:t>
      </w:r>
      <w:r>
        <w:rPr>
          <w:i/>
          <w:iCs/>
          <w:color w:val="000000"/>
          <w:szCs w:val="24"/>
          <w:lang w:val="en-US"/>
        </w:rPr>
        <w:t xml:space="preserve">. </w:t>
      </w:r>
      <w:r>
        <w:rPr>
          <w:color w:val="000000"/>
          <w:szCs w:val="24"/>
          <w:lang w:val="en-US"/>
        </w:rPr>
        <w:t>Animals were examined at necropsy at 2 and 24 h or 7 days after the injection. The treatment induced a decrease in the specific binding of [</w:t>
      </w:r>
      <w:r>
        <w:rPr>
          <w:color w:val="000000"/>
          <w:szCs w:val="24"/>
          <w:vertAlign w:val="superscript"/>
          <w:lang w:val="en-US"/>
        </w:rPr>
        <w:t>3</w:t>
      </w:r>
      <w:r>
        <w:rPr>
          <w:color w:val="000000"/>
          <w:szCs w:val="24"/>
          <w:lang w:val="en-US"/>
        </w:rPr>
        <w:t xml:space="preserve">H]GBR 12,935 to DAT in the dorsal and ventral caudate-putamen but not in the </w:t>
      </w:r>
      <w:r w:rsidR="00B907BE">
        <w:rPr>
          <w:color w:val="000000"/>
          <w:szCs w:val="24"/>
          <w:lang w:val="en-US"/>
        </w:rPr>
        <w:t>SN</w:t>
      </w:r>
      <w:r>
        <w:rPr>
          <w:color w:val="000000"/>
          <w:szCs w:val="24"/>
          <w:lang w:val="en-US"/>
        </w:rPr>
        <w:t xml:space="preserve">. The decreases were reversible and observed only 2 and 24 h, but not 7 days after paraquat injection. </w:t>
      </w:r>
      <w:r w:rsidR="00F70098">
        <w:rPr>
          <w:color w:val="000000"/>
          <w:szCs w:val="24"/>
          <w:lang w:val="en-US"/>
        </w:rPr>
        <w:t xml:space="preserve">Paraquat </w:t>
      </w:r>
      <w:r>
        <w:rPr>
          <w:color w:val="000000"/>
          <w:szCs w:val="24"/>
          <w:lang w:val="en-US"/>
        </w:rPr>
        <w:t xml:space="preserve">did not significantly change the levels of </w:t>
      </w:r>
      <w:r w:rsidR="00A4092E">
        <w:rPr>
          <w:color w:val="000000"/>
          <w:szCs w:val="24"/>
          <w:lang w:val="en-US"/>
        </w:rPr>
        <w:t>DA</w:t>
      </w:r>
      <w:r>
        <w:rPr>
          <w:color w:val="000000"/>
          <w:szCs w:val="24"/>
          <w:lang w:val="en-US"/>
        </w:rPr>
        <w:t>, DOPAC and HVA in any structure examined and at any time point measured. However, paraquat increased the level of 3-MT at 24 h after the injection by 19.6% and 18.5% in the anterior and posterior caudate-putamen, respectively</w:t>
      </w:r>
      <w:r w:rsidR="00BC63D8">
        <w:rPr>
          <w:color w:val="000000"/>
          <w:szCs w:val="24"/>
          <w:lang w:val="en-US"/>
        </w:rPr>
        <w:t>.</w:t>
      </w:r>
      <w:r>
        <w:rPr>
          <w:color w:val="000000"/>
          <w:szCs w:val="24"/>
          <w:lang w:val="en-US"/>
        </w:rPr>
        <w:t xml:space="preserve"> The 3-MT/</w:t>
      </w:r>
      <w:r w:rsidR="00A4092E">
        <w:rPr>
          <w:color w:val="000000"/>
          <w:szCs w:val="24"/>
          <w:lang w:val="en-US"/>
        </w:rPr>
        <w:t>DA</w:t>
      </w:r>
      <w:r>
        <w:rPr>
          <w:color w:val="000000"/>
          <w:szCs w:val="24"/>
          <w:lang w:val="en-US"/>
        </w:rPr>
        <w:t xml:space="preserve"> ratio was also significantly increased in the anterior (16%, p &lt; 0.05) and posterior caudate-putamen (15%, p &lt; 0.05) 24 h after administration. </w:t>
      </w:r>
      <w:r w:rsidR="00F70098">
        <w:rPr>
          <w:color w:val="000000"/>
          <w:szCs w:val="24"/>
          <w:lang w:val="en-US"/>
        </w:rPr>
        <w:t>Paraquat also induced a slight influence on dopaminergic transmission</w:t>
      </w:r>
      <w:r w:rsidR="009F19B0">
        <w:rPr>
          <w:color w:val="000000"/>
          <w:szCs w:val="24"/>
          <w:lang w:val="en-US"/>
        </w:rPr>
        <w:t xml:space="preserve"> </w:t>
      </w:r>
      <w:r w:rsidR="00E62A7A">
        <w:rPr>
          <w:color w:val="000000"/>
          <w:szCs w:val="24"/>
        </w:rPr>
        <w:t xml:space="preserve">with </w:t>
      </w:r>
      <w:r w:rsidR="00323D2C">
        <w:rPr>
          <w:color w:val="000000"/>
          <w:szCs w:val="24"/>
        </w:rPr>
        <w:t>persistent but reversible effects on</w:t>
      </w:r>
      <w:r>
        <w:rPr>
          <w:color w:val="000000"/>
          <w:szCs w:val="24"/>
        </w:rPr>
        <w:t xml:space="preserve"> </w:t>
      </w:r>
      <w:r w:rsidR="00011149">
        <w:rPr>
          <w:color w:val="000000"/>
          <w:szCs w:val="24"/>
        </w:rPr>
        <w:t>dopamine transporter (DAT)</w:t>
      </w:r>
      <w:r>
        <w:rPr>
          <w:color w:val="000000"/>
          <w:szCs w:val="24"/>
        </w:rPr>
        <w:t xml:space="preserve"> in the caudate-putamen, a finding supported by decreases in the binding of </w:t>
      </w:r>
      <w:r>
        <w:rPr>
          <w:color w:val="000000"/>
          <w:szCs w:val="24"/>
          <w:lang w:val="en-US"/>
        </w:rPr>
        <w:t>[</w:t>
      </w:r>
      <w:r>
        <w:rPr>
          <w:color w:val="000000"/>
          <w:szCs w:val="24"/>
          <w:vertAlign w:val="superscript"/>
          <w:lang w:val="en-US"/>
        </w:rPr>
        <w:t>3</w:t>
      </w:r>
      <w:r>
        <w:rPr>
          <w:color w:val="000000"/>
          <w:szCs w:val="24"/>
          <w:lang w:val="en-US"/>
        </w:rPr>
        <w:t xml:space="preserve">H]GBR 12,935. </w:t>
      </w:r>
      <w:r>
        <w:rPr>
          <w:color w:val="000000"/>
        </w:rPr>
        <w:t xml:space="preserve">The study did not ascertain whether paraquat, </w:t>
      </w:r>
      <w:r>
        <w:t>is actually transported into dopaminergic neurons via DAT.</w:t>
      </w:r>
    </w:p>
    <w:p w14:paraId="76BC8C71" w14:textId="77777777" w:rsidR="00FD2C5D" w:rsidRDefault="00FD2C5D" w:rsidP="009E40A8"/>
    <w:p w14:paraId="3A64CA34" w14:textId="77777777" w:rsidR="00FD2C5D" w:rsidRDefault="00FD2C5D" w:rsidP="009E40A8">
      <w:pPr>
        <w:rPr>
          <w:lang w:val="en-US"/>
        </w:rPr>
      </w:pPr>
      <w:r>
        <w:t xml:space="preserve">Ossowska </w:t>
      </w:r>
      <w:r w:rsidRPr="0058670C">
        <w:rPr>
          <w:i/>
        </w:rPr>
        <w:t>et al</w:t>
      </w:r>
      <w:r>
        <w:t xml:space="preserve"> (2005b) examined long term paraquat administration (up to 24 weeks) in male Wistar rats (200-250 g) to determine if a slowly progressing and selective degeneration of nigrostriatal neurons leading to </w:t>
      </w:r>
      <w:r w:rsidR="009B17F5">
        <w:t>effects on</w:t>
      </w:r>
      <w:r>
        <w:t xml:space="preserve"> dopaminergic transmission occurs. Various stages of this process were examined. </w:t>
      </w:r>
      <w:r>
        <w:rPr>
          <w:lang w:val="en-US"/>
        </w:rPr>
        <w:t xml:space="preserve">Paraquat dichloride was administered at a dose of 10 mg/kg bw ip once a week for 4, 8, 12 or 24 weeks. The study showed that long-term </w:t>
      </w:r>
      <w:r w:rsidR="00E11D22">
        <w:rPr>
          <w:lang w:val="en-US"/>
        </w:rPr>
        <w:t xml:space="preserve">ip </w:t>
      </w:r>
      <w:r>
        <w:rPr>
          <w:lang w:val="en-US"/>
        </w:rPr>
        <w:t xml:space="preserve">paraquat administration induces slowly progressing loss of nigrostriatal neurons and a delayed deficit of striatal dopaminergic transmission in rats. These neuronal alterations in rats bear some similarities to pathological processes operating in early, </w:t>
      </w:r>
      <w:r w:rsidR="0083689C">
        <w:rPr>
          <w:lang w:val="en-US"/>
        </w:rPr>
        <w:t>pre-symptomatic</w:t>
      </w:r>
      <w:r>
        <w:rPr>
          <w:lang w:val="en-US"/>
        </w:rPr>
        <w:t>, stages of Parkinson’s disease.</w:t>
      </w:r>
    </w:p>
    <w:p w14:paraId="47AE102C" w14:textId="77777777" w:rsidR="00FD2C5D" w:rsidRPr="002447C7" w:rsidRDefault="00FD2C5D" w:rsidP="009E40A8"/>
    <w:p w14:paraId="7BAF354F" w14:textId="77777777" w:rsidR="00AD66E6" w:rsidRPr="002B2CFC" w:rsidRDefault="00AD66E6" w:rsidP="00385097">
      <w:pPr>
        <w:pStyle w:val="Heading2"/>
        <w:rPr>
          <w:lang w:eastAsia="en-US"/>
        </w:rPr>
      </w:pPr>
      <w:bookmarkStart w:id="51" w:name="_Toc459108297"/>
      <w:r w:rsidRPr="002B2CFC">
        <w:rPr>
          <w:lang w:eastAsia="en-US"/>
        </w:rPr>
        <w:lastRenderedPageBreak/>
        <w:t>I</w:t>
      </w:r>
      <w:r>
        <w:rPr>
          <w:lang w:eastAsia="en-US"/>
        </w:rPr>
        <w:t>ntracerebral/nigral/hippocampal Administration</w:t>
      </w:r>
      <w:bookmarkEnd w:id="51"/>
      <w:r w:rsidRPr="002B2CFC">
        <w:rPr>
          <w:lang w:eastAsia="en-US"/>
        </w:rPr>
        <w:t xml:space="preserve"> </w:t>
      </w:r>
    </w:p>
    <w:p w14:paraId="0B9D02ED" w14:textId="77777777" w:rsidR="002447C7" w:rsidRDefault="002447C7" w:rsidP="0008427E">
      <w:r>
        <w:t xml:space="preserve">Experiments were performed to investigate the behavioural and neuropathological effects of intrahippocampal and systemic injections of paraquat in rats. The effect of the muscarinic acetylcholine receptor antagonists, atropine and methylatropine, and the </w:t>
      </w:r>
      <w:r>
        <w:rPr>
          <w:sz w:val="20"/>
        </w:rPr>
        <w:t>N</w:t>
      </w:r>
      <w:r>
        <w:t>-methyl-</w:t>
      </w:r>
      <w:r>
        <w:rPr>
          <w:sz w:val="20"/>
        </w:rPr>
        <w:t>D</w:t>
      </w:r>
      <w:r>
        <w:t xml:space="preserve">-aspartate (NMDA) receptor antagonist, MK 801, on paraquat-induced neurotoxicity was also determined. A single injection of paraquat (unspecified purity) was administered intrahippocampally at 0, 10 nmol, 100 nmol or 1 </w:t>
      </w:r>
      <w:r>
        <w:sym w:font="Symbol" w:char="F06D"/>
      </w:r>
      <w:r>
        <w:t xml:space="preserve">mol (equivalent to 0, 1.86, 18.6 and 186.3 </w:t>
      </w:r>
      <w:r>
        <w:sym w:font="Symbol" w:char="F06D"/>
      </w:r>
      <w:r>
        <w:t xml:space="preserve">g, respectively or 0, 1.34, 13.4 and 134.1 </w:t>
      </w:r>
      <w:r>
        <w:sym w:font="Symbol" w:char="F06D"/>
      </w:r>
      <w:r>
        <w:t xml:space="preserve">g paraquat cation, respectively). Additional groups were injected with 1 </w:t>
      </w:r>
      <w:r>
        <w:sym w:font="Symbol" w:char="F06D"/>
      </w:r>
      <w:r>
        <w:t xml:space="preserve">mol (equivalent to 186.3 </w:t>
      </w:r>
      <w:r>
        <w:sym w:font="Symbol" w:char="F06D"/>
      </w:r>
      <w:r>
        <w:t xml:space="preserve">g paraquat or 134.1 </w:t>
      </w:r>
      <w:r>
        <w:sym w:font="Symbol" w:char="F06D"/>
      </w:r>
      <w:r>
        <w:t xml:space="preserve">g paraquat cation) paraquat and 5 or 50 nmol atropine. Another group received an ip injection of the NMDA antagonist MK 801 (0.3 mg/kg bw) 60 minutes before intracerebral injection of paraquat. Paraquat was also administered systemically to 5 rats/group by an ip injection at 5, 20 and 100 mg/kg bw (equivalent to 3.6, 14.4 and 72 mg/kg bw paraquat cation, respectively). Two additional groups were </w:t>
      </w:r>
      <w:r w:rsidR="0083689C">
        <w:t>pre-treated</w:t>
      </w:r>
      <w:r>
        <w:t xml:space="preserve"> with an ip injection of 150 mg/kg bw atropine or 5 mg/kg bw methylatropine 30 minutes prior to an ip injection of 100 mg/kg bw paraquat (equivalent to 72 mg/kg bw paraquat cation). No effect was seen at 10 nmol (equivalent to 1.86 </w:t>
      </w:r>
      <w:r>
        <w:sym w:font="Symbol" w:char="F06D"/>
      </w:r>
      <w:r>
        <w:t xml:space="preserve">g or 1.34 </w:t>
      </w:r>
      <w:r>
        <w:sym w:font="Symbol" w:char="F06D"/>
      </w:r>
      <w:r>
        <w:t xml:space="preserve">g paraquat cation) following a single intrahippocampal injection. Seizures, behavioural excitation, motor stimulation (ataxia, stereotyped jaw movements, clonus of the upper extremities, rapid ear movements, vibrissae) and the presence of multifocal brain damage (neural damage/degeneration in the CA1 region, dentate granule cell layer, hilus fascia dentata, and pyriform cortex) were seen at and above 100 nmol (equivalent to 18.6 </w:t>
      </w:r>
      <w:r>
        <w:sym w:font="Symbol" w:char="F06D"/>
      </w:r>
      <w:r>
        <w:t xml:space="preserve">g paraquat or 13.4 </w:t>
      </w:r>
      <w:r>
        <w:sym w:font="Symbol" w:char="F06D"/>
      </w:r>
      <w:r>
        <w:t xml:space="preserve">g paraquat cation). Atropine (50 nmol) and MK 801 (0.3 mg/kg, ip) prevented the occurrence of these treatment-related effects suggesting that the mechanism of neurotoxicity involved muscarinic and NMDA receptors. No effect was seen following a single ip injection of paraquat at 5 mg/kg bw/d (equivalent to 3.6 mg/kg bw paraquat cation). Behavioural and motor stimulation (muscle fasciculation, chromodacryorrhea, salivation, tremors, infrequent wet dog shakes, movement of the vibrissae, clonus of the forelimbs and rearing), seizures and brain damage (neural death in the pyriform cortex) were seen at and above 20 mg/kg bw (equivalent to 14.4 mg/kg bw paraquat cation). </w:t>
      </w:r>
      <w:r w:rsidR="0083689C">
        <w:t>Pre-treatment</w:t>
      </w:r>
      <w:r>
        <w:t xml:space="preserve"> with atropine, but not methylatropine, prevented these treatment-related effects. A dose-related increase in the concentration of paraquat in the medulla oblongata, hippocampus and pyriform cortex was observed 24 h after an ip injection, with a similar concentration of paraquat measured in each brain region (Bagetta </w:t>
      </w:r>
      <w:r w:rsidRPr="0058670C">
        <w:rPr>
          <w:i/>
        </w:rPr>
        <w:t>et al</w:t>
      </w:r>
      <w:r w:rsidR="00120920">
        <w:rPr>
          <w:i/>
        </w:rPr>
        <w:t>,</w:t>
      </w:r>
      <w:r>
        <w:t xml:space="preserve"> 1992)</w:t>
      </w:r>
      <w:r w:rsidR="005A6398">
        <w:t>.</w:t>
      </w:r>
    </w:p>
    <w:p w14:paraId="2185EEE1" w14:textId="77777777" w:rsidR="002447C7" w:rsidRDefault="002447C7" w:rsidP="0008427E"/>
    <w:p w14:paraId="2A29EABB" w14:textId="77777777" w:rsidR="002447C7" w:rsidRDefault="002447C7" w:rsidP="0008427E">
      <w:r>
        <w:t xml:space="preserve">The neurotoxicity of paraquat in rats was investigated following a single intracerebral injection at 0, 0.01 or 0.1 </w:t>
      </w:r>
      <w:r>
        <w:sym w:font="Symbol" w:char="F06D"/>
      </w:r>
      <w:r>
        <w:t xml:space="preserve">mol (equivalent to 0, 1.86 and 18.6 </w:t>
      </w:r>
      <w:r>
        <w:sym w:font="Symbol" w:char="F06D"/>
      </w:r>
      <w:r>
        <w:t xml:space="preserve">g paraquat, respectively, or 0, 1.34 and 13.4 </w:t>
      </w:r>
      <w:r>
        <w:sym w:font="Symbol" w:char="F06D"/>
      </w:r>
      <w:r>
        <w:t xml:space="preserve">g paraquat cation, respectively), or a single subcutaneous injection at 0, 5.0 or 20 mg/kg bw (equivalent to 0, 3.6 and 14.4 mg/kg bw paraquat cation, respectively). Treatment-related effects were observed at 0.10 </w:t>
      </w:r>
      <w:r>
        <w:sym w:font="Symbol" w:char="F06D"/>
      </w:r>
      <w:r>
        <w:t xml:space="preserve">mol (18.6 </w:t>
      </w:r>
      <w:r>
        <w:sym w:font="Symbol" w:char="F06D"/>
      </w:r>
      <w:r>
        <w:t xml:space="preserve">g paraquat or 13.4 </w:t>
      </w:r>
      <w:r>
        <w:sym w:font="Symbol" w:char="F06D"/>
      </w:r>
      <w:r>
        <w:t xml:space="preserve">g paraquat cation) and included ataxia, neuronal death and damage in the CA1 and CA3 pyramidal cell layers, the granule cell layer and hilus fascia dentata of the hippocampus, and the pyriform complex, behavioural stimulation (clonus of the upper extremities, movement of the ears and vibrissae) and generalised seizures. Following subcutaneous injection, no effects were seen at 5 mg/kg bw (equivalent to 3.6 mg/kg bw paraquat cation), but neuronal death and damage in the pyriform cortex, and abnormal behaviour (tremors, wet dog shakes, clonus and rearing) were seen at 20 mg/k bw (equivalent to 14.4 mg/kg bw paraquat cation). The occurrence of neuronal death in the pyriform cortex correlated with brain paraquat analysis which revealed the pyriform cortex </w:t>
      </w:r>
      <w:r>
        <w:lastRenderedPageBreak/>
        <w:t xml:space="preserve">contained the highest concentration of paraquat followed by the hippocampus and the caudate (Corasaniti </w:t>
      </w:r>
      <w:r w:rsidRPr="0058670C">
        <w:rPr>
          <w:i/>
        </w:rPr>
        <w:t>et al</w:t>
      </w:r>
      <w:r w:rsidR="00120920">
        <w:rPr>
          <w:i/>
        </w:rPr>
        <w:t>,</w:t>
      </w:r>
      <w:r>
        <w:t xml:space="preserve"> 1992)</w:t>
      </w:r>
      <w:r w:rsidR="001A1FAA">
        <w:t>.</w:t>
      </w:r>
    </w:p>
    <w:p w14:paraId="251EDC3B" w14:textId="77777777" w:rsidR="002447C7" w:rsidRDefault="002447C7" w:rsidP="0008427E"/>
    <w:p w14:paraId="2BF3842C" w14:textId="77777777" w:rsidR="002447C7" w:rsidRDefault="002447C7" w:rsidP="0008427E">
      <w:r>
        <w:t>The effect of paraquat or MPP</w:t>
      </w:r>
      <w:r>
        <w:rPr>
          <w:vertAlign w:val="superscript"/>
        </w:rPr>
        <w:t>+</w:t>
      </w:r>
      <w:r>
        <w:t xml:space="preserve"> on the </w:t>
      </w:r>
      <w:r w:rsidR="00A4092E">
        <w:t>SN</w:t>
      </w:r>
      <w:r>
        <w:t xml:space="preserve"> of male rats was studied following direct unilateral intranigral injection of 0, 1, 2, 3 or 5 </w:t>
      </w:r>
      <w:r>
        <w:sym w:font="Symbol" w:char="F06D"/>
      </w:r>
      <w:r>
        <w:t xml:space="preserve">g paraquat (equivalent to 0, 0.72, 1.44, 2.16 and 3.6 </w:t>
      </w:r>
      <w:r>
        <w:sym w:font="Symbol" w:char="F06D"/>
      </w:r>
      <w:r>
        <w:t xml:space="preserve">g paraquat cation, respectively), or 8 </w:t>
      </w:r>
      <w:r>
        <w:sym w:font="Symbol" w:char="F06D"/>
      </w:r>
      <w:r>
        <w:t>g MPP</w:t>
      </w:r>
      <w:r>
        <w:rPr>
          <w:vertAlign w:val="superscript"/>
        </w:rPr>
        <w:t>+</w:t>
      </w:r>
      <w:r>
        <w:t xml:space="preserve">. At and above 1 </w:t>
      </w:r>
      <w:r>
        <w:sym w:font="Symbol" w:char="F06D"/>
      </w:r>
      <w:r>
        <w:t xml:space="preserve">g paraquat (equivalent to 0.72 </w:t>
      </w:r>
      <w:r>
        <w:sym w:font="Symbol" w:char="F06D"/>
      </w:r>
      <w:r>
        <w:t xml:space="preserve">g paraquat cation), a significant dose-related depression in striatal </w:t>
      </w:r>
      <w:r w:rsidR="00A4092E">
        <w:t>DA</w:t>
      </w:r>
      <w:r>
        <w:t xml:space="preserve"> occurred. Neurohistopathological abnormalities (abnormal neurons, neuronal loss and astrocyte proliferation) and a statistically significant dose-related increase in apomorphine-induced contralateral circling were observed at and above 2 </w:t>
      </w:r>
      <w:r>
        <w:sym w:font="Symbol" w:char="F06D"/>
      </w:r>
      <w:r>
        <w:t xml:space="preserve">g (equivalent to 1.44 </w:t>
      </w:r>
      <w:r>
        <w:sym w:font="Symbol" w:char="F06D"/>
      </w:r>
      <w:r>
        <w:t xml:space="preserve">g paraquat cation). At 3 </w:t>
      </w:r>
      <w:r>
        <w:sym w:font="Symbol" w:char="F06D"/>
      </w:r>
      <w:r>
        <w:t xml:space="preserve">g (equivalent to 2.16 </w:t>
      </w:r>
      <w:r>
        <w:sym w:font="Symbol" w:char="F06D"/>
      </w:r>
      <w:r>
        <w:t xml:space="preserve">g paraquat cation), rotational behaviour in the direction of the lesion, asymmetrical posture or weak sniffing behaviour was exhibited, in addition to a significant depression in striatal DOPAC and HVA. At 5 </w:t>
      </w:r>
      <w:r>
        <w:sym w:font="Symbol" w:char="F06D"/>
      </w:r>
      <w:r>
        <w:t xml:space="preserve">g, all rats died. Rats treated with 8 </w:t>
      </w:r>
      <w:r>
        <w:sym w:font="Symbol" w:char="F06D"/>
      </w:r>
      <w:r>
        <w:t>g MPP</w:t>
      </w:r>
      <w:r>
        <w:rPr>
          <w:vertAlign w:val="superscript"/>
        </w:rPr>
        <w:t>+</w:t>
      </w:r>
      <w:r>
        <w:t xml:space="preserve"> showed a significant depression in striatal </w:t>
      </w:r>
      <w:r w:rsidR="00A4092E">
        <w:t>DA</w:t>
      </w:r>
      <w:r>
        <w:t xml:space="preserve">, DOPAC and HVA, and neuronal loss, astrocyte proliferation and abnormal behaviour (Liou </w:t>
      </w:r>
      <w:r w:rsidRPr="0058670C">
        <w:rPr>
          <w:i/>
        </w:rPr>
        <w:t>et al</w:t>
      </w:r>
      <w:r w:rsidR="00120920">
        <w:rPr>
          <w:i/>
        </w:rPr>
        <w:t>,</w:t>
      </w:r>
      <w:r>
        <w:t xml:space="preserve"> 1996)</w:t>
      </w:r>
      <w:r w:rsidR="002C23B8">
        <w:t>.</w:t>
      </w:r>
    </w:p>
    <w:p w14:paraId="3822636D" w14:textId="77777777" w:rsidR="002447C7" w:rsidRDefault="002447C7" w:rsidP="0008427E"/>
    <w:p w14:paraId="1A4D2577" w14:textId="77777777" w:rsidR="00FD2C5D" w:rsidRDefault="00FD2C5D" w:rsidP="0008427E">
      <w:pPr>
        <w:rPr>
          <w:lang w:val="en-US"/>
        </w:rPr>
      </w:pPr>
      <w:r>
        <w:rPr>
          <w:lang w:val="en-US"/>
        </w:rPr>
        <w:t xml:space="preserve">When paraquat was administered to the striatum through a microdialysis probe, a significant amount of paraquat was detected in the ipsilateral but not contralateral striata after a sequential 180-min washout with Ringer's solution. Treatment with 50 µM GBR-12909 (a selective </w:t>
      </w:r>
      <w:r w:rsidR="00011149">
        <w:rPr>
          <w:lang w:val="en-US"/>
        </w:rPr>
        <w:t>DAT</w:t>
      </w:r>
      <w:r>
        <w:rPr>
          <w:lang w:val="en-US"/>
        </w:rPr>
        <w:t xml:space="preserve"> inhibitor) significantly inhibited the striatal uptake of paraquat (p &lt; 0.02). It was concluded that paraquat stimulated glutamate efflux from neural cells or inhibited the glutamate uptake system, and initiated a cascade of excitotoxic reactions leading to damage of dopaminergic terminals. The mechanism involves glutamate induced activation of non-</w:t>
      </w:r>
      <w:r>
        <w:rPr>
          <w:i/>
          <w:lang w:val="en-US"/>
        </w:rPr>
        <w:t>N-</w:t>
      </w:r>
      <w:r>
        <w:rPr>
          <w:lang w:val="en-US"/>
        </w:rPr>
        <w:t xml:space="preserve">methyl </w:t>
      </w:r>
      <w:r>
        <w:rPr>
          <w:i/>
          <w:lang w:val="en-US"/>
        </w:rPr>
        <w:t>D</w:t>
      </w:r>
      <w:r>
        <w:rPr>
          <w:lang w:val="en-US"/>
        </w:rPr>
        <w:t>-aspartate (non-NMDA) receptors, resulting in activation of NMDA receptors. The activation of NMDA receptor channels results in a massive influx of Ca</w:t>
      </w:r>
      <w:r>
        <w:rPr>
          <w:vertAlign w:val="superscript"/>
          <w:lang w:val="en-US"/>
        </w:rPr>
        <w:t>2+</w:t>
      </w:r>
      <w:r>
        <w:rPr>
          <w:lang w:val="en-US"/>
        </w:rPr>
        <w:t xml:space="preserve"> into the cells. The entry of Ca</w:t>
      </w:r>
      <w:r>
        <w:rPr>
          <w:vertAlign w:val="superscript"/>
          <w:lang w:val="en-US"/>
        </w:rPr>
        <w:t>2+</w:t>
      </w:r>
      <w:r>
        <w:rPr>
          <w:lang w:val="en-US"/>
        </w:rPr>
        <w:t xml:space="preserve"> into cells stimulates nitric oxide synthase (NOS). In discussing their results Shimizu </w:t>
      </w:r>
      <w:r w:rsidRPr="0058670C">
        <w:rPr>
          <w:i/>
          <w:lang w:val="en-US"/>
        </w:rPr>
        <w:t>et al</w:t>
      </w:r>
      <w:r>
        <w:rPr>
          <w:lang w:val="en-US"/>
        </w:rPr>
        <w:t xml:space="preserve"> (2003) suggested that released nitric oxide (NO) would diffuse to dopaminergic terminals and induce mitochondrial dysfunction by the formation of peroxynitrite, resulting in continuous and long-lasting </w:t>
      </w:r>
      <w:r w:rsidR="00A4092E">
        <w:rPr>
          <w:lang w:val="en-US"/>
        </w:rPr>
        <w:t>DA</w:t>
      </w:r>
      <w:r>
        <w:rPr>
          <w:lang w:val="en-US"/>
        </w:rPr>
        <w:t xml:space="preserve"> overflow. Paraquat might trigger production of reactive oxygen species (ROS) from the mitochondrial electron transport chain in </w:t>
      </w:r>
      <w:r w:rsidR="00A4092E">
        <w:rPr>
          <w:lang w:val="en-US"/>
        </w:rPr>
        <w:t>DA</w:t>
      </w:r>
      <w:r>
        <w:rPr>
          <w:lang w:val="en-US"/>
        </w:rPr>
        <w:t xml:space="preserve"> neurons. The ROS easily react with NO to generate peroxynitrite, which could be a major substrate underlying paraquat neurotoxicity</w:t>
      </w:r>
      <w:r w:rsidR="0087761C" w:rsidDel="0087761C">
        <w:rPr>
          <w:lang w:val="en-US"/>
        </w:rPr>
        <w:t xml:space="preserve"> </w:t>
      </w:r>
      <w:r>
        <w:rPr>
          <w:lang w:val="en-US"/>
        </w:rPr>
        <w:t xml:space="preserve">They speculated that paraquat could be considered an exogenous neurotoxin involved in the etiology of Parkinson’s disease, or at least, exposure to low levels of paraquat for a long time would make dopaminergic neurons vulnerable to oxidative stress and cell death. This speculation could be applied to any agent capable of generating ROS and does not indicate that paraquat exposure through normal dietary, </w:t>
      </w:r>
      <w:r w:rsidR="0083689C">
        <w:rPr>
          <w:lang w:val="en-US"/>
        </w:rPr>
        <w:t>inhalational</w:t>
      </w:r>
      <w:r>
        <w:rPr>
          <w:lang w:val="en-US"/>
        </w:rPr>
        <w:t xml:space="preserve"> or dermal route would elicit the same responses</w:t>
      </w:r>
      <w:r w:rsidR="00C96D9F">
        <w:rPr>
          <w:lang w:val="en-US"/>
        </w:rPr>
        <w:t xml:space="preserve"> (Shimizu </w:t>
      </w:r>
      <w:r w:rsidR="00C96D9F" w:rsidRPr="00C96D9F">
        <w:rPr>
          <w:i/>
          <w:lang w:val="en-US"/>
        </w:rPr>
        <w:t>et al</w:t>
      </w:r>
      <w:r w:rsidR="00120920">
        <w:rPr>
          <w:i/>
          <w:lang w:val="en-US"/>
        </w:rPr>
        <w:t>,</w:t>
      </w:r>
      <w:r w:rsidR="00C96D9F">
        <w:rPr>
          <w:lang w:val="en-US"/>
        </w:rPr>
        <w:t xml:space="preserve"> 2003).</w:t>
      </w:r>
    </w:p>
    <w:p w14:paraId="1CA30A0B" w14:textId="77777777" w:rsidR="002447C7" w:rsidRDefault="002447C7" w:rsidP="0008427E"/>
    <w:p w14:paraId="35C50A3C" w14:textId="77777777" w:rsidR="00714567" w:rsidRDefault="00714567" w:rsidP="00385097">
      <w:pPr>
        <w:pStyle w:val="Heading2"/>
        <w:rPr>
          <w:lang w:eastAsia="en-US"/>
        </w:rPr>
      </w:pPr>
      <w:bookmarkStart w:id="52" w:name="_Toc459108298"/>
      <w:r w:rsidRPr="00110E09">
        <w:rPr>
          <w:lang w:eastAsia="en-US"/>
        </w:rPr>
        <w:t>Intranasal Administration</w:t>
      </w:r>
      <w:bookmarkEnd w:id="52"/>
    </w:p>
    <w:p w14:paraId="63266926" w14:textId="213A2EE6" w:rsidR="00714567" w:rsidRDefault="00714567" w:rsidP="009E40A8">
      <w:pPr>
        <w:rPr>
          <w:szCs w:val="24"/>
        </w:rPr>
      </w:pPr>
      <w:r>
        <w:t xml:space="preserve">Rojo </w:t>
      </w:r>
      <w:r>
        <w:rPr>
          <w:i/>
        </w:rPr>
        <w:t>et al</w:t>
      </w:r>
      <w:r>
        <w:t xml:space="preserve"> (2007) studied the induction of Parkinson’s disease symptoms in mice and rats following the intranasal inoculation of </w:t>
      </w:r>
      <w:r w:rsidR="00BF6496">
        <w:t xml:space="preserve">3, </w:t>
      </w:r>
      <w:r>
        <w:t>10, 20 or 30 mg paraquat</w:t>
      </w:r>
      <w:r w:rsidR="00BF6496">
        <w:rPr>
          <w:rStyle w:val="FootnoteReference"/>
        </w:rPr>
        <w:footnoteReference w:id="3"/>
      </w:r>
      <w:r>
        <w:t>/kg bw/day for 30 days.</w:t>
      </w:r>
      <w:r w:rsidR="00076426">
        <w:t xml:space="preserve"> As a positive control,</w:t>
      </w:r>
      <w:r w:rsidR="009F19B0">
        <w:t xml:space="preserve"> </w:t>
      </w:r>
      <w:r w:rsidR="00076426">
        <w:t xml:space="preserve">MPTP was administered at 10, 20, 30 or 60 mg/kg bw by the same route. </w:t>
      </w:r>
      <w:r>
        <w:t xml:space="preserve">Mice that received </w:t>
      </w:r>
      <w:r w:rsidR="00D54974">
        <w:t>up to 20 mg/kg bw paraquat</w:t>
      </w:r>
      <w:r>
        <w:t xml:space="preserve"> showed no behavioural changes early after dosing</w:t>
      </w:r>
      <w:r w:rsidR="00D54974">
        <w:t>. After one week of dosing, mice receiving 20 mg/kg bw developed</w:t>
      </w:r>
      <w:r>
        <w:t>, strong hypokinesia</w:t>
      </w:r>
      <w:r w:rsidR="00D54974">
        <w:t xml:space="preserve"> in </w:t>
      </w:r>
      <w:r>
        <w:t>addition</w:t>
      </w:r>
      <w:r w:rsidR="00D54974">
        <w:t xml:space="preserve"> to</w:t>
      </w:r>
      <w:r>
        <w:t xml:space="preserve"> curved position, agitated breathing</w:t>
      </w:r>
      <w:r w:rsidR="00D54974">
        <w:t>,</w:t>
      </w:r>
      <w:r w:rsidR="009F19B0">
        <w:t xml:space="preserve"> </w:t>
      </w:r>
      <w:r>
        <w:t>weight loss, cyanotic feet and mouth</w:t>
      </w:r>
      <w:r w:rsidR="004524BE">
        <w:t>,</w:t>
      </w:r>
      <w:r>
        <w:t xml:space="preserve"> and </w:t>
      </w:r>
      <w:r>
        <w:lastRenderedPageBreak/>
        <w:t>lung damage.</w:t>
      </w:r>
      <w:r w:rsidR="00D54974">
        <w:t xml:space="preserve"> </w:t>
      </w:r>
      <w:r w:rsidR="00DC3931">
        <w:t>Around a third of m</w:t>
      </w:r>
      <w:r w:rsidR="00D54974">
        <w:t>ice treated with 30 mg/kg bw</w:t>
      </w:r>
      <w:r w:rsidR="00DC3931">
        <w:t xml:space="preserve"> died in the first week and another third showed truncal dystonia and fast rotation when held by the tail (indicative of vestibular dysfunction).</w:t>
      </w:r>
      <w:r>
        <w:t xml:space="preserve"> </w:t>
      </w:r>
      <w:r w:rsidR="00307943">
        <w:t xml:space="preserve">MPTP-treated mice demonstrated piloerection, salivation, tremor and smooth rigidity shortly after administration of 30 or 60 mg/kg bw. In addition, motor activity was reduced, becoming statistically significant at the end of the treatment period. </w:t>
      </w:r>
      <w:r>
        <w:t xml:space="preserve">Mice receiving 20 mg/kg bw day showed no difference from controls in the levels of striatal </w:t>
      </w:r>
      <w:r w:rsidR="00A4092E">
        <w:t>DA</w:t>
      </w:r>
      <w:r>
        <w:t xml:space="preserve"> or its major metabolite DOPAC. </w:t>
      </w:r>
      <w:r w:rsidR="00307943">
        <w:t>Mice treated with 30 or 60 mg/kg bw MPTP showed significant reductions in these levels.</w:t>
      </w:r>
      <w:r>
        <w:t xml:space="preserve">There was no difference in </w:t>
      </w:r>
      <w:r>
        <w:rPr>
          <w:color w:val="000000"/>
          <w:szCs w:val="24"/>
          <w:lang w:val="en-US"/>
        </w:rPr>
        <w:t xml:space="preserve">tyrosine hydroxylase </w:t>
      </w:r>
      <w:r>
        <w:t>immunoreactivity (TH-ir) in the striatum or SN in mice treated at 20 mg/kg bw/d</w:t>
      </w:r>
      <w:r w:rsidR="00FF5D9C">
        <w:t xml:space="preserve"> paraquat</w:t>
      </w:r>
      <w:r w:rsidR="00307943">
        <w:t>, in contrast to MPTP-treated mice with 20-30% less TH</w:t>
      </w:r>
      <w:r w:rsidR="00307943" w:rsidRPr="00307943">
        <w:rPr>
          <w:vertAlign w:val="superscript"/>
        </w:rPr>
        <w:t>+</w:t>
      </w:r>
      <w:r w:rsidR="00307943">
        <w:t xml:space="preserve"> neurons than controls</w:t>
      </w:r>
      <w:r w:rsidR="009F19B0">
        <w:t xml:space="preserve">. </w:t>
      </w:r>
      <w:r>
        <w:t xml:space="preserve">Paraquat appeared then not to alter the nigrostrial system, and the authors attributed </w:t>
      </w:r>
      <w:r>
        <w:rPr>
          <w:color w:val="000000"/>
          <w:szCs w:val="24"/>
          <w:lang w:val="en-US"/>
        </w:rPr>
        <w:t xml:space="preserve">the motor deficit </w:t>
      </w:r>
      <w:r w:rsidR="00DC3931">
        <w:rPr>
          <w:color w:val="000000"/>
          <w:szCs w:val="24"/>
          <w:lang w:val="en-US"/>
        </w:rPr>
        <w:t>as</w:t>
      </w:r>
      <w:r>
        <w:rPr>
          <w:color w:val="000000"/>
          <w:szCs w:val="24"/>
          <w:lang w:val="en-US"/>
        </w:rPr>
        <w:t xml:space="preserve"> to weakness due to systemic effects</w:t>
      </w:r>
      <w:r>
        <w:t xml:space="preserve">. </w:t>
      </w:r>
      <w:r>
        <w:rPr>
          <w:iCs/>
          <w:color w:val="000000"/>
          <w:szCs w:val="24"/>
          <w:lang w:val="en-US"/>
        </w:rPr>
        <w:t>Further exploration with a single dose of 20 mg/kg bw revealed that 10 minutes afterwards p</w:t>
      </w:r>
      <w:r>
        <w:rPr>
          <w:color w:val="000000"/>
          <w:szCs w:val="24"/>
          <w:lang w:val="en-US"/>
        </w:rPr>
        <w:t xml:space="preserve">araquat was detected only in the olfactory bulb (0.15 µg/g tissue) and not in the </w:t>
      </w:r>
      <w:r w:rsidR="0083689C">
        <w:rPr>
          <w:color w:val="000000"/>
          <w:szCs w:val="24"/>
          <w:lang w:val="en-US"/>
        </w:rPr>
        <w:t>striatum</w:t>
      </w:r>
      <w:r>
        <w:rPr>
          <w:color w:val="000000"/>
          <w:szCs w:val="24"/>
          <w:lang w:val="en-US"/>
        </w:rPr>
        <w:t xml:space="preserve"> or ventral mid-brain which suggested that it might use at least in part the olfactory nerve tract to reach the olfactory bulb. It appeared as though paraquat had a limited capacity to reach the nigrostriatal system in mice when the intranasal route of exposure is used.</w:t>
      </w:r>
      <w:r w:rsidR="00FF5D9C">
        <w:rPr>
          <w:color w:val="000000"/>
          <w:szCs w:val="24"/>
          <w:lang w:val="en-US"/>
        </w:rPr>
        <w:t xml:space="preserve"> MPTP </w:t>
      </w:r>
      <w:r w:rsidR="00DC3931">
        <w:rPr>
          <w:color w:val="000000"/>
          <w:szCs w:val="24"/>
          <w:lang w:val="en-US"/>
        </w:rPr>
        <w:t xml:space="preserve">by contrast </w:t>
      </w:r>
      <w:r w:rsidR="00FF5D9C">
        <w:rPr>
          <w:color w:val="000000"/>
          <w:szCs w:val="24"/>
          <w:lang w:val="en-US"/>
        </w:rPr>
        <w:t>was detected in the olfactory bulb, striatum and SN.</w:t>
      </w:r>
      <w:r>
        <w:rPr>
          <w:color w:val="000000"/>
          <w:szCs w:val="24"/>
          <w:lang w:val="en-US"/>
        </w:rPr>
        <w:t xml:space="preserve"> </w:t>
      </w:r>
      <w:r>
        <w:rPr>
          <w:iCs/>
          <w:color w:val="000000"/>
          <w:szCs w:val="24"/>
          <w:lang w:val="en-US"/>
        </w:rPr>
        <w:t>Rats subjected to the same paraquat dosing regime, also did not show any progressive nigrostriatal dopaminergic degeneration and paraquat was only detected in the olfactory bulb</w:t>
      </w:r>
      <w:r w:rsidR="00073775">
        <w:rPr>
          <w:iCs/>
          <w:color w:val="000000"/>
          <w:szCs w:val="24"/>
          <w:lang w:val="en-US"/>
        </w:rPr>
        <w:t>.</w:t>
      </w:r>
      <w:r>
        <w:rPr>
          <w:szCs w:val="24"/>
        </w:rPr>
        <w:t xml:space="preserve"> </w:t>
      </w:r>
      <w:r w:rsidR="00D54D9F">
        <w:rPr>
          <w:szCs w:val="24"/>
        </w:rPr>
        <w:t>Although this method is not a standard route of administration in animals studies, it demonstrates that absorption via the nasal mucosa- a potential point of contact for humans following inhalation- does not result in effects in the nigrostriatal system despite clear evidence of systemic toxicity.</w:t>
      </w:r>
    </w:p>
    <w:p w14:paraId="539CD056" w14:textId="77777777" w:rsidR="002447C7" w:rsidRDefault="002447C7" w:rsidP="0008427E">
      <w:pPr>
        <w:rPr>
          <w:iCs/>
          <w:color w:val="000000"/>
          <w:szCs w:val="24"/>
          <w:lang w:val="en-US"/>
        </w:rPr>
      </w:pPr>
    </w:p>
    <w:p w14:paraId="41F164E9" w14:textId="77777777" w:rsidR="00AD66E6" w:rsidRPr="002B2CFC" w:rsidRDefault="00AD66E6" w:rsidP="00385097">
      <w:pPr>
        <w:pStyle w:val="Heading2"/>
        <w:rPr>
          <w:lang w:eastAsia="en-US"/>
        </w:rPr>
      </w:pPr>
      <w:bookmarkStart w:id="53" w:name="_Toc459108299"/>
      <w:r>
        <w:rPr>
          <w:lang w:eastAsia="en-US"/>
        </w:rPr>
        <w:t>Blood Brain Barrier (BBB) Mechanistic Studies</w:t>
      </w:r>
      <w:bookmarkEnd w:id="53"/>
      <w:r w:rsidRPr="002B2CFC">
        <w:rPr>
          <w:lang w:eastAsia="en-US"/>
        </w:rPr>
        <w:t xml:space="preserve"> </w:t>
      </w:r>
    </w:p>
    <w:p w14:paraId="64B9072C" w14:textId="77777777" w:rsidR="007B53B3" w:rsidRDefault="007B53B3" w:rsidP="0008427E">
      <w:r>
        <w:t xml:space="preserve">The localisation of paraquat in the lung and brain was immunohistochemically assessed in male rats following a single iv injection at 5 mg/kg bw (equivalent to 3.6 mg/kg bw paraquat cation). As expected, inflammatory cell infiltration, deposition of collagen fibres in interstitial spaces and thickening of the alveolar septum were observed, but no histopathological brain abnormalities were detected. In the lungs, paraquat was localised to blood vessel walls, histiocytes and bronchiolar epithelial cells. </w:t>
      </w:r>
      <w:r w:rsidR="00A25C6D">
        <w:t>According to the study authors t</w:t>
      </w:r>
      <w:r>
        <w:t xml:space="preserve">he localisation of paraquat to bronchiolar epithelial cells appeared to be associated with secretion of paraquat into the bronchiole. In brain slices, paraquat was detected in capillary walls and glial cells, but not in nerve cells (Nagao </w:t>
      </w:r>
      <w:r w:rsidRPr="0058670C">
        <w:rPr>
          <w:i/>
        </w:rPr>
        <w:t>et al</w:t>
      </w:r>
      <w:r w:rsidR="00120920">
        <w:rPr>
          <w:i/>
        </w:rPr>
        <w:t>,</w:t>
      </w:r>
      <w:r>
        <w:t xml:space="preserve"> 1991).</w:t>
      </w:r>
    </w:p>
    <w:p w14:paraId="29551C98" w14:textId="77777777" w:rsidR="007B53B3" w:rsidRDefault="007B53B3" w:rsidP="0008427E"/>
    <w:p w14:paraId="4136C57E" w14:textId="77777777" w:rsidR="007B53B3" w:rsidRDefault="007B53B3" w:rsidP="0008427E">
      <w:r>
        <w:t>A series of studies investigated tissue distribution and elimination kinetics, regional brain distribution and neuropathological effects of paraquat in male rats following a single sc injection of 20 mg/kg bw (equivalent to 14.4 mg/kg bw paraquat cation). The highest concentrations of paraquat in the blood, brain, liver, and lungs were observed 30 minutes post-dose while the highest kidney levels were detected at one hour post-dose. With the exception of the lung, tissue paraquat levels declined rapidly over time. At 24 h post-dose, the highest paraquat concentration in the brain was detected in the forebrain while the lowest level was detected in the striatum. Relatively high concentrations of paraquat were found in brain regions which lack</w:t>
      </w:r>
      <w:r w:rsidR="00D72122">
        <w:t>,</w:t>
      </w:r>
      <w:r>
        <w:t xml:space="preserve"> or lie outside</w:t>
      </w:r>
      <w:r w:rsidR="00D72122">
        <w:t>,</w:t>
      </w:r>
      <w:r>
        <w:t xml:space="preserve"> the BBB such as the pineal gland, lining of the ventricles, anterior olfactory bulb, olfactory tubercle, area postrema of the medulla oblongata and hypothalamus. No evidence of any neuronal damage was observed in any part of the brain (Naylor </w:t>
      </w:r>
      <w:r w:rsidRPr="0058670C">
        <w:rPr>
          <w:i/>
        </w:rPr>
        <w:t>et al</w:t>
      </w:r>
      <w:r w:rsidR="00120920">
        <w:rPr>
          <w:i/>
        </w:rPr>
        <w:t>,</w:t>
      </w:r>
      <w:r>
        <w:t xml:space="preserve"> 1995).</w:t>
      </w:r>
    </w:p>
    <w:p w14:paraId="6D43372E" w14:textId="77777777" w:rsidR="007B53B3" w:rsidRDefault="007B53B3" w:rsidP="0008427E"/>
    <w:p w14:paraId="46A8D9B2" w14:textId="77777777" w:rsidR="007B53B3" w:rsidRDefault="007B53B3" w:rsidP="009E40A8">
      <w:r>
        <w:lastRenderedPageBreak/>
        <w:t xml:space="preserve">In a study to further investigate the penetration of the </w:t>
      </w:r>
      <w:r w:rsidR="00A25C6D">
        <w:t>BBB</w:t>
      </w:r>
      <w:r w:rsidR="00EF28F6">
        <w:t xml:space="preserve"> </w:t>
      </w:r>
      <w:r>
        <w:t xml:space="preserve">by systemic paraquat, </w:t>
      </w:r>
      <w:r w:rsidR="00794F11">
        <w:t>anaethetised</w:t>
      </w:r>
      <w:r>
        <w:t xml:space="preserve"> Rhesus macaques were subject to PET imaging of the brain following the administration of intravenous [</w:t>
      </w:r>
      <w:r w:rsidRPr="00C30056">
        <w:rPr>
          <w:vertAlign w:val="superscript"/>
        </w:rPr>
        <w:t>11</w:t>
      </w:r>
      <w:r>
        <w:t xml:space="preserve">C] paraquat.  The study found minimal paraquat uptake and retention in the whole primate brain, being weakly sequestered by the pineal gland and lateral ventricles, but not the </w:t>
      </w:r>
      <w:r w:rsidR="00A4092E">
        <w:t>DA</w:t>
      </w:r>
      <w:r>
        <w:t xml:space="preserve"> terminals of the caudate nucleus and putamen</w:t>
      </w:r>
      <w:r w:rsidR="00CC30D3">
        <w:t xml:space="preserve"> </w:t>
      </w:r>
      <w:r>
        <w:t xml:space="preserve">(Bartlett </w:t>
      </w:r>
      <w:r w:rsidRPr="00107F6E">
        <w:rPr>
          <w:i/>
        </w:rPr>
        <w:t>et al</w:t>
      </w:r>
      <w:r w:rsidR="00120920">
        <w:rPr>
          <w:i/>
        </w:rPr>
        <w:t>,</w:t>
      </w:r>
      <w:r>
        <w:rPr>
          <w:i/>
        </w:rPr>
        <w:t xml:space="preserve"> </w:t>
      </w:r>
      <w:r w:rsidR="00A25C6D">
        <w:t>2009</w:t>
      </w:r>
      <w:r>
        <w:t>).</w:t>
      </w:r>
    </w:p>
    <w:p w14:paraId="56B4506A" w14:textId="77777777" w:rsidR="007B53B3" w:rsidRDefault="007B53B3" w:rsidP="0008427E"/>
    <w:p w14:paraId="5E7DC8AC" w14:textId="77777777" w:rsidR="007B53B3" w:rsidRDefault="007B53B3" w:rsidP="0008427E">
      <w:r>
        <w:t xml:space="preserve">Experiments were performed to determine the extent of entry of a single median lethal dose of paraquat (20 mg/kg bw, sc; equivalent to 14.4 mg/kg bw paraquat cation) into the brain of neonatal, adult and aged rats. Paraquat entered the brain of all groups of rats of various ages in the absence of any neuronal damage. In contrast to adult and aged rats where brain paraquat levels fell over 24 h, paraquat levels in neonatal brains did not decrease over the study period and were significantly higher than adult and aged brains at 24 h post-dose. In all age groups, paraquat was initially located to regions outside the BBB (dorsal hypothalamus, area postrema, anterior olfactory bulb) but had moved into deeper brain regions by 24 h (striatum, hypothalamus and substantia). The elevation in paraquat uptake by neonatal brains was attributed to impaired BBB integrity (Widdowson </w:t>
      </w:r>
      <w:r w:rsidRPr="0058670C">
        <w:rPr>
          <w:i/>
        </w:rPr>
        <w:t>et al</w:t>
      </w:r>
      <w:r w:rsidR="00120920">
        <w:rPr>
          <w:i/>
        </w:rPr>
        <w:t>,</w:t>
      </w:r>
      <w:r>
        <w:t xml:space="preserve"> 1996a). </w:t>
      </w:r>
    </w:p>
    <w:p w14:paraId="1A886A58" w14:textId="77777777" w:rsidR="007B53B3" w:rsidRDefault="007B53B3" w:rsidP="0008427E"/>
    <w:p w14:paraId="7E646F1B" w14:textId="77777777" w:rsidR="007B53B3" w:rsidRDefault="007B53B3" w:rsidP="0008427E">
      <w:r>
        <w:t xml:space="preserve">Widdowson </w:t>
      </w:r>
      <w:r w:rsidRPr="00107F6E">
        <w:rPr>
          <w:i/>
        </w:rPr>
        <w:t>et al</w:t>
      </w:r>
      <w:r>
        <w:t xml:space="preserve"> (1996b) also demonstrated that paraquat can cross the </w:t>
      </w:r>
      <w:r w:rsidR="009E2A0B">
        <w:t>BBB</w:t>
      </w:r>
      <w:r>
        <w:t xml:space="preserve"> in a study where male rats </w:t>
      </w:r>
      <w:r>
        <w:rPr>
          <w:lang w:val="en-US"/>
        </w:rPr>
        <w:t>received oral gavage doses of 0 or 5 mg/kg bw/d paraquat ion. In this study, 24-h  following a single oral dose, levels of paraquat were highest in the lung, then the kidney, liver, brain and plasma, whereas following 14 daily oral doses the levels were highest in the lung, followed by the brain, kidney, liver and plasma. Levels in the brain were approximately 10-fold higher following repeated dosing as compared to a single dose, and only 2-4 fold higher in other tissues measured. Overall, this study demonstrated</w:t>
      </w:r>
      <w:r>
        <w:t xml:space="preserve"> no evidence of neurotoxicity when paraquat is administered by oral gavage to Wistar-derived rats at 5 mg/kg bw/d paraquat cation for 14 days, despite evidence that paraquat could enter the brain.</w:t>
      </w:r>
    </w:p>
    <w:p w14:paraId="6E076766" w14:textId="77777777" w:rsidR="007B53B3" w:rsidRDefault="007B53B3" w:rsidP="0008427E"/>
    <w:p w14:paraId="2D16B95B" w14:textId="77777777" w:rsidR="007B53B3" w:rsidRDefault="007B53B3" w:rsidP="0008427E">
      <w:r>
        <w:t xml:space="preserve">An </w:t>
      </w:r>
      <w:r>
        <w:rPr>
          <w:i/>
        </w:rPr>
        <w:t>in vivo</w:t>
      </w:r>
      <w:r>
        <w:t xml:space="preserve"> brain microdialysis technique was used to determine whether a single sc dose of paraquat at 5, 10 or 20 mg/kg bw (equivalent to 3.6, 7.2 and 14.4 mg/kg bw paraquat cation, respectively), or a single dose of MPP</w:t>
      </w:r>
      <w:r>
        <w:rPr>
          <w:vertAlign w:val="superscript"/>
        </w:rPr>
        <w:t>+</w:t>
      </w:r>
      <w:r>
        <w:t xml:space="preserve"> at 10 mg/kg bw, could penetrate the BBB in rats, and the possible mechanism of any uptake. Paraquat crossed the BBB in a dose-dependent manner which appeared to be mediated by a neutral amino acid transporter as </w:t>
      </w:r>
      <w:r w:rsidR="00794F11">
        <w:t>pre-treatment</w:t>
      </w:r>
      <w:r>
        <w:t xml:space="preserve"> with </w:t>
      </w:r>
      <w:r>
        <w:rPr>
          <w:sz w:val="20"/>
        </w:rPr>
        <w:t>L</w:t>
      </w:r>
      <w:r>
        <w:t xml:space="preserve">-valine (200 mg/kg bw, ip), but not </w:t>
      </w:r>
      <w:r>
        <w:rPr>
          <w:sz w:val="20"/>
        </w:rPr>
        <w:t>L</w:t>
      </w:r>
      <w:r>
        <w:t>-lysine (200 mg/kg bw, ip) significantly reduced uptake. Entry into striatal cells appeared to require Na</w:t>
      </w:r>
      <w:r>
        <w:rPr>
          <w:vertAlign w:val="superscript"/>
        </w:rPr>
        <w:t>+</w:t>
      </w:r>
      <w:r>
        <w:t xml:space="preserve">, but did not involve the polyamine transporter as 50 </w:t>
      </w:r>
      <w:r>
        <w:sym w:font="Symbol" w:char="F06D"/>
      </w:r>
      <w:r>
        <w:t xml:space="preserve">M putrescine did not block uptake (Shimizu </w:t>
      </w:r>
      <w:r w:rsidRPr="0058670C">
        <w:rPr>
          <w:i/>
        </w:rPr>
        <w:t>et al</w:t>
      </w:r>
      <w:r w:rsidR="00120920">
        <w:rPr>
          <w:i/>
        </w:rPr>
        <w:t>,</w:t>
      </w:r>
      <w:r>
        <w:t xml:space="preserve"> 2001)</w:t>
      </w:r>
      <w:r w:rsidR="0008427E">
        <w:t>.</w:t>
      </w:r>
    </w:p>
    <w:p w14:paraId="5BD190EE" w14:textId="77777777" w:rsidR="003E6B28" w:rsidRDefault="003E6B28" w:rsidP="0008427E"/>
    <w:p w14:paraId="11B1CF22" w14:textId="77777777" w:rsidR="003E6B28" w:rsidRDefault="003E6B28" w:rsidP="0008427E">
      <w:r>
        <w:t xml:space="preserve">The effect of age on the permeability of the BBB to paraquat was investigated in 2-week, 3-, 12- and 24-month old male rats. Rats sacrificed 1 h after sc dosing at 1, 2.5 and 5.0 mg/kg bw (equivalent to 0.72, 1.8 and 3.6 mg/kg bw paraquat cation) had a dose-related increase in brain paraquat levels across all age groups. Paraquat was confined to brain tissue and not located in the cerebral circulation. There was an equivocal effect of age on paraquat uptake with the 2-week and 24-month old rats showing an elevation in brain paraquat levels relative to 3-and 12-month old rats. This result </w:t>
      </w:r>
      <w:r w:rsidRPr="00073775">
        <w:t>was difficult to interpret</w:t>
      </w:r>
      <w:r>
        <w:t xml:space="preserve"> given the small group sizes and the absence of plasma paraquat levels to confirm changes in the integrity of the BBB (Corasaniti </w:t>
      </w:r>
      <w:r w:rsidRPr="0058670C">
        <w:rPr>
          <w:i/>
        </w:rPr>
        <w:t>et al</w:t>
      </w:r>
      <w:r w:rsidR="00120920">
        <w:rPr>
          <w:i/>
        </w:rPr>
        <w:t>,</w:t>
      </w:r>
      <w:r>
        <w:t xml:space="preserve"> 1991).</w:t>
      </w:r>
    </w:p>
    <w:p w14:paraId="6D640891" w14:textId="77777777" w:rsidR="00D54D9F" w:rsidRDefault="00D54D9F" w:rsidP="0008427E"/>
    <w:p w14:paraId="31A98BE0" w14:textId="77777777" w:rsidR="00D54D9F" w:rsidRDefault="00D54D9F" w:rsidP="00D54D9F">
      <w:pPr>
        <w:rPr>
          <w:szCs w:val="24"/>
        </w:rPr>
      </w:pPr>
      <w:r>
        <w:t xml:space="preserve">Rojo </w:t>
      </w:r>
      <w:r>
        <w:rPr>
          <w:i/>
        </w:rPr>
        <w:t>et al</w:t>
      </w:r>
      <w:r>
        <w:t xml:space="preserve"> (2007) studied the induction of Parkinson’s disease symptoms in mice and rats following the intranasal inoculation paraquat. A subset of this study assessed the presence of </w:t>
      </w:r>
      <w:r>
        <w:lastRenderedPageBreak/>
        <w:t>both paraquat and the positive control MPTP in the brain. Ten minutes following</w:t>
      </w:r>
      <w:r>
        <w:rPr>
          <w:iCs/>
          <w:color w:val="000000"/>
          <w:szCs w:val="24"/>
          <w:lang w:val="en-US"/>
        </w:rPr>
        <w:t xml:space="preserve"> a single intranasal  dose of 20 mg paraquat/kg bw, p</w:t>
      </w:r>
      <w:r>
        <w:rPr>
          <w:color w:val="000000"/>
          <w:szCs w:val="24"/>
          <w:lang w:val="en-US"/>
        </w:rPr>
        <w:t>araquat was only detected in the olfactory bulb (0.15 µg/g tissue) and not in the striatum or ventral mid-brain, suggesting tracking along the olfactory nerve at least in part, to reach the olfactory bulb. It appeared as though paraquat had a limited capacity to reach the nigrostriatal system in mice when the intranasal route of exposure is used. MPTP by contrast was detected in the olfactory bulb, striatum and SN. The same findings were made in rats subject to the same dosing methodology</w:t>
      </w:r>
      <w:r>
        <w:rPr>
          <w:iCs/>
          <w:color w:val="000000"/>
          <w:szCs w:val="24"/>
          <w:lang w:val="en-US"/>
        </w:rPr>
        <w:t>.</w:t>
      </w:r>
      <w:r>
        <w:rPr>
          <w:szCs w:val="24"/>
        </w:rPr>
        <w:t xml:space="preserve"> </w:t>
      </w:r>
    </w:p>
    <w:p w14:paraId="3DB3901A" w14:textId="77777777" w:rsidR="007B53B3" w:rsidRDefault="007B53B3" w:rsidP="009E40A8"/>
    <w:p w14:paraId="2CAC03BF" w14:textId="77777777" w:rsidR="00110E09" w:rsidRPr="00110E09" w:rsidRDefault="00AD66E6" w:rsidP="00385097">
      <w:pPr>
        <w:pStyle w:val="Heading2"/>
        <w:rPr>
          <w:lang w:eastAsia="en-US"/>
        </w:rPr>
      </w:pPr>
      <w:bookmarkStart w:id="54" w:name="_Toc459108300"/>
      <w:r>
        <w:rPr>
          <w:lang w:eastAsia="en-US"/>
        </w:rPr>
        <w:t xml:space="preserve">Neurotoxicity </w:t>
      </w:r>
      <w:r w:rsidR="00794F11">
        <w:rPr>
          <w:lang w:eastAsia="en-US"/>
        </w:rPr>
        <w:t>Mechanisms</w:t>
      </w:r>
      <w:bookmarkEnd w:id="54"/>
      <w:r w:rsidRPr="002B2CFC">
        <w:rPr>
          <w:lang w:eastAsia="en-US"/>
        </w:rPr>
        <w:t xml:space="preserve"> </w:t>
      </w:r>
    </w:p>
    <w:p w14:paraId="5E18891B" w14:textId="77777777" w:rsidR="007B53B3" w:rsidRDefault="007B53B3" w:rsidP="009E40A8">
      <w:pPr>
        <w:rPr>
          <w:lang w:val="en-US"/>
        </w:rPr>
      </w:pPr>
      <w:r>
        <w:rPr>
          <w:szCs w:val="24"/>
          <w:lang w:val="en-US"/>
        </w:rPr>
        <w:t xml:space="preserve">Miranda-Contreras </w:t>
      </w:r>
      <w:r w:rsidRPr="0058670C">
        <w:rPr>
          <w:i/>
          <w:szCs w:val="24"/>
          <w:lang w:val="en-US"/>
        </w:rPr>
        <w:t>et al</w:t>
      </w:r>
      <w:r>
        <w:rPr>
          <w:szCs w:val="24"/>
          <w:lang w:val="en-US"/>
        </w:rPr>
        <w:t xml:space="preserve"> (2005) studied the </w:t>
      </w:r>
      <w:r w:rsidRPr="005158BA">
        <w:rPr>
          <w:szCs w:val="24"/>
          <w:lang w:val="en-US"/>
        </w:rPr>
        <w:t xml:space="preserve">effects of prenatal exposure to </w:t>
      </w:r>
      <w:r>
        <w:rPr>
          <w:szCs w:val="24"/>
          <w:lang w:val="en-US"/>
        </w:rPr>
        <w:t xml:space="preserve">paraquat </w:t>
      </w:r>
      <w:r w:rsidRPr="005158BA">
        <w:rPr>
          <w:szCs w:val="24"/>
          <w:lang w:val="en-US"/>
        </w:rPr>
        <w:t>on the development of amino acid synaptic transmission in mouse cer</w:t>
      </w:r>
      <w:r>
        <w:rPr>
          <w:szCs w:val="24"/>
          <w:lang w:val="en-US"/>
        </w:rPr>
        <w:t>ebellar cortex.</w:t>
      </w:r>
      <w:r w:rsidRPr="002C39D6">
        <w:rPr>
          <w:szCs w:val="24"/>
          <w:lang w:val="en-US"/>
        </w:rPr>
        <w:t xml:space="preserve"> </w:t>
      </w:r>
      <w:r w:rsidR="00183F67">
        <w:rPr>
          <w:szCs w:val="24"/>
          <w:lang w:val="en-US"/>
        </w:rPr>
        <w:t>P</w:t>
      </w:r>
      <w:r w:rsidRPr="00176664">
        <w:rPr>
          <w:szCs w:val="24"/>
          <w:lang w:val="en-US"/>
        </w:rPr>
        <w:t xml:space="preserve">regnant (10 days gestation) NMRI mice </w:t>
      </w:r>
      <w:r>
        <w:rPr>
          <w:szCs w:val="24"/>
          <w:lang w:val="en-US"/>
        </w:rPr>
        <w:t>(</w:t>
      </w:r>
      <w:r w:rsidRPr="00176664">
        <w:rPr>
          <w:szCs w:val="24"/>
          <w:lang w:val="en-US"/>
        </w:rPr>
        <w:t xml:space="preserve">University of Los Andes, Merida, </w:t>
      </w:r>
      <w:r>
        <w:rPr>
          <w:szCs w:val="24"/>
          <w:lang w:val="en-US"/>
        </w:rPr>
        <w:t xml:space="preserve">Venezuela) </w:t>
      </w:r>
      <w:r w:rsidRPr="00FF3C6F">
        <w:rPr>
          <w:szCs w:val="24"/>
          <w:lang w:val="en-US"/>
        </w:rPr>
        <w:t>were randomly assigned into four treatment groups</w:t>
      </w:r>
      <w:r>
        <w:rPr>
          <w:szCs w:val="24"/>
          <w:lang w:val="en-US"/>
        </w:rPr>
        <w:t xml:space="preserve"> (40/group)</w:t>
      </w:r>
      <w:r w:rsidRPr="00FF3C6F">
        <w:rPr>
          <w:szCs w:val="24"/>
          <w:lang w:val="en-US"/>
        </w:rPr>
        <w:t xml:space="preserve">, which were administered with either saline, </w:t>
      </w:r>
      <w:r>
        <w:rPr>
          <w:szCs w:val="24"/>
          <w:lang w:val="en-US"/>
        </w:rPr>
        <w:t>paraquat</w:t>
      </w:r>
      <w:r w:rsidRPr="00FF3C6F">
        <w:rPr>
          <w:szCs w:val="24"/>
          <w:lang w:val="en-US"/>
        </w:rPr>
        <w:t xml:space="preserve">, </w:t>
      </w:r>
      <w:r>
        <w:rPr>
          <w:szCs w:val="24"/>
          <w:lang w:val="en-US"/>
        </w:rPr>
        <w:t>mancozeb</w:t>
      </w:r>
      <w:r w:rsidRPr="00FF3C6F">
        <w:rPr>
          <w:szCs w:val="24"/>
          <w:lang w:val="en-US"/>
        </w:rPr>
        <w:t xml:space="preserve"> or </w:t>
      </w:r>
      <w:r>
        <w:rPr>
          <w:szCs w:val="24"/>
          <w:lang w:val="en-US"/>
        </w:rPr>
        <w:t>a</w:t>
      </w:r>
      <w:r w:rsidRPr="00FF3C6F">
        <w:rPr>
          <w:szCs w:val="24"/>
          <w:lang w:val="en-US"/>
        </w:rPr>
        <w:t xml:space="preserve"> combination of </w:t>
      </w:r>
      <w:r>
        <w:rPr>
          <w:szCs w:val="24"/>
          <w:lang w:val="en-US"/>
        </w:rPr>
        <w:t xml:space="preserve">paraquat and mancozeb </w:t>
      </w:r>
      <w:r w:rsidRPr="00FF3C6F">
        <w:rPr>
          <w:szCs w:val="24"/>
          <w:lang w:val="en-US"/>
        </w:rPr>
        <w:t xml:space="preserve">between </w:t>
      </w:r>
      <w:r>
        <w:rPr>
          <w:szCs w:val="24"/>
          <w:lang w:val="en-US"/>
        </w:rPr>
        <w:t xml:space="preserve">gestation days 12 and 20 at </w:t>
      </w:r>
      <w:r w:rsidRPr="00FF3C6F">
        <w:rPr>
          <w:szCs w:val="24"/>
          <w:lang w:val="en-US"/>
        </w:rPr>
        <w:t>intervals of 48 h between each dose, in a t</w:t>
      </w:r>
      <w:r>
        <w:rPr>
          <w:szCs w:val="24"/>
          <w:lang w:val="en-US"/>
        </w:rPr>
        <w:t>otal of five doses. The</w:t>
      </w:r>
      <w:r w:rsidRPr="00FF3C6F">
        <w:rPr>
          <w:szCs w:val="24"/>
          <w:lang w:val="en-US"/>
        </w:rPr>
        <w:t xml:space="preserve"> dams were injected </w:t>
      </w:r>
      <w:r w:rsidR="00434F02">
        <w:rPr>
          <w:szCs w:val="24"/>
          <w:lang w:val="en-US"/>
        </w:rPr>
        <w:t xml:space="preserve">ip </w:t>
      </w:r>
      <w:r w:rsidRPr="00FF3C6F">
        <w:rPr>
          <w:szCs w:val="24"/>
          <w:lang w:val="en-US"/>
        </w:rPr>
        <w:t xml:space="preserve">with </w:t>
      </w:r>
      <w:r w:rsidR="00434F02" w:rsidRPr="00FF3C6F">
        <w:rPr>
          <w:szCs w:val="24"/>
          <w:lang w:val="en-US"/>
        </w:rPr>
        <w:t>either</w:t>
      </w:r>
      <w:r w:rsidR="00434F02">
        <w:rPr>
          <w:szCs w:val="24"/>
          <w:lang w:val="en-US"/>
        </w:rPr>
        <w:t xml:space="preserve"> the vehicle (</w:t>
      </w:r>
      <w:r w:rsidRPr="00FF3C6F">
        <w:rPr>
          <w:szCs w:val="24"/>
          <w:lang w:val="en-US"/>
        </w:rPr>
        <w:t>saline</w:t>
      </w:r>
      <w:r w:rsidR="00434F02">
        <w:rPr>
          <w:szCs w:val="24"/>
          <w:lang w:val="en-US"/>
        </w:rPr>
        <w:t>)</w:t>
      </w:r>
      <w:r w:rsidRPr="00FF3C6F">
        <w:rPr>
          <w:szCs w:val="24"/>
          <w:lang w:val="en-US"/>
        </w:rPr>
        <w:t xml:space="preserve">, </w:t>
      </w:r>
      <w:r>
        <w:rPr>
          <w:szCs w:val="24"/>
          <w:lang w:val="en-US"/>
        </w:rPr>
        <w:t>paraquat</w:t>
      </w:r>
      <w:r w:rsidRPr="00FF3C6F">
        <w:rPr>
          <w:szCs w:val="24"/>
          <w:lang w:val="en-US"/>
        </w:rPr>
        <w:t xml:space="preserve"> at a dose of 10 mg/kg</w:t>
      </w:r>
      <w:r>
        <w:rPr>
          <w:szCs w:val="24"/>
          <w:lang w:val="en-US"/>
        </w:rPr>
        <w:t xml:space="preserve"> bw</w:t>
      </w:r>
      <w:r w:rsidRPr="00FF3C6F">
        <w:rPr>
          <w:szCs w:val="24"/>
          <w:lang w:val="en-US"/>
        </w:rPr>
        <w:t xml:space="preserve">, </w:t>
      </w:r>
      <w:r>
        <w:rPr>
          <w:szCs w:val="24"/>
          <w:lang w:val="en-US"/>
        </w:rPr>
        <w:t xml:space="preserve">mancozeb </w:t>
      </w:r>
      <w:r w:rsidRPr="00FF3C6F">
        <w:rPr>
          <w:szCs w:val="24"/>
          <w:lang w:val="en-US"/>
        </w:rPr>
        <w:t xml:space="preserve">at a dose of 30 mg/kg </w:t>
      </w:r>
      <w:r>
        <w:rPr>
          <w:szCs w:val="24"/>
          <w:lang w:val="en-US"/>
        </w:rPr>
        <w:t xml:space="preserve">bw </w:t>
      </w:r>
      <w:r w:rsidRPr="00FF3C6F">
        <w:rPr>
          <w:szCs w:val="24"/>
          <w:lang w:val="en-US"/>
        </w:rPr>
        <w:t xml:space="preserve">or </w:t>
      </w:r>
      <w:r>
        <w:rPr>
          <w:szCs w:val="24"/>
          <w:lang w:val="en-US"/>
        </w:rPr>
        <w:t xml:space="preserve">a </w:t>
      </w:r>
      <w:r w:rsidRPr="00FF3C6F">
        <w:rPr>
          <w:szCs w:val="24"/>
          <w:lang w:val="en-US"/>
        </w:rPr>
        <w:t>combination of 10 mg/kg</w:t>
      </w:r>
      <w:r>
        <w:rPr>
          <w:szCs w:val="24"/>
          <w:lang w:val="en-US"/>
        </w:rPr>
        <w:t xml:space="preserve"> bw</w:t>
      </w:r>
      <w:r w:rsidRPr="00FF3C6F">
        <w:rPr>
          <w:szCs w:val="24"/>
          <w:lang w:val="en-US"/>
        </w:rPr>
        <w:t xml:space="preserve"> </w:t>
      </w:r>
      <w:r>
        <w:rPr>
          <w:szCs w:val="24"/>
          <w:lang w:val="en-US"/>
        </w:rPr>
        <w:t xml:space="preserve">paraquat and </w:t>
      </w:r>
      <w:r w:rsidRPr="00FF3C6F">
        <w:rPr>
          <w:szCs w:val="24"/>
          <w:lang w:val="en-US"/>
        </w:rPr>
        <w:t>30 mg/kg</w:t>
      </w:r>
      <w:r>
        <w:rPr>
          <w:szCs w:val="24"/>
          <w:lang w:val="en-US"/>
        </w:rPr>
        <w:t xml:space="preserve"> bw</w:t>
      </w:r>
      <w:r w:rsidRPr="00FF3C6F">
        <w:rPr>
          <w:szCs w:val="24"/>
          <w:lang w:val="en-US"/>
        </w:rPr>
        <w:t xml:space="preserve"> </w:t>
      </w:r>
      <w:r>
        <w:rPr>
          <w:szCs w:val="24"/>
          <w:lang w:val="en-US"/>
        </w:rPr>
        <w:t>mancozeb</w:t>
      </w:r>
      <w:r w:rsidRPr="00FF3C6F">
        <w:rPr>
          <w:szCs w:val="24"/>
          <w:lang w:val="en-US"/>
        </w:rPr>
        <w:t>.</w:t>
      </w:r>
      <w:r>
        <w:rPr>
          <w:szCs w:val="24"/>
          <w:lang w:val="en-US"/>
        </w:rPr>
        <w:t xml:space="preserve">. Only the results of paraquat treatment were considered here. </w:t>
      </w:r>
      <w:r w:rsidR="004377A2" w:rsidRPr="004377A2">
        <w:rPr>
          <w:szCs w:val="24"/>
          <w:lang w:val="en-US"/>
        </w:rPr>
        <w:t>Simultaneous assay</w:t>
      </w:r>
      <w:r w:rsidR="00F95139">
        <w:rPr>
          <w:szCs w:val="24"/>
          <w:lang w:val="en-US"/>
        </w:rPr>
        <w:t>s</w:t>
      </w:r>
      <w:r w:rsidR="004377A2" w:rsidRPr="004377A2">
        <w:rPr>
          <w:szCs w:val="24"/>
          <w:lang w:val="en-US"/>
        </w:rPr>
        <w:t xml:space="preserve"> of the neurotransmitter amino acids, glutamate, aspartate, glycine, taurine and GABA, were conducted using </w:t>
      </w:r>
      <w:r w:rsidR="00734E51">
        <w:rPr>
          <w:szCs w:val="24"/>
          <w:lang w:val="en-US"/>
        </w:rPr>
        <w:t>high performance liquid chromatography (</w:t>
      </w:r>
      <w:r w:rsidR="004377A2" w:rsidRPr="004377A2">
        <w:rPr>
          <w:szCs w:val="24"/>
          <w:lang w:val="en-US"/>
        </w:rPr>
        <w:t>HPLC</w:t>
      </w:r>
      <w:r w:rsidR="00734E51">
        <w:rPr>
          <w:szCs w:val="24"/>
          <w:lang w:val="en-US"/>
        </w:rPr>
        <w:t>)</w:t>
      </w:r>
      <w:r w:rsidR="004377A2" w:rsidRPr="004377A2">
        <w:rPr>
          <w:szCs w:val="24"/>
          <w:lang w:val="en-US"/>
        </w:rPr>
        <w:t xml:space="preserve"> </w:t>
      </w:r>
      <w:r w:rsidR="00F95139">
        <w:rPr>
          <w:szCs w:val="24"/>
          <w:lang w:val="en-US"/>
        </w:rPr>
        <w:t xml:space="preserve">to assess affects on </w:t>
      </w:r>
      <w:r w:rsidR="00F95139" w:rsidRPr="00F95139">
        <w:rPr>
          <w:szCs w:val="24"/>
          <w:lang w:val="en-US"/>
        </w:rPr>
        <w:t>cerebellar cortex synaptic circuitry</w:t>
      </w:r>
      <w:r w:rsidR="00F95139">
        <w:rPr>
          <w:szCs w:val="24"/>
          <w:lang w:val="en-US"/>
        </w:rPr>
        <w:t>.</w:t>
      </w:r>
      <w:r w:rsidR="00F95139" w:rsidRPr="00F95139">
        <w:rPr>
          <w:szCs w:val="24"/>
          <w:lang w:val="en-US"/>
        </w:rPr>
        <w:t xml:space="preserve"> </w:t>
      </w:r>
      <w:r>
        <w:rPr>
          <w:lang w:val="en-US"/>
        </w:rPr>
        <w:t>Significant</w:t>
      </w:r>
      <w:r w:rsidRPr="00F36651">
        <w:rPr>
          <w:lang w:val="en-US"/>
        </w:rPr>
        <w:t xml:space="preserve"> alterations </w:t>
      </w:r>
      <w:r w:rsidR="004377A2" w:rsidRPr="004377A2">
        <w:rPr>
          <w:lang w:val="en-US"/>
        </w:rPr>
        <w:t xml:space="preserve">in the normal chronology and magnitude of excitatory and inhibitory synaptic transmissions in the developing mouse cerebellar cortex </w:t>
      </w:r>
      <w:r w:rsidR="004377A2">
        <w:rPr>
          <w:lang w:val="en-US"/>
        </w:rPr>
        <w:t xml:space="preserve">caused </w:t>
      </w:r>
      <w:r w:rsidRPr="00F36651">
        <w:rPr>
          <w:lang w:val="en-US"/>
        </w:rPr>
        <w:t>by prenatal ex</w:t>
      </w:r>
      <w:r>
        <w:rPr>
          <w:lang w:val="en-US"/>
        </w:rPr>
        <w:t xml:space="preserve">posure </w:t>
      </w:r>
      <w:r w:rsidRPr="00F36651">
        <w:rPr>
          <w:lang w:val="en-US"/>
        </w:rPr>
        <w:t xml:space="preserve">of the </w:t>
      </w:r>
      <w:r>
        <w:rPr>
          <w:lang w:val="en-US"/>
        </w:rPr>
        <w:t>mice</w:t>
      </w:r>
      <w:r w:rsidRPr="00F36651">
        <w:rPr>
          <w:lang w:val="en-US"/>
        </w:rPr>
        <w:t xml:space="preserve"> to </w:t>
      </w:r>
      <w:r>
        <w:rPr>
          <w:lang w:val="en-US"/>
        </w:rPr>
        <w:t xml:space="preserve">paraquat were observed in this study. </w:t>
      </w:r>
      <w:r w:rsidR="00DB3E70">
        <w:rPr>
          <w:lang w:val="en-US"/>
        </w:rPr>
        <w:t xml:space="preserve">Additional details </w:t>
      </w:r>
      <w:r w:rsidR="00434F02">
        <w:rPr>
          <w:lang w:val="en-US"/>
        </w:rPr>
        <w:t xml:space="preserve">are </w:t>
      </w:r>
      <w:r w:rsidR="00DB3E70">
        <w:rPr>
          <w:lang w:val="en-US"/>
        </w:rPr>
        <w:t xml:space="preserve">presented in </w:t>
      </w:r>
      <w:r w:rsidR="00897462">
        <w:rPr>
          <w:lang w:val="en-US"/>
        </w:rPr>
        <w:fldChar w:fldCharType="begin"/>
      </w:r>
      <w:r w:rsidR="00DB3E70">
        <w:rPr>
          <w:lang w:val="en-US"/>
        </w:rPr>
        <w:instrText xml:space="preserve"> REF _Ref420929342 \r \h </w:instrText>
      </w:r>
      <w:r w:rsidR="00897462">
        <w:rPr>
          <w:lang w:val="en-US"/>
        </w:rPr>
      </w:r>
      <w:r w:rsidR="00897462">
        <w:rPr>
          <w:lang w:val="en-US"/>
        </w:rPr>
        <w:fldChar w:fldCharType="separate"/>
      </w:r>
      <w:r w:rsidR="000E54B2">
        <w:rPr>
          <w:lang w:val="en-US"/>
        </w:rPr>
        <w:t>APPENDIX I</w:t>
      </w:r>
      <w:r w:rsidR="00897462">
        <w:rPr>
          <w:lang w:val="en-US"/>
        </w:rPr>
        <w:fldChar w:fldCharType="end"/>
      </w:r>
      <w:r w:rsidR="00DB3E70">
        <w:rPr>
          <w:lang w:val="en-US"/>
        </w:rPr>
        <w:t>.</w:t>
      </w:r>
    </w:p>
    <w:p w14:paraId="6E50BF07" w14:textId="77777777" w:rsidR="007B53B3" w:rsidRDefault="007B53B3" w:rsidP="009E40A8">
      <w:pPr>
        <w:rPr>
          <w:lang w:val="en-US"/>
        </w:rPr>
      </w:pPr>
    </w:p>
    <w:p w14:paraId="2ABD50CD" w14:textId="4B4E307A" w:rsidR="007B53B3" w:rsidRDefault="007B53B3" w:rsidP="0008427E">
      <w:pPr>
        <w:rPr>
          <w:lang w:val="en-US"/>
        </w:rPr>
      </w:pPr>
      <w:r>
        <w:rPr>
          <w:lang w:val="en-US"/>
        </w:rPr>
        <w:t xml:space="preserve">Richardson </w:t>
      </w:r>
      <w:r w:rsidRPr="0058670C">
        <w:rPr>
          <w:i/>
          <w:lang w:val="en-US"/>
        </w:rPr>
        <w:t>et al</w:t>
      </w:r>
      <w:r>
        <w:rPr>
          <w:lang w:val="en-US"/>
        </w:rPr>
        <w:t xml:space="preserve"> (2005) examined the role of the DAT and Complex I in the toxicity of paraquat</w:t>
      </w:r>
      <w:r w:rsidR="00434F02">
        <w:rPr>
          <w:lang w:val="en-US"/>
        </w:rPr>
        <w:t xml:space="preserve"> in </w:t>
      </w:r>
      <w:r w:rsidR="00897462" w:rsidRPr="00D43CEC">
        <w:rPr>
          <w:i/>
          <w:lang w:val="en-US"/>
        </w:rPr>
        <w:t>in vitro</w:t>
      </w:r>
      <w:r w:rsidR="00434F02">
        <w:rPr>
          <w:lang w:val="en-US"/>
        </w:rPr>
        <w:t xml:space="preserve"> and </w:t>
      </w:r>
      <w:r w:rsidR="00897462" w:rsidRPr="00D43CEC">
        <w:rPr>
          <w:i/>
          <w:lang w:val="en-US"/>
        </w:rPr>
        <w:t>in vivo</w:t>
      </w:r>
      <w:r w:rsidR="00434F02">
        <w:rPr>
          <w:lang w:val="en-US"/>
        </w:rPr>
        <w:t xml:space="preserve"> studies, respectively</w:t>
      </w:r>
      <w:r>
        <w:rPr>
          <w:lang w:val="en-US"/>
        </w:rPr>
        <w:t xml:space="preserve">. </w:t>
      </w:r>
      <w:r w:rsidR="00F8476C">
        <w:rPr>
          <w:lang w:val="en-US"/>
        </w:rPr>
        <w:t>It was concluded that the</w:t>
      </w:r>
      <w:r>
        <w:rPr>
          <w:lang w:val="en-US"/>
        </w:rPr>
        <w:t xml:space="preserve"> </w:t>
      </w:r>
      <w:r w:rsidR="00930584">
        <w:rPr>
          <w:lang w:val="en-US"/>
        </w:rPr>
        <w:t xml:space="preserve">toxicological </w:t>
      </w:r>
      <w:r w:rsidR="00F95139">
        <w:rPr>
          <w:lang w:val="en-US"/>
        </w:rPr>
        <w:t xml:space="preserve">effects </w:t>
      </w:r>
      <w:r>
        <w:rPr>
          <w:lang w:val="en-US"/>
        </w:rPr>
        <w:t xml:space="preserve">of paraquat are not the result of transport by DAT or complex I inhibition. </w:t>
      </w:r>
    </w:p>
    <w:p w14:paraId="3BD1999F" w14:textId="77777777" w:rsidR="007B53B3" w:rsidRDefault="007B53B3" w:rsidP="0008427E">
      <w:pPr>
        <w:rPr>
          <w:lang w:val="en-US"/>
        </w:rPr>
      </w:pPr>
    </w:p>
    <w:p w14:paraId="72FF37BC" w14:textId="77777777" w:rsidR="007B53B3" w:rsidRDefault="007B53B3" w:rsidP="009E40A8">
      <w:pPr>
        <w:rPr>
          <w:szCs w:val="24"/>
          <w:lang w:val="en-US"/>
        </w:rPr>
      </w:pPr>
      <w:r>
        <w:rPr>
          <w:szCs w:val="24"/>
          <w:lang w:val="en-US"/>
        </w:rPr>
        <w:t xml:space="preserve">Castello </w:t>
      </w:r>
      <w:r w:rsidRPr="0058670C">
        <w:rPr>
          <w:i/>
          <w:szCs w:val="24"/>
          <w:lang w:val="en-US"/>
        </w:rPr>
        <w:t>et al</w:t>
      </w:r>
      <w:r>
        <w:rPr>
          <w:szCs w:val="24"/>
          <w:lang w:val="en-US"/>
        </w:rPr>
        <w:t xml:space="preserve"> (2007)</w:t>
      </w:r>
      <w:r w:rsidRPr="00E7278E">
        <w:rPr>
          <w:szCs w:val="24"/>
          <w:lang w:val="en-US"/>
        </w:rPr>
        <w:t xml:space="preserve"> </w:t>
      </w:r>
      <w:r>
        <w:rPr>
          <w:szCs w:val="24"/>
          <w:lang w:val="en-US"/>
        </w:rPr>
        <w:t xml:space="preserve">showed the </w:t>
      </w:r>
      <w:r w:rsidRPr="00E7278E">
        <w:rPr>
          <w:szCs w:val="24"/>
          <w:lang w:val="en-US"/>
        </w:rPr>
        <w:t>involvement of brain mitochondria in PQ</w:t>
      </w:r>
      <w:r w:rsidRPr="00E7278E">
        <w:rPr>
          <w:szCs w:val="24"/>
          <w:vertAlign w:val="superscript"/>
          <w:lang w:val="en-US"/>
        </w:rPr>
        <w:t>2+</w:t>
      </w:r>
      <w:r w:rsidRPr="00E7278E">
        <w:rPr>
          <w:szCs w:val="24"/>
          <w:lang w:val="en-US"/>
        </w:rPr>
        <w:t>-induced ROS production</w:t>
      </w:r>
      <w:r w:rsidR="00D54D9F">
        <w:rPr>
          <w:szCs w:val="24"/>
          <w:lang w:val="en-US"/>
        </w:rPr>
        <w:t xml:space="preserve"> in an </w:t>
      </w:r>
      <w:r w:rsidR="00897462" w:rsidRPr="00D43CEC">
        <w:rPr>
          <w:i/>
          <w:szCs w:val="24"/>
          <w:lang w:val="en-US"/>
        </w:rPr>
        <w:t>in vitro</w:t>
      </w:r>
      <w:r w:rsidR="00D54D9F">
        <w:rPr>
          <w:szCs w:val="24"/>
          <w:lang w:val="en-US"/>
        </w:rPr>
        <w:t xml:space="preserve"> study</w:t>
      </w:r>
      <w:r w:rsidRPr="00E7278E">
        <w:rPr>
          <w:szCs w:val="24"/>
          <w:lang w:val="en-US"/>
        </w:rPr>
        <w:t xml:space="preserve">. </w:t>
      </w:r>
      <w:r>
        <w:rPr>
          <w:szCs w:val="24"/>
          <w:lang w:val="en-US"/>
        </w:rPr>
        <w:t xml:space="preserve">There was a </w:t>
      </w:r>
      <w:r w:rsidRPr="008F0501">
        <w:rPr>
          <w:szCs w:val="24"/>
          <w:lang w:val="en-US"/>
        </w:rPr>
        <w:t xml:space="preserve">robust and instantaneous production of </w:t>
      </w:r>
      <w:r>
        <w:rPr>
          <w:szCs w:val="24"/>
          <w:lang w:val="en-US"/>
        </w:rPr>
        <w:t>H</w:t>
      </w:r>
      <w:r>
        <w:rPr>
          <w:szCs w:val="24"/>
          <w:vertAlign w:val="subscript"/>
          <w:lang w:val="en-US"/>
        </w:rPr>
        <w:t>2</w:t>
      </w:r>
      <w:r>
        <w:rPr>
          <w:szCs w:val="24"/>
          <w:lang w:val="en-US"/>
        </w:rPr>
        <w:t>O</w:t>
      </w:r>
      <w:r>
        <w:rPr>
          <w:szCs w:val="24"/>
          <w:vertAlign w:val="subscript"/>
          <w:lang w:val="en-US"/>
        </w:rPr>
        <w:t>2</w:t>
      </w:r>
      <w:r w:rsidRPr="008F0501">
        <w:rPr>
          <w:szCs w:val="24"/>
          <w:lang w:val="en-US"/>
        </w:rPr>
        <w:t xml:space="preserve"> by mitochondria after exposure to PQ</w:t>
      </w:r>
      <w:r w:rsidRPr="008F0501">
        <w:rPr>
          <w:szCs w:val="24"/>
          <w:vertAlign w:val="superscript"/>
          <w:lang w:val="en-US"/>
        </w:rPr>
        <w:t>2+</w:t>
      </w:r>
      <w:r w:rsidRPr="008F0501">
        <w:rPr>
          <w:szCs w:val="24"/>
          <w:lang w:val="en-US"/>
        </w:rPr>
        <w:t xml:space="preserve">. </w:t>
      </w:r>
      <w:r w:rsidRPr="00C87370">
        <w:rPr>
          <w:szCs w:val="24"/>
          <w:lang w:val="en-US"/>
        </w:rPr>
        <w:t>PQ</w:t>
      </w:r>
      <w:r w:rsidRPr="00C87370">
        <w:rPr>
          <w:szCs w:val="24"/>
          <w:vertAlign w:val="superscript"/>
          <w:lang w:val="en-US"/>
        </w:rPr>
        <w:t>2+</w:t>
      </w:r>
      <w:r w:rsidRPr="00C87370">
        <w:rPr>
          <w:szCs w:val="24"/>
          <w:lang w:val="en-US"/>
        </w:rPr>
        <w:t xml:space="preserve"> -induced H</w:t>
      </w:r>
      <w:r w:rsidRPr="00C87370">
        <w:rPr>
          <w:szCs w:val="24"/>
          <w:vertAlign w:val="subscript"/>
          <w:lang w:val="en-US"/>
        </w:rPr>
        <w:t>2</w:t>
      </w:r>
      <w:r w:rsidRPr="00C87370">
        <w:rPr>
          <w:szCs w:val="24"/>
          <w:lang w:val="en-US"/>
        </w:rPr>
        <w:t>O</w:t>
      </w:r>
      <w:r>
        <w:rPr>
          <w:szCs w:val="24"/>
          <w:vertAlign w:val="subscript"/>
          <w:lang w:val="en-US"/>
        </w:rPr>
        <w:t>2</w:t>
      </w:r>
      <w:r w:rsidRPr="00C87370">
        <w:rPr>
          <w:szCs w:val="24"/>
          <w:lang w:val="en-US"/>
        </w:rPr>
        <w:t xml:space="preserve"> production by brain mitochondria is dependent on a constant electron flow provided by respiration substrates and a functional ETC. With the use of specific inhibitors of the ETC, complex </w:t>
      </w:r>
      <w:r>
        <w:rPr>
          <w:szCs w:val="24"/>
          <w:lang w:val="en-US"/>
        </w:rPr>
        <w:t>III</w:t>
      </w:r>
      <w:r w:rsidRPr="00C87370">
        <w:rPr>
          <w:szCs w:val="24"/>
          <w:lang w:val="en-US"/>
        </w:rPr>
        <w:t xml:space="preserve"> has been identified as a novel site of action for PQ</w:t>
      </w:r>
      <w:r>
        <w:rPr>
          <w:szCs w:val="24"/>
          <w:vertAlign w:val="superscript"/>
          <w:lang w:val="en-US"/>
        </w:rPr>
        <w:t>2+</w:t>
      </w:r>
      <w:r>
        <w:rPr>
          <w:szCs w:val="24"/>
          <w:lang w:val="en-US"/>
        </w:rPr>
        <w:t xml:space="preserve"> </w:t>
      </w:r>
      <w:r w:rsidRPr="00C87370">
        <w:rPr>
          <w:szCs w:val="24"/>
          <w:lang w:val="en-US"/>
        </w:rPr>
        <w:t xml:space="preserve">in the process of redox cycling to generate ROS. </w:t>
      </w:r>
      <w:r>
        <w:rPr>
          <w:szCs w:val="24"/>
          <w:lang w:val="en-US"/>
        </w:rPr>
        <w:t xml:space="preserve">Further, </w:t>
      </w:r>
      <w:r w:rsidRPr="00C87370">
        <w:rPr>
          <w:szCs w:val="24"/>
          <w:lang w:val="en-US"/>
        </w:rPr>
        <w:t>the mechanism of induced ROS production is dependent on mitochondrial membrane potential.</w:t>
      </w:r>
      <w:r>
        <w:rPr>
          <w:szCs w:val="24"/>
          <w:lang w:val="en-US"/>
        </w:rPr>
        <w:t xml:space="preserve"> It was proposed </w:t>
      </w:r>
      <w:r w:rsidRPr="008F0501">
        <w:rPr>
          <w:szCs w:val="24"/>
          <w:lang w:val="en-US"/>
        </w:rPr>
        <w:t>that mitochondria</w:t>
      </w:r>
      <w:r>
        <w:rPr>
          <w:szCs w:val="24"/>
          <w:lang w:val="en-US"/>
        </w:rPr>
        <w:t>l H</w:t>
      </w:r>
      <w:r w:rsidRPr="00791E4D">
        <w:rPr>
          <w:szCs w:val="24"/>
          <w:vertAlign w:val="subscript"/>
          <w:lang w:val="en-US"/>
        </w:rPr>
        <w:t>2</w:t>
      </w:r>
      <w:r>
        <w:rPr>
          <w:szCs w:val="24"/>
          <w:lang w:val="en-US"/>
        </w:rPr>
        <w:t>O</w:t>
      </w:r>
      <w:r w:rsidRPr="00791E4D">
        <w:rPr>
          <w:szCs w:val="24"/>
          <w:vertAlign w:val="subscript"/>
          <w:lang w:val="en-US"/>
        </w:rPr>
        <w:t>2</w:t>
      </w:r>
      <w:r>
        <w:rPr>
          <w:szCs w:val="24"/>
          <w:lang w:val="en-US"/>
        </w:rPr>
        <w:t xml:space="preserve"> </w:t>
      </w:r>
      <w:r w:rsidRPr="008F0501">
        <w:rPr>
          <w:szCs w:val="24"/>
          <w:lang w:val="en-US"/>
        </w:rPr>
        <w:t>production induced by PQ</w:t>
      </w:r>
      <w:r w:rsidRPr="008F0501">
        <w:rPr>
          <w:szCs w:val="24"/>
          <w:vertAlign w:val="superscript"/>
          <w:lang w:val="en-US"/>
        </w:rPr>
        <w:t>2+</w:t>
      </w:r>
      <w:r w:rsidRPr="008F0501">
        <w:rPr>
          <w:szCs w:val="24"/>
          <w:lang w:val="en-US"/>
        </w:rPr>
        <w:t xml:space="preserve"> in the brain is an early event that may </w:t>
      </w:r>
      <w:r>
        <w:rPr>
          <w:szCs w:val="24"/>
          <w:lang w:val="en-US"/>
        </w:rPr>
        <w:t>later</w:t>
      </w:r>
      <w:r w:rsidRPr="008F0501">
        <w:rPr>
          <w:szCs w:val="24"/>
          <w:lang w:val="en-US"/>
        </w:rPr>
        <w:t xml:space="preserve"> initiate other cellular events, such as nonspecific ETC inactivation, microgliosis, and NADPH oxidase activation. </w:t>
      </w:r>
    </w:p>
    <w:p w14:paraId="440A125F" w14:textId="77777777" w:rsidR="00C32D83" w:rsidRDefault="00C32D83" w:rsidP="009E40A8">
      <w:pPr>
        <w:rPr>
          <w:szCs w:val="24"/>
          <w:lang w:val="en-US"/>
        </w:rPr>
      </w:pPr>
    </w:p>
    <w:p w14:paraId="516F8FB7" w14:textId="5025E1EE" w:rsidR="00C32D83" w:rsidRDefault="00C32D83" w:rsidP="00C32D83">
      <w:pPr>
        <w:rPr>
          <w:lang w:val="en-US"/>
        </w:rPr>
      </w:pPr>
      <w:r w:rsidRPr="009E40A8">
        <w:rPr>
          <w:lang w:val="en-US"/>
        </w:rPr>
        <w:t xml:space="preserve">Cicchetti </w:t>
      </w:r>
      <w:r w:rsidRPr="009E40A8">
        <w:rPr>
          <w:i/>
          <w:lang w:val="en-US"/>
        </w:rPr>
        <w:t>et al</w:t>
      </w:r>
      <w:r w:rsidRPr="009E40A8">
        <w:rPr>
          <w:lang w:val="en-US"/>
        </w:rPr>
        <w:t xml:space="preserve"> (2005) provided evidence that paraquat alone and in combination with maneb is toxic to dopaminergic neurons of eight week old male Sprague Dawley rats both </w:t>
      </w:r>
      <w:r w:rsidRPr="009E40A8">
        <w:rPr>
          <w:i/>
          <w:lang w:val="en-US"/>
        </w:rPr>
        <w:t>in</w:t>
      </w:r>
      <w:r w:rsidRPr="009E40A8">
        <w:rPr>
          <w:lang w:val="en-US"/>
        </w:rPr>
        <w:t xml:space="preserve"> </w:t>
      </w:r>
      <w:r w:rsidRPr="009E40A8">
        <w:rPr>
          <w:i/>
          <w:lang w:val="en-US"/>
        </w:rPr>
        <w:t>vitro</w:t>
      </w:r>
      <w:r w:rsidRPr="009E40A8">
        <w:rPr>
          <w:lang w:val="en-US"/>
        </w:rPr>
        <w:t xml:space="preserve"> and </w:t>
      </w:r>
      <w:r w:rsidRPr="009E40A8">
        <w:rPr>
          <w:i/>
          <w:lang w:val="en-US"/>
        </w:rPr>
        <w:t>in vivo</w:t>
      </w:r>
      <w:r w:rsidRPr="009E40A8">
        <w:rPr>
          <w:lang w:val="en-US"/>
        </w:rPr>
        <w:t xml:space="preserve"> and that the combination leads to Parkinson-like movement deficits. The rats were injected ip twice a week for four weeks with 10 mg/kg bw paraquat dichloride hydrate </w:t>
      </w:r>
      <w:r w:rsidR="00BF00F5">
        <w:rPr>
          <w:lang w:val="en-US"/>
        </w:rPr>
        <w:t xml:space="preserve">(7.2 mg paraquat ion/kg bw) </w:t>
      </w:r>
      <w:r w:rsidRPr="009E40A8">
        <w:rPr>
          <w:lang w:val="en-US"/>
        </w:rPr>
        <w:t xml:space="preserve">or a combination of paraquat and maneb at 10 mg/kg bw and 30 mg/kg bw respectively. </w:t>
      </w:r>
      <w:r w:rsidR="00E875E0">
        <w:rPr>
          <w:lang w:val="en-US"/>
        </w:rPr>
        <w:t xml:space="preserve">There was no significant evidence that paraquat </w:t>
      </w:r>
      <w:r w:rsidR="00DB3E70">
        <w:rPr>
          <w:lang w:val="en-US"/>
        </w:rPr>
        <w:t xml:space="preserve">alone </w:t>
      </w:r>
      <w:r w:rsidR="00E875E0">
        <w:rPr>
          <w:lang w:val="en-US"/>
        </w:rPr>
        <w:t>induced Parkinson’s like movements in rats.</w:t>
      </w:r>
      <w:r w:rsidR="002F03FC">
        <w:rPr>
          <w:lang w:val="en-US"/>
        </w:rPr>
        <w:t xml:space="preserve"> </w:t>
      </w:r>
      <w:r w:rsidR="00DB3E70">
        <w:rPr>
          <w:lang w:val="en-US"/>
        </w:rPr>
        <w:t xml:space="preserve">Activation of microglia in the SN pc of animals with a significant </w:t>
      </w:r>
      <w:r w:rsidR="00DB3E70">
        <w:rPr>
          <w:lang w:val="en-US"/>
        </w:rPr>
        <w:lastRenderedPageBreak/>
        <w:t xml:space="preserve">decreases in TH-ir cells </w:t>
      </w:r>
      <w:r w:rsidR="00BF00F5">
        <w:rPr>
          <w:lang w:val="en-US"/>
        </w:rPr>
        <w:t>was</w:t>
      </w:r>
      <w:r w:rsidR="00DB3E70">
        <w:rPr>
          <w:lang w:val="en-US"/>
        </w:rPr>
        <w:t xml:space="preserve"> indicative of inflammation in the area, however the role of inflammation in the overall process is unknown. Additi</w:t>
      </w:r>
      <w:r w:rsidR="002F03FC">
        <w:rPr>
          <w:lang w:val="en-US"/>
        </w:rPr>
        <w:t xml:space="preserve">onal detail is presented in </w:t>
      </w:r>
      <w:r w:rsidR="00897462">
        <w:rPr>
          <w:lang w:val="en-US"/>
        </w:rPr>
        <w:fldChar w:fldCharType="begin"/>
      </w:r>
      <w:r w:rsidR="00DB3E70">
        <w:rPr>
          <w:lang w:val="en-US"/>
        </w:rPr>
        <w:instrText xml:space="preserve"> REF _Ref420929342 \r \h </w:instrText>
      </w:r>
      <w:r w:rsidR="00897462">
        <w:rPr>
          <w:lang w:val="en-US"/>
        </w:rPr>
      </w:r>
      <w:r w:rsidR="00897462">
        <w:rPr>
          <w:lang w:val="en-US"/>
        </w:rPr>
        <w:fldChar w:fldCharType="separate"/>
      </w:r>
      <w:r w:rsidR="000E54B2">
        <w:rPr>
          <w:lang w:val="en-US"/>
        </w:rPr>
        <w:t>APPENDIX I</w:t>
      </w:r>
      <w:r w:rsidR="00897462">
        <w:rPr>
          <w:lang w:val="en-US"/>
        </w:rPr>
        <w:fldChar w:fldCharType="end"/>
      </w:r>
      <w:r w:rsidR="002F03FC">
        <w:rPr>
          <w:lang w:val="en-US"/>
        </w:rPr>
        <w:t>.</w:t>
      </w:r>
    </w:p>
    <w:p w14:paraId="3FE94B14" w14:textId="77777777" w:rsidR="007B53B3" w:rsidRDefault="007B53B3" w:rsidP="009E40A8">
      <w:pPr>
        <w:rPr>
          <w:szCs w:val="24"/>
          <w:lang w:val="en-US"/>
        </w:rPr>
      </w:pPr>
    </w:p>
    <w:p w14:paraId="73F211CF" w14:textId="77777777" w:rsidR="007B53B3" w:rsidRDefault="007B53B3" w:rsidP="0008427E">
      <w:pPr>
        <w:rPr>
          <w:spacing w:val="4"/>
          <w:szCs w:val="24"/>
        </w:rPr>
      </w:pPr>
      <w:r>
        <w:rPr>
          <w:color w:val="000000"/>
        </w:rPr>
        <w:t xml:space="preserve">Ramachandiran </w:t>
      </w:r>
      <w:r w:rsidRPr="0058670C">
        <w:rPr>
          <w:i/>
          <w:color w:val="000000"/>
        </w:rPr>
        <w:t>et al</w:t>
      </w:r>
      <w:r>
        <w:rPr>
          <w:color w:val="000000"/>
        </w:rPr>
        <w:t xml:space="preserve"> (2007) studied the molecular mechanism of paraquat toxicity</w:t>
      </w:r>
      <w:r w:rsidR="00DB3E70">
        <w:rPr>
          <w:color w:val="000000"/>
        </w:rPr>
        <w:t xml:space="preserve"> in an </w:t>
      </w:r>
      <w:r w:rsidR="00897462" w:rsidRPr="00D43CEC">
        <w:rPr>
          <w:i/>
          <w:color w:val="000000"/>
        </w:rPr>
        <w:t>in vitro</w:t>
      </w:r>
      <w:r w:rsidR="00DB3E70">
        <w:rPr>
          <w:color w:val="000000"/>
        </w:rPr>
        <w:t xml:space="preserve"> study</w:t>
      </w:r>
      <w:r>
        <w:rPr>
          <w:color w:val="000000"/>
        </w:rPr>
        <w:t xml:space="preserve">. </w:t>
      </w:r>
      <w:r>
        <w:rPr>
          <w:szCs w:val="24"/>
        </w:rPr>
        <w:t>P</w:t>
      </w:r>
      <w:r>
        <w:rPr>
          <w:spacing w:val="5"/>
          <w:szCs w:val="24"/>
        </w:rPr>
        <w:t xml:space="preserve">araquat specifically oxidized the cytosolic form of thioredoxin </w:t>
      </w:r>
      <w:r>
        <w:rPr>
          <w:spacing w:val="-1"/>
          <w:szCs w:val="24"/>
        </w:rPr>
        <w:t>and activated Jun N-terminal kinase (JNK), followed by caspase-3 activation. Conversely, 1-methyl-4-phenylpyridinium (MPP</w:t>
      </w:r>
      <w:r>
        <w:rPr>
          <w:spacing w:val="-1"/>
          <w:w w:val="125"/>
          <w:szCs w:val="24"/>
          <w:vertAlign w:val="superscript"/>
        </w:rPr>
        <w:t>+</w:t>
      </w:r>
      <w:r>
        <w:rPr>
          <w:spacing w:val="-1"/>
          <w:szCs w:val="24"/>
        </w:rPr>
        <w:t xml:space="preserve">) and </w:t>
      </w:r>
      <w:r>
        <w:rPr>
          <w:spacing w:val="4"/>
          <w:szCs w:val="24"/>
        </w:rPr>
        <w:t xml:space="preserve">rotenone oxidized the mitochondrial form of thioredoxin but did </w:t>
      </w:r>
      <w:r>
        <w:rPr>
          <w:szCs w:val="24"/>
        </w:rPr>
        <w:t xml:space="preserve">not activate JNK-mitogen-activated protein kinase and caspase-3. </w:t>
      </w:r>
      <w:r>
        <w:rPr>
          <w:spacing w:val="3"/>
          <w:szCs w:val="24"/>
        </w:rPr>
        <w:t>Oxi</w:t>
      </w:r>
      <w:r>
        <w:rPr>
          <w:spacing w:val="4"/>
          <w:szCs w:val="24"/>
        </w:rPr>
        <w:t xml:space="preserve">dative modification of cytosolic proteins is critical to paraquat </w:t>
      </w:r>
      <w:r>
        <w:rPr>
          <w:szCs w:val="24"/>
        </w:rPr>
        <w:t xml:space="preserve">toxicity, while oxidation of mitochondrial proteins is important for </w:t>
      </w:r>
      <w:r>
        <w:rPr>
          <w:spacing w:val="3"/>
          <w:szCs w:val="24"/>
        </w:rPr>
        <w:t>MPP</w:t>
      </w:r>
      <w:r>
        <w:rPr>
          <w:spacing w:val="3"/>
          <w:w w:val="125"/>
          <w:szCs w:val="24"/>
          <w:vertAlign w:val="superscript"/>
        </w:rPr>
        <w:t>+</w:t>
      </w:r>
      <w:r>
        <w:rPr>
          <w:spacing w:val="3"/>
          <w:szCs w:val="24"/>
        </w:rPr>
        <w:t xml:space="preserve"> and rotenone toxicity. </w:t>
      </w:r>
    </w:p>
    <w:p w14:paraId="28A22058" w14:textId="77777777" w:rsidR="007B53B3" w:rsidRDefault="007B53B3" w:rsidP="009E40A8">
      <w:pPr>
        <w:rPr>
          <w:szCs w:val="24"/>
        </w:rPr>
      </w:pPr>
    </w:p>
    <w:p w14:paraId="6EBFAA68" w14:textId="77777777" w:rsidR="007B53B3" w:rsidRDefault="007B53B3" w:rsidP="009E40A8">
      <w:pPr>
        <w:rPr>
          <w:szCs w:val="24"/>
        </w:rPr>
      </w:pPr>
      <w:r>
        <w:rPr>
          <w:szCs w:val="24"/>
          <w:lang w:val="en-US"/>
        </w:rPr>
        <w:t xml:space="preserve">Choi </w:t>
      </w:r>
      <w:r w:rsidRPr="0058670C">
        <w:rPr>
          <w:i/>
          <w:szCs w:val="24"/>
          <w:lang w:val="en-US"/>
        </w:rPr>
        <w:t>et al</w:t>
      </w:r>
      <w:r>
        <w:rPr>
          <w:szCs w:val="24"/>
          <w:lang w:val="en-US"/>
        </w:rPr>
        <w:t xml:space="preserve"> (2008)</w:t>
      </w:r>
      <w:r>
        <w:rPr>
          <w:szCs w:val="24"/>
        </w:rPr>
        <w:t xml:space="preserve"> tested the hypothesis of the inhibition of mitochondrial complex I being one of the leading hypotheses for dopaminergic neuron death associated with Parkinson's disease. They used a mouse strain lacking functional Ndufs4, a gene encoding a subunit required for complete assembly and function of complex I. They determined that dopaminergic neuron death induced by treatment with rotenone, </w:t>
      </w:r>
      <w:r w:rsidR="00794F11">
        <w:rPr>
          <w:szCs w:val="24"/>
        </w:rPr>
        <w:t>MPP (</w:t>
      </w:r>
      <w:r>
        <w:rPr>
          <w:szCs w:val="24"/>
        </w:rPr>
        <w:t>+), or paraquat is independent of complex I inhibition.</w:t>
      </w:r>
    </w:p>
    <w:p w14:paraId="49F93AD6" w14:textId="77777777" w:rsidR="007B53B3" w:rsidRDefault="007B53B3" w:rsidP="009E40A8">
      <w:pPr>
        <w:rPr>
          <w:szCs w:val="24"/>
        </w:rPr>
      </w:pPr>
    </w:p>
    <w:p w14:paraId="795302AC" w14:textId="77777777" w:rsidR="007B53B3" w:rsidRDefault="007B53B3" w:rsidP="0008427E">
      <w:pPr>
        <w:rPr>
          <w:szCs w:val="24"/>
          <w:lang w:val="en-US"/>
        </w:rPr>
      </w:pPr>
      <w:r w:rsidRPr="00EA3539">
        <w:t xml:space="preserve">Fei </w:t>
      </w:r>
      <w:r w:rsidRPr="00EA3539">
        <w:rPr>
          <w:i/>
        </w:rPr>
        <w:t>et al</w:t>
      </w:r>
      <w:r w:rsidRPr="00EA3539">
        <w:t xml:space="preserve"> (</w:t>
      </w:r>
      <w:r>
        <w:t>2008) identified a</w:t>
      </w:r>
      <w:r w:rsidRPr="00E27C06">
        <w:rPr>
          <w:szCs w:val="24"/>
          <w:lang w:val="en-US"/>
        </w:rPr>
        <w:t xml:space="preserve"> B</w:t>
      </w:r>
      <w:r w:rsidR="00E875E0">
        <w:rPr>
          <w:szCs w:val="24"/>
          <w:lang w:val="en-US"/>
        </w:rPr>
        <w:t>AK</w:t>
      </w:r>
      <w:r w:rsidRPr="00E27C06">
        <w:rPr>
          <w:szCs w:val="24"/>
          <w:lang w:val="en-US"/>
        </w:rPr>
        <w:t xml:space="preserve">-dependent cell death mechanism </w:t>
      </w:r>
      <w:r>
        <w:rPr>
          <w:szCs w:val="24"/>
          <w:lang w:val="en-US"/>
        </w:rPr>
        <w:t>i</w:t>
      </w:r>
      <w:r w:rsidR="00E875E0">
        <w:rPr>
          <w:szCs w:val="24"/>
          <w:lang w:val="en-US"/>
        </w:rPr>
        <w:t>s</w:t>
      </w:r>
      <w:r>
        <w:rPr>
          <w:szCs w:val="24"/>
          <w:lang w:val="en-US"/>
        </w:rPr>
        <w:t xml:space="preserve"> </w:t>
      </w:r>
      <w:r w:rsidRPr="00E27C06">
        <w:rPr>
          <w:szCs w:val="24"/>
          <w:lang w:val="en-US"/>
        </w:rPr>
        <w:t xml:space="preserve">required for </w:t>
      </w:r>
      <w:r>
        <w:rPr>
          <w:szCs w:val="24"/>
          <w:lang w:val="en-US"/>
        </w:rPr>
        <w:t>paraquat-</w:t>
      </w:r>
      <w:r w:rsidRPr="00E27C06">
        <w:rPr>
          <w:szCs w:val="24"/>
          <w:lang w:val="en-US"/>
        </w:rPr>
        <w:t xml:space="preserve"> induced neurotoxicity</w:t>
      </w:r>
      <w:r>
        <w:rPr>
          <w:szCs w:val="24"/>
          <w:lang w:val="en-US"/>
        </w:rPr>
        <w:t xml:space="preserve"> in </w:t>
      </w:r>
      <w:r w:rsidR="00B169BA">
        <w:rPr>
          <w:szCs w:val="24"/>
          <w:lang w:val="en-US"/>
        </w:rPr>
        <w:t xml:space="preserve">an </w:t>
      </w:r>
      <w:r w:rsidR="00897462" w:rsidRPr="00D43CEC">
        <w:rPr>
          <w:i/>
          <w:szCs w:val="24"/>
          <w:lang w:val="en-US"/>
        </w:rPr>
        <w:t>in vitro</w:t>
      </w:r>
      <w:r w:rsidR="00B169BA">
        <w:rPr>
          <w:szCs w:val="24"/>
          <w:lang w:val="en-US"/>
        </w:rPr>
        <w:t xml:space="preserve"> study with </w:t>
      </w:r>
      <w:r>
        <w:rPr>
          <w:szCs w:val="24"/>
          <w:lang w:val="en-US"/>
        </w:rPr>
        <w:t>SK-N-SH cell lines</w:t>
      </w:r>
      <w:r w:rsidRPr="00E27C06">
        <w:rPr>
          <w:szCs w:val="24"/>
          <w:lang w:val="en-US"/>
        </w:rPr>
        <w:t xml:space="preserve">. </w:t>
      </w:r>
      <w:r>
        <w:rPr>
          <w:szCs w:val="24"/>
          <w:lang w:val="en-US"/>
        </w:rPr>
        <w:t xml:space="preserve">Paraquat </w:t>
      </w:r>
      <w:r w:rsidRPr="00E27C06">
        <w:rPr>
          <w:szCs w:val="24"/>
          <w:lang w:val="en-US"/>
        </w:rPr>
        <w:t xml:space="preserve">induced morphological and biochemical features that were consistent with apoptosis, including dose-dependent cytochrome </w:t>
      </w:r>
      <w:r w:rsidRPr="00E27C06">
        <w:rPr>
          <w:i/>
          <w:iCs/>
          <w:szCs w:val="24"/>
          <w:lang w:val="en-US"/>
        </w:rPr>
        <w:t xml:space="preserve">c </w:t>
      </w:r>
      <w:r w:rsidRPr="00E27C06">
        <w:rPr>
          <w:szCs w:val="24"/>
          <w:lang w:val="en-US"/>
        </w:rPr>
        <w:t xml:space="preserve">release, with subsequent caspase-3 and poly(ADP-ribose) polymerase cleavage. Changes in nuclear morphology and loss of viability were blocked by cycloheximide, caspase inhibitor, and Bcl-2 overexpression, Evaluation of Bcl-2 family members showed that </w:t>
      </w:r>
      <w:r>
        <w:rPr>
          <w:szCs w:val="24"/>
          <w:lang w:val="en-US"/>
        </w:rPr>
        <w:t xml:space="preserve">paraquat </w:t>
      </w:r>
      <w:r w:rsidRPr="00E27C06">
        <w:rPr>
          <w:szCs w:val="24"/>
          <w:lang w:val="en-US"/>
        </w:rPr>
        <w:t>induced high levels of B</w:t>
      </w:r>
      <w:r w:rsidR="00E875E0">
        <w:rPr>
          <w:szCs w:val="24"/>
          <w:lang w:val="en-US"/>
        </w:rPr>
        <w:t>AK</w:t>
      </w:r>
      <w:r w:rsidRPr="00E27C06">
        <w:rPr>
          <w:szCs w:val="24"/>
          <w:lang w:val="en-US"/>
        </w:rPr>
        <w:t>, Bid, BNip3, and Noxa. Small interfering RNA-mediated knockdown of BNip3, Noxa, and B</w:t>
      </w:r>
      <w:r w:rsidR="00E875E0">
        <w:rPr>
          <w:szCs w:val="24"/>
          <w:lang w:val="en-US"/>
        </w:rPr>
        <w:t>AK</w:t>
      </w:r>
      <w:r w:rsidRPr="00E27C06">
        <w:rPr>
          <w:szCs w:val="24"/>
          <w:lang w:val="en-US"/>
        </w:rPr>
        <w:t xml:space="preserve"> each protected cells from </w:t>
      </w:r>
      <w:r>
        <w:rPr>
          <w:szCs w:val="24"/>
          <w:lang w:val="en-US"/>
        </w:rPr>
        <w:t>paraquat</w:t>
      </w:r>
      <w:r w:rsidRPr="00E27C06">
        <w:rPr>
          <w:szCs w:val="24"/>
          <w:lang w:val="en-US"/>
        </w:rPr>
        <w:t xml:space="preserve">, but Bax knockdown did not. </w:t>
      </w:r>
      <w:r>
        <w:rPr>
          <w:szCs w:val="24"/>
          <w:lang w:val="en-US"/>
        </w:rPr>
        <w:t xml:space="preserve">The sensitivity </w:t>
      </w:r>
      <w:r w:rsidRPr="00E27C06">
        <w:rPr>
          <w:szCs w:val="24"/>
          <w:lang w:val="en-US"/>
        </w:rPr>
        <w:t>of B</w:t>
      </w:r>
      <w:r w:rsidR="00E875E0">
        <w:rPr>
          <w:szCs w:val="24"/>
          <w:lang w:val="en-US"/>
        </w:rPr>
        <w:t>AK</w:t>
      </w:r>
      <w:r w:rsidRPr="00E27C06">
        <w:rPr>
          <w:szCs w:val="24"/>
          <w:lang w:val="en-US"/>
        </w:rPr>
        <w:t xml:space="preserve">-deficient mice </w:t>
      </w:r>
      <w:r>
        <w:rPr>
          <w:szCs w:val="24"/>
          <w:lang w:val="en-US"/>
        </w:rPr>
        <w:t xml:space="preserve">was tested and they were found resistant </w:t>
      </w:r>
      <w:r w:rsidRPr="00E27C06">
        <w:rPr>
          <w:szCs w:val="24"/>
          <w:lang w:val="en-US"/>
        </w:rPr>
        <w:t xml:space="preserve">to </w:t>
      </w:r>
      <w:r>
        <w:rPr>
          <w:szCs w:val="24"/>
          <w:lang w:val="en-US"/>
        </w:rPr>
        <w:t>paraquat</w:t>
      </w:r>
      <w:r w:rsidRPr="00E27C06">
        <w:rPr>
          <w:szCs w:val="24"/>
          <w:lang w:val="en-US"/>
        </w:rPr>
        <w:t xml:space="preserve"> treatments that depleted</w:t>
      </w:r>
      <w:r>
        <w:rPr>
          <w:szCs w:val="24"/>
          <w:lang w:val="en-US"/>
        </w:rPr>
        <w:t xml:space="preserve"> </w:t>
      </w:r>
      <w:r w:rsidR="001875D7">
        <w:rPr>
          <w:szCs w:val="24"/>
          <w:lang w:val="en-US"/>
        </w:rPr>
        <w:t>TH</w:t>
      </w:r>
      <w:r w:rsidRPr="00E27C06">
        <w:rPr>
          <w:szCs w:val="24"/>
          <w:lang w:val="en-US"/>
        </w:rPr>
        <w:t xml:space="preserve"> immuno-positive neurons in the </w:t>
      </w:r>
      <w:r w:rsidR="004D01E6" w:rsidRPr="002B2CFC">
        <w:rPr>
          <w:szCs w:val="24"/>
          <w:lang w:val="en-US" w:eastAsia="en-US"/>
        </w:rPr>
        <w:t>SN pc</w:t>
      </w:r>
      <w:r w:rsidR="004D01E6" w:rsidRPr="00E27C06" w:rsidDel="004D01E6">
        <w:rPr>
          <w:szCs w:val="24"/>
          <w:lang w:val="en-US"/>
        </w:rPr>
        <w:t xml:space="preserve"> </w:t>
      </w:r>
      <w:r w:rsidRPr="00E27C06">
        <w:rPr>
          <w:szCs w:val="24"/>
          <w:lang w:val="en-US"/>
        </w:rPr>
        <w:t>of wild-type mice.</w:t>
      </w:r>
    </w:p>
    <w:p w14:paraId="009A8603" w14:textId="77777777" w:rsidR="007B53B3" w:rsidRDefault="007B53B3" w:rsidP="0008427E">
      <w:pPr>
        <w:rPr>
          <w:iCs/>
          <w:color w:val="000000"/>
          <w:szCs w:val="24"/>
          <w:lang w:val="en-US"/>
        </w:rPr>
      </w:pPr>
    </w:p>
    <w:p w14:paraId="4313C894" w14:textId="77777777" w:rsidR="00ED22D5" w:rsidRDefault="00ED22D5" w:rsidP="00ED22D5">
      <w:r>
        <w:t xml:space="preserve">To investigate the possibility that opioid receptors are involved in paraquat-induced shaking behaviour in male rats, a single ip injection was given at 0, 30, 50 or 70 mg/kg bw (equivalent to 0, 21.6, 36 and 50.4 mg/kg bw paraquat cation, respectively), or a single intracerebroventricular injection was given at 12.9 or 25.7 </w:t>
      </w:r>
      <w:r>
        <w:sym w:font="Symbol" w:char="F06D"/>
      </w:r>
      <w:r>
        <w:t xml:space="preserve">g/10 </w:t>
      </w:r>
      <w:r>
        <w:sym w:font="Symbol" w:char="F06D"/>
      </w:r>
      <w:r>
        <w:t xml:space="preserve">L/rat (equivalent to 9.3 and 18.5 </w:t>
      </w:r>
      <w:r>
        <w:sym w:font="Symbol" w:char="F06D"/>
      </w:r>
      <w:r>
        <w:t xml:space="preserve">g cation, respectively), in the presence and absence of morphine or naloxone (5 and 1.5 mg/kg bw, ip, respectively). </w:t>
      </w:r>
      <w:r w:rsidR="00D169AF">
        <w:t>It was noted that m</w:t>
      </w:r>
      <w:r>
        <w:t xml:space="preserve">orphine but not naloxone </w:t>
      </w:r>
      <w:r w:rsidR="00794F11">
        <w:t>pre-treatment</w:t>
      </w:r>
      <w:r>
        <w:t xml:space="preserve"> significantly reduced paraquat-induced shaking behaviour suggesting that shaking behaviour was mediated by opioid receptors. Although no neurohistopathological abnormalities were detected in any rats, fluorescein uptake by the brain was significantly elevated with paraquat treatment, an effect that was prevented by morphine. These later findings suggested that paraquat increased the vascular permeability of the brain (Hara </w:t>
      </w:r>
      <w:r w:rsidRPr="0058670C">
        <w:rPr>
          <w:i/>
        </w:rPr>
        <w:t>et al</w:t>
      </w:r>
      <w:r>
        <w:rPr>
          <w:i/>
        </w:rPr>
        <w:t>,</w:t>
      </w:r>
      <w:r>
        <w:t xml:space="preserve"> 1993).</w:t>
      </w:r>
      <w:r w:rsidRPr="002447C7">
        <w:t xml:space="preserve"> </w:t>
      </w:r>
    </w:p>
    <w:p w14:paraId="6902A50A" w14:textId="77777777" w:rsidR="00C25DFD" w:rsidRDefault="00C25DFD" w:rsidP="00ED22D5"/>
    <w:p w14:paraId="25825CAE" w14:textId="77777777" w:rsidR="001D130E" w:rsidRDefault="00C25DFD" w:rsidP="00ED22D5">
      <w:r>
        <w:t xml:space="preserve">Bagetta </w:t>
      </w:r>
      <w:r w:rsidR="00897462" w:rsidRPr="00D43CEC">
        <w:rPr>
          <w:i/>
        </w:rPr>
        <w:t>et al</w:t>
      </w:r>
      <w:r>
        <w:t xml:space="preserve"> (1992) found that seizures, behavioural excitation, motor stimulation (ataxia, stereotyped jaw movements, clonus of the upper extremities, rapid ear movements, vibrissae) and the presence of multifocal brain damage (neural damage/degeneration in the CA1 region, dentate granule cell layer, hilus fascia dentata, and pyriform cortex) were seen at and above 100 nmol (equivalent to 18.6 </w:t>
      </w:r>
      <w:r>
        <w:sym w:font="Symbol" w:char="F06D"/>
      </w:r>
      <w:r>
        <w:t xml:space="preserve">g paraquat or 13.4 </w:t>
      </w:r>
      <w:r>
        <w:sym w:font="Symbol" w:char="F06D"/>
      </w:r>
      <w:r>
        <w:t xml:space="preserve">g paraquat cation) </w:t>
      </w:r>
      <w:r w:rsidR="00B235F7">
        <w:t xml:space="preserve">when </w:t>
      </w:r>
      <w:r>
        <w:t xml:space="preserve">administered by intrahippocampal injection. Atropine (50 nmol) and MK 801 (0.3 mg/kg, ip) prevented the </w:t>
      </w:r>
      <w:r>
        <w:lastRenderedPageBreak/>
        <w:t xml:space="preserve">occurrence of these treatment-related effects suggesting that the mechanism of neurotoxicity involved muscarinic </w:t>
      </w:r>
      <w:r w:rsidR="00936DB5">
        <w:t xml:space="preserve">(acetylcholine) </w:t>
      </w:r>
      <w:r>
        <w:t xml:space="preserve">and NMDA </w:t>
      </w:r>
      <w:r w:rsidR="00936DB5">
        <w:t xml:space="preserve">(glutamate) </w:t>
      </w:r>
      <w:r>
        <w:t xml:space="preserve">receptors. </w:t>
      </w:r>
      <w:r w:rsidR="002F03FC">
        <w:t xml:space="preserve">Additional study detail presented in </w:t>
      </w:r>
      <w:r w:rsidR="00897462">
        <w:fldChar w:fldCharType="begin"/>
      </w:r>
      <w:r w:rsidR="0044257A">
        <w:instrText xml:space="preserve"> REF _Ref420929342 \r \h </w:instrText>
      </w:r>
      <w:r w:rsidR="00897462">
        <w:fldChar w:fldCharType="separate"/>
      </w:r>
      <w:r w:rsidR="000E54B2">
        <w:t>APPENDIX I</w:t>
      </w:r>
      <w:r w:rsidR="00897462">
        <w:fldChar w:fldCharType="end"/>
      </w:r>
      <w:r w:rsidR="002F03FC">
        <w:t>.</w:t>
      </w:r>
    </w:p>
    <w:p w14:paraId="36684A8D" w14:textId="77777777" w:rsidR="0088497F" w:rsidRDefault="0088497F" w:rsidP="00ED22D5"/>
    <w:p w14:paraId="152A5635" w14:textId="7FD7A0D1" w:rsidR="00D43CEC" w:rsidRDefault="0088497F" w:rsidP="005B511D">
      <w:pPr>
        <w:pStyle w:val="Heading2"/>
      </w:pPr>
      <w:bookmarkStart w:id="55" w:name="_Toc459108301"/>
      <w:r>
        <w:rPr>
          <w:lang w:eastAsia="en-US"/>
        </w:rPr>
        <w:t>Summary of key neurotoxicity endpoints and observations from evaluated studies</w:t>
      </w:r>
      <w:bookmarkEnd w:id="55"/>
      <w:r>
        <w:t xml:space="preserve"> </w:t>
      </w:r>
    </w:p>
    <w:p w14:paraId="0081E534" w14:textId="77777777" w:rsidR="005B511D" w:rsidRDefault="002D66E0" w:rsidP="00ED22D5">
      <w:r>
        <w:t xml:space="preserve">A tabulated summary of all the NOELs/LOELs for neurotoxicity endpoints is provided in </w:t>
      </w:r>
      <w:r>
        <w:fldChar w:fldCharType="begin"/>
      </w:r>
      <w:r>
        <w:instrText xml:space="preserve"> REF _Ref427838849 \h </w:instrText>
      </w:r>
      <w:r>
        <w:fldChar w:fldCharType="separate"/>
      </w:r>
      <w:r w:rsidR="000E54B2">
        <w:t xml:space="preserve">Table </w:t>
      </w:r>
      <w:r w:rsidR="000E54B2">
        <w:rPr>
          <w:noProof/>
        </w:rPr>
        <w:t>1</w:t>
      </w:r>
      <w:r>
        <w:fldChar w:fldCharType="end"/>
      </w:r>
      <w:r>
        <w:t xml:space="preserve"> below.</w:t>
      </w:r>
      <w:r w:rsidR="00945D9F">
        <w:t xml:space="preserve"> </w:t>
      </w:r>
      <w:r w:rsidR="0088497F">
        <w:fldChar w:fldCharType="begin"/>
      </w:r>
      <w:r w:rsidR="0088497F">
        <w:instrText xml:space="preserve"> REF _Ref459020462 \h </w:instrText>
      </w:r>
      <w:r w:rsidR="0088497F">
        <w:fldChar w:fldCharType="separate"/>
      </w:r>
      <w:r w:rsidR="000E54B2">
        <w:t xml:space="preserve">Table </w:t>
      </w:r>
      <w:r w:rsidR="000E54B2">
        <w:rPr>
          <w:noProof/>
        </w:rPr>
        <w:t>2</w:t>
      </w:r>
      <w:r w:rsidR="0088497F">
        <w:fldChar w:fldCharType="end"/>
      </w:r>
      <w:r w:rsidR="00945D9F">
        <w:t xml:space="preserve"> includes other studies which didn’t establish NOELs or LOELs, but were assessed as supporting information.</w:t>
      </w:r>
    </w:p>
    <w:p w14:paraId="0B12593D" w14:textId="2C7C2DC9" w:rsidR="002D66E0" w:rsidRDefault="002D66E0" w:rsidP="00ED22D5"/>
    <w:p w14:paraId="59F63926" w14:textId="6C515B95" w:rsidR="001D130E" w:rsidRDefault="001D130E" w:rsidP="001D130E">
      <w:pPr>
        <w:pStyle w:val="Caption"/>
        <w:rPr>
          <w:rFonts w:asciiTheme="minorHAnsi" w:eastAsiaTheme="minorHAnsi" w:hAnsiTheme="minorHAnsi" w:cstheme="minorBidi"/>
          <w:b w:val="0"/>
          <w:sz w:val="22"/>
          <w:szCs w:val="22"/>
        </w:rPr>
      </w:pPr>
      <w:bookmarkStart w:id="56" w:name="_Ref427838849"/>
      <w:bookmarkStart w:id="57" w:name="_Ref427838834"/>
      <w:r>
        <w:t xml:space="preserve">Table </w:t>
      </w:r>
      <w:r>
        <w:fldChar w:fldCharType="begin"/>
      </w:r>
      <w:r>
        <w:instrText xml:space="preserve"> SEQ Table \* ARABIC </w:instrText>
      </w:r>
      <w:r>
        <w:fldChar w:fldCharType="separate"/>
      </w:r>
      <w:r w:rsidR="000E54B2">
        <w:rPr>
          <w:noProof/>
        </w:rPr>
        <w:t>1</w:t>
      </w:r>
      <w:r>
        <w:fldChar w:fldCharType="end"/>
      </w:r>
      <w:bookmarkEnd w:id="56"/>
      <w:r>
        <w:t xml:space="preserve"> - Summary of </w:t>
      </w:r>
      <w:r w:rsidR="00054D46">
        <w:t xml:space="preserve">key </w:t>
      </w:r>
      <w:r w:rsidR="00054D46" w:rsidRPr="00054D46">
        <w:t xml:space="preserve">neurotoxicity </w:t>
      </w:r>
      <w:r w:rsidR="00054D46">
        <w:t>endpoints</w:t>
      </w:r>
      <w:r>
        <w:t xml:space="preserve"> relevant to risk assessment</w:t>
      </w:r>
      <w:bookmarkEnd w:id="57"/>
      <w:r w:rsidR="00022A40">
        <w:t>†</w:t>
      </w:r>
    </w:p>
    <w:p w14:paraId="55FB454A" w14:textId="77777777" w:rsidR="001D130E" w:rsidRPr="001D130E" w:rsidRDefault="001D130E" w:rsidP="001D130E">
      <w:pPr>
        <w:rPr>
          <w:lang w:val="en-US" w:eastAsia="en-US"/>
        </w:rPr>
      </w:pPr>
    </w:p>
    <w:tbl>
      <w:tblPr>
        <w:tblStyle w:val="LightList-Accent1"/>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981"/>
        <w:gridCol w:w="1566"/>
        <w:gridCol w:w="1701"/>
        <w:gridCol w:w="1843"/>
        <w:gridCol w:w="2926"/>
      </w:tblGrid>
      <w:tr w:rsidR="001D130E" w:rsidRPr="001D130E" w14:paraId="67B7FA65" w14:textId="77777777" w:rsidTr="003953F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81" w:type="dxa"/>
          </w:tcPr>
          <w:p w14:paraId="239E0399" w14:textId="77777777" w:rsidR="001D130E" w:rsidRPr="001D130E" w:rsidRDefault="001D130E" w:rsidP="001D130E">
            <w:pPr>
              <w:jc w:val="left"/>
              <w:rPr>
                <w:sz w:val="18"/>
                <w:szCs w:val="18"/>
              </w:rPr>
            </w:pPr>
            <w:r w:rsidRPr="001D130E">
              <w:rPr>
                <w:sz w:val="18"/>
                <w:szCs w:val="18"/>
              </w:rPr>
              <w:t>Species</w:t>
            </w:r>
          </w:p>
        </w:tc>
        <w:tc>
          <w:tcPr>
            <w:tcW w:w="1566" w:type="dxa"/>
          </w:tcPr>
          <w:p w14:paraId="7FFCC4A4" w14:textId="6AD385CA" w:rsidR="001D130E" w:rsidRPr="001D130E" w:rsidRDefault="001D130E" w:rsidP="007F7108">
            <w:pPr>
              <w:jc w:val="left"/>
              <w:cnfStyle w:val="100000000000" w:firstRow="1" w:lastRow="0" w:firstColumn="0" w:lastColumn="0" w:oddVBand="0" w:evenVBand="0" w:oddHBand="0" w:evenHBand="0" w:firstRowFirstColumn="0" w:firstRowLastColumn="0" w:lastRowFirstColumn="0" w:lastRowLastColumn="0"/>
              <w:rPr>
                <w:sz w:val="18"/>
                <w:szCs w:val="18"/>
              </w:rPr>
            </w:pPr>
            <w:r w:rsidRPr="001D130E">
              <w:rPr>
                <w:sz w:val="18"/>
                <w:szCs w:val="18"/>
              </w:rPr>
              <w:t xml:space="preserve">Dose route </w:t>
            </w:r>
          </w:p>
        </w:tc>
        <w:tc>
          <w:tcPr>
            <w:tcW w:w="1701" w:type="dxa"/>
          </w:tcPr>
          <w:p w14:paraId="638AA16E" w14:textId="7506C0D2" w:rsidR="001D130E" w:rsidRPr="001D130E" w:rsidRDefault="007F7108" w:rsidP="001D130E">
            <w:pPr>
              <w:jc w:val="left"/>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Study duration</w:t>
            </w:r>
          </w:p>
        </w:tc>
        <w:tc>
          <w:tcPr>
            <w:tcW w:w="1843" w:type="dxa"/>
          </w:tcPr>
          <w:p w14:paraId="585FEDB3" w14:textId="42809DEC" w:rsidR="001D130E" w:rsidRPr="001D130E" w:rsidRDefault="00117A96" w:rsidP="001D130E">
            <w:pPr>
              <w:jc w:val="left"/>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NOEL/</w:t>
            </w:r>
            <w:r w:rsidR="001D130E" w:rsidRPr="001D130E">
              <w:rPr>
                <w:sz w:val="18"/>
                <w:szCs w:val="18"/>
              </w:rPr>
              <w:t>LOEL</w:t>
            </w:r>
          </w:p>
          <w:p w14:paraId="732EC5B7" w14:textId="77777777" w:rsidR="001D130E" w:rsidRPr="001D130E" w:rsidRDefault="001D130E" w:rsidP="001D130E">
            <w:pPr>
              <w:jc w:val="left"/>
              <w:cnfStyle w:val="100000000000" w:firstRow="1" w:lastRow="0" w:firstColumn="0" w:lastColumn="0" w:oddVBand="0" w:evenVBand="0" w:oddHBand="0" w:evenHBand="0" w:firstRowFirstColumn="0" w:firstRowLastColumn="0" w:lastRowFirstColumn="0" w:lastRowLastColumn="0"/>
              <w:rPr>
                <w:sz w:val="18"/>
                <w:szCs w:val="18"/>
              </w:rPr>
            </w:pPr>
            <w:r w:rsidRPr="001D130E">
              <w:rPr>
                <w:sz w:val="18"/>
                <w:szCs w:val="18"/>
              </w:rPr>
              <w:t>Paraquat ion</w:t>
            </w:r>
          </w:p>
        </w:tc>
        <w:tc>
          <w:tcPr>
            <w:tcW w:w="2926" w:type="dxa"/>
          </w:tcPr>
          <w:p w14:paraId="6463E794" w14:textId="6B577ED0" w:rsidR="001D130E" w:rsidRPr="001D130E" w:rsidRDefault="00054D46" w:rsidP="001D130E">
            <w:pPr>
              <w:jc w:val="left"/>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Observations</w:t>
            </w:r>
            <w:r w:rsidR="001D130E" w:rsidRPr="001D130E">
              <w:rPr>
                <w:sz w:val="18"/>
                <w:szCs w:val="18"/>
              </w:rPr>
              <w:t xml:space="preserve"> (reference)</w:t>
            </w:r>
          </w:p>
        </w:tc>
      </w:tr>
      <w:tr w:rsidR="007F7108" w:rsidRPr="001D130E" w14:paraId="002FE3CE" w14:textId="77777777" w:rsidTr="007A5E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vMerge w:val="restart"/>
          </w:tcPr>
          <w:p w14:paraId="180DE889" w14:textId="77777777" w:rsidR="007F7108" w:rsidRPr="00D43CEC" w:rsidRDefault="007F7108" w:rsidP="001D130E">
            <w:pPr>
              <w:jc w:val="left"/>
              <w:rPr>
                <w:b w:val="0"/>
                <w:sz w:val="18"/>
                <w:szCs w:val="18"/>
              </w:rPr>
            </w:pPr>
            <w:r w:rsidRPr="00D43CEC">
              <w:rPr>
                <w:b w:val="0"/>
                <w:sz w:val="18"/>
                <w:szCs w:val="18"/>
              </w:rPr>
              <w:t>Mouse</w:t>
            </w:r>
          </w:p>
        </w:tc>
        <w:tc>
          <w:tcPr>
            <w:tcW w:w="1566" w:type="dxa"/>
            <w:vMerge w:val="restart"/>
          </w:tcPr>
          <w:p w14:paraId="689E7C33" w14:textId="66A53D93" w:rsidR="007F7108" w:rsidRPr="00D43CEC" w:rsidRDefault="007F7108" w:rsidP="001D130E">
            <w:pPr>
              <w:jc w:val="left"/>
              <w:cnfStyle w:val="000000100000" w:firstRow="0" w:lastRow="0" w:firstColumn="0" w:lastColumn="0" w:oddVBand="0" w:evenVBand="0" w:oddHBand="1" w:evenHBand="0" w:firstRowFirstColumn="0" w:firstRowLastColumn="0" w:lastRowFirstColumn="0" w:lastRowLastColumn="0"/>
              <w:rPr>
                <w:sz w:val="18"/>
                <w:szCs w:val="18"/>
              </w:rPr>
            </w:pPr>
            <w:r w:rsidRPr="00D43CEC">
              <w:rPr>
                <w:sz w:val="18"/>
                <w:szCs w:val="18"/>
              </w:rPr>
              <w:t>Oral</w:t>
            </w:r>
          </w:p>
          <w:p w14:paraId="230FA5B8" w14:textId="2315DB02" w:rsidR="007F7108" w:rsidRPr="00D43CEC" w:rsidRDefault="007F7108" w:rsidP="007F7108">
            <w:pPr>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1701" w:type="dxa"/>
          </w:tcPr>
          <w:p w14:paraId="2A553A9E" w14:textId="1FB039BE" w:rsidR="007F7108" w:rsidRPr="001D130E" w:rsidRDefault="007F7108" w:rsidP="001D130E">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w:t>
            </w:r>
            <w:r w:rsidRPr="00D43CEC">
              <w:rPr>
                <w:sz w:val="18"/>
                <w:szCs w:val="18"/>
              </w:rPr>
              <w:t>ingle dose administered to neonatal rats at age 10-11 days</w:t>
            </w:r>
          </w:p>
        </w:tc>
        <w:tc>
          <w:tcPr>
            <w:tcW w:w="1843" w:type="dxa"/>
          </w:tcPr>
          <w:p w14:paraId="22B690C6" w14:textId="5B374F55" w:rsidR="007F7108" w:rsidRPr="001D130E" w:rsidRDefault="007F7108" w:rsidP="001D130E">
            <w:pPr>
              <w:jc w:val="left"/>
              <w:cnfStyle w:val="000000100000" w:firstRow="0" w:lastRow="0" w:firstColumn="0" w:lastColumn="0" w:oddVBand="0" w:evenVBand="0" w:oddHBand="1" w:evenHBand="0" w:firstRowFirstColumn="0" w:firstRowLastColumn="0" w:lastRowFirstColumn="0" w:lastRowLastColumn="0"/>
              <w:rPr>
                <w:sz w:val="18"/>
                <w:szCs w:val="18"/>
                <w:vertAlign w:val="superscript"/>
              </w:rPr>
            </w:pPr>
            <w:r>
              <w:rPr>
                <w:sz w:val="18"/>
                <w:szCs w:val="18"/>
              </w:rPr>
              <w:t xml:space="preserve">LOEL </w:t>
            </w:r>
            <w:r w:rsidRPr="001D130E">
              <w:rPr>
                <w:sz w:val="18"/>
                <w:szCs w:val="18"/>
              </w:rPr>
              <w:t>0.05 mg/kg bw</w:t>
            </w:r>
            <w:r w:rsidRPr="001D130E">
              <w:rPr>
                <w:sz w:val="18"/>
                <w:szCs w:val="18"/>
                <w:vertAlign w:val="superscript"/>
              </w:rPr>
              <w:t>b</w:t>
            </w:r>
          </w:p>
        </w:tc>
        <w:tc>
          <w:tcPr>
            <w:tcW w:w="2926" w:type="dxa"/>
          </w:tcPr>
          <w:p w14:paraId="50DCB972" w14:textId="77777777" w:rsidR="007F7108" w:rsidRPr="001D130E" w:rsidRDefault="007F7108" w:rsidP="001D130E">
            <w:pPr>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Hypoactivity (60 – 120 days of age) and decreased striatal homovanillic acid (HVA) (125 days of age).</w:t>
            </w:r>
          </w:p>
          <w:p w14:paraId="3EC32920" w14:textId="77777777" w:rsidR="007F7108" w:rsidRPr="001D130E" w:rsidRDefault="007F7108" w:rsidP="001D130E">
            <w:pPr>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A significant decrease in striatal dopamine and 3,4-dihydroxyphentlacetic acid (DOPAC) was observed at a dose of 0.26 mg/kg bw.</w:t>
            </w:r>
          </w:p>
          <w:p w14:paraId="600D7AE1" w14:textId="77777777" w:rsidR="007F7108" w:rsidRPr="001D130E" w:rsidRDefault="007F7108" w:rsidP="001D130E">
            <w:pPr>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(Fredriksson et al, 1993).</w:t>
            </w:r>
          </w:p>
        </w:tc>
      </w:tr>
      <w:tr w:rsidR="007F7108" w:rsidRPr="001D130E" w14:paraId="2FC6E918" w14:textId="77777777" w:rsidTr="007A5E9A">
        <w:tc>
          <w:tcPr>
            <w:cnfStyle w:val="001000000000" w:firstRow="0" w:lastRow="0" w:firstColumn="1" w:lastColumn="0" w:oddVBand="0" w:evenVBand="0" w:oddHBand="0" w:evenHBand="0" w:firstRowFirstColumn="0" w:firstRowLastColumn="0" w:lastRowFirstColumn="0" w:lastRowLastColumn="0"/>
            <w:tcW w:w="981" w:type="dxa"/>
            <w:vMerge/>
          </w:tcPr>
          <w:p w14:paraId="4843160D" w14:textId="77777777" w:rsidR="007F7108" w:rsidRPr="00D43CEC" w:rsidRDefault="007F7108" w:rsidP="001D130E">
            <w:pPr>
              <w:jc w:val="left"/>
              <w:rPr>
                <w:b w:val="0"/>
                <w:sz w:val="18"/>
                <w:szCs w:val="18"/>
              </w:rPr>
            </w:pPr>
          </w:p>
        </w:tc>
        <w:tc>
          <w:tcPr>
            <w:tcW w:w="1566" w:type="dxa"/>
            <w:vMerge/>
          </w:tcPr>
          <w:p w14:paraId="50B1BDC0" w14:textId="7532359C" w:rsidR="007F7108" w:rsidRPr="00D43CEC" w:rsidRDefault="007F7108" w:rsidP="00D05861">
            <w:pPr>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1701" w:type="dxa"/>
          </w:tcPr>
          <w:p w14:paraId="4DC94C7C" w14:textId="1F090F64" w:rsidR="007F7108" w:rsidRPr="001D130E" w:rsidRDefault="007F7108" w:rsidP="001D130E">
            <w:pPr>
              <w:jc w:val="left"/>
              <w:cnfStyle w:val="000000000000" w:firstRow="0" w:lastRow="0" w:firstColumn="0" w:lastColumn="0" w:oddVBand="0" w:evenVBand="0" w:oddHBand="0" w:evenHBand="0" w:firstRowFirstColumn="0" w:firstRowLastColumn="0" w:lastRowFirstColumn="0" w:lastRowLastColumn="0"/>
              <w:rPr>
                <w:sz w:val="18"/>
                <w:szCs w:val="18"/>
              </w:rPr>
            </w:pPr>
            <w:r w:rsidRPr="00D43CEC">
              <w:rPr>
                <w:sz w:val="18"/>
                <w:szCs w:val="18"/>
              </w:rPr>
              <w:t>90 days</w:t>
            </w:r>
            <w:r w:rsidRPr="001D130E" w:rsidDel="007F7108">
              <w:rPr>
                <w:sz w:val="18"/>
                <w:szCs w:val="18"/>
              </w:rPr>
              <w:t xml:space="preserve"> </w:t>
            </w:r>
          </w:p>
        </w:tc>
        <w:tc>
          <w:tcPr>
            <w:tcW w:w="1843" w:type="dxa"/>
          </w:tcPr>
          <w:p w14:paraId="3E8813CE" w14:textId="6CC245FA" w:rsidR="007F7108" w:rsidRPr="001D130E" w:rsidRDefault="007F7108" w:rsidP="001D130E">
            <w:pPr>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NOEL </w:t>
            </w:r>
            <w:r w:rsidRPr="001D130E">
              <w:rPr>
                <w:sz w:val="18"/>
                <w:szCs w:val="18"/>
              </w:rPr>
              <w:t>&gt;10 mg/kg bw/d</w:t>
            </w:r>
            <w:r w:rsidRPr="001D130E">
              <w:rPr>
                <w:sz w:val="18"/>
                <w:szCs w:val="18"/>
                <w:vertAlign w:val="superscript"/>
              </w:rPr>
              <w:t>a</w:t>
            </w:r>
          </w:p>
        </w:tc>
        <w:tc>
          <w:tcPr>
            <w:tcW w:w="2926" w:type="dxa"/>
          </w:tcPr>
          <w:p w14:paraId="056C88C0" w14:textId="77777777" w:rsidR="007F7108" w:rsidRPr="001D130E" w:rsidRDefault="007F7108" w:rsidP="001D130E">
            <w:pPr>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No neuronal cell loss up to the highest tested dose (Minnema, 2014).</w:t>
            </w:r>
          </w:p>
        </w:tc>
      </w:tr>
      <w:tr w:rsidR="001D130E" w:rsidRPr="001D130E" w14:paraId="2A7B9789" w14:textId="77777777" w:rsidTr="00395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vMerge/>
          </w:tcPr>
          <w:p w14:paraId="7CE91229" w14:textId="77777777" w:rsidR="001D130E" w:rsidRPr="00D43CEC" w:rsidRDefault="001D130E" w:rsidP="001D130E">
            <w:pPr>
              <w:jc w:val="left"/>
              <w:rPr>
                <w:b w:val="0"/>
                <w:sz w:val="18"/>
                <w:szCs w:val="18"/>
              </w:rPr>
            </w:pPr>
          </w:p>
        </w:tc>
        <w:tc>
          <w:tcPr>
            <w:tcW w:w="1566" w:type="dxa"/>
          </w:tcPr>
          <w:p w14:paraId="146AA3EF" w14:textId="54633C2E" w:rsidR="001D130E" w:rsidRPr="00D43CEC" w:rsidRDefault="001D130E" w:rsidP="001D130E">
            <w:pPr>
              <w:jc w:val="left"/>
              <w:cnfStyle w:val="000000100000" w:firstRow="0" w:lastRow="0" w:firstColumn="0" w:lastColumn="0" w:oddVBand="0" w:evenVBand="0" w:oddHBand="1" w:evenHBand="0" w:firstRowFirstColumn="0" w:firstRowLastColumn="0" w:lastRowFirstColumn="0" w:lastRowLastColumn="0"/>
              <w:rPr>
                <w:sz w:val="18"/>
                <w:szCs w:val="18"/>
              </w:rPr>
            </w:pPr>
            <w:r w:rsidRPr="00D43CEC">
              <w:rPr>
                <w:sz w:val="18"/>
                <w:szCs w:val="18"/>
              </w:rPr>
              <w:t>Intranasal</w:t>
            </w:r>
          </w:p>
        </w:tc>
        <w:tc>
          <w:tcPr>
            <w:tcW w:w="1701" w:type="dxa"/>
            <w:tcBorders>
              <w:bottom w:val="single" w:sz="4" w:space="0" w:color="4F81BD" w:themeColor="accent1"/>
            </w:tcBorders>
          </w:tcPr>
          <w:p w14:paraId="5A1FD72C" w14:textId="409597B1" w:rsidR="001D130E" w:rsidRPr="001D130E" w:rsidRDefault="007F7108" w:rsidP="001D130E">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 days</w:t>
            </w:r>
          </w:p>
        </w:tc>
        <w:tc>
          <w:tcPr>
            <w:tcW w:w="1843" w:type="dxa"/>
            <w:tcBorders>
              <w:bottom w:val="single" w:sz="4" w:space="0" w:color="4F81BD" w:themeColor="accent1"/>
            </w:tcBorders>
          </w:tcPr>
          <w:p w14:paraId="128E9A8A" w14:textId="20425F92" w:rsidR="001D130E" w:rsidRPr="001D130E" w:rsidRDefault="007F7108" w:rsidP="001D130E">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LOEL </w:t>
            </w:r>
            <w:r w:rsidR="001D130E" w:rsidRPr="001D130E">
              <w:rPr>
                <w:sz w:val="18"/>
                <w:szCs w:val="18"/>
              </w:rPr>
              <w:t>20 mg/kg bw/day</w:t>
            </w:r>
          </w:p>
        </w:tc>
        <w:tc>
          <w:tcPr>
            <w:tcW w:w="2926" w:type="dxa"/>
          </w:tcPr>
          <w:p w14:paraId="03CB54A9" w14:textId="77777777" w:rsidR="001D130E" w:rsidRPr="001D130E" w:rsidRDefault="001D130E" w:rsidP="001D130E">
            <w:pPr>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Behavioural effects, foot, mouth and lung damage observed at dose of 20 mg/kg bw/day (Rojo et al, 2007).</w:t>
            </w:r>
          </w:p>
        </w:tc>
      </w:tr>
      <w:tr w:rsidR="00B01384" w:rsidRPr="001D130E" w14:paraId="2B9FEFB8" w14:textId="77777777" w:rsidTr="003953F1">
        <w:tc>
          <w:tcPr>
            <w:cnfStyle w:val="001000000000" w:firstRow="0" w:lastRow="0" w:firstColumn="1" w:lastColumn="0" w:oddVBand="0" w:evenVBand="0" w:oddHBand="0" w:evenHBand="0" w:firstRowFirstColumn="0" w:firstRowLastColumn="0" w:lastRowFirstColumn="0" w:lastRowLastColumn="0"/>
            <w:tcW w:w="981" w:type="dxa"/>
          </w:tcPr>
          <w:p w14:paraId="007B45C6" w14:textId="5341ED92" w:rsidR="00B01384" w:rsidRPr="00D43CEC" w:rsidRDefault="00B01384" w:rsidP="00244708">
            <w:pPr>
              <w:jc w:val="left"/>
              <w:rPr>
                <w:sz w:val="18"/>
                <w:szCs w:val="18"/>
              </w:rPr>
            </w:pPr>
            <w:r w:rsidRPr="00D43CEC">
              <w:rPr>
                <w:b w:val="0"/>
                <w:sz w:val="18"/>
                <w:szCs w:val="18"/>
              </w:rPr>
              <w:t>Rat</w:t>
            </w:r>
          </w:p>
        </w:tc>
        <w:tc>
          <w:tcPr>
            <w:tcW w:w="1566" w:type="dxa"/>
            <w:vMerge w:val="restart"/>
          </w:tcPr>
          <w:p w14:paraId="2DD54EE2" w14:textId="77777777" w:rsidR="00B01384" w:rsidRPr="00D43CEC" w:rsidRDefault="00B01384" w:rsidP="00244708">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D43CEC">
              <w:rPr>
                <w:sz w:val="18"/>
                <w:szCs w:val="18"/>
              </w:rPr>
              <w:t>Oral</w:t>
            </w:r>
          </w:p>
          <w:p w14:paraId="7CF94477" w14:textId="77777777" w:rsidR="00B01384" w:rsidRPr="00D43CEC" w:rsidRDefault="00B01384" w:rsidP="00244708">
            <w:pPr>
              <w:jc w:val="left"/>
              <w:cnfStyle w:val="000000000000" w:firstRow="0" w:lastRow="0" w:firstColumn="0" w:lastColumn="0" w:oddVBand="0" w:evenVBand="0" w:oddHBand="0" w:evenHBand="0" w:firstRowFirstColumn="0" w:firstRowLastColumn="0" w:lastRowFirstColumn="0" w:lastRowLastColumn="0"/>
              <w:rPr>
                <w:sz w:val="18"/>
                <w:szCs w:val="18"/>
              </w:rPr>
            </w:pPr>
          </w:p>
          <w:p w14:paraId="14306BEA" w14:textId="77777777" w:rsidR="00B01384" w:rsidRPr="00D43CEC" w:rsidRDefault="00B01384" w:rsidP="00244708">
            <w:pPr>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1701" w:type="dxa"/>
          </w:tcPr>
          <w:p w14:paraId="20A89F37" w14:textId="6B3FF25D" w:rsidR="00B01384" w:rsidRDefault="00B01384" w:rsidP="00244708">
            <w:pPr>
              <w:jc w:val="left"/>
              <w:cnfStyle w:val="000000000000" w:firstRow="0" w:lastRow="0" w:firstColumn="0" w:lastColumn="0" w:oddVBand="0" w:evenVBand="0" w:oddHBand="0" w:evenHBand="0" w:firstRowFirstColumn="0" w:firstRowLastColumn="0" w:lastRowFirstColumn="0" w:lastRowLastColumn="0"/>
              <w:rPr>
                <w:sz w:val="18"/>
                <w:szCs w:val="18"/>
                <w:lang w:val="de-DE"/>
              </w:rPr>
            </w:pPr>
            <w:r>
              <w:rPr>
                <w:sz w:val="18"/>
                <w:szCs w:val="18"/>
              </w:rPr>
              <w:t>Single dose</w:t>
            </w:r>
          </w:p>
        </w:tc>
        <w:tc>
          <w:tcPr>
            <w:tcW w:w="1843" w:type="dxa"/>
          </w:tcPr>
          <w:p w14:paraId="7FF0D097" w14:textId="178AFC45" w:rsidR="00B01384" w:rsidRPr="00331284" w:rsidRDefault="00B01384" w:rsidP="00244708">
            <w:pPr>
              <w:jc w:val="left"/>
              <w:cnfStyle w:val="000000000000" w:firstRow="0" w:lastRow="0" w:firstColumn="0" w:lastColumn="0" w:oddVBand="0" w:evenVBand="0" w:oddHBand="0" w:evenHBand="0" w:firstRowFirstColumn="0" w:firstRowLastColumn="0" w:lastRowFirstColumn="0" w:lastRowLastColumn="0"/>
              <w:rPr>
                <w:sz w:val="18"/>
                <w:szCs w:val="18"/>
                <w:vertAlign w:val="superscript"/>
              </w:rPr>
            </w:pPr>
            <w:r>
              <w:rPr>
                <w:sz w:val="18"/>
                <w:szCs w:val="18"/>
              </w:rPr>
              <w:t>NOEL 84 mg/kg bw</w:t>
            </w:r>
            <w:r>
              <w:rPr>
                <w:sz w:val="18"/>
                <w:szCs w:val="18"/>
                <w:vertAlign w:val="superscript"/>
              </w:rPr>
              <w:t>a</w:t>
            </w:r>
          </w:p>
        </w:tc>
        <w:tc>
          <w:tcPr>
            <w:tcW w:w="2926" w:type="dxa"/>
          </w:tcPr>
          <w:p w14:paraId="547F1D9D" w14:textId="55ED7FBA" w:rsidR="00B01384" w:rsidRPr="001D130E" w:rsidRDefault="00B01384" w:rsidP="00244708">
            <w:pPr>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No evidence of neurotoxicity at highest dose of 84 mg/kg bw (Brammer, 2006).</w:t>
            </w:r>
          </w:p>
        </w:tc>
      </w:tr>
      <w:tr w:rsidR="00B01384" w:rsidRPr="001D130E" w14:paraId="44DDF15D" w14:textId="77777777" w:rsidTr="00395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1" w:type="dxa"/>
          </w:tcPr>
          <w:p w14:paraId="5E296B2B" w14:textId="77777777" w:rsidR="00B01384" w:rsidRPr="00D43CEC" w:rsidRDefault="00B01384" w:rsidP="00244708">
            <w:pPr>
              <w:jc w:val="left"/>
              <w:rPr>
                <w:sz w:val="18"/>
                <w:szCs w:val="18"/>
              </w:rPr>
            </w:pPr>
          </w:p>
        </w:tc>
        <w:tc>
          <w:tcPr>
            <w:tcW w:w="1566" w:type="dxa"/>
            <w:vMerge/>
          </w:tcPr>
          <w:p w14:paraId="76012CC8" w14:textId="77777777" w:rsidR="00B01384" w:rsidRPr="00D43CEC" w:rsidRDefault="00B01384" w:rsidP="00244708">
            <w:pPr>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1701" w:type="dxa"/>
          </w:tcPr>
          <w:p w14:paraId="261FDE88" w14:textId="6C01347B" w:rsidR="00B01384" w:rsidRDefault="00B01384" w:rsidP="00244708">
            <w:pPr>
              <w:jc w:val="left"/>
              <w:cnfStyle w:val="000000100000" w:firstRow="0" w:lastRow="0" w:firstColumn="0" w:lastColumn="0" w:oddVBand="0" w:evenVBand="0" w:oddHBand="1" w:evenHBand="0" w:firstRowFirstColumn="0" w:firstRowLastColumn="0" w:lastRowFirstColumn="0" w:lastRowLastColumn="0"/>
              <w:rPr>
                <w:sz w:val="18"/>
                <w:szCs w:val="18"/>
                <w:lang w:val="de-DE"/>
              </w:rPr>
            </w:pPr>
            <w:r>
              <w:rPr>
                <w:sz w:val="18"/>
                <w:szCs w:val="18"/>
              </w:rPr>
              <w:t>14 days</w:t>
            </w:r>
          </w:p>
        </w:tc>
        <w:tc>
          <w:tcPr>
            <w:tcW w:w="1843" w:type="dxa"/>
          </w:tcPr>
          <w:p w14:paraId="2FA8D436" w14:textId="54113948" w:rsidR="00B01384" w:rsidRDefault="00B01384" w:rsidP="00244708">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NOEL 5 mg/kg bw/d</w:t>
            </w:r>
          </w:p>
        </w:tc>
        <w:tc>
          <w:tcPr>
            <w:tcW w:w="2926" w:type="dxa"/>
          </w:tcPr>
          <w:p w14:paraId="7AE1D60F" w14:textId="1349E64E" w:rsidR="00B01384" w:rsidRPr="001D130E" w:rsidRDefault="00B01384" w:rsidP="00244708">
            <w:pPr>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No sign of neuronal damage cell damage or death at dose of 5 mg/kg bw/d (paraquat ion) (Widdowson et al, 1996b).</w:t>
            </w:r>
          </w:p>
        </w:tc>
      </w:tr>
      <w:tr w:rsidR="00B01384" w:rsidRPr="001D130E" w14:paraId="1EE9B277" w14:textId="77777777" w:rsidTr="003953F1">
        <w:tc>
          <w:tcPr>
            <w:cnfStyle w:val="001000000000" w:firstRow="0" w:lastRow="0" w:firstColumn="1" w:lastColumn="0" w:oddVBand="0" w:evenVBand="0" w:oddHBand="0" w:evenHBand="0" w:firstRowFirstColumn="0" w:firstRowLastColumn="0" w:lastRowFirstColumn="0" w:lastRowLastColumn="0"/>
            <w:tcW w:w="981" w:type="dxa"/>
          </w:tcPr>
          <w:p w14:paraId="0E76A722" w14:textId="77777777" w:rsidR="00B01384" w:rsidRPr="00D43CEC" w:rsidRDefault="00B01384" w:rsidP="00244708">
            <w:pPr>
              <w:jc w:val="left"/>
              <w:rPr>
                <w:sz w:val="18"/>
                <w:szCs w:val="18"/>
              </w:rPr>
            </w:pPr>
          </w:p>
        </w:tc>
        <w:tc>
          <w:tcPr>
            <w:tcW w:w="1566" w:type="dxa"/>
            <w:vMerge/>
          </w:tcPr>
          <w:p w14:paraId="78F67DDE" w14:textId="77777777" w:rsidR="00B01384" w:rsidRPr="00D43CEC" w:rsidRDefault="00B01384" w:rsidP="00244708">
            <w:pPr>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1701" w:type="dxa"/>
          </w:tcPr>
          <w:p w14:paraId="2347A888" w14:textId="284F94F9" w:rsidR="00B01384" w:rsidRDefault="00B01384" w:rsidP="00244708">
            <w:pPr>
              <w:jc w:val="left"/>
              <w:cnfStyle w:val="000000000000" w:firstRow="0" w:lastRow="0" w:firstColumn="0" w:lastColumn="0" w:oddVBand="0" w:evenVBand="0" w:oddHBand="0" w:evenHBand="0" w:firstRowFirstColumn="0" w:firstRowLastColumn="0" w:lastRowFirstColumn="0" w:lastRowLastColumn="0"/>
              <w:rPr>
                <w:sz w:val="18"/>
                <w:szCs w:val="18"/>
                <w:lang w:val="de-DE"/>
              </w:rPr>
            </w:pPr>
            <w:r>
              <w:rPr>
                <w:sz w:val="18"/>
                <w:szCs w:val="18"/>
                <w:lang w:val="de-DE"/>
              </w:rPr>
              <w:t>90 days</w:t>
            </w:r>
          </w:p>
        </w:tc>
        <w:tc>
          <w:tcPr>
            <w:tcW w:w="1843" w:type="dxa"/>
          </w:tcPr>
          <w:p w14:paraId="1012DE1D" w14:textId="77777777" w:rsidR="00B01384" w:rsidRPr="006A42B1" w:rsidRDefault="00B01384" w:rsidP="00244708">
            <w:pPr>
              <w:jc w:val="left"/>
              <w:cnfStyle w:val="000000000000" w:firstRow="0" w:lastRow="0" w:firstColumn="0" w:lastColumn="0" w:oddVBand="0" w:evenVBand="0" w:oddHBand="0" w:evenHBand="0" w:firstRowFirstColumn="0" w:firstRowLastColumn="0" w:lastRowFirstColumn="0" w:lastRowLastColumn="0"/>
              <w:rPr>
                <w:sz w:val="18"/>
                <w:szCs w:val="18"/>
                <w:vertAlign w:val="superscript"/>
                <w:lang w:val="de-DE"/>
              </w:rPr>
            </w:pPr>
            <w:r>
              <w:rPr>
                <w:sz w:val="18"/>
                <w:szCs w:val="18"/>
              </w:rPr>
              <w:t xml:space="preserve">NOEL </w:t>
            </w:r>
            <w:r w:rsidRPr="006A42B1">
              <w:rPr>
                <w:sz w:val="18"/>
                <w:szCs w:val="18"/>
                <w:lang w:val="de-DE"/>
              </w:rPr>
              <w:t>10.2 (males) mg/kg bw/d</w:t>
            </w:r>
            <w:r w:rsidRPr="006A42B1">
              <w:rPr>
                <w:sz w:val="18"/>
                <w:szCs w:val="18"/>
                <w:vertAlign w:val="superscript"/>
                <w:lang w:val="de-DE"/>
              </w:rPr>
              <w:t>a</w:t>
            </w:r>
          </w:p>
          <w:p w14:paraId="0F193F0D" w14:textId="3EDFC737" w:rsidR="00B01384" w:rsidRDefault="00B01384" w:rsidP="00244708">
            <w:pPr>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lang w:val="de-DE"/>
              </w:rPr>
              <w:t xml:space="preserve">NOEL </w:t>
            </w:r>
            <w:r w:rsidRPr="006A42B1">
              <w:rPr>
                <w:sz w:val="18"/>
                <w:szCs w:val="18"/>
                <w:lang w:val="de-DE"/>
              </w:rPr>
              <w:t>11.9 (females) mg/kg bw/d</w:t>
            </w:r>
            <w:r w:rsidRPr="006A42B1">
              <w:rPr>
                <w:sz w:val="18"/>
                <w:szCs w:val="18"/>
                <w:vertAlign w:val="superscript"/>
                <w:lang w:val="de-DE"/>
              </w:rPr>
              <w:t>a</w:t>
            </w:r>
            <w:r w:rsidRPr="001D130E" w:rsidDel="00C967FD">
              <w:rPr>
                <w:sz w:val="18"/>
                <w:szCs w:val="18"/>
              </w:rPr>
              <w:t xml:space="preserve"> </w:t>
            </w:r>
          </w:p>
        </w:tc>
        <w:tc>
          <w:tcPr>
            <w:tcW w:w="2926" w:type="dxa"/>
          </w:tcPr>
          <w:p w14:paraId="5694A0CD" w14:textId="29EA6A2A" w:rsidR="00B01384" w:rsidRPr="001D130E" w:rsidRDefault="00B01384" w:rsidP="00244708">
            <w:pPr>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No effect on nervous system tissues (Chivers, 2006).</w:t>
            </w:r>
          </w:p>
        </w:tc>
      </w:tr>
    </w:tbl>
    <w:p w14:paraId="08336270" w14:textId="63D7AF5B" w:rsidR="00022A40" w:rsidRPr="00331284" w:rsidRDefault="00022A40" w:rsidP="001D130E">
      <w:pPr>
        <w:spacing w:line="276" w:lineRule="auto"/>
        <w:jc w:val="left"/>
        <w:rPr>
          <w:rFonts w:asciiTheme="minorHAnsi" w:eastAsiaTheme="minorHAnsi" w:hAnsiTheme="minorHAnsi" w:cstheme="minorBidi"/>
          <w:sz w:val="18"/>
          <w:szCs w:val="18"/>
          <w:lang w:eastAsia="en-US"/>
        </w:rPr>
      </w:pPr>
      <w:r>
        <w:rPr>
          <w:rFonts w:asciiTheme="minorHAnsi" w:eastAsiaTheme="minorHAnsi" w:hAnsiTheme="minorHAnsi" w:cstheme="minorBidi"/>
          <w:sz w:val="18"/>
          <w:szCs w:val="18"/>
          <w:vertAlign w:val="superscript"/>
          <w:lang w:eastAsia="en-US"/>
        </w:rPr>
        <w:t xml:space="preserve">† </w:t>
      </w:r>
      <w:r>
        <w:rPr>
          <w:rFonts w:asciiTheme="minorHAnsi" w:eastAsiaTheme="minorHAnsi" w:hAnsiTheme="minorHAnsi" w:cstheme="minorBidi"/>
          <w:sz w:val="18"/>
          <w:szCs w:val="18"/>
          <w:lang w:eastAsia="en-US"/>
        </w:rPr>
        <w:t xml:space="preserve">Only </w:t>
      </w:r>
      <w:r w:rsidR="00331284">
        <w:rPr>
          <w:rFonts w:asciiTheme="minorHAnsi" w:eastAsiaTheme="minorHAnsi" w:hAnsiTheme="minorHAnsi" w:cstheme="minorBidi"/>
          <w:sz w:val="18"/>
          <w:szCs w:val="18"/>
          <w:lang w:eastAsia="en-US"/>
        </w:rPr>
        <w:t>dose-routes considered relevant to human exposure are included in this table</w:t>
      </w:r>
    </w:p>
    <w:p w14:paraId="6E88214C" w14:textId="2E634718" w:rsidR="001D130E" w:rsidRPr="001D130E" w:rsidDel="00331284" w:rsidRDefault="001D130E" w:rsidP="001D130E">
      <w:pPr>
        <w:spacing w:line="276" w:lineRule="auto"/>
        <w:jc w:val="left"/>
        <w:rPr>
          <w:rFonts w:asciiTheme="minorHAnsi" w:eastAsiaTheme="minorHAnsi" w:hAnsiTheme="minorHAnsi" w:cstheme="minorBidi"/>
          <w:sz w:val="18"/>
          <w:szCs w:val="18"/>
          <w:lang w:eastAsia="en-US"/>
        </w:rPr>
      </w:pPr>
      <w:r w:rsidRPr="001D130E" w:rsidDel="00331284">
        <w:rPr>
          <w:rFonts w:asciiTheme="minorHAnsi" w:eastAsiaTheme="minorHAnsi" w:hAnsiTheme="minorHAnsi" w:cstheme="minorBidi"/>
          <w:sz w:val="18"/>
          <w:szCs w:val="18"/>
          <w:vertAlign w:val="superscript"/>
          <w:lang w:eastAsia="en-US"/>
        </w:rPr>
        <w:t xml:space="preserve">a </w:t>
      </w:r>
      <w:r w:rsidRPr="001D130E" w:rsidDel="00331284">
        <w:rPr>
          <w:rFonts w:asciiTheme="minorHAnsi" w:eastAsiaTheme="minorHAnsi" w:hAnsiTheme="minorHAnsi" w:cstheme="minorBidi"/>
          <w:sz w:val="18"/>
          <w:szCs w:val="18"/>
          <w:lang w:eastAsia="en-US"/>
        </w:rPr>
        <w:t>Highest dose tested</w:t>
      </w:r>
    </w:p>
    <w:p w14:paraId="77724203" w14:textId="77777777" w:rsidR="00ED22D5" w:rsidRDefault="001D130E" w:rsidP="001D130E">
      <w:pPr>
        <w:spacing w:after="200" w:line="276" w:lineRule="auto"/>
        <w:jc w:val="left"/>
        <w:rPr>
          <w:rFonts w:asciiTheme="minorHAnsi" w:eastAsiaTheme="minorHAnsi" w:hAnsiTheme="minorHAnsi" w:cstheme="minorBidi"/>
          <w:sz w:val="18"/>
          <w:szCs w:val="18"/>
          <w:lang w:eastAsia="en-US"/>
        </w:rPr>
      </w:pPr>
      <w:r w:rsidRPr="001D130E">
        <w:rPr>
          <w:rFonts w:asciiTheme="minorHAnsi" w:eastAsiaTheme="minorHAnsi" w:hAnsiTheme="minorHAnsi" w:cstheme="minorBidi"/>
          <w:sz w:val="18"/>
          <w:szCs w:val="18"/>
          <w:vertAlign w:val="superscript"/>
          <w:lang w:eastAsia="en-US"/>
        </w:rPr>
        <w:t xml:space="preserve">b </w:t>
      </w:r>
      <w:r w:rsidRPr="001D130E">
        <w:rPr>
          <w:rFonts w:asciiTheme="minorHAnsi" w:eastAsiaTheme="minorHAnsi" w:hAnsiTheme="minorHAnsi" w:cstheme="minorBidi"/>
          <w:sz w:val="18"/>
          <w:szCs w:val="18"/>
          <w:lang w:eastAsia="en-US"/>
        </w:rPr>
        <w:t>Lowest dose tested</w:t>
      </w:r>
    </w:p>
    <w:p w14:paraId="0EDF8EBF" w14:textId="2672DC57" w:rsidR="00945D9F" w:rsidRDefault="00945D9F" w:rsidP="003953F1">
      <w:pPr>
        <w:pStyle w:val="Caption"/>
        <w:keepNext/>
      </w:pPr>
      <w:bookmarkStart w:id="58" w:name="_Ref459020462"/>
      <w:r>
        <w:lastRenderedPageBreak/>
        <w:t xml:space="preserve">Table </w:t>
      </w:r>
      <w:r>
        <w:fldChar w:fldCharType="begin"/>
      </w:r>
      <w:r>
        <w:instrText xml:space="preserve"> SEQ Table \* ARABIC </w:instrText>
      </w:r>
      <w:r>
        <w:fldChar w:fldCharType="separate"/>
      </w:r>
      <w:r w:rsidR="000E54B2">
        <w:rPr>
          <w:noProof/>
        </w:rPr>
        <w:t>2</w:t>
      </w:r>
      <w:r>
        <w:fldChar w:fldCharType="end"/>
      </w:r>
      <w:bookmarkEnd w:id="58"/>
      <w:r>
        <w:t xml:space="preserve"> - Summary of </w:t>
      </w:r>
      <w:r w:rsidR="00054D46">
        <w:t>observations</w:t>
      </w:r>
      <w:r>
        <w:t xml:space="preserve"> from other studies evaluated in the neurotoxicity risk assessment</w:t>
      </w:r>
    </w:p>
    <w:p w14:paraId="29C6582C" w14:textId="77777777" w:rsidR="00945D9F" w:rsidRPr="0012492B" w:rsidRDefault="00945D9F" w:rsidP="003953F1">
      <w:pPr>
        <w:keepNext/>
        <w:rPr>
          <w:rFonts w:eastAsiaTheme="minorHAnsi"/>
          <w:lang w:val="en-US" w:eastAsia="en-US"/>
        </w:rPr>
      </w:pPr>
    </w:p>
    <w:tbl>
      <w:tblPr>
        <w:tblStyle w:val="LightList-Accent1"/>
        <w:tblW w:w="9067"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4A0" w:firstRow="1" w:lastRow="0" w:firstColumn="1" w:lastColumn="0" w:noHBand="0" w:noVBand="1"/>
      </w:tblPr>
      <w:tblGrid>
        <w:gridCol w:w="979"/>
        <w:gridCol w:w="1993"/>
        <w:gridCol w:w="1985"/>
        <w:gridCol w:w="4110"/>
      </w:tblGrid>
      <w:tr w:rsidR="005B511D" w:rsidRPr="001D130E" w14:paraId="7A0686D0" w14:textId="77777777" w:rsidTr="003953F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979" w:type="dxa"/>
          </w:tcPr>
          <w:p w14:paraId="527D743B" w14:textId="77777777" w:rsidR="005B511D" w:rsidRPr="001D130E" w:rsidRDefault="005B511D" w:rsidP="003953F1">
            <w:pPr>
              <w:keepNext/>
              <w:jc w:val="left"/>
              <w:rPr>
                <w:sz w:val="18"/>
                <w:szCs w:val="18"/>
              </w:rPr>
            </w:pPr>
            <w:r w:rsidRPr="001D130E">
              <w:rPr>
                <w:sz w:val="18"/>
                <w:szCs w:val="18"/>
              </w:rPr>
              <w:t>Species</w:t>
            </w:r>
          </w:p>
        </w:tc>
        <w:tc>
          <w:tcPr>
            <w:tcW w:w="1993" w:type="dxa"/>
            <w:tcBorders>
              <w:bottom w:val="single" w:sz="8" w:space="0" w:color="4F81BD" w:themeColor="accent1"/>
            </w:tcBorders>
          </w:tcPr>
          <w:p w14:paraId="31E0DA72" w14:textId="31D4C482" w:rsidR="005B511D" w:rsidRPr="001D130E" w:rsidRDefault="005B511D" w:rsidP="003953F1">
            <w:pPr>
              <w:keepNext/>
              <w:jc w:val="left"/>
              <w:cnfStyle w:val="100000000000" w:firstRow="1" w:lastRow="0" w:firstColumn="0" w:lastColumn="0" w:oddVBand="0" w:evenVBand="0" w:oddHBand="0" w:evenHBand="0" w:firstRowFirstColumn="0" w:firstRowLastColumn="0" w:lastRowFirstColumn="0" w:lastRowLastColumn="0"/>
              <w:rPr>
                <w:sz w:val="18"/>
                <w:szCs w:val="18"/>
              </w:rPr>
            </w:pPr>
            <w:r w:rsidRPr="001D130E">
              <w:rPr>
                <w:sz w:val="18"/>
                <w:szCs w:val="18"/>
              </w:rPr>
              <w:t xml:space="preserve">Dose route </w:t>
            </w:r>
          </w:p>
        </w:tc>
        <w:tc>
          <w:tcPr>
            <w:tcW w:w="1985" w:type="dxa"/>
            <w:tcBorders>
              <w:bottom w:val="single" w:sz="8" w:space="0" w:color="4F81BD" w:themeColor="accent1"/>
            </w:tcBorders>
          </w:tcPr>
          <w:p w14:paraId="58F08451" w14:textId="5CAD4BFC" w:rsidR="005B511D" w:rsidRPr="001D130E" w:rsidRDefault="005B511D" w:rsidP="005B511D">
            <w:pPr>
              <w:keepNext/>
              <w:jc w:val="left"/>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Study duration</w:t>
            </w:r>
          </w:p>
        </w:tc>
        <w:tc>
          <w:tcPr>
            <w:tcW w:w="4110" w:type="dxa"/>
            <w:tcBorders>
              <w:bottom w:val="single" w:sz="8" w:space="0" w:color="4F81BD" w:themeColor="accent1"/>
            </w:tcBorders>
          </w:tcPr>
          <w:p w14:paraId="6644D75A" w14:textId="6696965A" w:rsidR="005B511D" w:rsidRPr="001D130E" w:rsidRDefault="00054D46" w:rsidP="003953F1">
            <w:pPr>
              <w:keepNext/>
              <w:jc w:val="left"/>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Observations</w:t>
            </w:r>
            <w:r w:rsidR="005B511D" w:rsidRPr="001D130E">
              <w:rPr>
                <w:sz w:val="18"/>
                <w:szCs w:val="18"/>
              </w:rPr>
              <w:t xml:space="preserve"> (reference)</w:t>
            </w:r>
          </w:p>
        </w:tc>
      </w:tr>
      <w:tr w:rsidR="005B511D" w:rsidRPr="001D130E" w14:paraId="7D464D6E" w14:textId="77777777" w:rsidTr="00395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dxa"/>
            <w:vMerge w:val="restart"/>
          </w:tcPr>
          <w:p w14:paraId="676EC1B6" w14:textId="77777777" w:rsidR="005B511D" w:rsidRPr="00D43CEC" w:rsidRDefault="005B511D" w:rsidP="003953F1">
            <w:pPr>
              <w:keepNext/>
              <w:jc w:val="left"/>
              <w:rPr>
                <w:b w:val="0"/>
                <w:sz w:val="18"/>
                <w:szCs w:val="18"/>
              </w:rPr>
            </w:pPr>
            <w:r w:rsidRPr="00D43CEC">
              <w:rPr>
                <w:b w:val="0"/>
                <w:sz w:val="18"/>
                <w:szCs w:val="18"/>
              </w:rPr>
              <w:t>Mouse</w:t>
            </w:r>
          </w:p>
        </w:tc>
        <w:tc>
          <w:tcPr>
            <w:tcW w:w="1993" w:type="dxa"/>
          </w:tcPr>
          <w:p w14:paraId="699A349A" w14:textId="41278161" w:rsidR="005B511D" w:rsidRPr="00D43CEC" w:rsidRDefault="005B511D" w:rsidP="003953F1">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D43CEC">
              <w:rPr>
                <w:sz w:val="18"/>
                <w:szCs w:val="18"/>
              </w:rPr>
              <w:t>Subcutaneous</w:t>
            </w:r>
          </w:p>
        </w:tc>
        <w:tc>
          <w:tcPr>
            <w:tcW w:w="1985" w:type="dxa"/>
          </w:tcPr>
          <w:p w14:paraId="0B5DAB5F" w14:textId="1F31FF9C" w:rsidR="005B511D" w:rsidRPr="001D130E" w:rsidRDefault="005B511D" w:rsidP="005B511D">
            <w:pPr>
              <w:keepNext/>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w:t>
            </w:r>
            <w:r w:rsidRPr="00D43CEC">
              <w:rPr>
                <w:sz w:val="18"/>
                <w:szCs w:val="18"/>
              </w:rPr>
              <w:t>ingle dose for 3 injections at 3 day intervals</w:t>
            </w:r>
          </w:p>
        </w:tc>
        <w:tc>
          <w:tcPr>
            <w:tcW w:w="4110" w:type="dxa"/>
          </w:tcPr>
          <w:p w14:paraId="28BD327A" w14:textId="1E10F397" w:rsidR="005B511D" w:rsidRPr="001D130E" w:rsidRDefault="005B511D" w:rsidP="003953F1">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Some neurochemical variations observed at doses of 10.44 mg/kg bw paraquat ion, but not deemed to be toxicologically relevant (Perry et al, 1986).</w:t>
            </w:r>
          </w:p>
        </w:tc>
      </w:tr>
      <w:tr w:rsidR="005B511D" w:rsidRPr="001D130E" w14:paraId="7319CD7A" w14:textId="77777777" w:rsidTr="003953F1">
        <w:tc>
          <w:tcPr>
            <w:cnfStyle w:val="001000000000" w:firstRow="0" w:lastRow="0" w:firstColumn="1" w:lastColumn="0" w:oddVBand="0" w:evenVBand="0" w:oddHBand="0" w:evenHBand="0" w:firstRowFirstColumn="0" w:firstRowLastColumn="0" w:lastRowFirstColumn="0" w:lastRowLastColumn="0"/>
            <w:tcW w:w="979" w:type="dxa"/>
            <w:vMerge/>
          </w:tcPr>
          <w:p w14:paraId="5901B7FB" w14:textId="77777777" w:rsidR="005B511D" w:rsidRPr="00D43CEC" w:rsidRDefault="005B511D" w:rsidP="003953F1">
            <w:pPr>
              <w:keepNext/>
              <w:jc w:val="left"/>
              <w:rPr>
                <w:b w:val="0"/>
                <w:sz w:val="18"/>
                <w:szCs w:val="18"/>
              </w:rPr>
            </w:pPr>
          </w:p>
        </w:tc>
        <w:tc>
          <w:tcPr>
            <w:tcW w:w="1993" w:type="dxa"/>
          </w:tcPr>
          <w:p w14:paraId="31FC06A1" w14:textId="13BE7C4A" w:rsidR="005B511D" w:rsidRPr="00D43CEC" w:rsidRDefault="005B511D" w:rsidP="003953F1">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D43CEC">
              <w:rPr>
                <w:sz w:val="18"/>
                <w:szCs w:val="18"/>
              </w:rPr>
              <w:t>Intraperitoneal</w:t>
            </w:r>
          </w:p>
        </w:tc>
        <w:tc>
          <w:tcPr>
            <w:tcW w:w="1985" w:type="dxa"/>
          </w:tcPr>
          <w:p w14:paraId="28D35B0F" w14:textId="744D89D8" w:rsidR="005B511D" w:rsidRPr="001D130E" w:rsidRDefault="00070044" w:rsidP="005B511D">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D43CEC">
              <w:rPr>
                <w:sz w:val="18"/>
                <w:szCs w:val="18"/>
              </w:rPr>
              <w:t>3 injections at weekly intervals</w:t>
            </w:r>
          </w:p>
        </w:tc>
        <w:tc>
          <w:tcPr>
            <w:tcW w:w="4110" w:type="dxa"/>
          </w:tcPr>
          <w:p w14:paraId="3C71C185" w14:textId="79373649" w:rsidR="005B511D" w:rsidRPr="001D130E" w:rsidRDefault="005B511D" w:rsidP="003953F1">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Some neurochemical variations observed at doses of 3.6 mg/kg bw paraquat ion (Brooks et al, 1999)</w:t>
            </w:r>
            <w:r w:rsidR="00070044">
              <w:rPr>
                <w:sz w:val="18"/>
                <w:szCs w:val="18"/>
              </w:rPr>
              <w:t>.</w:t>
            </w:r>
          </w:p>
        </w:tc>
      </w:tr>
      <w:tr w:rsidR="00331284" w:rsidRPr="001D130E" w14:paraId="388259BE" w14:textId="77777777" w:rsidTr="003953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dxa"/>
            <w:vMerge w:val="restart"/>
          </w:tcPr>
          <w:p w14:paraId="7E319765" w14:textId="66C0BC03" w:rsidR="00331284" w:rsidRPr="00D43CEC" w:rsidRDefault="00331284" w:rsidP="00B5352B">
            <w:pPr>
              <w:keepNext/>
              <w:jc w:val="left"/>
              <w:rPr>
                <w:b w:val="0"/>
                <w:sz w:val="18"/>
                <w:szCs w:val="18"/>
              </w:rPr>
            </w:pPr>
            <w:r>
              <w:rPr>
                <w:b w:val="0"/>
                <w:sz w:val="18"/>
                <w:szCs w:val="18"/>
              </w:rPr>
              <w:t>Rat</w:t>
            </w:r>
          </w:p>
        </w:tc>
        <w:tc>
          <w:tcPr>
            <w:tcW w:w="1993" w:type="dxa"/>
            <w:vMerge w:val="restart"/>
          </w:tcPr>
          <w:p w14:paraId="5FE791FD" w14:textId="7B836702" w:rsidR="00331284" w:rsidRPr="00D43CEC" w:rsidRDefault="00331284" w:rsidP="00117A96">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D43CEC">
              <w:rPr>
                <w:sz w:val="18"/>
                <w:szCs w:val="18"/>
              </w:rPr>
              <w:t>Subcutaneous</w:t>
            </w:r>
          </w:p>
          <w:p w14:paraId="51D8801C" w14:textId="3ACCD751" w:rsidR="00331284" w:rsidRPr="00D43CEC" w:rsidRDefault="00331284" w:rsidP="005B511D">
            <w:pPr>
              <w:keepNext/>
              <w:jc w:val="left"/>
              <w:cnfStyle w:val="000000100000" w:firstRow="0" w:lastRow="0" w:firstColumn="0" w:lastColumn="0" w:oddVBand="0" w:evenVBand="0" w:oddHBand="1" w:evenHBand="0" w:firstRowFirstColumn="0" w:firstRowLastColumn="0" w:lastRowFirstColumn="0" w:lastRowLastColumn="0"/>
              <w:rPr>
                <w:sz w:val="18"/>
                <w:szCs w:val="18"/>
              </w:rPr>
            </w:pPr>
          </w:p>
          <w:p w14:paraId="4F89ED69" w14:textId="12E2E315" w:rsidR="00331284" w:rsidRPr="00D43CEC" w:rsidRDefault="00331284" w:rsidP="003953F1">
            <w:pPr>
              <w:keepNext/>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1985" w:type="dxa"/>
          </w:tcPr>
          <w:p w14:paraId="6B4459EB" w14:textId="0855E54F" w:rsidR="00331284" w:rsidRPr="001D130E" w:rsidRDefault="00331284" w:rsidP="005B511D">
            <w:pPr>
              <w:keepNext/>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Single injection</w:t>
            </w:r>
          </w:p>
        </w:tc>
        <w:tc>
          <w:tcPr>
            <w:tcW w:w="4110" w:type="dxa"/>
          </w:tcPr>
          <w:p w14:paraId="4AAA9681" w14:textId="68D26A49" w:rsidR="00331284" w:rsidRPr="001D130E" w:rsidRDefault="00331284" w:rsidP="003953F1">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No effects observed at dose of 3.6 mg/kg bw paraquat ion.</w:t>
            </w:r>
          </w:p>
          <w:p w14:paraId="0D5CB46C" w14:textId="77777777" w:rsidR="00331284" w:rsidRPr="001D130E" w:rsidRDefault="00331284" w:rsidP="003953F1">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Behavioural effects and neural damage observed at dose of 14.4 mg/kg bw paraquat ion (Corasaniti et al, 1992).</w:t>
            </w:r>
          </w:p>
        </w:tc>
      </w:tr>
      <w:tr w:rsidR="00331284" w:rsidRPr="001D130E" w14:paraId="7070C774" w14:textId="77777777" w:rsidTr="007A5E9A">
        <w:tc>
          <w:tcPr>
            <w:cnfStyle w:val="001000000000" w:firstRow="0" w:lastRow="0" w:firstColumn="1" w:lastColumn="0" w:oddVBand="0" w:evenVBand="0" w:oddHBand="0" w:evenHBand="0" w:firstRowFirstColumn="0" w:firstRowLastColumn="0" w:lastRowFirstColumn="0" w:lastRowLastColumn="0"/>
            <w:tcW w:w="979" w:type="dxa"/>
            <w:vMerge/>
          </w:tcPr>
          <w:p w14:paraId="7BB9A4F0" w14:textId="216BDC4B" w:rsidR="00331284" w:rsidRPr="00D43CEC" w:rsidRDefault="00331284" w:rsidP="00B5352B">
            <w:pPr>
              <w:keepNext/>
              <w:jc w:val="left"/>
              <w:rPr>
                <w:b w:val="0"/>
                <w:sz w:val="18"/>
                <w:szCs w:val="18"/>
              </w:rPr>
            </w:pPr>
          </w:p>
        </w:tc>
        <w:tc>
          <w:tcPr>
            <w:tcW w:w="1993" w:type="dxa"/>
            <w:vMerge/>
          </w:tcPr>
          <w:p w14:paraId="1BF98001" w14:textId="03228F7E" w:rsidR="00331284" w:rsidRPr="00D43CEC" w:rsidRDefault="00331284" w:rsidP="003953F1">
            <w:pPr>
              <w:keepNext/>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1985" w:type="dxa"/>
            <w:vMerge w:val="restart"/>
          </w:tcPr>
          <w:p w14:paraId="37414B65" w14:textId="624ABC26" w:rsidR="00331284" w:rsidRPr="001D130E" w:rsidRDefault="00331284" w:rsidP="005B511D">
            <w:pPr>
              <w:keepNext/>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5 days</w:t>
            </w:r>
          </w:p>
        </w:tc>
        <w:tc>
          <w:tcPr>
            <w:tcW w:w="4110" w:type="dxa"/>
          </w:tcPr>
          <w:p w14:paraId="6355DF9F" w14:textId="4FD81CC9" w:rsidR="00331284" w:rsidRPr="001D130E" w:rsidRDefault="00331284" w:rsidP="003953F1">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Some neurochemical variations observed at a dose of 10 mg/kg bw/d (Shimizu et al, 2003)</w:t>
            </w:r>
            <w:r>
              <w:rPr>
                <w:sz w:val="18"/>
                <w:szCs w:val="18"/>
              </w:rPr>
              <w:t>.</w:t>
            </w:r>
          </w:p>
        </w:tc>
      </w:tr>
      <w:tr w:rsidR="00331284" w:rsidRPr="001D130E" w14:paraId="0E7D1532" w14:textId="77777777" w:rsidTr="007A5E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dxa"/>
            <w:vMerge/>
          </w:tcPr>
          <w:p w14:paraId="31A0A52D" w14:textId="5444A3BE" w:rsidR="00331284" w:rsidRPr="00D43CEC" w:rsidRDefault="00331284" w:rsidP="00B5352B">
            <w:pPr>
              <w:keepNext/>
              <w:jc w:val="left"/>
              <w:rPr>
                <w:b w:val="0"/>
                <w:sz w:val="18"/>
                <w:szCs w:val="18"/>
              </w:rPr>
            </w:pPr>
          </w:p>
        </w:tc>
        <w:tc>
          <w:tcPr>
            <w:tcW w:w="1993" w:type="dxa"/>
            <w:vMerge/>
          </w:tcPr>
          <w:p w14:paraId="7AED88E2" w14:textId="651D89F3" w:rsidR="00331284" w:rsidRPr="00D43CEC" w:rsidRDefault="00331284" w:rsidP="003953F1">
            <w:pPr>
              <w:keepNext/>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1985" w:type="dxa"/>
            <w:vMerge/>
          </w:tcPr>
          <w:p w14:paraId="254E597D" w14:textId="0DC05017" w:rsidR="00331284" w:rsidRPr="001D130E" w:rsidRDefault="00331284" w:rsidP="005B511D">
            <w:pPr>
              <w:keepNext/>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4110" w:type="dxa"/>
          </w:tcPr>
          <w:p w14:paraId="1562E879" w14:textId="5EF62DF8" w:rsidR="00331284" w:rsidRPr="001D130E" w:rsidRDefault="00331284" w:rsidP="003953F1">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Some neurochemical variations observed at a dose of 10 mg/kg bw/d (Kuter et al, 2007).</w:t>
            </w:r>
          </w:p>
        </w:tc>
      </w:tr>
      <w:tr w:rsidR="00331284" w:rsidRPr="001D130E" w14:paraId="1D01D74D" w14:textId="77777777" w:rsidTr="007A5E9A">
        <w:tc>
          <w:tcPr>
            <w:cnfStyle w:val="001000000000" w:firstRow="0" w:lastRow="0" w:firstColumn="1" w:lastColumn="0" w:oddVBand="0" w:evenVBand="0" w:oddHBand="0" w:evenHBand="0" w:firstRowFirstColumn="0" w:firstRowLastColumn="0" w:lastRowFirstColumn="0" w:lastRowLastColumn="0"/>
            <w:tcW w:w="979" w:type="dxa"/>
            <w:vMerge/>
          </w:tcPr>
          <w:p w14:paraId="6FA2CB38" w14:textId="70E91777" w:rsidR="00331284" w:rsidRPr="00D43CEC" w:rsidRDefault="00331284" w:rsidP="00B5352B">
            <w:pPr>
              <w:keepNext/>
              <w:jc w:val="left"/>
              <w:rPr>
                <w:b w:val="0"/>
                <w:sz w:val="18"/>
                <w:szCs w:val="18"/>
              </w:rPr>
            </w:pPr>
          </w:p>
        </w:tc>
        <w:tc>
          <w:tcPr>
            <w:tcW w:w="1993" w:type="dxa"/>
            <w:vMerge w:val="restart"/>
          </w:tcPr>
          <w:p w14:paraId="2D6660E3" w14:textId="6C824824" w:rsidR="00331284" w:rsidRPr="00D43CEC" w:rsidRDefault="00331284" w:rsidP="00117A96">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D43CEC">
              <w:rPr>
                <w:sz w:val="18"/>
                <w:szCs w:val="18"/>
              </w:rPr>
              <w:t>Intraperitoneal</w:t>
            </w:r>
          </w:p>
          <w:p w14:paraId="4B9FB4A3" w14:textId="5BD8FAB6" w:rsidR="00331284" w:rsidRPr="00D43CEC" w:rsidRDefault="00331284" w:rsidP="00117A96">
            <w:pPr>
              <w:keepNext/>
              <w:jc w:val="left"/>
              <w:cnfStyle w:val="000000000000" w:firstRow="0" w:lastRow="0" w:firstColumn="0" w:lastColumn="0" w:oddVBand="0" w:evenVBand="0" w:oddHBand="0" w:evenHBand="0" w:firstRowFirstColumn="0" w:firstRowLastColumn="0" w:lastRowFirstColumn="0" w:lastRowLastColumn="0"/>
              <w:rPr>
                <w:sz w:val="18"/>
                <w:szCs w:val="18"/>
              </w:rPr>
            </w:pPr>
          </w:p>
          <w:p w14:paraId="48E1B8B1" w14:textId="4580254F" w:rsidR="00331284" w:rsidRPr="00D43CEC" w:rsidRDefault="00331284" w:rsidP="00117A96">
            <w:pPr>
              <w:keepNext/>
              <w:jc w:val="left"/>
              <w:cnfStyle w:val="000000000000" w:firstRow="0" w:lastRow="0" w:firstColumn="0" w:lastColumn="0" w:oddVBand="0" w:evenVBand="0" w:oddHBand="0" w:evenHBand="0" w:firstRowFirstColumn="0" w:firstRowLastColumn="0" w:lastRowFirstColumn="0" w:lastRowLastColumn="0"/>
              <w:rPr>
                <w:sz w:val="18"/>
                <w:szCs w:val="18"/>
              </w:rPr>
            </w:pPr>
          </w:p>
          <w:p w14:paraId="16773239" w14:textId="64138938" w:rsidR="00331284" w:rsidRPr="00D43CEC" w:rsidRDefault="00331284" w:rsidP="00117A96">
            <w:pPr>
              <w:keepNext/>
              <w:jc w:val="left"/>
              <w:cnfStyle w:val="000000000000" w:firstRow="0" w:lastRow="0" w:firstColumn="0" w:lastColumn="0" w:oddVBand="0" w:evenVBand="0" w:oddHBand="0" w:evenHBand="0" w:firstRowFirstColumn="0" w:firstRowLastColumn="0" w:lastRowFirstColumn="0" w:lastRowLastColumn="0"/>
              <w:rPr>
                <w:sz w:val="18"/>
                <w:szCs w:val="18"/>
              </w:rPr>
            </w:pPr>
          </w:p>
          <w:p w14:paraId="535B1C0D" w14:textId="51359FD4" w:rsidR="00331284" w:rsidRPr="00D43CEC"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1985" w:type="dxa"/>
            <w:vMerge w:val="restart"/>
          </w:tcPr>
          <w:p w14:paraId="2BA1F08F" w14:textId="30D51E1E" w:rsidR="00331284" w:rsidRPr="001D130E" w:rsidRDefault="00331284" w:rsidP="005B511D">
            <w:pPr>
              <w:keepNext/>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Single injection</w:t>
            </w:r>
          </w:p>
        </w:tc>
        <w:tc>
          <w:tcPr>
            <w:tcW w:w="4110" w:type="dxa"/>
          </w:tcPr>
          <w:p w14:paraId="2B9562F3" w14:textId="49CBD472" w:rsidR="00331284" w:rsidRPr="001D130E"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Increased shaking behaviour observed at doses ≥21.6 mg/kg bw paraquat ion (Hara et al, 1993).</w:t>
            </w:r>
          </w:p>
        </w:tc>
      </w:tr>
      <w:tr w:rsidR="00331284" w:rsidRPr="001D130E" w14:paraId="7D103003" w14:textId="77777777" w:rsidTr="007A5E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dxa"/>
            <w:vMerge/>
          </w:tcPr>
          <w:p w14:paraId="6AAD6256" w14:textId="4EFEB955" w:rsidR="00331284" w:rsidRPr="00D43CEC" w:rsidRDefault="00331284" w:rsidP="00B5352B">
            <w:pPr>
              <w:keepNext/>
              <w:jc w:val="left"/>
              <w:rPr>
                <w:b w:val="0"/>
                <w:sz w:val="18"/>
                <w:szCs w:val="18"/>
              </w:rPr>
            </w:pPr>
          </w:p>
        </w:tc>
        <w:tc>
          <w:tcPr>
            <w:tcW w:w="1993" w:type="dxa"/>
            <w:vMerge/>
          </w:tcPr>
          <w:p w14:paraId="18A27462" w14:textId="2F88C7D1" w:rsidR="00331284" w:rsidRPr="00D43CEC"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1985" w:type="dxa"/>
            <w:vMerge/>
          </w:tcPr>
          <w:p w14:paraId="692BA3D8" w14:textId="5CBB14C0" w:rsidR="00331284" w:rsidRPr="001D130E" w:rsidRDefault="00331284" w:rsidP="005B511D">
            <w:pPr>
              <w:keepNext/>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4110" w:type="dxa"/>
          </w:tcPr>
          <w:p w14:paraId="713ED64A" w14:textId="7E965AF0" w:rsidR="00331284" w:rsidRPr="001D130E"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No effect observed at dose of 3.6 mg/kg bw.</w:t>
            </w:r>
          </w:p>
          <w:p w14:paraId="12AFCB1F" w14:textId="77777777" w:rsidR="00331284" w:rsidRPr="001D130E"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Behavioural effects and neural damage observed at doses at and above 14.4 mg/kg bw paraquat ion (Bagetta et al, 1992).</w:t>
            </w:r>
          </w:p>
        </w:tc>
      </w:tr>
      <w:tr w:rsidR="00331284" w:rsidRPr="001D130E" w14:paraId="3DB6DA6E" w14:textId="77777777" w:rsidTr="007A5E9A">
        <w:tc>
          <w:tcPr>
            <w:cnfStyle w:val="001000000000" w:firstRow="0" w:lastRow="0" w:firstColumn="1" w:lastColumn="0" w:oddVBand="0" w:evenVBand="0" w:oddHBand="0" w:evenHBand="0" w:firstRowFirstColumn="0" w:firstRowLastColumn="0" w:lastRowFirstColumn="0" w:lastRowLastColumn="0"/>
            <w:tcW w:w="979" w:type="dxa"/>
            <w:vMerge/>
          </w:tcPr>
          <w:p w14:paraId="710ED56E" w14:textId="6E5B877A" w:rsidR="00331284" w:rsidRPr="00D43CEC" w:rsidRDefault="00331284" w:rsidP="00B5352B">
            <w:pPr>
              <w:keepNext/>
              <w:jc w:val="left"/>
              <w:rPr>
                <w:b w:val="0"/>
                <w:sz w:val="18"/>
                <w:szCs w:val="18"/>
              </w:rPr>
            </w:pPr>
          </w:p>
        </w:tc>
        <w:tc>
          <w:tcPr>
            <w:tcW w:w="1993" w:type="dxa"/>
            <w:vMerge/>
          </w:tcPr>
          <w:p w14:paraId="611EBDFE" w14:textId="732BE2A3" w:rsidR="00331284" w:rsidRPr="00D43CEC"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1985" w:type="dxa"/>
            <w:vMerge/>
          </w:tcPr>
          <w:p w14:paraId="1A6FA45B" w14:textId="10180007" w:rsidR="00331284" w:rsidRPr="001D130E" w:rsidRDefault="00331284" w:rsidP="005B511D">
            <w:pPr>
              <w:keepNext/>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4110" w:type="dxa"/>
          </w:tcPr>
          <w:p w14:paraId="2C72731D" w14:textId="4A397CA5" w:rsidR="00331284" w:rsidRPr="001D130E"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Consistent but reversible influence on dopamine at a dose of 10 mg/kg bw (Ossowska, 2005a).</w:t>
            </w:r>
          </w:p>
        </w:tc>
      </w:tr>
      <w:tr w:rsidR="00331284" w:rsidRPr="001D130E" w14:paraId="03D6AA93" w14:textId="77777777" w:rsidTr="00B53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dxa"/>
            <w:vMerge/>
          </w:tcPr>
          <w:p w14:paraId="31B66707" w14:textId="55867757" w:rsidR="00331284" w:rsidRPr="00D43CEC" w:rsidRDefault="00331284" w:rsidP="00B5352B">
            <w:pPr>
              <w:keepNext/>
              <w:jc w:val="left"/>
              <w:rPr>
                <w:b w:val="0"/>
                <w:sz w:val="18"/>
                <w:szCs w:val="18"/>
              </w:rPr>
            </w:pPr>
          </w:p>
        </w:tc>
        <w:tc>
          <w:tcPr>
            <w:tcW w:w="1993" w:type="dxa"/>
            <w:vMerge/>
          </w:tcPr>
          <w:p w14:paraId="3D9B429F" w14:textId="77777777" w:rsidR="00331284" w:rsidRPr="00D43CEC"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1985" w:type="dxa"/>
          </w:tcPr>
          <w:p w14:paraId="0857A7C1" w14:textId="6499320B" w:rsidR="00331284" w:rsidRDefault="00331284" w:rsidP="005B511D">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331284">
              <w:rPr>
                <w:sz w:val="18"/>
                <w:szCs w:val="18"/>
              </w:rPr>
              <w:t>1, 2 or 3 injections at weekly intervals</w:t>
            </w:r>
          </w:p>
        </w:tc>
        <w:tc>
          <w:tcPr>
            <w:tcW w:w="4110" w:type="dxa"/>
          </w:tcPr>
          <w:p w14:paraId="24AB1659" w14:textId="77777777" w:rsidR="00331284"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vertAlign w:val="superscript"/>
              </w:rPr>
            </w:pPr>
            <w:r>
              <w:rPr>
                <w:sz w:val="18"/>
                <w:szCs w:val="18"/>
              </w:rPr>
              <w:t xml:space="preserve">NOEL </w:t>
            </w:r>
            <w:r w:rsidRPr="001D130E">
              <w:rPr>
                <w:sz w:val="18"/>
                <w:szCs w:val="18"/>
              </w:rPr>
              <w:t>&gt;25 mg/kg bw/3 weekly ip injections</w:t>
            </w:r>
            <w:r w:rsidRPr="001D130E">
              <w:rPr>
                <w:sz w:val="18"/>
                <w:szCs w:val="18"/>
                <w:vertAlign w:val="superscript"/>
              </w:rPr>
              <w:t>a</w:t>
            </w:r>
          </w:p>
          <w:p w14:paraId="25CB505C" w14:textId="52851824" w:rsidR="00331284" w:rsidRPr="001D130E"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No neuronal cell loss up to the highest tested dose (Beck, 2012a,c).</w:t>
            </w:r>
          </w:p>
        </w:tc>
      </w:tr>
      <w:tr w:rsidR="00331284" w:rsidRPr="001D130E" w14:paraId="0AE752C3" w14:textId="77777777" w:rsidTr="00B5352B">
        <w:tc>
          <w:tcPr>
            <w:cnfStyle w:val="001000000000" w:firstRow="0" w:lastRow="0" w:firstColumn="1" w:lastColumn="0" w:oddVBand="0" w:evenVBand="0" w:oddHBand="0" w:evenHBand="0" w:firstRowFirstColumn="0" w:firstRowLastColumn="0" w:lastRowFirstColumn="0" w:lastRowLastColumn="0"/>
            <w:tcW w:w="979" w:type="dxa"/>
            <w:vMerge/>
          </w:tcPr>
          <w:p w14:paraId="2AE695F7" w14:textId="77777777" w:rsidR="00331284" w:rsidRPr="00D43CEC" w:rsidRDefault="00331284" w:rsidP="00B5352B">
            <w:pPr>
              <w:keepNext/>
              <w:jc w:val="left"/>
              <w:rPr>
                <w:b w:val="0"/>
                <w:sz w:val="18"/>
                <w:szCs w:val="18"/>
              </w:rPr>
            </w:pPr>
          </w:p>
        </w:tc>
        <w:tc>
          <w:tcPr>
            <w:tcW w:w="1993" w:type="dxa"/>
            <w:vMerge/>
          </w:tcPr>
          <w:p w14:paraId="6B13DCB3" w14:textId="1F320536" w:rsidR="00331284" w:rsidRPr="00D43CEC"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1985" w:type="dxa"/>
          </w:tcPr>
          <w:p w14:paraId="656EE43C" w14:textId="7A19495B" w:rsidR="00331284" w:rsidRPr="001D130E" w:rsidRDefault="00331284" w:rsidP="005B511D">
            <w:pPr>
              <w:keepNext/>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Administered twice a week for 4 weeks</w:t>
            </w:r>
          </w:p>
        </w:tc>
        <w:tc>
          <w:tcPr>
            <w:tcW w:w="4110" w:type="dxa"/>
          </w:tcPr>
          <w:p w14:paraId="6411689E" w14:textId="4800E570" w:rsidR="00331284" w:rsidRPr="001D130E"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Toxic effects on dopaminergic neurons observed at dose of 10 mg/kg bw paraquat ion (Cicchetti et al, 2005).</w:t>
            </w:r>
          </w:p>
        </w:tc>
      </w:tr>
      <w:tr w:rsidR="00331284" w:rsidRPr="001D130E" w14:paraId="0C4B9C77" w14:textId="77777777" w:rsidTr="00B53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dxa"/>
            <w:vMerge/>
          </w:tcPr>
          <w:p w14:paraId="675EC2C0" w14:textId="77777777" w:rsidR="00331284" w:rsidRPr="00D43CEC" w:rsidRDefault="00331284" w:rsidP="00B5352B">
            <w:pPr>
              <w:keepNext/>
              <w:jc w:val="left"/>
              <w:rPr>
                <w:b w:val="0"/>
                <w:sz w:val="18"/>
                <w:szCs w:val="18"/>
              </w:rPr>
            </w:pPr>
          </w:p>
        </w:tc>
        <w:tc>
          <w:tcPr>
            <w:tcW w:w="1993" w:type="dxa"/>
            <w:vMerge/>
          </w:tcPr>
          <w:p w14:paraId="39623DA1" w14:textId="336888D8" w:rsidR="00331284" w:rsidRPr="00D43CEC"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1985" w:type="dxa"/>
          </w:tcPr>
          <w:p w14:paraId="50128A7D" w14:textId="37201EBF" w:rsidR="00331284" w:rsidRPr="001D130E" w:rsidRDefault="00331284" w:rsidP="005B511D">
            <w:pPr>
              <w:keepNext/>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Once a week for 4, 8, 12 or 24 weeks</w:t>
            </w:r>
          </w:p>
        </w:tc>
        <w:tc>
          <w:tcPr>
            <w:tcW w:w="4110" w:type="dxa"/>
          </w:tcPr>
          <w:p w14:paraId="76ED6514" w14:textId="6A36B6DF" w:rsidR="00331284" w:rsidRPr="001D130E"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Slowly progressing neuronal effects observed at 10 mg/kg bw (Ossowska, 2005a).</w:t>
            </w:r>
          </w:p>
        </w:tc>
      </w:tr>
      <w:tr w:rsidR="00331284" w:rsidRPr="001D130E" w14:paraId="4E4C5AB9" w14:textId="77777777" w:rsidTr="00B5352B">
        <w:tc>
          <w:tcPr>
            <w:cnfStyle w:val="001000000000" w:firstRow="0" w:lastRow="0" w:firstColumn="1" w:lastColumn="0" w:oddVBand="0" w:evenVBand="0" w:oddHBand="0" w:evenHBand="0" w:firstRowFirstColumn="0" w:firstRowLastColumn="0" w:lastRowFirstColumn="0" w:lastRowLastColumn="0"/>
            <w:tcW w:w="979" w:type="dxa"/>
            <w:vMerge/>
          </w:tcPr>
          <w:p w14:paraId="4BBE3FCC" w14:textId="77777777" w:rsidR="00331284" w:rsidRPr="00D43CEC" w:rsidRDefault="00331284" w:rsidP="00B5352B">
            <w:pPr>
              <w:keepNext/>
              <w:jc w:val="left"/>
              <w:rPr>
                <w:b w:val="0"/>
                <w:sz w:val="18"/>
                <w:szCs w:val="18"/>
              </w:rPr>
            </w:pPr>
          </w:p>
        </w:tc>
        <w:tc>
          <w:tcPr>
            <w:tcW w:w="1993" w:type="dxa"/>
          </w:tcPr>
          <w:p w14:paraId="5CA24249" w14:textId="6DEBC284" w:rsidR="00331284" w:rsidRPr="00D43CEC"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D43CEC">
              <w:rPr>
                <w:sz w:val="18"/>
                <w:szCs w:val="18"/>
              </w:rPr>
              <w:t>Intracerebroventricular</w:t>
            </w:r>
          </w:p>
        </w:tc>
        <w:tc>
          <w:tcPr>
            <w:tcW w:w="1985" w:type="dxa"/>
          </w:tcPr>
          <w:p w14:paraId="2965EC33" w14:textId="127AB294" w:rsidR="00331284" w:rsidRPr="001D130E" w:rsidRDefault="00331284" w:rsidP="005B511D">
            <w:pPr>
              <w:keepNext/>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Single injection</w:t>
            </w:r>
          </w:p>
        </w:tc>
        <w:tc>
          <w:tcPr>
            <w:tcW w:w="4110" w:type="dxa"/>
          </w:tcPr>
          <w:p w14:paraId="3BEEAC14" w14:textId="7257B273" w:rsidR="00331284" w:rsidRPr="001D130E"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Tremor induced at dose of 18.5 µg paraquat ion/rat (Hara et al, 1993).</w:t>
            </w:r>
          </w:p>
        </w:tc>
      </w:tr>
      <w:tr w:rsidR="00331284" w:rsidRPr="001D130E" w14:paraId="0ECEFD83" w14:textId="77777777" w:rsidTr="00B535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dxa"/>
            <w:vMerge/>
          </w:tcPr>
          <w:p w14:paraId="624154C7" w14:textId="77777777" w:rsidR="00331284" w:rsidRPr="00D43CEC" w:rsidRDefault="00331284" w:rsidP="00B5352B">
            <w:pPr>
              <w:keepNext/>
              <w:jc w:val="left"/>
              <w:rPr>
                <w:b w:val="0"/>
                <w:sz w:val="18"/>
                <w:szCs w:val="18"/>
              </w:rPr>
            </w:pPr>
          </w:p>
        </w:tc>
        <w:tc>
          <w:tcPr>
            <w:tcW w:w="1993" w:type="dxa"/>
          </w:tcPr>
          <w:p w14:paraId="7F5E53DF" w14:textId="5B951041" w:rsidR="00331284" w:rsidRPr="00D43CEC"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D43CEC">
              <w:rPr>
                <w:sz w:val="18"/>
                <w:szCs w:val="18"/>
              </w:rPr>
              <w:t>Intravenous</w:t>
            </w:r>
          </w:p>
        </w:tc>
        <w:tc>
          <w:tcPr>
            <w:tcW w:w="1985" w:type="dxa"/>
          </w:tcPr>
          <w:p w14:paraId="4FBF829D" w14:textId="08219EBA" w:rsidR="00331284" w:rsidRPr="001D130E" w:rsidRDefault="00331284" w:rsidP="005B511D">
            <w:pPr>
              <w:keepNext/>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5 days</w:t>
            </w:r>
          </w:p>
        </w:tc>
        <w:tc>
          <w:tcPr>
            <w:tcW w:w="4110" w:type="dxa"/>
          </w:tcPr>
          <w:p w14:paraId="51D90CDB" w14:textId="46233545" w:rsidR="00331284" w:rsidRPr="001D130E"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Some neurochemical variations observed at dose of 14.4 mg/kg bw/d paraquat ion (Tawara et al, 1996).</w:t>
            </w:r>
          </w:p>
        </w:tc>
      </w:tr>
      <w:tr w:rsidR="00331284" w:rsidRPr="001D130E" w14:paraId="7D588CD1" w14:textId="77777777" w:rsidTr="007A5E9A">
        <w:tc>
          <w:tcPr>
            <w:cnfStyle w:val="001000000000" w:firstRow="0" w:lastRow="0" w:firstColumn="1" w:lastColumn="0" w:oddVBand="0" w:evenVBand="0" w:oddHBand="0" w:evenHBand="0" w:firstRowFirstColumn="0" w:firstRowLastColumn="0" w:lastRowFirstColumn="0" w:lastRowLastColumn="0"/>
            <w:tcW w:w="979" w:type="dxa"/>
            <w:vMerge/>
          </w:tcPr>
          <w:p w14:paraId="35E036CC" w14:textId="77777777" w:rsidR="00331284" w:rsidRPr="00D43CEC" w:rsidRDefault="00331284" w:rsidP="00B5352B">
            <w:pPr>
              <w:keepNext/>
              <w:jc w:val="left"/>
              <w:rPr>
                <w:b w:val="0"/>
                <w:sz w:val="18"/>
                <w:szCs w:val="18"/>
              </w:rPr>
            </w:pPr>
          </w:p>
        </w:tc>
        <w:tc>
          <w:tcPr>
            <w:tcW w:w="1993" w:type="dxa"/>
          </w:tcPr>
          <w:p w14:paraId="75A31064" w14:textId="009D7F82" w:rsidR="00331284" w:rsidRPr="00D43CEC"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D43CEC">
              <w:rPr>
                <w:sz w:val="18"/>
                <w:szCs w:val="18"/>
              </w:rPr>
              <w:t>Intrahippocampal</w:t>
            </w:r>
          </w:p>
        </w:tc>
        <w:tc>
          <w:tcPr>
            <w:tcW w:w="1985" w:type="dxa"/>
            <w:vMerge w:val="restart"/>
          </w:tcPr>
          <w:p w14:paraId="5DAB81A5" w14:textId="0CD2F993" w:rsidR="00331284" w:rsidRPr="001D130E" w:rsidRDefault="00331284" w:rsidP="005B511D">
            <w:pPr>
              <w:keepNext/>
              <w:jc w:val="left"/>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Single injection</w:t>
            </w:r>
          </w:p>
        </w:tc>
        <w:tc>
          <w:tcPr>
            <w:tcW w:w="4110" w:type="dxa"/>
          </w:tcPr>
          <w:p w14:paraId="350E36C9" w14:textId="0102A61E" w:rsidR="00331284" w:rsidRPr="001D130E"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Behavioural effects and neural damage observed at and above dose of 13.4 µg paraquat ion (Bagetta et al, 1992).</w:t>
            </w:r>
          </w:p>
        </w:tc>
      </w:tr>
      <w:tr w:rsidR="00331284" w:rsidRPr="001D130E" w14:paraId="277ECEE8" w14:textId="77777777" w:rsidTr="007A5E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9" w:type="dxa"/>
            <w:vMerge/>
          </w:tcPr>
          <w:p w14:paraId="491F18EC" w14:textId="77777777" w:rsidR="00331284" w:rsidRPr="00D43CEC" w:rsidRDefault="00331284" w:rsidP="00B5352B">
            <w:pPr>
              <w:keepNext/>
              <w:jc w:val="left"/>
              <w:rPr>
                <w:b w:val="0"/>
                <w:sz w:val="18"/>
                <w:szCs w:val="18"/>
              </w:rPr>
            </w:pPr>
          </w:p>
        </w:tc>
        <w:tc>
          <w:tcPr>
            <w:tcW w:w="1993" w:type="dxa"/>
          </w:tcPr>
          <w:p w14:paraId="490BFE42" w14:textId="40BB66E9" w:rsidR="00331284" w:rsidRPr="00D43CEC"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D43CEC">
              <w:rPr>
                <w:sz w:val="18"/>
                <w:szCs w:val="18"/>
              </w:rPr>
              <w:t>Intracerebral</w:t>
            </w:r>
          </w:p>
        </w:tc>
        <w:tc>
          <w:tcPr>
            <w:tcW w:w="1985" w:type="dxa"/>
            <w:vMerge/>
          </w:tcPr>
          <w:p w14:paraId="79904BDA" w14:textId="51FBEE10" w:rsidR="00331284" w:rsidRPr="001D130E" w:rsidRDefault="00331284" w:rsidP="005B511D">
            <w:pPr>
              <w:keepNext/>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4110" w:type="dxa"/>
          </w:tcPr>
          <w:p w14:paraId="772A2949" w14:textId="1799925A" w:rsidR="00331284" w:rsidRPr="001D130E" w:rsidRDefault="00331284" w:rsidP="00B5352B">
            <w:pPr>
              <w:keepNext/>
              <w:jc w:val="left"/>
              <w:cnfStyle w:val="000000100000" w:firstRow="0" w:lastRow="0" w:firstColumn="0" w:lastColumn="0" w:oddVBand="0" w:evenVBand="0" w:oddHBand="1" w:evenHBand="0" w:firstRowFirstColumn="0" w:firstRowLastColumn="0" w:lastRowFirstColumn="0" w:lastRowLastColumn="0"/>
              <w:rPr>
                <w:sz w:val="18"/>
                <w:szCs w:val="18"/>
              </w:rPr>
            </w:pPr>
            <w:r w:rsidRPr="001D130E">
              <w:rPr>
                <w:sz w:val="18"/>
                <w:szCs w:val="18"/>
              </w:rPr>
              <w:t>Behavioural effects and neural cell damage observed at dose of 13.4 µg/kg bw paraquat ion (Corasaniti et al, 1992).</w:t>
            </w:r>
          </w:p>
        </w:tc>
      </w:tr>
      <w:tr w:rsidR="00331284" w:rsidRPr="001D130E" w14:paraId="42B5000F" w14:textId="77777777" w:rsidTr="007A5E9A">
        <w:tc>
          <w:tcPr>
            <w:cnfStyle w:val="001000000000" w:firstRow="0" w:lastRow="0" w:firstColumn="1" w:lastColumn="0" w:oddVBand="0" w:evenVBand="0" w:oddHBand="0" w:evenHBand="0" w:firstRowFirstColumn="0" w:firstRowLastColumn="0" w:lastRowFirstColumn="0" w:lastRowLastColumn="0"/>
            <w:tcW w:w="979" w:type="dxa"/>
            <w:vMerge/>
          </w:tcPr>
          <w:p w14:paraId="46D457A6" w14:textId="77777777" w:rsidR="00331284" w:rsidRPr="00D43CEC" w:rsidRDefault="00331284" w:rsidP="00B5352B">
            <w:pPr>
              <w:keepNext/>
              <w:jc w:val="left"/>
              <w:rPr>
                <w:b w:val="0"/>
                <w:sz w:val="18"/>
                <w:szCs w:val="18"/>
              </w:rPr>
            </w:pPr>
          </w:p>
        </w:tc>
        <w:tc>
          <w:tcPr>
            <w:tcW w:w="1993" w:type="dxa"/>
          </w:tcPr>
          <w:p w14:paraId="5B334C13" w14:textId="36BFC8A5" w:rsidR="00331284" w:rsidRPr="00D43CEC"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D43CEC">
              <w:rPr>
                <w:sz w:val="18"/>
                <w:szCs w:val="18"/>
              </w:rPr>
              <w:t>Intranigral</w:t>
            </w:r>
          </w:p>
        </w:tc>
        <w:tc>
          <w:tcPr>
            <w:tcW w:w="1985" w:type="dxa"/>
            <w:vMerge/>
          </w:tcPr>
          <w:p w14:paraId="2EC253C5" w14:textId="20D5CD21" w:rsidR="00331284" w:rsidRPr="001D130E" w:rsidRDefault="00331284" w:rsidP="005B511D">
            <w:pPr>
              <w:keepNext/>
              <w:jc w:val="left"/>
              <w:cnfStyle w:val="000000000000" w:firstRow="0" w:lastRow="0" w:firstColumn="0" w:lastColumn="0" w:oddVBand="0" w:evenVBand="0" w:oddHBand="0" w:evenHBand="0" w:firstRowFirstColumn="0" w:firstRowLastColumn="0" w:lastRowFirstColumn="0" w:lastRowLastColumn="0"/>
              <w:rPr>
                <w:sz w:val="18"/>
                <w:szCs w:val="18"/>
              </w:rPr>
            </w:pPr>
          </w:p>
        </w:tc>
        <w:tc>
          <w:tcPr>
            <w:tcW w:w="4110" w:type="dxa"/>
          </w:tcPr>
          <w:p w14:paraId="131FE4CB" w14:textId="2FBADD23" w:rsidR="00331284" w:rsidRPr="001D130E"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Neurochemical variations observed at dose of 0.72 µg paraquat ion.</w:t>
            </w:r>
          </w:p>
          <w:p w14:paraId="4998E955" w14:textId="77777777" w:rsidR="00331284" w:rsidRPr="001D130E"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Neural damage observed at dose of 1.44 µg paraquat ion.</w:t>
            </w:r>
          </w:p>
          <w:p w14:paraId="0A3C3474" w14:textId="77777777" w:rsidR="00331284" w:rsidRPr="001D130E" w:rsidRDefault="00331284" w:rsidP="00B5352B">
            <w:pPr>
              <w:keepNext/>
              <w:jc w:val="left"/>
              <w:cnfStyle w:val="000000000000" w:firstRow="0" w:lastRow="0" w:firstColumn="0" w:lastColumn="0" w:oddVBand="0" w:evenVBand="0" w:oddHBand="0" w:evenHBand="0" w:firstRowFirstColumn="0" w:firstRowLastColumn="0" w:lastRowFirstColumn="0" w:lastRowLastColumn="0"/>
              <w:rPr>
                <w:sz w:val="18"/>
                <w:szCs w:val="18"/>
              </w:rPr>
            </w:pPr>
            <w:r w:rsidRPr="001D130E">
              <w:rPr>
                <w:sz w:val="18"/>
                <w:szCs w:val="18"/>
              </w:rPr>
              <w:t>Behavioural effects observed at dose of 2.16 µg paraquat ion (Liou et al, 1996).</w:t>
            </w:r>
          </w:p>
        </w:tc>
      </w:tr>
    </w:tbl>
    <w:p w14:paraId="515EB6FE" w14:textId="77777777" w:rsidR="00331284" w:rsidRPr="001D130E" w:rsidDel="00331284" w:rsidRDefault="00331284" w:rsidP="00331284">
      <w:pPr>
        <w:spacing w:line="276" w:lineRule="auto"/>
        <w:jc w:val="left"/>
        <w:rPr>
          <w:rFonts w:asciiTheme="minorHAnsi" w:eastAsiaTheme="minorHAnsi" w:hAnsiTheme="minorHAnsi" w:cstheme="minorBidi"/>
          <w:sz w:val="18"/>
          <w:szCs w:val="18"/>
          <w:lang w:eastAsia="en-US"/>
        </w:rPr>
      </w:pPr>
      <w:r w:rsidRPr="001D130E" w:rsidDel="00331284">
        <w:rPr>
          <w:rFonts w:asciiTheme="minorHAnsi" w:eastAsiaTheme="minorHAnsi" w:hAnsiTheme="minorHAnsi" w:cstheme="minorBidi"/>
          <w:sz w:val="18"/>
          <w:szCs w:val="18"/>
          <w:vertAlign w:val="superscript"/>
          <w:lang w:eastAsia="en-US"/>
        </w:rPr>
        <w:t xml:space="preserve">a </w:t>
      </w:r>
      <w:r w:rsidRPr="001D130E" w:rsidDel="00331284">
        <w:rPr>
          <w:rFonts w:asciiTheme="minorHAnsi" w:eastAsiaTheme="minorHAnsi" w:hAnsiTheme="minorHAnsi" w:cstheme="minorBidi"/>
          <w:sz w:val="18"/>
          <w:szCs w:val="18"/>
          <w:lang w:eastAsia="en-US"/>
        </w:rPr>
        <w:t>Highest dose tested</w:t>
      </w:r>
    </w:p>
    <w:p w14:paraId="55199BDE" w14:textId="77777777" w:rsidR="00945D9F" w:rsidRPr="001D130E" w:rsidRDefault="00945D9F" w:rsidP="001D130E">
      <w:pPr>
        <w:spacing w:after="200" w:line="276" w:lineRule="auto"/>
        <w:jc w:val="left"/>
        <w:rPr>
          <w:rFonts w:asciiTheme="minorHAnsi" w:eastAsiaTheme="minorHAnsi" w:hAnsiTheme="minorHAnsi" w:cstheme="minorBidi"/>
          <w:sz w:val="18"/>
          <w:szCs w:val="18"/>
          <w:lang w:eastAsia="en-US"/>
        </w:rPr>
      </w:pPr>
    </w:p>
    <w:p w14:paraId="755B7262" w14:textId="77777777" w:rsidR="00110E09" w:rsidRPr="00110E09" w:rsidRDefault="00AD66E6" w:rsidP="00385097">
      <w:pPr>
        <w:pStyle w:val="Heading2"/>
        <w:rPr>
          <w:lang w:eastAsia="en-US"/>
        </w:rPr>
      </w:pPr>
      <w:bookmarkStart w:id="59" w:name="_Toc459108302"/>
      <w:r w:rsidRPr="00110E09">
        <w:rPr>
          <w:lang w:eastAsia="en-US"/>
        </w:rPr>
        <w:t>Epidemiology</w:t>
      </w:r>
      <w:bookmarkEnd w:id="59"/>
    </w:p>
    <w:p w14:paraId="50401F33" w14:textId="77777777" w:rsidR="00E63606" w:rsidRDefault="00E63606" w:rsidP="0008427E">
      <w:pPr>
        <w:rPr>
          <w:szCs w:val="24"/>
          <w:lang w:val="en-US" w:eastAsia="en-US"/>
        </w:rPr>
      </w:pPr>
      <w:r>
        <w:rPr>
          <w:iCs/>
          <w:color w:val="000000"/>
          <w:szCs w:val="24"/>
          <w:lang w:val="en-US"/>
        </w:rPr>
        <w:t xml:space="preserve">Epidemiology studies </w:t>
      </w:r>
      <w:r w:rsidR="00181841">
        <w:rPr>
          <w:iCs/>
          <w:color w:val="000000"/>
          <w:szCs w:val="24"/>
          <w:lang w:val="en-US"/>
        </w:rPr>
        <w:t xml:space="preserve">by Kamel </w:t>
      </w:r>
      <w:r w:rsidR="00181841" w:rsidRPr="009E40A8">
        <w:rPr>
          <w:i/>
          <w:iCs/>
          <w:color w:val="000000"/>
          <w:szCs w:val="24"/>
          <w:lang w:val="en-US"/>
        </w:rPr>
        <w:t>et al</w:t>
      </w:r>
      <w:r w:rsidR="00181841">
        <w:rPr>
          <w:iCs/>
          <w:color w:val="000000"/>
          <w:szCs w:val="24"/>
          <w:lang w:val="en-US"/>
        </w:rPr>
        <w:t xml:space="preserve"> (2007) and Costello </w:t>
      </w:r>
      <w:r w:rsidR="00181841" w:rsidRPr="009E40A8">
        <w:rPr>
          <w:i/>
          <w:iCs/>
          <w:color w:val="000000"/>
          <w:szCs w:val="24"/>
          <w:lang w:val="en-US"/>
        </w:rPr>
        <w:t>et al</w:t>
      </w:r>
      <w:r w:rsidR="00181841">
        <w:rPr>
          <w:iCs/>
          <w:color w:val="000000"/>
          <w:szCs w:val="24"/>
          <w:lang w:val="en-US"/>
        </w:rPr>
        <w:t xml:space="preserve"> (2009)</w:t>
      </w:r>
      <w:r>
        <w:rPr>
          <w:iCs/>
          <w:color w:val="000000"/>
          <w:szCs w:val="24"/>
          <w:lang w:val="en-US"/>
        </w:rPr>
        <w:t xml:space="preserve"> claimed an association between Parkinson’s disease and exposure to paraquat or pesticides.</w:t>
      </w:r>
      <w:r w:rsidRPr="00E63606">
        <w:rPr>
          <w:szCs w:val="24"/>
          <w:lang w:val="en-US" w:eastAsia="en-US"/>
        </w:rPr>
        <w:t xml:space="preserve"> </w:t>
      </w:r>
      <w:r>
        <w:rPr>
          <w:szCs w:val="24"/>
          <w:lang w:val="en-US" w:eastAsia="en-US"/>
        </w:rPr>
        <w:t xml:space="preserve">A comprehensive analysis was conducted for these studies, in terms of robustness of survey methodology, and in terms </w:t>
      </w:r>
      <w:r>
        <w:rPr>
          <w:szCs w:val="24"/>
          <w:lang w:val="en-US" w:eastAsia="en-US"/>
        </w:rPr>
        <w:lastRenderedPageBreak/>
        <w:t xml:space="preserve">of the basis for the strength of the associations which were </w:t>
      </w:r>
      <w:r w:rsidR="00B77DB3">
        <w:rPr>
          <w:szCs w:val="24"/>
          <w:lang w:val="en-US" w:eastAsia="en-US"/>
        </w:rPr>
        <w:t xml:space="preserve">drawn in the respective reports </w:t>
      </w:r>
      <w:r>
        <w:rPr>
          <w:szCs w:val="24"/>
          <w:lang w:val="en-US" w:eastAsia="en-US"/>
        </w:rPr>
        <w:t>(</w:t>
      </w:r>
      <w:r w:rsidR="00D169AF">
        <w:rPr>
          <w:szCs w:val="24"/>
          <w:lang w:val="en-US" w:eastAsia="en-US"/>
        </w:rPr>
        <w:t xml:space="preserve">presented in detail in Section </w:t>
      </w:r>
      <w:r w:rsidR="00897462">
        <w:rPr>
          <w:szCs w:val="24"/>
          <w:lang w:val="en-US" w:eastAsia="en-US"/>
        </w:rPr>
        <w:fldChar w:fldCharType="begin"/>
      </w:r>
      <w:r w:rsidR="00D169AF">
        <w:rPr>
          <w:szCs w:val="24"/>
          <w:lang w:val="en-US" w:eastAsia="en-US"/>
        </w:rPr>
        <w:instrText xml:space="preserve"> REF _Ref278788670 \r \h </w:instrText>
      </w:r>
      <w:r w:rsidR="00897462">
        <w:rPr>
          <w:szCs w:val="24"/>
          <w:lang w:val="en-US" w:eastAsia="en-US"/>
        </w:rPr>
      </w:r>
      <w:r w:rsidR="00897462">
        <w:rPr>
          <w:szCs w:val="24"/>
          <w:lang w:val="en-US" w:eastAsia="en-US"/>
        </w:rPr>
        <w:fldChar w:fldCharType="separate"/>
      </w:r>
      <w:r w:rsidR="000E54B2">
        <w:rPr>
          <w:szCs w:val="24"/>
          <w:lang w:val="en-US" w:eastAsia="en-US"/>
        </w:rPr>
        <w:t>11</w:t>
      </w:r>
      <w:r w:rsidR="00897462">
        <w:rPr>
          <w:szCs w:val="24"/>
          <w:lang w:val="en-US" w:eastAsia="en-US"/>
        </w:rPr>
        <w:fldChar w:fldCharType="end"/>
      </w:r>
      <w:r w:rsidR="00D169AF">
        <w:rPr>
          <w:szCs w:val="24"/>
          <w:lang w:val="en-US" w:eastAsia="en-US"/>
        </w:rPr>
        <w:t>)</w:t>
      </w:r>
      <w:r>
        <w:rPr>
          <w:szCs w:val="24"/>
          <w:lang w:val="en-US" w:eastAsia="en-US"/>
        </w:rPr>
        <w:t>.</w:t>
      </w:r>
      <w:r w:rsidR="00F167A3">
        <w:rPr>
          <w:szCs w:val="24"/>
          <w:lang w:val="en-US" w:eastAsia="en-US"/>
        </w:rPr>
        <w:t xml:space="preserve"> </w:t>
      </w:r>
      <w:r w:rsidR="00E5254E">
        <w:rPr>
          <w:szCs w:val="24"/>
          <w:lang w:val="en-US" w:eastAsia="en-US"/>
        </w:rPr>
        <w:t xml:space="preserve">It was concluded that </w:t>
      </w:r>
      <w:r w:rsidR="004A397F">
        <w:rPr>
          <w:szCs w:val="24"/>
          <w:lang w:val="en-US" w:eastAsia="en-US"/>
        </w:rPr>
        <w:t xml:space="preserve">although </w:t>
      </w:r>
      <w:r w:rsidR="00E5254E">
        <w:rPr>
          <w:szCs w:val="24"/>
          <w:lang w:val="en-US" w:eastAsia="en-US"/>
        </w:rPr>
        <w:t>the data indicated a slight trend towards a positive statistical association between pesticide exposure and the presence of Parkinson’s disease, the strength of this association was considered to be tenuous.</w:t>
      </w:r>
      <w:r w:rsidR="00F167A3">
        <w:rPr>
          <w:szCs w:val="24"/>
          <w:lang w:val="en-US" w:eastAsia="en-US"/>
        </w:rPr>
        <w:t xml:space="preserve"> </w:t>
      </w:r>
    </w:p>
    <w:p w14:paraId="46F9BC45" w14:textId="77777777" w:rsidR="00E63606" w:rsidRDefault="00E63606" w:rsidP="0008427E">
      <w:pPr>
        <w:rPr>
          <w:szCs w:val="24"/>
          <w:lang w:val="en-US" w:eastAsia="en-US"/>
        </w:rPr>
      </w:pPr>
    </w:p>
    <w:p w14:paraId="405424B9" w14:textId="382C9671" w:rsidR="00110E09" w:rsidRPr="001F685E" w:rsidRDefault="00CD4ED1" w:rsidP="001F685E">
      <w:r>
        <w:t xml:space="preserve">Tomenson and Campbell (2011) conducted a retrospective cohort study to assess the risk of Parkinson’s disease among a UK workforce who manufactured paraquat. The study was based on an original cohort from Paddle </w:t>
      </w:r>
      <w:r w:rsidRPr="005B6F39">
        <w:rPr>
          <w:i/>
        </w:rPr>
        <w:t>et al</w:t>
      </w:r>
      <w:r>
        <w:t xml:space="preserve"> (1991) assessing workers manufacturing paraquat in 4 plants from 1961-1985. It was considered feasible that exposure of these manufacturing workers was at least comparable to paraquat sprayers, based on static and personal monitoring data, although high </w:t>
      </w:r>
      <w:r w:rsidR="00794F11">
        <w:t>exposure</w:t>
      </w:r>
      <w:r>
        <w:t xml:space="preserve"> was only considered likely in workers from the </w:t>
      </w:r>
      <w:r w:rsidR="00D05861">
        <w:t>19</w:t>
      </w:r>
      <w:r>
        <w:t>60s. No evidence of an increase in Parkinson’s was found as compared to control populations.</w:t>
      </w:r>
      <w:r w:rsidR="001F685E">
        <w:br w:type="page"/>
      </w:r>
    </w:p>
    <w:p w14:paraId="7711A937" w14:textId="77777777" w:rsidR="002B2CFC" w:rsidRPr="00EA3539" w:rsidRDefault="006A77BB" w:rsidP="00AA1EA2">
      <w:pPr>
        <w:pStyle w:val="Heading1"/>
        <w:jc w:val="left"/>
      </w:pPr>
      <w:bookmarkStart w:id="60" w:name="_Ref399231961"/>
      <w:bookmarkStart w:id="61" w:name="_Toc459108303"/>
      <w:r w:rsidRPr="00EA3539">
        <w:lastRenderedPageBreak/>
        <w:t>E</w:t>
      </w:r>
      <w:r w:rsidR="002B2CFC" w:rsidRPr="00EA3539">
        <w:t xml:space="preserve">valuations of selected </w:t>
      </w:r>
      <w:r w:rsidR="00C335D9">
        <w:t>an</w:t>
      </w:r>
      <w:r w:rsidR="00AC5DFA">
        <w:t xml:space="preserve">imal </w:t>
      </w:r>
      <w:r w:rsidR="002B2CFC" w:rsidRPr="00EA3539">
        <w:t>studies</w:t>
      </w:r>
      <w:bookmarkEnd w:id="60"/>
      <w:bookmarkEnd w:id="61"/>
    </w:p>
    <w:p w14:paraId="7B95A547" w14:textId="77777777" w:rsidR="00B256D2" w:rsidRPr="00EA3539" w:rsidRDefault="00B256D2" w:rsidP="006E0A02">
      <w:pPr>
        <w:pStyle w:val="Heading2"/>
        <w:rPr>
          <w:lang w:eastAsia="en-US"/>
        </w:rPr>
      </w:pPr>
      <w:bookmarkStart w:id="62" w:name="_Toc459108304"/>
      <w:r w:rsidRPr="00EA3539">
        <w:rPr>
          <w:lang w:eastAsia="en-US"/>
        </w:rPr>
        <w:t xml:space="preserve">General studies investigating </w:t>
      </w:r>
      <w:r w:rsidR="00775D39" w:rsidRPr="00EA3539">
        <w:rPr>
          <w:lang w:eastAsia="en-US"/>
        </w:rPr>
        <w:t xml:space="preserve">the </w:t>
      </w:r>
      <w:r w:rsidRPr="00EA3539">
        <w:rPr>
          <w:lang w:eastAsia="en-US"/>
        </w:rPr>
        <w:t>neurotoxicity of paraquat</w:t>
      </w:r>
      <w:bookmarkEnd w:id="62"/>
    </w:p>
    <w:p w14:paraId="36F29033" w14:textId="77777777" w:rsidR="00B256D2" w:rsidRPr="009E40A8" w:rsidRDefault="00B256D2" w:rsidP="00B256D2">
      <w:pPr>
        <w:pStyle w:val="BodyText"/>
        <w:rPr>
          <w:i w:val="0"/>
        </w:rPr>
      </w:pPr>
      <w:r w:rsidRPr="009E40A8">
        <w:rPr>
          <w:i w:val="0"/>
        </w:rPr>
        <w:t xml:space="preserve">Brammer, A (2006) Paraquat technical: Acute neurotoxicity study in rats. Report No: AR7536-REG; Study No: AR7536; Task No. T000344-05. Syngenta Central Toxicology Laboratory, Alderley Park, Macclesfield, Cheshire, UK. Study initiation 22 Dec, 2005, Study commencement: 3 Jan, 2006; Study termination: 6 April, 2006; Report date 8 June, 2006. </w:t>
      </w:r>
    </w:p>
    <w:p w14:paraId="1292D4AA" w14:textId="77777777" w:rsidR="00B256D2" w:rsidRPr="00E23F9C" w:rsidRDefault="00B256D2" w:rsidP="00B256D2">
      <w:pPr>
        <w:rPr>
          <w:b/>
        </w:rPr>
      </w:pPr>
    </w:p>
    <w:p w14:paraId="25F532F5" w14:textId="77777777" w:rsidR="00B256D2" w:rsidRPr="00E23F9C" w:rsidRDefault="00B256D2" w:rsidP="00B256D2">
      <w:r w:rsidRPr="00E23F9C">
        <w:rPr>
          <w:i/>
        </w:rPr>
        <w:t>Guidelines &amp; GLP:</w:t>
      </w:r>
      <w:r w:rsidRPr="00E23F9C">
        <w:t xml:space="preserve"> GLP and QA study. Study was conducted in compliance with the UK Principles of GLP (1999, 2004) and OECD principles of GLP, in accord with ENV/MC/CHEM(98)17 (1997); OECD Guideline 424 (1997), Neurotoxicity Study in Rodents; US EPA Health Effects </w:t>
      </w:r>
      <w:r w:rsidR="00794F11" w:rsidRPr="00E23F9C">
        <w:t>Guidelines</w:t>
      </w:r>
      <w:r w:rsidRPr="00E23F9C">
        <w:t xml:space="preserve">, OPPTS 870.6200 (1998) Neurotoxicity Screening Battery; Japanese Ministry of </w:t>
      </w:r>
      <w:r w:rsidR="00794F11" w:rsidRPr="00E23F9C">
        <w:t>Agriculture</w:t>
      </w:r>
      <w:r w:rsidRPr="00E23F9C">
        <w:t xml:space="preserve">, Forestry and Fisheries Test Guideline 2-1-12 (Sept 2001).  </w:t>
      </w:r>
    </w:p>
    <w:p w14:paraId="4AB0B97E" w14:textId="77777777" w:rsidR="00B256D2" w:rsidRPr="00E23F9C" w:rsidRDefault="00B256D2" w:rsidP="00B256D2"/>
    <w:p w14:paraId="78C90477" w14:textId="77777777" w:rsidR="00B256D2" w:rsidRPr="00E23F9C" w:rsidRDefault="00B256D2" w:rsidP="00B256D2">
      <w:r w:rsidRPr="00E23F9C">
        <w:rPr>
          <w:i/>
        </w:rPr>
        <w:t>Materials</w:t>
      </w:r>
      <w:r w:rsidRPr="00E23F9C">
        <w:t xml:space="preserve"> </w:t>
      </w:r>
      <w:r w:rsidRPr="00E23F9C">
        <w:rPr>
          <w:i/>
        </w:rPr>
        <w:t xml:space="preserve">&amp; Methods: </w:t>
      </w:r>
      <w:r w:rsidRPr="00E23F9C">
        <w:t xml:space="preserve">Technical grade paraquat (33.4% paraquat ion, 46.1% paraquat dichloride, batch P47, CTL ref No. Y12693/106, Huddersfield, </w:t>
      </w:r>
      <w:r w:rsidRPr="00E23F9C">
        <w:rPr>
          <w:i/>
        </w:rPr>
        <w:t>via</w:t>
      </w:r>
      <w:r w:rsidRPr="00E23F9C">
        <w:t xml:space="preserve"> Syngenta Crop Protection, Munchwilen AG) was diluted in de-ionised water and administered at 10 mL/kg bw. </w:t>
      </w:r>
    </w:p>
    <w:p w14:paraId="52BD466F" w14:textId="77777777" w:rsidR="00B256D2" w:rsidRPr="00E23F9C" w:rsidRDefault="00B256D2" w:rsidP="00B256D2">
      <w:pPr>
        <w:rPr>
          <w:b/>
        </w:rPr>
      </w:pPr>
    </w:p>
    <w:p w14:paraId="4243FE3F" w14:textId="77777777" w:rsidR="00B256D2" w:rsidRPr="00E23F9C" w:rsidRDefault="00B256D2" w:rsidP="00B256D2">
      <w:r w:rsidRPr="00E23F9C">
        <w:t>Rats (Alpk:AP</w:t>
      </w:r>
      <w:r w:rsidRPr="00E23F9C">
        <w:rPr>
          <w:vertAlign w:val="subscript"/>
        </w:rPr>
        <w:t>f</w:t>
      </w:r>
      <w:r w:rsidRPr="00E23F9C">
        <w:t>SD; Wistar-derived, 10/sex/group, ≥</w:t>
      </w:r>
      <w:r w:rsidR="005F0EF3">
        <w:t xml:space="preserve"> </w:t>
      </w:r>
      <w:r w:rsidRPr="00E23F9C">
        <w:t xml:space="preserve">42 days old at dosing, males 259-330 g, females 189-246 g on Day -1) received a single gavage dose of 0, 25, 75, or 250 mg paraquat technical/kg bw (or 0, </w:t>
      </w:r>
      <w:r w:rsidR="00486FE3">
        <w:t xml:space="preserve">8, </w:t>
      </w:r>
      <w:r w:rsidRPr="00E23F9C">
        <w:t xml:space="preserve">25, or 84 mg/kg bw paraquat ion/kg bw, respectively) and were observed for 14 days. Dose selection was based on a preliminary neurotoxicity study (Brammer, 2005, not provided). Functional observational battery, including </w:t>
      </w:r>
      <w:r w:rsidR="00794F11" w:rsidRPr="00E23F9C">
        <w:t>quantitative</w:t>
      </w:r>
      <w:r w:rsidRPr="00E23F9C">
        <w:t xml:space="preserve"> assessments of landing foot splay, sensory perception and muscle weakness, were performed in week -1, and days 1 (2 </w:t>
      </w:r>
      <w:r w:rsidR="00C01923">
        <w:t xml:space="preserve">h </w:t>
      </w:r>
      <w:r w:rsidRPr="00E23F9C">
        <w:t xml:space="preserve">post-dose), 8, and 15. Rat body weights and food consumption were measured weekly. At termination, rats (5/sex/group) were perfused </w:t>
      </w:r>
      <w:r w:rsidRPr="00E23F9C">
        <w:rPr>
          <w:i/>
        </w:rPr>
        <w:t>in situ</w:t>
      </w:r>
      <w:r w:rsidRPr="00E23F9C">
        <w:t xml:space="preserve"> and selected nervous system tissues (brain, eye -with optic nerve and retina, spinal cord -including cervical and lumbar swellings, spinal nerve roots of cervical and lumbar swellings, dorsal root ganglia at cervical and lumbar swellings, proximal sciatic, proximal and distal tibial nerves and gastrocnemius muscle) were removed and processed for microscopy. Remaining animals were sacrificed and discarded. </w:t>
      </w:r>
    </w:p>
    <w:p w14:paraId="457D7C45" w14:textId="77777777" w:rsidR="00B256D2" w:rsidRPr="00E23F9C" w:rsidRDefault="00B256D2" w:rsidP="00B256D2">
      <w:pPr>
        <w:rPr>
          <w:lang w:val="en-US"/>
        </w:rPr>
      </w:pPr>
    </w:p>
    <w:p w14:paraId="7A15448B" w14:textId="77777777" w:rsidR="00B256D2" w:rsidRPr="00E23F9C" w:rsidRDefault="00B256D2" w:rsidP="009E40A8">
      <w:r w:rsidRPr="00E23F9C">
        <w:rPr>
          <w:i/>
          <w:lang w:val="en-US"/>
        </w:rPr>
        <w:t xml:space="preserve">Results: </w:t>
      </w:r>
      <w:r w:rsidRPr="00E23F9C">
        <w:t xml:space="preserve">One high dose male died on day 5 (following reduced splayed reflex and pinched in flanks over days 1-4) and one high dose female was terminated </w:t>
      </w:r>
      <w:r w:rsidRPr="00E23F9C">
        <w:rPr>
          <w:i/>
        </w:rPr>
        <w:t>in extremis</w:t>
      </w:r>
      <w:r w:rsidRPr="00E23F9C">
        <w:t xml:space="preserve"> on day 4 due to adverse clinical signs (irregular breathing, flaccidity, pinched in flanks, upward spinal </w:t>
      </w:r>
      <w:r w:rsidR="00794F11" w:rsidRPr="00E23F9C">
        <w:t>curvature</w:t>
      </w:r>
      <w:r w:rsidRPr="00E23F9C">
        <w:t xml:space="preserve"> on days 2-4 and piloerection and ocular discharge on days 3-4). No other clinical signs of toxicity were reported and all remaining rats survived until scheduled termination. </w:t>
      </w:r>
    </w:p>
    <w:p w14:paraId="1CF394C4" w14:textId="77777777" w:rsidR="00B256D2" w:rsidRPr="00E23F9C" w:rsidRDefault="00B256D2" w:rsidP="009E40A8"/>
    <w:p w14:paraId="479ED7E1" w14:textId="77777777" w:rsidR="00B256D2" w:rsidRPr="00E23F9C" w:rsidRDefault="00B256D2" w:rsidP="009E40A8">
      <w:r w:rsidRPr="00E23F9C">
        <w:t xml:space="preserve">Body weights were slightly variable in rats which received the high dose but </w:t>
      </w:r>
      <w:r w:rsidR="00794F11" w:rsidRPr="00E23F9C">
        <w:t>without</w:t>
      </w:r>
      <w:r w:rsidRPr="00E23F9C">
        <w:t xml:space="preserve"> statistical significance on day 15. At the mid dose, male body weights were significantly lower only on day 8 (no effect in females), and in rats which received the low dose no difference from controls was observed. No significant changes in food consumption were observed. </w:t>
      </w:r>
    </w:p>
    <w:p w14:paraId="33CCA0D1" w14:textId="77777777" w:rsidR="00B256D2" w:rsidRPr="00E23F9C" w:rsidRDefault="00B256D2" w:rsidP="009E40A8"/>
    <w:p w14:paraId="4C422FBE" w14:textId="21B8598F" w:rsidR="00B256D2" w:rsidRPr="00E23F9C" w:rsidRDefault="00B256D2" w:rsidP="009E40A8">
      <w:r w:rsidRPr="00E23F9C">
        <w:t xml:space="preserve">Minor changes were noted in the functional observation battery parameters, but none were dose-related. An increased incidence of reduced splay reflex was generally observed in a </w:t>
      </w:r>
      <w:r w:rsidRPr="00E23F9C">
        <w:lastRenderedPageBreak/>
        <w:t>minority of treated animals. The observations in control females and absence in control males suggests that there may be gender differences in base-line data for this functional observation parameter and</w:t>
      </w:r>
      <w:r w:rsidR="004233CC">
        <w:t xml:space="preserve"> along with the lack of statistical analysis</w:t>
      </w:r>
      <w:r w:rsidRPr="00E23F9C">
        <w:t xml:space="preserve"> preclude an assignment </w:t>
      </w:r>
      <w:r w:rsidR="00F12F03">
        <w:t xml:space="preserve">of </w:t>
      </w:r>
      <w:r w:rsidRPr="00E23F9C">
        <w:t>whether the observations are toxicologically relevant (</w:t>
      </w:r>
      <w:r w:rsidR="00897462">
        <w:fldChar w:fldCharType="begin"/>
      </w:r>
      <w:r w:rsidR="00B169BA">
        <w:instrText xml:space="preserve"> REF _Ref421025114 \h </w:instrText>
      </w:r>
      <w:r w:rsidR="00897462">
        <w:fldChar w:fldCharType="separate"/>
      </w:r>
      <w:r w:rsidR="000E54B2">
        <w:t xml:space="preserve">Table </w:t>
      </w:r>
      <w:r w:rsidR="000E54B2">
        <w:rPr>
          <w:noProof/>
        </w:rPr>
        <w:t>3</w:t>
      </w:r>
      <w:r w:rsidR="00897462">
        <w:fldChar w:fldCharType="end"/>
      </w:r>
      <w:r w:rsidR="00B169BA">
        <w:t xml:space="preserve"> and </w:t>
      </w:r>
      <w:r w:rsidR="00897462">
        <w:fldChar w:fldCharType="begin"/>
      </w:r>
      <w:r w:rsidR="00B169BA">
        <w:instrText xml:space="preserve"> REF _Ref421025118 \h </w:instrText>
      </w:r>
      <w:r w:rsidR="00897462">
        <w:fldChar w:fldCharType="separate"/>
      </w:r>
      <w:r w:rsidR="000E54B2">
        <w:t xml:space="preserve">Table </w:t>
      </w:r>
      <w:r w:rsidR="000E54B2">
        <w:rPr>
          <w:noProof/>
        </w:rPr>
        <w:t>4</w:t>
      </w:r>
      <w:r w:rsidR="00897462">
        <w:fldChar w:fldCharType="end"/>
      </w:r>
      <w:r w:rsidRPr="00E23F9C">
        <w:t xml:space="preserve">). There were no treatment-related changes in landing foot-splay, time to tail-flick, and fore- and hind-limb grip strength measurements. Changes in motor activity measurements were sporadic and not associated with treatment. </w:t>
      </w:r>
    </w:p>
    <w:p w14:paraId="222E603F" w14:textId="77777777" w:rsidR="00B256D2" w:rsidRPr="00E23F9C" w:rsidRDefault="00B256D2" w:rsidP="00B256D2">
      <w:pPr>
        <w:keepNext/>
        <w:keepLines/>
      </w:pPr>
    </w:p>
    <w:p w14:paraId="682F0AA8" w14:textId="4D9210F7" w:rsidR="00436573" w:rsidRDefault="00B169BA" w:rsidP="00D5465C">
      <w:pPr>
        <w:pStyle w:val="Caption"/>
        <w:keepNext/>
        <w:spacing w:after="120"/>
      </w:pPr>
      <w:bookmarkStart w:id="63" w:name="_Ref421025114"/>
      <w:r>
        <w:t xml:space="preserve">Table </w:t>
      </w:r>
      <w:r w:rsidR="00897462">
        <w:fldChar w:fldCharType="begin"/>
      </w:r>
      <w:r>
        <w:instrText xml:space="preserve"> SEQ Table \* ARABIC </w:instrText>
      </w:r>
      <w:r w:rsidR="00897462">
        <w:fldChar w:fldCharType="separate"/>
      </w:r>
      <w:r w:rsidR="000E54B2">
        <w:rPr>
          <w:noProof/>
        </w:rPr>
        <w:t>3</w:t>
      </w:r>
      <w:r w:rsidR="00897462">
        <w:fldChar w:fldCharType="end"/>
      </w:r>
      <w:bookmarkEnd w:id="63"/>
      <w:r w:rsidR="001E5092">
        <w:t xml:space="preserve">. </w:t>
      </w:r>
      <w:r w:rsidR="001E5092" w:rsidRPr="00B46A55">
        <w:t>Cumulative observations –Reduced splay reflex</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925"/>
        <w:gridCol w:w="926"/>
        <w:gridCol w:w="926"/>
        <w:gridCol w:w="926"/>
        <w:gridCol w:w="925"/>
        <w:gridCol w:w="926"/>
        <w:gridCol w:w="926"/>
        <w:gridCol w:w="926"/>
      </w:tblGrid>
      <w:tr w:rsidR="00B256D2" w:rsidRPr="00E23F9C" w14:paraId="3861D47E" w14:textId="77777777" w:rsidTr="000E221D">
        <w:trPr>
          <w:trHeight w:val="54"/>
        </w:trPr>
        <w:tc>
          <w:tcPr>
            <w:tcW w:w="1134" w:type="dxa"/>
            <w:shd w:val="clear" w:color="auto" w:fill="BFBFBF" w:themeFill="background1" w:themeFillShade="BF"/>
          </w:tcPr>
          <w:p w14:paraId="6FB8AA97" w14:textId="77777777" w:rsidR="00B256D2" w:rsidRPr="00E23F9C" w:rsidRDefault="00B256D2" w:rsidP="00A41403">
            <w:pPr>
              <w:keepNext/>
              <w:keepLines/>
              <w:rPr>
                <w:sz w:val="20"/>
              </w:rPr>
            </w:pPr>
          </w:p>
        </w:tc>
        <w:tc>
          <w:tcPr>
            <w:tcW w:w="3703" w:type="dxa"/>
            <w:gridSpan w:val="4"/>
            <w:shd w:val="clear" w:color="auto" w:fill="BFBFBF" w:themeFill="background1" w:themeFillShade="BF"/>
          </w:tcPr>
          <w:p w14:paraId="1A7561B6" w14:textId="77777777" w:rsidR="00B256D2" w:rsidRPr="00E23F9C" w:rsidRDefault="00B256D2" w:rsidP="00A41403">
            <w:pPr>
              <w:keepNext/>
              <w:keepLines/>
              <w:jc w:val="center"/>
              <w:rPr>
                <w:sz w:val="20"/>
              </w:rPr>
            </w:pPr>
            <w:r w:rsidRPr="00E23F9C">
              <w:rPr>
                <w:sz w:val="20"/>
              </w:rPr>
              <w:t>Male</w:t>
            </w:r>
          </w:p>
        </w:tc>
        <w:tc>
          <w:tcPr>
            <w:tcW w:w="3703" w:type="dxa"/>
            <w:gridSpan w:val="4"/>
            <w:shd w:val="clear" w:color="auto" w:fill="BFBFBF" w:themeFill="background1" w:themeFillShade="BF"/>
          </w:tcPr>
          <w:p w14:paraId="24324A87" w14:textId="77777777" w:rsidR="00B256D2" w:rsidRPr="00E23F9C" w:rsidRDefault="00B256D2" w:rsidP="00A41403">
            <w:pPr>
              <w:keepNext/>
              <w:keepLines/>
              <w:jc w:val="center"/>
              <w:rPr>
                <w:sz w:val="20"/>
              </w:rPr>
            </w:pPr>
            <w:r w:rsidRPr="00E23F9C">
              <w:rPr>
                <w:sz w:val="20"/>
              </w:rPr>
              <w:t>Female</w:t>
            </w:r>
          </w:p>
        </w:tc>
      </w:tr>
      <w:tr w:rsidR="00B256D2" w:rsidRPr="00E23F9C" w14:paraId="438FE79B" w14:textId="77777777" w:rsidTr="000E221D">
        <w:trPr>
          <w:trHeight w:val="54"/>
        </w:trPr>
        <w:tc>
          <w:tcPr>
            <w:tcW w:w="1134" w:type="dxa"/>
            <w:tcBorders>
              <w:bottom w:val="single" w:sz="4" w:space="0" w:color="auto"/>
            </w:tcBorders>
            <w:shd w:val="clear" w:color="auto" w:fill="BFBFBF" w:themeFill="background1" w:themeFillShade="BF"/>
          </w:tcPr>
          <w:p w14:paraId="1C21A923" w14:textId="77777777" w:rsidR="00B256D2" w:rsidRPr="00E23F9C" w:rsidRDefault="00B256D2" w:rsidP="00A41403">
            <w:pPr>
              <w:keepNext/>
              <w:keepLines/>
              <w:rPr>
                <w:sz w:val="20"/>
              </w:rPr>
            </w:pPr>
            <w:r w:rsidRPr="00E23F9C">
              <w:rPr>
                <w:sz w:val="20"/>
              </w:rPr>
              <w:t>Dose*</w:t>
            </w:r>
          </w:p>
        </w:tc>
        <w:tc>
          <w:tcPr>
            <w:tcW w:w="925" w:type="dxa"/>
            <w:tcBorders>
              <w:bottom w:val="single" w:sz="4" w:space="0" w:color="auto"/>
            </w:tcBorders>
            <w:shd w:val="clear" w:color="auto" w:fill="BFBFBF" w:themeFill="background1" w:themeFillShade="BF"/>
          </w:tcPr>
          <w:p w14:paraId="52626281" w14:textId="77777777" w:rsidR="00B256D2" w:rsidRPr="00E23F9C" w:rsidRDefault="00B256D2" w:rsidP="00A41403">
            <w:pPr>
              <w:keepNext/>
              <w:keepLines/>
              <w:jc w:val="center"/>
              <w:rPr>
                <w:sz w:val="20"/>
              </w:rPr>
            </w:pPr>
            <w:r w:rsidRPr="00E23F9C">
              <w:rPr>
                <w:sz w:val="20"/>
              </w:rPr>
              <w:t>0</w:t>
            </w:r>
          </w:p>
        </w:tc>
        <w:tc>
          <w:tcPr>
            <w:tcW w:w="926" w:type="dxa"/>
            <w:tcBorders>
              <w:bottom w:val="single" w:sz="4" w:space="0" w:color="auto"/>
            </w:tcBorders>
            <w:shd w:val="clear" w:color="auto" w:fill="BFBFBF" w:themeFill="background1" w:themeFillShade="BF"/>
          </w:tcPr>
          <w:p w14:paraId="2369D0F2" w14:textId="77777777" w:rsidR="00B256D2" w:rsidRPr="00E23F9C" w:rsidRDefault="00B256D2" w:rsidP="00A41403">
            <w:pPr>
              <w:keepNext/>
              <w:keepLines/>
              <w:jc w:val="center"/>
              <w:rPr>
                <w:sz w:val="20"/>
              </w:rPr>
            </w:pPr>
            <w:r w:rsidRPr="00E23F9C">
              <w:rPr>
                <w:sz w:val="20"/>
              </w:rPr>
              <w:t>25</w:t>
            </w:r>
          </w:p>
        </w:tc>
        <w:tc>
          <w:tcPr>
            <w:tcW w:w="926" w:type="dxa"/>
            <w:tcBorders>
              <w:bottom w:val="single" w:sz="4" w:space="0" w:color="auto"/>
            </w:tcBorders>
            <w:shd w:val="clear" w:color="auto" w:fill="BFBFBF" w:themeFill="background1" w:themeFillShade="BF"/>
          </w:tcPr>
          <w:p w14:paraId="2D81A4D7" w14:textId="77777777" w:rsidR="00B256D2" w:rsidRPr="00E23F9C" w:rsidRDefault="00B256D2" w:rsidP="00A41403">
            <w:pPr>
              <w:keepNext/>
              <w:keepLines/>
              <w:jc w:val="center"/>
              <w:rPr>
                <w:sz w:val="20"/>
              </w:rPr>
            </w:pPr>
            <w:r w:rsidRPr="00E23F9C">
              <w:rPr>
                <w:sz w:val="20"/>
              </w:rPr>
              <w:t>75</w:t>
            </w:r>
          </w:p>
        </w:tc>
        <w:tc>
          <w:tcPr>
            <w:tcW w:w="926" w:type="dxa"/>
            <w:tcBorders>
              <w:bottom w:val="single" w:sz="4" w:space="0" w:color="auto"/>
            </w:tcBorders>
            <w:shd w:val="clear" w:color="auto" w:fill="BFBFBF" w:themeFill="background1" w:themeFillShade="BF"/>
          </w:tcPr>
          <w:p w14:paraId="619D862C" w14:textId="77777777" w:rsidR="00B256D2" w:rsidRPr="00E23F9C" w:rsidRDefault="00B256D2" w:rsidP="00A41403">
            <w:pPr>
              <w:keepNext/>
              <w:keepLines/>
              <w:jc w:val="center"/>
              <w:rPr>
                <w:sz w:val="20"/>
              </w:rPr>
            </w:pPr>
            <w:r w:rsidRPr="00E23F9C">
              <w:rPr>
                <w:sz w:val="20"/>
              </w:rPr>
              <w:t>250</w:t>
            </w:r>
          </w:p>
        </w:tc>
        <w:tc>
          <w:tcPr>
            <w:tcW w:w="925" w:type="dxa"/>
            <w:tcBorders>
              <w:bottom w:val="single" w:sz="4" w:space="0" w:color="auto"/>
            </w:tcBorders>
            <w:shd w:val="clear" w:color="auto" w:fill="BFBFBF" w:themeFill="background1" w:themeFillShade="BF"/>
          </w:tcPr>
          <w:p w14:paraId="73313D6B" w14:textId="77777777" w:rsidR="00B256D2" w:rsidRPr="00E23F9C" w:rsidRDefault="00B256D2" w:rsidP="00A41403">
            <w:pPr>
              <w:keepNext/>
              <w:keepLines/>
              <w:jc w:val="center"/>
              <w:rPr>
                <w:sz w:val="20"/>
              </w:rPr>
            </w:pPr>
            <w:r w:rsidRPr="00E23F9C">
              <w:rPr>
                <w:sz w:val="20"/>
              </w:rPr>
              <w:t>0</w:t>
            </w:r>
          </w:p>
        </w:tc>
        <w:tc>
          <w:tcPr>
            <w:tcW w:w="926" w:type="dxa"/>
            <w:tcBorders>
              <w:bottom w:val="single" w:sz="4" w:space="0" w:color="auto"/>
            </w:tcBorders>
            <w:shd w:val="clear" w:color="auto" w:fill="BFBFBF" w:themeFill="background1" w:themeFillShade="BF"/>
          </w:tcPr>
          <w:p w14:paraId="430E203E" w14:textId="77777777" w:rsidR="00B256D2" w:rsidRPr="00E23F9C" w:rsidRDefault="00B256D2" w:rsidP="00A41403">
            <w:pPr>
              <w:keepNext/>
              <w:keepLines/>
              <w:jc w:val="center"/>
              <w:rPr>
                <w:sz w:val="20"/>
              </w:rPr>
            </w:pPr>
            <w:r w:rsidRPr="00E23F9C">
              <w:rPr>
                <w:sz w:val="20"/>
              </w:rPr>
              <w:t>25</w:t>
            </w:r>
          </w:p>
        </w:tc>
        <w:tc>
          <w:tcPr>
            <w:tcW w:w="926" w:type="dxa"/>
            <w:tcBorders>
              <w:bottom w:val="single" w:sz="4" w:space="0" w:color="auto"/>
            </w:tcBorders>
            <w:shd w:val="clear" w:color="auto" w:fill="BFBFBF" w:themeFill="background1" w:themeFillShade="BF"/>
          </w:tcPr>
          <w:p w14:paraId="0FF7B36F" w14:textId="77777777" w:rsidR="00B256D2" w:rsidRPr="00E23F9C" w:rsidRDefault="00B256D2" w:rsidP="00A41403">
            <w:pPr>
              <w:keepNext/>
              <w:keepLines/>
              <w:jc w:val="center"/>
              <w:rPr>
                <w:sz w:val="20"/>
              </w:rPr>
            </w:pPr>
            <w:r w:rsidRPr="00E23F9C">
              <w:rPr>
                <w:sz w:val="20"/>
              </w:rPr>
              <w:t>75</w:t>
            </w:r>
          </w:p>
        </w:tc>
        <w:tc>
          <w:tcPr>
            <w:tcW w:w="926" w:type="dxa"/>
            <w:tcBorders>
              <w:bottom w:val="single" w:sz="4" w:space="0" w:color="auto"/>
            </w:tcBorders>
            <w:shd w:val="clear" w:color="auto" w:fill="BFBFBF" w:themeFill="background1" w:themeFillShade="BF"/>
          </w:tcPr>
          <w:p w14:paraId="2CAB52B0" w14:textId="77777777" w:rsidR="00B256D2" w:rsidRPr="00E23F9C" w:rsidRDefault="00B256D2" w:rsidP="00A41403">
            <w:pPr>
              <w:keepNext/>
              <w:keepLines/>
              <w:jc w:val="center"/>
              <w:rPr>
                <w:sz w:val="20"/>
              </w:rPr>
            </w:pPr>
            <w:r w:rsidRPr="00E23F9C">
              <w:rPr>
                <w:sz w:val="20"/>
              </w:rPr>
              <w:t>250</w:t>
            </w:r>
          </w:p>
        </w:tc>
      </w:tr>
      <w:tr w:rsidR="00B256D2" w:rsidRPr="00E23F9C" w14:paraId="3B835FF9" w14:textId="77777777" w:rsidTr="00A41403">
        <w:trPr>
          <w:trHeight w:val="54"/>
        </w:trPr>
        <w:tc>
          <w:tcPr>
            <w:tcW w:w="1134" w:type="dxa"/>
            <w:tcBorders>
              <w:bottom w:val="nil"/>
            </w:tcBorders>
          </w:tcPr>
          <w:p w14:paraId="02B4EB98" w14:textId="77777777" w:rsidR="00B256D2" w:rsidRPr="00E23F9C" w:rsidRDefault="00B256D2" w:rsidP="00A41403">
            <w:pPr>
              <w:keepNext/>
              <w:keepLines/>
              <w:rPr>
                <w:sz w:val="20"/>
              </w:rPr>
            </w:pPr>
            <w:r w:rsidRPr="00E23F9C">
              <w:rPr>
                <w:sz w:val="20"/>
              </w:rPr>
              <w:t>No</w:t>
            </w:r>
            <w:r w:rsidR="006907B1">
              <w:rPr>
                <w:sz w:val="20"/>
              </w:rPr>
              <w:t>,</w:t>
            </w:r>
            <w:r w:rsidRPr="00E23F9C">
              <w:rPr>
                <w:sz w:val="20"/>
              </w:rPr>
              <w:t xml:space="preserve"> events</w:t>
            </w:r>
          </w:p>
        </w:tc>
        <w:tc>
          <w:tcPr>
            <w:tcW w:w="925" w:type="dxa"/>
            <w:tcBorders>
              <w:bottom w:val="nil"/>
            </w:tcBorders>
          </w:tcPr>
          <w:p w14:paraId="71BEE83A" w14:textId="77777777" w:rsidR="00B256D2" w:rsidRPr="00E23F9C" w:rsidRDefault="00B256D2" w:rsidP="00A41403">
            <w:pPr>
              <w:keepNext/>
              <w:keepLines/>
              <w:jc w:val="center"/>
              <w:rPr>
                <w:sz w:val="20"/>
              </w:rPr>
            </w:pPr>
            <w:r w:rsidRPr="00E23F9C">
              <w:rPr>
                <w:sz w:val="20"/>
              </w:rPr>
              <w:t>0</w:t>
            </w:r>
          </w:p>
        </w:tc>
        <w:tc>
          <w:tcPr>
            <w:tcW w:w="926" w:type="dxa"/>
            <w:tcBorders>
              <w:bottom w:val="nil"/>
            </w:tcBorders>
          </w:tcPr>
          <w:p w14:paraId="43DFFA40" w14:textId="77777777" w:rsidR="00B256D2" w:rsidRPr="00E23F9C" w:rsidRDefault="00B256D2" w:rsidP="00A41403">
            <w:pPr>
              <w:keepNext/>
              <w:keepLines/>
              <w:jc w:val="center"/>
              <w:rPr>
                <w:sz w:val="20"/>
              </w:rPr>
            </w:pPr>
            <w:r w:rsidRPr="00E23F9C">
              <w:rPr>
                <w:sz w:val="20"/>
              </w:rPr>
              <w:t>4</w:t>
            </w:r>
          </w:p>
        </w:tc>
        <w:tc>
          <w:tcPr>
            <w:tcW w:w="926" w:type="dxa"/>
            <w:tcBorders>
              <w:bottom w:val="nil"/>
            </w:tcBorders>
          </w:tcPr>
          <w:p w14:paraId="02903981" w14:textId="77777777" w:rsidR="00B256D2" w:rsidRPr="00E23F9C" w:rsidRDefault="00B256D2" w:rsidP="00A41403">
            <w:pPr>
              <w:keepNext/>
              <w:keepLines/>
              <w:jc w:val="center"/>
              <w:rPr>
                <w:sz w:val="20"/>
              </w:rPr>
            </w:pPr>
            <w:r w:rsidRPr="00E23F9C">
              <w:rPr>
                <w:sz w:val="20"/>
              </w:rPr>
              <w:t>3</w:t>
            </w:r>
          </w:p>
        </w:tc>
        <w:tc>
          <w:tcPr>
            <w:tcW w:w="926" w:type="dxa"/>
            <w:tcBorders>
              <w:bottom w:val="nil"/>
            </w:tcBorders>
          </w:tcPr>
          <w:p w14:paraId="71FAAB94" w14:textId="77777777" w:rsidR="00B256D2" w:rsidRPr="00E23F9C" w:rsidRDefault="00B256D2" w:rsidP="00A41403">
            <w:pPr>
              <w:keepNext/>
              <w:keepLines/>
              <w:jc w:val="center"/>
              <w:rPr>
                <w:sz w:val="20"/>
              </w:rPr>
            </w:pPr>
            <w:r w:rsidRPr="00E23F9C">
              <w:rPr>
                <w:sz w:val="20"/>
              </w:rPr>
              <w:t>11</w:t>
            </w:r>
          </w:p>
        </w:tc>
        <w:tc>
          <w:tcPr>
            <w:tcW w:w="925" w:type="dxa"/>
            <w:tcBorders>
              <w:bottom w:val="nil"/>
            </w:tcBorders>
          </w:tcPr>
          <w:p w14:paraId="389542EE" w14:textId="77777777" w:rsidR="00B256D2" w:rsidRPr="00E23F9C" w:rsidRDefault="00B256D2" w:rsidP="00A41403">
            <w:pPr>
              <w:keepNext/>
              <w:keepLines/>
              <w:jc w:val="center"/>
              <w:rPr>
                <w:sz w:val="20"/>
              </w:rPr>
            </w:pPr>
            <w:r w:rsidRPr="00E23F9C">
              <w:rPr>
                <w:sz w:val="20"/>
              </w:rPr>
              <w:t>9</w:t>
            </w:r>
          </w:p>
        </w:tc>
        <w:tc>
          <w:tcPr>
            <w:tcW w:w="926" w:type="dxa"/>
            <w:tcBorders>
              <w:bottom w:val="nil"/>
            </w:tcBorders>
          </w:tcPr>
          <w:p w14:paraId="51358019" w14:textId="77777777" w:rsidR="00B256D2" w:rsidRPr="00E23F9C" w:rsidRDefault="00B256D2" w:rsidP="00A41403">
            <w:pPr>
              <w:keepNext/>
              <w:keepLines/>
              <w:jc w:val="center"/>
              <w:rPr>
                <w:sz w:val="20"/>
              </w:rPr>
            </w:pPr>
            <w:r w:rsidRPr="00E23F9C">
              <w:rPr>
                <w:sz w:val="20"/>
              </w:rPr>
              <w:t>5</w:t>
            </w:r>
          </w:p>
        </w:tc>
        <w:tc>
          <w:tcPr>
            <w:tcW w:w="926" w:type="dxa"/>
            <w:tcBorders>
              <w:bottom w:val="nil"/>
            </w:tcBorders>
          </w:tcPr>
          <w:p w14:paraId="0C801E8B" w14:textId="77777777" w:rsidR="00B256D2" w:rsidRPr="00E23F9C" w:rsidRDefault="00B256D2" w:rsidP="00A41403">
            <w:pPr>
              <w:keepNext/>
              <w:keepLines/>
              <w:jc w:val="center"/>
              <w:rPr>
                <w:sz w:val="20"/>
              </w:rPr>
            </w:pPr>
            <w:r w:rsidRPr="00E23F9C">
              <w:rPr>
                <w:sz w:val="20"/>
              </w:rPr>
              <w:t>13</w:t>
            </w:r>
          </w:p>
        </w:tc>
        <w:tc>
          <w:tcPr>
            <w:tcW w:w="926" w:type="dxa"/>
            <w:tcBorders>
              <w:bottom w:val="nil"/>
            </w:tcBorders>
          </w:tcPr>
          <w:p w14:paraId="2A207DB5" w14:textId="77777777" w:rsidR="00B256D2" w:rsidRPr="00E23F9C" w:rsidRDefault="00B256D2" w:rsidP="00A41403">
            <w:pPr>
              <w:keepNext/>
              <w:keepLines/>
              <w:jc w:val="center"/>
              <w:rPr>
                <w:sz w:val="20"/>
              </w:rPr>
            </w:pPr>
            <w:r w:rsidRPr="00E23F9C">
              <w:rPr>
                <w:sz w:val="20"/>
              </w:rPr>
              <w:t>17</w:t>
            </w:r>
          </w:p>
        </w:tc>
      </w:tr>
      <w:tr w:rsidR="00B256D2" w:rsidRPr="00E23F9C" w14:paraId="5257D7F7" w14:textId="77777777" w:rsidTr="00A41403">
        <w:trPr>
          <w:trHeight w:val="54"/>
        </w:trPr>
        <w:tc>
          <w:tcPr>
            <w:tcW w:w="1134" w:type="dxa"/>
            <w:tcBorders>
              <w:top w:val="nil"/>
              <w:bottom w:val="nil"/>
            </w:tcBorders>
          </w:tcPr>
          <w:p w14:paraId="3A05976B" w14:textId="77777777" w:rsidR="00B256D2" w:rsidRPr="00E23F9C" w:rsidRDefault="00B256D2" w:rsidP="00A41403">
            <w:pPr>
              <w:keepNext/>
              <w:keepLines/>
              <w:rPr>
                <w:sz w:val="20"/>
              </w:rPr>
            </w:pPr>
            <w:r w:rsidRPr="00E23F9C">
              <w:rPr>
                <w:sz w:val="20"/>
              </w:rPr>
              <w:t>No</w:t>
            </w:r>
            <w:r w:rsidR="006907B1">
              <w:rPr>
                <w:sz w:val="20"/>
              </w:rPr>
              <w:t>.</w:t>
            </w:r>
            <w:r w:rsidRPr="00E23F9C">
              <w:rPr>
                <w:sz w:val="20"/>
              </w:rPr>
              <w:t xml:space="preserve"> rats affected </w:t>
            </w:r>
          </w:p>
        </w:tc>
        <w:tc>
          <w:tcPr>
            <w:tcW w:w="925" w:type="dxa"/>
            <w:tcBorders>
              <w:top w:val="nil"/>
              <w:bottom w:val="nil"/>
            </w:tcBorders>
          </w:tcPr>
          <w:p w14:paraId="038EB40C" w14:textId="77777777" w:rsidR="00B256D2" w:rsidRPr="00E23F9C" w:rsidRDefault="00B256D2" w:rsidP="00A41403">
            <w:pPr>
              <w:keepNext/>
              <w:keepLines/>
              <w:jc w:val="center"/>
              <w:rPr>
                <w:sz w:val="20"/>
              </w:rPr>
            </w:pPr>
            <w:r w:rsidRPr="00E23F9C">
              <w:rPr>
                <w:sz w:val="20"/>
              </w:rPr>
              <w:t>0</w:t>
            </w:r>
          </w:p>
        </w:tc>
        <w:tc>
          <w:tcPr>
            <w:tcW w:w="926" w:type="dxa"/>
            <w:tcBorders>
              <w:top w:val="nil"/>
              <w:bottom w:val="nil"/>
            </w:tcBorders>
          </w:tcPr>
          <w:p w14:paraId="149DF17A" w14:textId="77777777" w:rsidR="00B256D2" w:rsidRPr="00E23F9C" w:rsidRDefault="00B256D2" w:rsidP="00A41403">
            <w:pPr>
              <w:keepNext/>
              <w:keepLines/>
              <w:jc w:val="center"/>
              <w:rPr>
                <w:sz w:val="20"/>
              </w:rPr>
            </w:pPr>
            <w:r w:rsidRPr="00E23F9C">
              <w:rPr>
                <w:sz w:val="20"/>
              </w:rPr>
              <w:t>1</w:t>
            </w:r>
          </w:p>
        </w:tc>
        <w:tc>
          <w:tcPr>
            <w:tcW w:w="926" w:type="dxa"/>
            <w:tcBorders>
              <w:top w:val="nil"/>
              <w:bottom w:val="nil"/>
            </w:tcBorders>
          </w:tcPr>
          <w:p w14:paraId="0A4582E1" w14:textId="77777777" w:rsidR="00B256D2" w:rsidRPr="00E23F9C" w:rsidRDefault="00B256D2" w:rsidP="00A41403">
            <w:pPr>
              <w:keepNext/>
              <w:keepLines/>
              <w:jc w:val="center"/>
              <w:rPr>
                <w:sz w:val="20"/>
              </w:rPr>
            </w:pPr>
            <w:r w:rsidRPr="00E23F9C">
              <w:rPr>
                <w:sz w:val="20"/>
              </w:rPr>
              <w:t>3</w:t>
            </w:r>
          </w:p>
        </w:tc>
        <w:tc>
          <w:tcPr>
            <w:tcW w:w="926" w:type="dxa"/>
            <w:tcBorders>
              <w:top w:val="nil"/>
              <w:bottom w:val="nil"/>
            </w:tcBorders>
          </w:tcPr>
          <w:p w14:paraId="27BAB600" w14:textId="77777777" w:rsidR="00B256D2" w:rsidRPr="00E23F9C" w:rsidRDefault="00B256D2" w:rsidP="00A41403">
            <w:pPr>
              <w:keepNext/>
              <w:keepLines/>
              <w:jc w:val="center"/>
              <w:rPr>
                <w:sz w:val="20"/>
              </w:rPr>
            </w:pPr>
            <w:r w:rsidRPr="00E23F9C">
              <w:rPr>
                <w:sz w:val="20"/>
              </w:rPr>
              <w:t>2</w:t>
            </w:r>
          </w:p>
        </w:tc>
        <w:tc>
          <w:tcPr>
            <w:tcW w:w="925" w:type="dxa"/>
            <w:tcBorders>
              <w:top w:val="nil"/>
              <w:bottom w:val="nil"/>
            </w:tcBorders>
          </w:tcPr>
          <w:p w14:paraId="40E4E3AF" w14:textId="77777777" w:rsidR="00B256D2" w:rsidRPr="00E23F9C" w:rsidRDefault="00B256D2" w:rsidP="00A41403">
            <w:pPr>
              <w:keepNext/>
              <w:keepLines/>
              <w:jc w:val="center"/>
              <w:rPr>
                <w:sz w:val="20"/>
              </w:rPr>
            </w:pPr>
            <w:r w:rsidRPr="00E23F9C">
              <w:rPr>
                <w:sz w:val="20"/>
              </w:rPr>
              <w:t>2</w:t>
            </w:r>
          </w:p>
        </w:tc>
        <w:tc>
          <w:tcPr>
            <w:tcW w:w="926" w:type="dxa"/>
            <w:tcBorders>
              <w:top w:val="nil"/>
              <w:bottom w:val="nil"/>
            </w:tcBorders>
          </w:tcPr>
          <w:p w14:paraId="27FF8791" w14:textId="77777777" w:rsidR="00B256D2" w:rsidRPr="00E23F9C" w:rsidRDefault="00B256D2" w:rsidP="00A41403">
            <w:pPr>
              <w:keepNext/>
              <w:keepLines/>
              <w:jc w:val="center"/>
              <w:rPr>
                <w:sz w:val="20"/>
              </w:rPr>
            </w:pPr>
            <w:r w:rsidRPr="00E23F9C">
              <w:rPr>
                <w:sz w:val="20"/>
              </w:rPr>
              <w:t>1</w:t>
            </w:r>
          </w:p>
        </w:tc>
        <w:tc>
          <w:tcPr>
            <w:tcW w:w="926" w:type="dxa"/>
            <w:tcBorders>
              <w:top w:val="nil"/>
              <w:bottom w:val="nil"/>
            </w:tcBorders>
          </w:tcPr>
          <w:p w14:paraId="11009B19" w14:textId="77777777" w:rsidR="00B256D2" w:rsidRPr="00E23F9C" w:rsidRDefault="00B256D2" w:rsidP="00A41403">
            <w:pPr>
              <w:keepNext/>
              <w:keepLines/>
              <w:jc w:val="center"/>
              <w:rPr>
                <w:sz w:val="20"/>
              </w:rPr>
            </w:pPr>
            <w:r w:rsidRPr="00E23F9C">
              <w:rPr>
                <w:sz w:val="20"/>
              </w:rPr>
              <w:t>2</w:t>
            </w:r>
          </w:p>
        </w:tc>
        <w:tc>
          <w:tcPr>
            <w:tcW w:w="926" w:type="dxa"/>
            <w:tcBorders>
              <w:top w:val="nil"/>
              <w:bottom w:val="nil"/>
            </w:tcBorders>
          </w:tcPr>
          <w:p w14:paraId="5F4AC441" w14:textId="77777777" w:rsidR="00B256D2" w:rsidRPr="00E23F9C" w:rsidRDefault="00B256D2" w:rsidP="00A41403">
            <w:pPr>
              <w:keepNext/>
              <w:keepLines/>
              <w:jc w:val="center"/>
              <w:rPr>
                <w:sz w:val="20"/>
              </w:rPr>
            </w:pPr>
            <w:r w:rsidRPr="00E23F9C">
              <w:rPr>
                <w:sz w:val="20"/>
              </w:rPr>
              <w:t>3</w:t>
            </w:r>
          </w:p>
        </w:tc>
      </w:tr>
      <w:tr w:rsidR="00B256D2" w:rsidRPr="00E23F9C" w14:paraId="326D3347" w14:textId="77777777" w:rsidTr="00A41403">
        <w:trPr>
          <w:trHeight w:val="54"/>
        </w:trPr>
        <w:tc>
          <w:tcPr>
            <w:tcW w:w="1134" w:type="dxa"/>
            <w:tcBorders>
              <w:top w:val="nil"/>
              <w:bottom w:val="nil"/>
            </w:tcBorders>
          </w:tcPr>
          <w:p w14:paraId="0F04FD38" w14:textId="77777777" w:rsidR="00B256D2" w:rsidRPr="00E23F9C" w:rsidRDefault="00B256D2" w:rsidP="00A41403">
            <w:pPr>
              <w:keepNext/>
              <w:keepLines/>
              <w:rPr>
                <w:sz w:val="20"/>
              </w:rPr>
            </w:pPr>
            <w:r w:rsidRPr="00E23F9C">
              <w:rPr>
                <w:sz w:val="20"/>
              </w:rPr>
              <w:t>No</w:t>
            </w:r>
            <w:r w:rsidR="006907B1">
              <w:rPr>
                <w:sz w:val="20"/>
              </w:rPr>
              <w:t>,</w:t>
            </w:r>
            <w:r w:rsidRPr="00E23F9C">
              <w:rPr>
                <w:sz w:val="20"/>
              </w:rPr>
              <w:t xml:space="preserve"> rats at Day 15</w:t>
            </w:r>
          </w:p>
        </w:tc>
        <w:tc>
          <w:tcPr>
            <w:tcW w:w="925" w:type="dxa"/>
            <w:tcBorders>
              <w:top w:val="nil"/>
              <w:bottom w:val="nil"/>
            </w:tcBorders>
          </w:tcPr>
          <w:p w14:paraId="4D7302B1" w14:textId="77777777" w:rsidR="00B256D2" w:rsidRPr="00E23F9C" w:rsidRDefault="00B256D2" w:rsidP="00A41403">
            <w:pPr>
              <w:keepNext/>
              <w:keepLines/>
              <w:jc w:val="center"/>
              <w:rPr>
                <w:sz w:val="20"/>
              </w:rPr>
            </w:pPr>
            <w:r w:rsidRPr="00E23F9C">
              <w:rPr>
                <w:sz w:val="20"/>
              </w:rPr>
              <w:t>10</w:t>
            </w:r>
          </w:p>
        </w:tc>
        <w:tc>
          <w:tcPr>
            <w:tcW w:w="926" w:type="dxa"/>
            <w:tcBorders>
              <w:top w:val="nil"/>
              <w:bottom w:val="nil"/>
            </w:tcBorders>
          </w:tcPr>
          <w:p w14:paraId="503B26BA" w14:textId="77777777" w:rsidR="00B256D2" w:rsidRPr="00E23F9C" w:rsidRDefault="00B256D2" w:rsidP="00A41403">
            <w:pPr>
              <w:keepNext/>
              <w:keepLines/>
              <w:jc w:val="center"/>
              <w:rPr>
                <w:sz w:val="20"/>
              </w:rPr>
            </w:pPr>
            <w:r w:rsidRPr="00E23F9C">
              <w:rPr>
                <w:sz w:val="20"/>
              </w:rPr>
              <w:t>10</w:t>
            </w:r>
          </w:p>
        </w:tc>
        <w:tc>
          <w:tcPr>
            <w:tcW w:w="926" w:type="dxa"/>
            <w:tcBorders>
              <w:top w:val="nil"/>
              <w:bottom w:val="nil"/>
            </w:tcBorders>
          </w:tcPr>
          <w:p w14:paraId="08499307" w14:textId="77777777" w:rsidR="00B256D2" w:rsidRPr="00E23F9C" w:rsidRDefault="00B256D2" w:rsidP="00A41403">
            <w:pPr>
              <w:keepNext/>
              <w:keepLines/>
              <w:jc w:val="center"/>
              <w:rPr>
                <w:sz w:val="20"/>
              </w:rPr>
            </w:pPr>
            <w:r w:rsidRPr="00E23F9C">
              <w:rPr>
                <w:sz w:val="20"/>
              </w:rPr>
              <w:t>10</w:t>
            </w:r>
          </w:p>
        </w:tc>
        <w:tc>
          <w:tcPr>
            <w:tcW w:w="926" w:type="dxa"/>
            <w:tcBorders>
              <w:top w:val="nil"/>
              <w:bottom w:val="nil"/>
            </w:tcBorders>
          </w:tcPr>
          <w:p w14:paraId="099A24C6" w14:textId="77777777" w:rsidR="00B256D2" w:rsidRPr="00E23F9C" w:rsidRDefault="00B256D2" w:rsidP="00A41403">
            <w:pPr>
              <w:keepNext/>
              <w:keepLines/>
              <w:jc w:val="center"/>
              <w:rPr>
                <w:sz w:val="20"/>
              </w:rPr>
            </w:pPr>
            <w:r w:rsidRPr="00E23F9C">
              <w:rPr>
                <w:sz w:val="20"/>
              </w:rPr>
              <w:t>9</w:t>
            </w:r>
          </w:p>
        </w:tc>
        <w:tc>
          <w:tcPr>
            <w:tcW w:w="925" w:type="dxa"/>
            <w:tcBorders>
              <w:top w:val="nil"/>
              <w:bottom w:val="nil"/>
            </w:tcBorders>
          </w:tcPr>
          <w:p w14:paraId="7981805D" w14:textId="77777777" w:rsidR="00B256D2" w:rsidRPr="00E23F9C" w:rsidRDefault="00B256D2" w:rsidP="00A41403">
            <w:pPr>
              <w:keepNext/>
              <w:keepLines/>
              <w:jc w:val="center"/>
              <w:rPr>
                <w:sz w:val="20"/>
              </w:rPr>
            </w:pPr>
            <w:r w:rsidRPr="00E23F9C">
              <w:rPr>
                <w:sz w:val="20"/>
              </w:rPr>
              <w:t>10</w:t>
            </w:r>
          </w:p>
        </w:tc>
        <w:tc>
          <w:tcPr>
            <w:tcW w:w="926" w:type="dxa"/>
            <w:tcBorders>
              <w:top w:val="nil"/>
              <w:bottom w:val="nil"/>
            </w:tcBorders>
          </w:tcPr>
          <w:p w14:paraId="78267814" w14:textId="77777777" w:rsidR="00B256D2" w:rsidRPr="00E23F9C" w:rsidRDefault="00B256D2" w:rsidP="00A41403">
            <w:pPr>
              <w:keepNext/>
              <w:keepLines/>
              <w:jc w:val="center"/>
              <w:rPr>
                <w:sz w:val="20"/>
              </w:rPr>
            </w:pPr>
            <w:r w:rsidRPr="00E23F9C">
              <w:rPr>
                <w:sz w:val="20"/>
              </w:rPr>
              <w:t>10</w:t>
            </w:r>
          </w:p>
        </w:tc>
        <w:tc>
          <w:tcPr>
            <w:tcW w:w="926" w:type="dxa"/>
            <w:tcBorders>
              <w:top w:val="nil"/>
              <w:bottom w:val="nil"/>
            </w:tcBorders>
          </w:tcPr>
          <w:p w14:paraId="76D980B0" w14:textId="77777777" w:rsidR="00B256D2" w:rsidRPr="00E23F9C" w:rsidRDefault="00B256D2" w:rsidP="00A41403">
            <w:pPr>
              <w:keepNext/>
              <w:keepLines/>
              <w:jc w:val="center"/>
              <w:rPr>
                <w:sz w:val="20"/>
              </w:rPr>
            </w:pPr>
            <w:r w:rsidRPr="00E23F9C">
              <w:rPr>
                <w:sz w:val="20"/>
              </w:rPr>
              <w:t>10</w:t>
            </w:r>
          </w:p>
        </w:tc>
        <w:tc>
          <w:tcPr>
            <w:tcW w:w="926" w:type="dxa"/>
            <w:tcBorders>
              <w:top w:val="nil"/>
              <w:bottom w:val="nil"/>
            </w:tcBorders>
          </w:tcPr>
          <w:p w14:paraId="112ACFA9" w14:textId="77777777" w:rsidR="00B256D2" w:rsidRPr="00E23F9C" w:rsidRDefault="00B256D2" w:rsidP="00A41403">
            <w:pPr>
              <w:keepNext/>
              <w:keepLines/>
              <w:jc w:val="center"/>
              <w:rPr>
                <w:sz w:val="20"/>
              </w:rPr>
            </w:pPr>
            <w:r w:rsidRPr="00E23F9C">
              <w:rPr>
                <w:sz w:val="20"/>
              </w:rPr>
              <w:t>9</w:t>
            </w:r>
          </w:p>
        </w:tc>
      </w:tr>
      <w:tr w:rsidR="00B256D2" w:rsidRPr="00E23F9C" w14:paraId="05201BC4" w14:textId="77777777" w:rsidTr="00A41403">
        <w:trPr>
          <w:trHeight w:val="54"/>
        </w:trPr>
        <w:tc>
          <w:tcPr>
            <w:tcW w:w="1134" w:type="dxa"/>
            <w:tcBorders>
              <w:top w:val="nil"/>
            </w:tcBorders>
          </w:tcPr>
          <w:p w14:paraId="2254FD11" w14:textId="77777777" w:rsidR="00B256D2" w:rsidRPr="00E23F9C" w:rsidRDefault="00B256D2" w:rsidP="00A41403">
            <w:pPr>
              <w:keepNext/>
              <w:keepLines/>
              <w:rPr>
                <w:sz w:val="20"/>
              </w:rPr>
            </w:pPr>
            <w:r w:rsidRPr="00E23F9C">
              <w:rPr>
                <w:sz w:val="20"/>
              </w:rPr>
              <w:t>Day range</w:t>
            </w:r>
          </w:p>
        </w:tc>
        <w:tc>
          <w:tcPr>
            <w:tcW w:w="925" w:type="dxa"/>
            <w:tcBorders>
              <w:top w:val="nil"/>
            </w:tcBorders>
          </w:tcPr>
          <w:p w14:paraId="317D3996" w14:textId="77777777" w:rsidR="00B256D2" w:rsidRPr="00E23F9C" w:rsidRDefault="00B256D2" w:rsidP="00A41403">
            <w:pPr>
              <w:keepNext/>
              <w:keepLines/>
              <w:jc w:val="center"/>
              <w:rPr>
                <w:sz w:val="20"/>
              </w:rPr>
            </w:pPr>
          </w:p>
        </w:tc>
        <w:tc>
          <w:tcPr>
            <w:tcW w:w="926" w:type="dxa"/>
            <w:tcBorders>
              <w:top w:val="nil"/>
            </w:tcBorders>
          </w:tcPr>
          <w:p w14:paraId="2C17031D" w14:textId="77777777" w:rsidR="00B256D2" w:rsidRPr="00E23F9C" w:rsidRDefault="00B256D2" w:rsidP="00A41403">
            <w:pPr>
              <w:keepNext/>
              <w:keepLines/>
              <w:jc w:val="center"/>
              <w:rPr>
                <w:sz w:val="20"/>
              </w:rPr>
            </w:pPr>
            <w:r w:rsidRPr="00E23F9C">
              <w:rPr>
                <w:sz w:val="20"/>
              </w:rPr>
              <w:t>8 - 11</w:t>
            </w:r>
          </w:p>
        </w:tc>
        <w:tc>
          <w:tcPr>
            <w:tcW w:w="926" w:type="dxa"/>
            <w:tcBorders>
              <w:top w:val="nil"/>
            </w:tcBorders>
          </w:tcPr>
          <w:p w14:paraId="09DF3E4A" w14:textId="77777777" w:rsidR="00B256D2" w:rsidRPr="00E23F9C" w:rsidRDefault="00B256D2" w:rsidP="00A41403">
            <w:pPr>
              <w:keepNext/>
              <w:keepLines/>
              <w:jc w:val="center"/>
              <w:rPr>
                <w:sz w:val="20"/>
              </w:rPr>
            </w:pPr>
            <w:r w:rsidRPr="00E23F9C">
              <w:rPr>
                <w:sz w:val="20"/>
              </w:rPr>
              <w:t>-7 - 15</w:t>
            </w:r>
          </w:p>
        </w:tc>
        <w:tc>
          <w:tcPr>
            <w:tcW w:w="926" w:type="dxa"/>
            <w:tcBorders>
              <w:top w:val="nil"/>
            </w:tcBorders>
          </w:tcPr>
          <w:p w14:paraId="54654CB0" w14:textId="77777777" w:rsidR="00B256D2" w:rsidRPr="00E23F9C" w:rsidRDefault="00B256D2" w:rsidP="00A41403">
            <w:pPr>
              <w:keepNext/>
              <w:keepLines/>
              <w:jc w:val="center"/>
              <w:rPr>
                <w:sz w:val="20"/>
              </w:rPr>
            </w:pPr>
            <w:r w:rsidRPr="00E23F9C">
              <w:rPr>
                <w:sz w:val="20"/>
              </w:rPr>
              <w:t>-7 - 15</w:t>
            </w:r>
          </w:p>
        </w:tc>
        <w:tc>
          <w:tcPr>
            <w:tcW w:w="925" w:type="dxa"/>
            <w:tcBorders>
              <w:top w:val="nil"/>
            </w:tcBorders>
          </w:tcPr>
          <w:p w14:paraId="4D3BD16E" w14:textId="77777777" w:rsidR="00B256D2" w:rsidRPr="00E23F9C" w:rsidRDefault="00B256D2" w:rsidP="00A41403">
            <w:pPr>
              <w:keepNext/>
              <w:keepLines/>
              <w:jc w:val="center"/>
              <w:rPr>
                <w:sz w:val="20"/>
              </w:rPr>
            </w:pPr>
            <w:r w:rsidRPr="00E23F9C">
              <w:rPr>
                <w:sz w:val="20"/>
              </w:rPr>
              <w:t>8 - 15</w:t>
            </w:r>
          </w:p>
        </w:tc>
        <w:tc>
          <w:tcPr>
            <w:tcW w:w="926" w:type="dxa"/>
            <w:tcBorders>
              <w:top w:val="nil"/>
            </w:tcBorders>
          </w:tcPr>
          <w:p w14:paraId="0ADE4C78" w14:textId="77777777" w:rsidR="00B256D2" w:rsidRPr="00E23F9C" w:rsidRDefault="00B256D2" w:rsidP="00A41403">
            <w:pPr>
              <w:keepNext/>
              <w:keepLines/>
              <w:jc w:val="center"/>
              <w:rPr>
                <w:sz w:val="20"/>
              </w:rPr>
            </w:pPr>
            <w:r w:rsidRPr="00E23F9C">
              <w:rPr>
                <w:sz w:val="20"/>
              </w:rPr>
              <w:t>-7 - 15</w:t>
            </w:r>
          </w:p>
        </w:tc>
        <w:tc>
          <w:tcPr>
            <w:tcW w:w="926" w:type="dxa"/>
            <w:tcBorders>
              <w:top w:val="nil"/>
            </w:tcBorders>
          </w:tcPr>
          <w:p w14:paraId="0D285377" w14:textId="77777777" w:rsidR="00B256D2" w:rsidRPr="00E23F9C" w:rsidRDefault="00B256D2" w:rsidP="00A41403">
            <w:pPr>
              <w:keepNext/>
              <w:keepLines/>
              <w:jc w:val="center"/>
              <w:rPr>
                <w:sz w:val="20"/>
              </w:rPr>
            </w:pPr>
            <w:r w:rsidRPr="00E23F9C">
              <w:rPr>
                <w:sz w:val="20"/>
              </w:rPr>
              <w:t>1 - 15</w:t>
            </w:r>
          </w:p>
        </w:tc>
        <w:tc>
          <w:tcPr>
            <w:tcW w:w="926" w:type="dxa"/>
            <w:tcBorders>
              <w:top w:val="nil"/>
            </w:tcBorders>
          </w:tcPr>
          <w:p w14:paraId="5F16B4BA" w14:textId="77777777" w:rsidR="00B256D2" w:rsidRPr="00E23F9C" w:rsidRDefault="00B256D2" w:rsidP="00A41403">
            <w:pPr>
              <w:keepNext/>
              <w:keepLines/>
              <w:jc w:val="center"/>
              <w:rPr>
                <w:sz w:val="20"/>
              </w:rPr>
            </w:pPr>
            <w:r w:rsidRPr="00E23F9C">
              <w:rPr>
                <w:sz w:val="20"/>
              </w:rPr>
              <w:t>1 - 15</w:t>
            </w:r>
          </w:p>
        </w:tc>
      </w:tr>
    </w:tbl>
    <w:p w14:paraId="3BD5D9AA" w14:textId="77777777" w:rsidR="00B256D2" w:rsidRPr="00E23F9C" w:rsidRDefault="00B256D2" w:rsidP="00B256D2">
      <w:pPr>
        <w:keepNext/>
        <w:keepLines/>
        <w:rPr>
          <w:sz w:val="20"/>
        </w:rPr>
      </w:pPr>
      <w:r w:rsidRPr="00E23F9C">
        <w:rPr>
          <w:sz w:val="20"/>
        </w:rPr>
        <w:t>*Dose = paraquat technical mg/kg bw.</w:t>
      </w:r>
    </w:p>
    <w:p w14:paraId="160C0FB9" w14:textId="77777777" w:rsidR="00B256D2" w:rsidRPr="00E23F9C" w:rsidRDefault="00B256D2" w:rsidP="00B256D2">
      <w:pPr>
        <w:keepNext/>
        <w:keepLines/>
      </w:pPr>
    </w:p>
    <w:p w14:paraId="67C3F230" w14:textId="77A1B343" w:rsidR="00436573" w:rsidRDefault="00B169BA" w:rsidP="00D5465C">
      <w:pPr>
        <w:pStyle w:val="Caption"/>
        <w:keepNext/>
        <w:spacing w:after="120"/>
      </w:pPr>
      <w:bookmarkStart w:id="64" w:name="_Ref421025118"/>
      <w:r>
        <w:t xml:space="preserve">Table </w:t>
      </w:r>
      <w:r w:rsidR="00897462">
        <w:fldChar w:fldCharType="begin"/>
      </w:r>
      <w:r>
        <w:instrText xml:space="preserve"> SEQ Table \* ARABIC </w:instrText>
      </w:r>
      <w:r w:rsidR="00897462">
        <w:fldChar w:fldCharType="separate"/>
      </w:r>
      <w:r w:rsidR="000E54B2">
        <w:rPr>
          <w:noProof/>
        </w:rPr>
        <w:t>4</w:t>
      </w:r>
      <w:r w:rsidR="00897462">
        <w:fldChar w:fldCharType="end"/>
      </w:r>
      <w:bookmarkEnd w:id="64"/>
      <w:r w:rsidR="001E5092">
        <w:t xml:space="preserve">. </w:t>
      </w:r>
      <w:r w:rsidR="001E5092" w:rsidRPr="00CA255B">
        <w:t>Summary of intergroup comparison of functional observation battery – Reduced splay reflex</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
        <w:gridCol w:w="960"/>
        <w:gridCol w:w="960"/>
        <w:gridCol w:w="960"/>
        <w:gridCol w:w="960"/>
        <w:gridCol w:w="960"/>
        <w:gridCol w:w="960"/>
        <w:gridCol w:w="960"/>
        <w:gridCol w:w="960"/>
      </w:tblGrid>
      <w:tr w:rsidR="00B256D2" w:rsidRPr="00E23F9C" w14:paraId="40CD21B6" w14:textId="77777777" w:rsidTr="000E221D">
        <w:trPr>
          <w:trHeight w:val="54"/>
        </w:trPr>
        <w:tc>
          <w:tcPr>
            <w:tcW w:w="852" w:type="dxa"/>
            <w:shd w:val="clear" w:color="auto" w:fill="BFBFBF" w:themeFill="background1" w:themeFillShade="BF"/>
          </w:tcPr>
          <w:p w14:paraId="632F0E4D" w14:textId="77777777" w:rsidR="00B256D2" w:rsidRPr="00E23F9C" w:rsidRDefault="00B256D2" w:rsidP="00A41403">
            <w:pPr>
              <w:keepNext/>
              <w:keepLines/>
              <w:ind w:left="-81"/>
              <w:jc w:val="center"/>
              <w:rPr>
                <w:sz w:val="20"/>
              </w:rPr>
            </w:pPr>
          </w:p>
        </w:tc>
        <w:tc>
          <w:tcPr>
            <w:tcW w:w="3840" w:type="dxa"/>
            <w:gridSpan w:val="4"/>
            <w:shd w:val="clear" w:color="auto" w:fill="BFBFBF" w:themeFill="background1" w:themeFillShade="BF"/>
          </w:tcPr>
          <w:p w14:paraId="1F448B46" w14:textId="77777777" w:rsidR="00B256D2" w:rsidRPr="00E23F9C" w:rsidRDefault="00B256D2" w:rsidP="00A41403">
            <w:pPr>
              <w:keepNext/>
              <w:keepLines/>
              <w:ind w:left="-81"/>
              <w:jc w:val="center"/>
              <w:rPr>
                <w:sz w:val="20"/>
              </w:rPr>
            </w:pPr>
            <w:r w:rsidRPr="00E23F9C">
              <w:rPr>
                <w:sz w:val="20"/>
              </w:rPr>
              <w:t>Male</w:t>
            </w:r>
          </w:p>
        </w:tc>
        <w:tc>
          <w:tcPr>
            <w:tcW w:w="3840" w:type="dxa"/>
            <w:gridSpan w:val="4"/>
            <w:shd w:val="clear" w:color="auto" w:fill="BFBFBF" w:themeFill="background1" w:themeFillShade="BF"/>
          </w:tcPr>
          <w:p w14:paraId="239FB41A" w14:textId="77777777" w:rsidR="00B256D2" w:rsidRPr="00E23F9C" w:rsidRDefault="00B256D2" w:rsidP="00A41403">
            <w:pPr>
              <w:keepNext/>
              <w:keepLines/>
              <w:ind w:left="-81"/>
              <w:jc w:val="center"/>
              <w:rPr>
                <w:sz w:val="20"/>
              </w:rPr>
            </w:pPr>
            <w:r w:rsidRPr="00E23F9C">
              <w:rPr>
                <w:sz w:val="20"/>
              </w:rPr>
              <w:t>Female</w:t>
            </w:r>
          </w:p>
        </w:tc>
      </w:tr>
      <w:tr w:rsidR="00B256D2" w:rsidRPr="00E23F9C" w14:paraId="1B079905" w14:textId="77777777" w:rsidTr="000E221D">
        <w:trPr>
          <w:trHeight w:val="54"/>
        </w:trPr>
        <w:tc>
          <w:tcPr>
            <w:tcW w:w="852" w:type="dxa"/>
            <w:tcBorders>
              <w:bottom w:val="single" w:sz="4" w:space="0" w:color="auto"/>
            </w:tcBorders>
            <w:shd w:val="clear" w:color="auto" w:fill="BFBFBF" w:themeFill="background1" w:themeFillShade="BF"/>
          </w:tcPr>
          <w:p w14:paraId="18931BE9" w14:textId="77777777" w:rsidR="00B256D2" w:rsidRPr="00E23F9C" w:rsidRDefault="00B256D2" w:rsidP="00A41403">
            <w:pPr>
              <w:keepNext/>
              <w:keepLines/>
              <w:ind w:left="-81"/>
              <w:jc w:val="center"/>
              <w:rPr>
                <w:sz w:val="20"/>
              </w:rPr>
            </w:pPr>
            <w:r w:rsidRPr="00E23F9C">
              <w:rPr>
                <w:sz w:val="20"/>
              </w:rPr>
              <w:t>Dose*</w:t>
            </w:r>
          </w:p>
        </w:tc>
        <w:tc>
          <w:tcPr>
            <w:tcW w:w="960" w:type="dxa"/>
            <w:tcBorders>
              <w:bottom w:val="single" w:sz="4" w:space="0" w:color="auto"/>
            </w:tcBorders>
            <w:shd w:val="clear" w:color="auto" w:fill="BFBFBF" w:themeFill="background1" w:themeFillShade="BF"/>
          </w:tcPr>
          <w:p w14:paraId="5EA2767C" w14:textId="77777777" w:rsidR="00B256D2" w:rsidRPr="00E23F9C" w:rsidRDefault="00B256D2" w:rsidP="00A41403">
            <w:pPr>
              <w:keepNext/>
              <w:keepLines/>
              <w:ind w:left="-81"/>
              <w:jc w:val="center"/>
              <w:rPr>
                <w:sz w:val="20"/>
              </w:rPr>
            </w:pPr>
            <w:r w:rsidRPr="00E23F9C">
              <w:rPr>
                <w:sz w:val="20"/>
              </w:rPr>
              <w:t>0</w:t>
            </w:r>
          </w:p>
        </w:tc>
        <w:tc>
          <w:tcPr>
            <w:tcW w:w="960" w:type="dxa"/>
            <w:tcBorders>
              <w:bottom w:val="single" w:sz="4" w:space="0" w:color="auto"/>
            </w:tcBorders>
            <w:shd w:val="clear" w:color="auto" w:fill="BFBFBF" w:themeFill="background1" w:themeFillShade="BF"/>
          </w:tcPr>
          <w:p w14:paraId="19A85FC5" w14:textId="77777777" w:rsidR="00B256D2" w:rsidRPr="00E23F9C" w:rsidRDefault="00B256D2" w:rsidP="00A41403">
            <w:pPr>
              <w:keepNext/>
              <w:keepLines/>
              <w:ind w:left="-81"/>
              <w:jc w:val="center"/>
              <w:rPr>
                <w:sz w:val="20"/>
              </w:rPr>
            </w:pPr>
            <w:r w:rsidRPr="00E23F9C">
              <w:rPr>
                <w:sz w:val="20"/>
              </w:rPr>
              <w:t>25</w:t>
            </w:r>
          </w:p>
        </w:tc>
        <w:tc>
          <w:tcPr>
            <w:tcW w:w="960" w:type="dxa"/>
            <w:tcBorders>
              <w:bottom w:val="single" w:sz="4" w:space="0" w:color="auto"/>
            </w:tcBorders>
            <w:shd w:val="clear" w:color="auto" w:fill="BFBFBF" w:themeFill="background1" w:themeFillShade="BF"/>
          </w:tcPr>
          <w:p w14:paraId="6B6ED18B" w14:textId="77777777" w:rsidR="00B256D2" w:rsidRPr="00E23F9C" w:rsidRDefault="00B256D2" w:rsidP="00A41403">
            <w:pPr>
              <w:keepNext/>
              <w:keepLines/>
              <w:ind w:left="-81"/>
              <w:jc w:val="center"/>
              <w:rPr>
                <w:sz w:val="20"/>
              </w:rPr>
            </w:pPr>
            <w:r w:rsidRPr="00E23F9C">
              <w:rPr>
                <w:sz w:val="20"/>
              </w:rPr>
              <w:t>75</w:t>
            </w:r>
          </w:p>
        </w:tc>
        <w:tc>
          <w:tcPr>
            <w:tcW w:w="960" w:type="dxa"/>
            <w:tcBorders>
              <w:bottom w:val="single" w:sz="4" w:space="0" w:color="auto"/>
            </w:tcBorders>
            <w:shd w:val="clear" w:color="auto" w:fill="BFBFBF" w:themeFill="background1" w:themeFillShade="BF"/>
          </w:tcPr>
          <w:p w14:paraId="1569BE8E" w14:textId="77777777" w:rsidR="00B256D2" w:rsidRPr="00E23F9C" w:rsidRDefault="00B256D2" w:rsidP="00A41403">
            <w:pPr>
              <w:keepNext/>
              <w:keepLines/>
              <w:ind w:left="-81"/>
              <w:jc w:val="center"/>
              <w:rPr>
                <w:sz w:val="20"/>
              </w:rPr>
            </w:pPr>
            <w:r w:rsidRPr="00E23F9C">
              <w:rPr>
                <w:sz w:val="20"/>
              </w:rPr>
              <w:t>250</w:t>
            </w:r>
          </w:p>
        </w:tc>
        <w:tc>
          <w:tcPr>
            <w:tcW w:w="960" w:type="dxa"/>
            <w:tcBorders>
              <w:bottom w:val="single" w:sz="4" w:space="0" w:color="auto"/>
            </w:tcBorders>
            <w:shd w:val="clear" w:color="auto" w:fill="BFBFBF" w:themeFill="background1" w:themeFillShade="BF"/>
          </w:tcPr>
          <w:p w14:paraId="14C00735" w14:textId="77777777" w:rsidR="00B256D2" w:rsidRPr="00E23F9C" w:rsidRDefault="00B256D2" w:rsidP="00A41403">
            <w:pPr>
              <w:keepNext/>
              <w:keepLines/>
              <w:ind w:left="-81"/>
              <w:jc w:val="center"/>
              <w:rPr>
                <w:sz w:val="20"/>
              </w:rPr>
            </w:pPr>
            <w:r w:rsidRPr="00E23F9C">
              <w:rPr>
                <w:sz w:val="20"/>
              </w:rPr>
              <w:t>0</w:t>
            </w:r>
          </w:p>
        </w:tc>
        <w:tc>
          <w:tcPr>
            <w:tcW w:w="960" w:type="dxa"/>
            <w:tcBorders>
              <w:bottom w:val="single" w:sz="4" w:space="0" w:color="auto"/>
            </w:tcBorders>
            <w:shd w:val="clear" w:color="auto" w:fill="BFBFBF" w:themeFill="background1" w:themeFillShade="BF"/>
          </w:tcPr>
          <w:p w14:paraId="25E149E2" w14:textId="77777777" w:rsidR="00B256D2" w:rsidRPr="00E23F9C" w:rsidRDefault="00B256D2" w:rsidP="00A41403">
            <w:pPr>
              <w:keepNext/>
              <w:keepLines/>
              <w:ind w:left="-81"/>
              <w:jc w:val="center"/>
              <w:rPr>
                <w:sz w:val="20"/>
              </w:rPr>
            </w:pPr>
            <w:r w:rsidRPr="00E23F9C">
              <w:rPr>
                <w:sz w:val="20"/>
              </w:rPr>
              <w:t>25</w:t>
            </w:r>
          </w:p>
        </w:tc>
        <w:tc>
          <w:tcPr>
            <w:tcW w:w="960" w:type="dxa"/>
            <w:tcBorders>
              <w:bottom w:val="single" w:sz="4" w:space="0" w:color="auto"/>
            </w:tcBorders>
            <w:shd w:val="clear" w:color="auto" w:fill="BFBFBF" w:themeFill="background1" w:themeFillShade="BF"/>
          </w:tcPr>
          <w:p w14:paraId="4EDC1D78" w14:textId="77777777" w:rsidR="00B256D2" w:rsidRPr="00E23F9C" w:rsidRDefault="00B256D2" w:rsidP="00A41403">
            <w:pPr>
              <w:keepNext/>
              <w:keepLines/>
              <w:ind w:left="-81"/>
              <w:jc w:val="center"/>
              <w:rPr>
                <w:sz w:val="20"/>
              </w:rPr>
            </w:pPr>
            <w:r w:rsidRPr="00E23F9C">
              <w:rPr>
                <w:sz w:val="20"/>
              </w:rPr>
              <w:t>75</w:t>
            </w:r>
          </w:p>
        </w:tc>
        <w:tc>
          <w:tcPr>
            <w:tcW w:w="960" w:type="dxa"/>
            <w:tcBorders>
              <w:bottom w:val="single" w:sz="4" w:space="0" w:color="auto"/>
            </w:tcBorders>
            <w:shd w:val="clear" w:color="auto" w:fill="BFBFBF" w:themeFill="background1" w:themeFillShade="BF"/>
          </w:tcPr>
          <w:p w14:paraId="6D637189" w14:textId="77777777" w:rsidR="00B256D2" w:rsidRPr="00E23F9C" w:rsidRDefault="00B256D2" w:rsidP="00A41403">
            <w:pPr>
              <w:keepNext/>
              <w:keepLines/>
              <w:ind w:left="-81"/>
              <w:jc w:val="center"/>
              <w:rPr>
                <w:sz w:val="20"/>
              </w:rPr>
            </w:pPr>
            <w:r w:rsidRPr="00E23F9C">
              <w:rPr>
                <w:sz w:val="20"/>
              </w:rPr>
              <w:t>250</w:t>
            </w:r>
          </w:p>
        </w:tc>
      </w:tr>
      <w:tr w:rsidR="00B256D2" w:rsidRPr="00E23F9C" w14:paraId="7BC512EC" w14:textId="77777777" w:rsidTr="00A41403">
        <w:trPr>
          <w:trHeight w:val="54"/>
        </w:trPr>
        <w:tc>
          <w:tcPr>
            <w:tcW w:w="852" w:type="dxa"/>
            <w:tcBorders>
              <w:bottom w:val="nil"/>
            </w:tcBorders>
          </w:tcPr>
          <w:p w14:paraId="0D861F39" w14:textId="77777777" w:rsidR="00B256D2" w:rsidRPr="00E23F9C" w:rsidRDefault="00B256D2" w:rsidP="00A41403">
            <w:pPr>
              <w:keepNext/>
              <w:keepLines/>
              <w:ind w:left="-81"/>
              <w:jc w:val="center"/>
              <w:rPr>
                <w:sz w:val="20"/>
              </w:rPr>
            </w:pPr>
            <w:r w:rsidRPr="00E23F9C">
              <w:rPr>
                <w:sz w:val="20"/>
              </w:rPr>
              <w:t>Day -7</w:t>
            </w:r>
          </w:p>
        </w:tc>
        <w:tc>
          <w:tcPr>
            <w:tcW w:w="960" w:type="dxa"/>
            <w:tcBorders>
              <w:bottom w:val="nil"/>
            </w:tcBorders>
          </w:tcPr>
          <w:p w14:paraId="6D688F57" w14:textId="77777777" w:rsidR="00B256D2" w:rsidRPr="00E23F9C" w:rsidRDefault="00B256D2" w:rsidP="00A41403">
            <w:pPr>
              <w:keepNext/>
              <w:keepLines/>
              <w:ind w:left="-81"/>
              <w:jc w:val="center"/>
              <w:rPr>
                <w:sz w:val="20"/>
              </w:rPr>
            </w:pPr>
            <w:r w:rsidRPr="00E23F9C">
              <w:rPr>
                <w:sz w:val="20"/>
              </w:rPr>
              <w:t>0</w:t>
            </w:r>
          </w:p>
        </w:tc>
        <w:tc>
          <w:tcPr>
            <w:tcW w:w="960" w:type="dxa"/>
            <w:tcBorders>
              <w:bottom w:val="nil"/>
            </w:tcBorders>
          </w:tcPr>
          <w:p w14:paraId="5F50014D" w14:textId="77777777" w:rsidR="00B256D2" w:rsidRPr="00E23F9C" w:rsidRDefault="00B256D2" w:rsidP="00A41403">
            <w:pPr>
              <w:keepNext/>
              <w:keepLines/>
              <w:ind w:left="-81"/>
              <w:jc w:val="center"/>
              <w:rPr>
                <w:sz w:val="20"/>
              </w:rPr>
            </w:pPr>
            <w:r w:rsidRPr="00E23F9C">
              <w:rPr>
                <w:sz w:val="20"/>
              </w:rPr>
              <w:t>0</w:t>
            </w:r>
          </w:p>
        </w:tc>
        <w:tc>
          <w:tcPr>
            <w:tcW w:w="960" w:type="dxa"/>
            <w:tcBorders>
              <w:bottom w:val="nil"/>
            </w:tcBorders>
          </w:tcPr>
          <w:p w14:paraId="1B4EDB30" w14:textId="77777777" w:rsidR="00B256D2" w:rsidRPr="00E23F9C" w:rsidRDefault="00B256D2" w:rsidP="00A41403">
            <w:pPr>
              <w:keepNext/>
              <w:keepLines/>
              <w:ind w:left="-81"/>
              <w:jc w:val="center"/>
              <w:rPr>
                <w:sz w:val="20"/>
              </w:rPr>
            </w:pPr>
            <w:r w:rsidRPr="00E23F9C">
              <w:rPr>
                <w:sz w:val="20"/>
              </w:rPr>
              <w:t>1</w:t>
            </w:r>
          </w:p>
        </w:tc>
        <w:tc>
          <w:tcPr>
            <w:tcW w:w="960" w:type="dxa"/>
            <w:tcBorders>
              <w:bottom w:val="nil"/>
            </w:tcBorders>
          </w:tcPr>
          <w:p w14:paraId="3B3B8FB6" w14:textId="77777777" w:rsidR="00B256D2" w:rsidRPr="00E23F9C" w:rsidRDefault="00B256D2" w:rsidP="00A41403">
            <w:pPr>
              <w:keepNext/>
              <w:keepLines/>
              <w:ind w:left="-81"/>
              <w:jc w:val="center"/>
              <w:rPr>
                <w:sz w:val="20"/>
              </w:rPr>
            </w:pPr>
            <w:r w:rsidRPr="00E23F9C">
              <w:rPr>
                <w:sz w:val="20"/>
              </w:rPr>
              <w:t>1</w:t>
            </w:r>
          </w:p>
        </w:tc>
        <w:tc>
          <w:tcPr>
            <w:tcW w:w="960" w:type="dxa"/>
            <w:tcBorders>
              <w:bottom w:val="nil"/>
            </w:tcBorders>
          </w:tcPr>
          <w:p w14:paraId="770519B2" w14:textId="77777777" w:rsidR="00B256D2" w:rsidRPr="00E23F9C" w:rsidRDefault="00B256D2" w:rsidP="00A41403">
            <w:pPr>
              <w:keepNext/>
              <w:keepLines/>
              <w:ind w:left="-81"/>
              <w:jc w:val="center"/>
              <w:rPr>
                <w:sz w:val="20"/>
              </w:rPr>
            </w:pPr>
            <w:r w:rsidRPr="00E23F9C">
              <w:rPr>
                <w:sz w:val="20"/>
              </w:rPr>
              <w:t>0</w:t>
            </w:r>
          </w:p>
        </w:tc>
        <w:tc>
          <w:tcPr>
            <w:tcW w:w="960" w:type="dxa"/>
            <w:tcBorders>
              <w:bottom w:val="nil"/>
            </w:tcBorders>
          </w:tcPr>
          <w:p w14:paraId="19B7C70A" w14:textId="77777777" w:rsidR="00B256D2" w:rsidRPr="00E23F9C" w:rsidRDefault="00B256D2" w:rsidP="00A41403">
            <w:pPr>
              <w:keepNext/>
              <w:keepLines/>
              <w:ind w:left="-81"/>
              <w:jc w:val="center"/>
              <w:rPr>
                <w:sz w:val="20"/>
              </w:rPr>
            </w:pPr>
            <w:r w:rsidRPr="00E23F9C">
              <w:rPr>
                <w:sz w:val="20"/>
              </w:rPr>
              <w:t>1</w:t>
            </w:r>
          </w:p>
        </w:tc>
        <w:tc>
          <w:tcPr>
            <w:tcW w:w="960" w:type="dxa"/>
            <w:tcBorders>
              <w:bottom w:val="nil"/>
            </w:tcBorders>
          </w:tcPr>
          <w:p w14:paraId="3A5B8A66" w14:textId="77777777" w:rsidR="00B256D2" w:rsidRPr="00E23F9C" w:rsidRDefault="00B256D2" w:rsidP="00A41403">
            <w:pPr>
              <w:keepNext/>
              <w:keepLines/>
              <w:ind w:left="-81"/>
              <w:jc w:val="center"/>
              <w:rPr>
                <w:sz w:val="20"/>
              </w:rPr>
            </w:pPr>
            <w:r w:rsidRPr="00E23F9C">
              <w:rPr>
                <w:sz w:val="20"/>
              </w:rPr>
              <w:t>0</w:t>
            </w:r>
          </w:p>
        </w:tc>
        <w:tc>
          <w:tcPr>
            <w:tcW w:w="960" w:type="dxa"/>
            <w:tcBorders>
              <w:bottom w:val="nil"/>
            </w:tcBorders>
          </w:tcPr>
          <w:p w14:paraId="64D934A2" w14:textId="77777777" w:rsidR="00B256D2" w:rsidRPr="00E23F9C" w:rsidRDefault="00B256D2" w:rsidP="00A41403">
            <w:pPr>
              <w:keepNext/>
              <w:keepLines/>
              <w:ind w:left="-81"/>
              <w:jc w:val="center"/>
              <w:rPr>
                <w:sz w:val="20"/>
              </w:rPr>
            </w:pPr>
            <w:r w:rsidRPr="00E23F9C">
              <w:rPr>
                <w:sz w:val="20"/>
              </w:rPr>
              <w:t>0</w:t>
            </w:r>
          </w:p>
        </w:tc>
      </w:tr>
      <w:tr w:rsidR="00B256D2" w:rsidRPr="00E23F9C" w14:paraId="0F6699CF" w14:textId="77777777" w:rsidTr="00A41403">
        <w:trPr>
          <w:trHeight w:val="54"/>
        </w:trPr>
        <w:tc>
          <w:tcPr>
            <w:tcW w:w="852" w:type="dxa"/>
            <w:tcBorders>
              <w:top w:val="nil"/>
              <w:bottom w:val="nil"/>
            </w:tcBorders>
          </w:tcPr>
          <w:p w14:paraId="5273F366" w14:textId="77777777" w:rsidR="00B256D2" w:rsidRPr="00E23F9C" w:rsidRDefault="00B256D2" w:rsidP="00A41403">
            <w:pPr>
              <w:keepNext/>
              <w:keepLines/>
              <w:ind w:left="-81"/>
              <w:jc w:val="center"/>
              <w:rPr>
                <w:sz w:val="20"/>
              </w:rPr>
            </w:pPr>
            <w:r w:rsidRPr="00E23F9C">
              <w:rPr>
                <w:sz w:val="20"/>
              </w:rPr>
              <w:t>Day 1</w:t>
            </w:r>
          </w:p>
        </w:tc>
        <w:tc>
          <w:tcPr>
            <w:tcW w:w="960" w:type="dxa"/>
            <w:tcBorders>
              <w:top w:val="nil"/>
              <w:bottom w:val="nil"/>
            </w:tcBorders>
          </w:tcPr>
          <w:p w14:paraId="454D8013" w14:textId="77777777" w:rsidR="00B256D2" w:rsidRPr="00E23F9C" w:rsidRDefault="00B256D2" w:rsidP="00A41403">
            <w:pPr>
              <w:keepNext/>
              <w:keepLines/>
              <w:ind w:left="-81"/>
              <w:jc w:val="center"/>
              <w:rPr>
                <w:sz w:val="20"/>
              </w:rPr>
            </w:pPr>
            <w:r w:rsidRPr="00E23F9C">
              <w:rPr>
                <w:sz w:val="20"/>
              </w:rPr>
              <w:t>0</w:t>
            </w:r>
          </w:p>
        </w:tc>
        <w:tc>
          <w:tcPr>
            <w:tcW w:w="960" w:type="dxa"/>
            <w:tcBorders>
              <w:top w:val="nil"/>
              <w:bottom w:val="nil"/>
            </w:tcBorders>
          </w:tcPr>
          <w:p w14:paraId="49372195" w14:textId="77777777" w:rsidR="00B256D2" w:rsidRPr="00E23F9C" w:rsidRDefault="00B256D2" w:rsidP="00A41403">
            <w:pPr>
              <w:keepNext/>
              <w:keepLines/>
              <w:ind w:left="-81"/>
              <w:jc w:val="center"/>
              <w:rPr>
                <w:sz w:val="20"/>
              </w:rPr>
            </w:pPr>
            <w:r w:rsidRPr="00E23F9C">
              <w:rPr>
                <w:sz w:val="20"/>
              </w:rPr>
              <w:t>0</w:t>
            </w:r>
          </w:p>
        </w:tc>
        <w:tc>
          <w:tcPr>
            <w:tcW w:w="960" w:type="dxa"/>
            <w:tcBorders>
              <w:top w:val="nil"/>
              <w:bottom w:val="nil"/>
            </w:tcBorders>
          </w:tcPr>
          <w:p w14:paraId="6310324F" w14:textId="77777777" w:rsidR="00B256D2" w:rsidRPr="00E23F9C" w:rsidRDefault="00B256D2" w:rsidP="00A41403">
            <w:pPr>
              <w:keepNext/>
              <w:keepLines/>
              <w:ind w:left="-81"/>
              <w:jc w:val="center"/>
              <w:rPr>
                <w:sz w:val="20"/>
              </w:rPr>
            </w:pPr>
            <w:r w:rsidRPr="00E23F9C">
              <w:rPr>
                <w:sz w:val="20"/>
              </w:rPr>
              <w:t>0</w:t>
            </w:r>
          </w:p>
        </w:tc>
        <w:tc>
          <w:tcPr>
            <w:tcW w:w="960" w:type="dxa"/>
            <w:tcBorders>
              <w:top w:val="nil"/>
              <w:bottom w:val="nil"/>
            </w:tcBorders>
          </w:tcPr>
          <w:p w14:paraId="7F66F117" w14:textId="77777777" w:rsidR="00B256D2" w:rsidRPr="00E23F9C" w:rsidRDefault="00B256D2" w:rsidP="00A41403">
            <w:pPr>
              <w:keepNext/>
              <w:keepLines/>
              <w:ind w:left="-81"/>
              <w:jc w:val="center"/>
              <w:rPr>
                <w:sz w:val="20"/>
              </w:rPr>
            </w:pPr>
            <w:r w:rsidRPr="00E23F9C">
              <w:rPr>
                <w:sz w:val="20"/>
              </w:rPr>
              <w:t>2</w:t>
            </w:r>
          </w:p>
        </w:tc>
        <w:tc>
          <w:tcPr>
            <w:tcW w:w="960" w:type="dxa"/>
            <w:tcBorders>
              <w:top w:val="nil"/>
              <w:bottom w:val="nil"/>
            </w:tcBorders>
          </w:tcPr>
          <w:p w14:paraId="2B3BEAE1" w14:textId="77777777" w:rsidR="00B256D2" w:rsidRPr="00E23F9C" w:rsidRDefault="00B256D2" w:rsidP="00A41403">
            <w:pPr>
              <w:keepNext/>
              <w:keepLines/>
              <w:ind w:left="-81"/>
              <w:jc w:val="center"/>
              <w:rPr>
                <w:sz w:val="20"/>
              </w:rPr>
            </w:pPr>
            <w:r w:rsidRPr="00E23F9C">
              <w:rPr>
                <w:sz w:val="20"/>
              </w:rPr>
              <w:t>0</w:t>
            </w:r>
          </w:p>
        </w:tc>
        <w:tc>
          <w:tcPr>
            <w:tcW w:w="960" w:type="dxa"/>
            <w:tcBorders>
              <w:top w:val="nil"/>
              <w:bottom w:val="nil"/>
            </w:tcBorders>
          </w:tcPr>
          <w:p w14:paraId="34AE8664" w14:textId="77777777" w:rsidR="00B256D2" w:rsidRPr="00E23F9C" w:rsidRDefault="00B256D2" w:rsidP="00A41403">
            <w:pPr>
              <w:keepNext/>
              <w:keepLines/>
              <w:ind w:left="-81"/>
              <w:jc w:val="center"/>
              <w:rPr>
                <w:sz w:val="20"/>
              </w:rPr>
            </w:pPr>
            <w:r w:rsidRPr="00E23F9C">
              <w:rPr>
                <w:sz w:val="20"/>
              </w:rPr>
              <w:t>1</w:t>
            </w:r>
          </w:p>
        </w:tc>
        <w:tc>
          <w:tcPr>
            <w:tcW w:w="960" w:type="dxa"/>
            <w:tcBorders>
              <w:top w:val="nil"/>
              <w:bottom w:val="nil"/>
            </w:tcBorders>
          </w:tcPr>
          <w:p w14:paraId="26667D33" w14:textId="77777777" w:rsidR="00B256D2" w:rsidRPr="00E23F9C" w:rsidRDefault="00B256D2" w:rsidP="00A41403">
            <w:pPr>
              <w:keepNext/>
              <w:keepLines/>
              <w:ind w:left="-81"/>
              <w:jc w:val="center"/>
              <w:rPr>
                <w:sz w:val="20"/>
              </w:rPr>
            </w:pPr>
            <w:r w:rsidRPr="00E23F9C">
              <w:rPr>
                <w:sz w:val="20"/>
              </w:rPr>
              <w:t>1</w:t>
            </w:r>
          </w:p>
        </w:tc>
        <w:tc>
          <w:tcPr>
            <w:tcW w:w="960" w:type="dxa"/>
            <w:tcBorders>
              <w:top w:val="nil"/>
              <w:bottom w:val="nil"/>
            </w:tcBorders>
          </w:tcPr>
          <w:p w14:paraId="44DDE352" w14:textId="77777777" w:rsidR="00B256D2" w:rsidRPr="00E23F9C" w:rsidRDefault="00B256D2" w:rsidP="00A41403">
            <w:pPr>
              <w:keepNext/>
              <w:keepLines/>
              <w:ind w:left="-81"/>
              <w:jc w:val="center"/>
              <w:rPr>
                <w:sz w:val="20"/>
              </w:rPr>
            </w:pPr>
            <w:r w:rsidRPr="00E23F9C">
              <w:rPr>
                <w:sz w:val="20"/>
              </w:rPr>
              <w:t>2</w:t>
            </w:r>
          </w:p>
        </w:tc>
      </w:tr>
      <w:tr w:rsidR="00B256D2" w:rsidRPr="00E23F9C" w14:paraId="68587F8A" w14:textId="77777777" w:rsidTr="00A41403">
        <w:trPr>
          <w:trHeight w:val="54"/>
        </w:trPr>
        <w:tc>
          <w:tcPr>
            <w:tcW w:w="852" w:type="dxa"/>
            <w:tcBorders>
              <w:top w:val="nil"/>
              <w:bottom w:val="nil"/>
            </w:tcBorders>
          </w:tcPr>
          <w:p w14:paraId="6E274595" w14:textId="77777777" w:rsidR="00B256D2" w:rsidRPr="00E23F9C" w:rsidRDefault="00B256D2" w:rsidP="00A41403">
            <w:pPr>
              <w:keepNext/>
              <w:keepLines/>
              <w:ind w:left="-81"/>
              <w:jc w:val="center"/>
              <w:rPr>
                <w:sz w:val="20"/>
              </w:rPr>
            </w:pPr>
            <w:r w:rsidRPr="00E23F9C">
              <w:rPr>
                <w:sz w:val="20"/>
              </w:rPr>
              <w:t>Day 8</w:t>
            </w:r>
          </w:p>
        </w:tc>
        <w:tc>
          <w:tcPr>
            <w:tcW w:w="960" w:type="dxa"/>
            <w:tcBorders>
              <w:top w:val="nil"/>
              <w:bottom w:val="nil"/>
            </w:tcBorders>
          </w:tcPr>
          <w:p w14:paraId="73A5457C" w14:textId="77777777" w:rsidR="00B256D2" w:rsidRPr="00E23F9C" w:rsidRDefault="00B256D2" w:rsidP="00A41403">
            <w:pPr>
              <w:keepNext/>
              <w:keepLines/>
              <w:ind w:left="-81"/>
              <w:jc w:val="center"/>
              <w:rPr>
                <w:sz w:val="20"/>
              </w:rPr>
            </w:pPr>
            <w:r w:rsidRPr="00E23F9C">
              <w:rPr>
                <w:sz w:val="20"/>
              </w:rPr>
              <w:t>0</w:t>
            </w:r>
          </w:p>
        </w:tc>
        <w:tc>
          <w:tcPr>
            <w:tcW w:w="960" w:type="dxa"/>
            <w:tcBorders>
              <w:top w:val="nil"/>
              <w:bottom w:val="nil"/>
            </w:tcBorders>
          </w:tcPr>
          <w:p w14:paraId="266796AA" w14:textId="77777777" w:rsidR="00B256D2" w:rsidRPr="00E23F9C" w:rsidRDefault="00B256D2" w:rsidP="00A41403">
            <w:pPr>
              <w:keepNext/>
              <w:keepLines/>
              <w:ind w:left="-81"/>
              <w:jc w:val="center"/>
              <w:rPr>
                <w:sz w:val="20"/>
              </w:rPr>
            </w:pPr>
            <w:r w:rsidRPr="00E23F9C">
              <w:rPr>
                <w:sz w:val="20"/>
              </w:rPr>
              <w:t>1</w:t>
            </w:r>
          </w:p>
        </w:tc>
        <w:tc>
          <w:tcPr>
            <w:tcW w:w="960" w:type="dxa"/>
            <w:tcBorders>
              <w:top w:val="nil"/>
              <w:bottom w:val="nil"/>
            </w:tcBorders>
          </w:tcPr>
          <w:p w14:paraId="6F0BD1E5" w14:textId="77777777" w:rsidR="00B256D2" w:rsidRPr="00E23F9C" w:rsidRDefault="00B256D2" w:rsidP="00A41403">
            <w:pPr>
              <w:keepNext/>
              <w:keepLines/>
              <w:ind w:left="-81"/>
              <w:jc w:val="center"/>
              <w:rPr>
                <w:sz w:val="20"/>
              </w:rPr>
            </w:pPr>
            <w:r w:rsidRPr="00E23F9C">
              <w:rPr>
                <w:sz w:val="20"/>
              </w:rPr>
              <w:t>0</w:t>
            </w:r>
          </w:p>
        </w:tc>
        <w:tc>
          <w:tcPr>
            <w:tcW w:w="960" w:type="dxa"/>
            <w:tcBorders>
              <w:top w:val="nil"/>
              <w:bottom w:val="nil"/>
            </w:tcBorders>
          </w:tcPr>
          <w:p w14:paraId="33802BBD" w14:textId="77777777" w:rsidR="00B256D2" w:rsidRPr="00E23F9C" w:rsidRDefault="00B256D2" w:rsidP="00A41403">
            <w:pPr>
              <w:keepNext/>
              <w:keepLines/>
              <w:ind w:left="-81"/>
              <w:jc w:val="center"/>
              <w:rPr>
                <w:sz w:val="20"/>
                <w:vertAlign w:val="superscript"/>
              </w:rPr>
            </w:pPr>
            <w:r w:rsidRPr="00E23F9C">
              <w:rPr>
                <w:sz w:val="20"/>
              </w:rPr>
              <w:t>1</w:t>
            </w:r>
            <w:r w:rsidRPr="00E23F9C">
              <w:rPr>
                <w:sz w:val="20"/>
                <w:vertAlign w:val="superscript"/>
              </w:rPr>
              <w:t>A</w:t>
            </w:r>
          </w:p>
        </w:tc>
        <w:tc>
          <w:tcPr>
            <w:tcW w:w="960" w:type="dxa"/>
            <w:tcBorders>
              <w:top w:val="nil"/>
              <w:bottom w:val="nil"/>
            </w:tcBorders>
          </w:tcPr>
          <w:p w14:paraId="571ABAB7" w14:textId="77777777" w:rsidR="00B256D2" w:rsidRPr="00E23F9C" w:rsidRDefault="00B256D2" w:rsidP="00A41403">
            <w:pPr>
              <w:keepNext/>
              <w:keepLines/>
              <w:ind w:left="-81"/>
              <w:jc w:val="center"/>
              <w:rPr>
                <w:sz w:val="20"/>
                <w:vertAlign w:val="superscript"/>
              </w:rPr>
            </w:pPr>
            <w:r w:rsidRPr="00E23F9C">
              <w:rPr>
                <w:sz w:val="20"/>
              </w:rPr>
              <w:t>1</w:t>
            </w:r>
            <w:r w:rsidRPr="00E23F9C">
              <w:rPr>
                <w:sz w:val="20"/>
                <w:vertAlign w:val="superscript"/>
              </w:rPr>
              <w:t>B</w:t>
            </w:r>
          </w:p>
        </w:tc>
        <w:tc>
          <w:tcPr>
            <w:tcW w:w="960" w:type="dxa"/>
            <w:tcBorders>
              <w:top w:val="nil"/>
              <w:bottom w:val="nil"/>
            </w:tcBorders>
          </w:tcPr>
          <w:p w14:paraId="3779DC24" w14:textId="77777777" w:rsidR="00B256D2" w:rsidRPr="00E23F9C" w:rsidRDefault="00B256D2" w:rsidP="00A41403">
            <w:pPr>
              <w:keepNext/>
              <w:keepLines/>
              <w:ind w:left="-81"/>
              <w:jc w:val="center"/>
              <w:rPr>
                <w:sz w:val="20"/>
              </w:rPr>
            </w:pPr>
            <w:r w:rsidRPr="00E23F9C">
              <w:rPr>
                <w:sz w:val="20"/>
              </w:rPr>
              <w:t>0</w:t>
            </w:r>
          </w:p>
        </w:tc>
        <w:tc>
          <w:tcPr>
            <w:tcW w:w="960" w:type="dxa"/>
            <w:tcBorders>
              <w:top w:val="nil"/>
              <w:bottom w:val="nil"/>
            </w:tcBorders>
          </w:tcPr>
          <w:p w14:paraId="58FF2CDD" w14:textId="77777777" w:rsidR="00B256D2" w:rsidRPr="00E23F9C" w:rsidRDefault="00B256D2" w:rsidP="00A41403">
            <w:pPr>
              <w:keepNext/>
              <w:keepLines/>
              <w:ind w:left="-81"/>
              <w:jc w:val="center"/>
              <w:rPr>
                <w:sz w:val="20"/>
              </w:rPr>
            </w:pPr>
            <w:r w:rsidRPr="00E23F9C">
              <w:rPr>
                <w:sz w:val="20"/>
              </w:rPr>
              <w:t>2</w:t>
            </w:r>
          </w:p>
        </w:tc>
        <w:tc>
          <w:tcPr>
            <w:tcW w:w="960" w:type="dxa"/>
            <w:tcBorders>
              <w:top w:val="nil"/>
              <w:bottom w:val="nil"/>
            </w:tcBorders>
          </w:tcPr>
          <w:p w14:paraId="506907AE" w14:textId="77777777" w:rsidR="00B256D2" w:rsidRPr="00E23F9C" w:rsidRDefault="00B256D2" w:rsidP="00A41403">
            <w:pPr>
              <w:keepNext/>
              <w:keepLines/>
              <w:ind w:left="-81"/>
              <w:jc w:val="center"/>
              <w:rPr>
                <w:sz w:val="20"/>
                <w:vertAlign w:val="superscript"/>
              </w:rPr>
            </w:pPr>
            <w:r w:rsidRPr="00E23F9C">
              <w:rPr>
                <w:sz w:val="20"/>
              </w:rPr>
              <w:t>2</w:t>
            </w:r>
            <w:r w:rsidRPr="00E23F9C">
              <w:rPr>
                <w:sz w:val="20"/>
                <w:vertAlign w:val="superscript"/>
              </w:rPr>
              <w:t>A</w:t>
            </w:r>
          </w:p>
        </w:tc>
      </w:tr>
      <w:tr w:rsidR="00B256D2" w:rsidRPr="00E23F9C" w14:paraId="05A7A3C9" w14:textId="77777777" w:rsidTr="00A41403">
        <w:trPr>
          <w:trHeight w:val="54"/>
        </w:trPr>
        <w:tc>
          <w:tcPr>
            <w:tcW w:w="852" w:type="dxa"/>
            <w:tcBorders>
              <w:top w:val="nil"/>
            </w:tcBorders>
          </w:tcPr>
          <w:p w14:paraId="2621CF77" w14:textId="77777777" w:rsidR="00B256D2" w:rsidRPr="00E23F9C" w:rsidRDefault="00B256D2" w:rsidP="00A41403">
            <w:pPr>
              <w:keepNext/>
              <w:keepLines/>
              <w:ind w:left="-81"/>
              <w:jc w:val="center"/>
              <w:rPr>
                <w:sz w:val="20"/>
              </w:rPr>
            </w:pPr>
            <w:r w:rsidRPr="00E23F9C">
              <w:rPr>
                <w:sz w:val="20"/>
              </w:rPr>
              <w:t>Day 15</w:t>
            </w:r>
          </w:p>
        </w:tc>
        <w:tc>
          <w:tcPr>
            <w:tcW w:w="960" w:type="dxa"/>
            <w:tcBorders>
              <w:top w:val="nil"/>
            </w:tcBorders>
          </w:tcPr>
          <w:p w14:paraId="7A20C525" w14:textId="77777777" w:rsidR="00B256D2" w:rsidRPr="00E23F9C" w:rsidRDefault="00B256D2" w:rsidP="00A41403">
            <w:pPr>
              <w:keepNext/>
              <w:keepLines/>
              <w:ind w:left="-81"/>
              <w:jc w:val="center"/>
              <w:rPr>
                <w:sz w:val="20"/>
              </w:rPr>
            </w:pPr>
            <w:r w:rsidRPr="00E23F9C">
              <w:rPr>
                <w:sz w:val="20"/>
              </w:rPr>
              <w:t>0</w:t>
            </w:r>
          </w:p>
        </w:tc>
        <w:tc>
          <w:tcPr>
            <w:tcW w:w="960" w:type="dxa"/>
            <w:tcBorders>
              <w:top w:val="nil"/>
            </w:tcBorders>
          </w:tcPr>
          <w:p w14:paraId="56381021" w14:textId="77777777" w:rsidR="00B256D2" w:rsidRPr="00E23F9C" w:rsidRDefault="00B256D2" w:rsidP="00A41403">
            <w:pPr>
              <w:keepNext/>
              <w:keepLines/>
              <w:ind w:left="-81"/>
              <w:jc w:val="center"/>
              <w:rPr>
                <w:sz w:val="20"/>
              </w:rPr>
            </w:pPr>
            <w:r w:rsidRPr="00E23F9C">
              <w:rPr>
                <w:sz w:val="20"/>
              </w:rPr>
              <w:t>0</w:t>
            </w:r>
          </w:p>
        </w:tc>
        <w:tc>
          <w:tcPr>
            <w:tcW w:w="960" w:type="dxa"/>
            <w:tcBorders>
              <w:top w:val="nil"/>
            </w:tcBorders>
          </w:tcPr>
          <w:p w14:paraId="3FCFAD36" w14:textId="77777777" w:rsidR="00B256D2" w:rsidRPr="00E23F9C" w:rsidRDefault="00B256D2" w:rsidP="00A41403">
            <w:pPr>
              <w:keepNext/>
              <w:keepLines/>
              <w:ind w:left="-81"/>
              <w:jc w:val="center"/>
              <w:rPr>
                <w:sz w:val="20"/>
              </w:rPr>
            </w:pPr>
            <w:r w:rsidRPr="00E23F9C">
              <w:rPr>
                <w:sz w:val="20"/>
              </w:rPr>
              <w:t>2</w:t>
            </w:r>
          </w:p>
        </w:tc>
        <w:tc>
          <w:tcPr>
            <w:tcW w:w="960" w:type="dxa"/>
            <w:tcBorders>
              <w:top w:val="nil"/>
            </w:tcBorders>
          </w:tcPr>
          <w:p w14:paraId="1D34C7B0" w14:textId="77777777" w:rsidR="00B256D2" w:rsidRPr="00E23F9C" w:rsidRDefault="00B256D2" w:rsidP="00A41403">
            <w:pPr>
              <w:keepNext/>
              <w:keepLines/>
              <w:ind w:left="-81"/>
              <w:jc w:val="center"/>
              <w:rPr>
                <w:sz w:val="20"/>
                <w:vertAlign w:val="superscript"/>
              </w:rPr>
            </w:pPr>
            <w:r w:rsidRPr="00E23F9C">
              <w:rPr>
                <w:sz w:val="20"/>
              </w:rPr>
              <w:t>1</w:t>
            </w:r>
            <w:r w:rsidRPr="00E23F9C">
              <w:rPr>
                <w:sz w:val="20"/>
                <w:vertAlign w:val="superscript"/>
              </w:rPr>
              <w:t>A</w:t>
            </w:r>
          </w:p>
        </w:tc>
        <w:tc>
          <w:tcPr>
            <w:tcW w:w="960" w:type="dxa"/>
            <w:tcBorders>
              <w:top w:val="nil"/>
            </w:tcBorders>
          </w:tcPr>
          <w:p w14:paraId="0CDD60F7" w14:textId="77777777" w:rsidR="00B256D2" w:rsidRPr="00E23F9C" w:rsidRDefault="00B256D2" w:rsidP="00A41403">
            <w:pPr>
              <w:keepNext/>
              <w:keepLines/>
              <w:ind w:left="-81"/>
              <w:jc w:val="center"/>
              <w:rPr>
                <w:sz w:val="20"/>
              </w:rPr>
            </w:pPr>
            <w:r w:rsidRPr="00E23F9C">
              <w:rPr>
                <w:sz w:val="20"/>
              </w:rPr>
              <w:t>2</w:t>
            </w:r>
          </w:p>
        </w:tc>
        <w:tc>
          <w:tcPr>
            <w:tcW w:w="960" w:type="dxa"/>
            <w:tcBorders>
              <w:top w:val="nil"/>
            </w:tcBorders>
          </w:tcPr>
          <w:p w14:paraId="23DD95C9" w14:textId="77777777" w:rsidR="00B256D2" w:rsidRPr="00E23F9C" w:rsidRDefault="00B256D2" w:rsidP="00A41403">
            <w:pPr>
              <w:keepNext/>
              <w:keepLines/>
              <w:ind w:left="-81"/>
              <w:jc w:val="center"/>
              <w:rPr>
                <w:sz w:val="20"/>
              </w:rPr>
            </w:pPr>
            <w:r w:rsidRPr="00E23F9C">
              <w:rPr>
                <w:sz w:val="20"/>
              </w:rPr>
              <w:t>1</w:t>
            </w:r>
          </w:p>
        </w:tc>
        <w:tc>
          <w:tcPr>
            <w:tcW w:w="960" w:type="dxa"/>
            <w:tcBorders>
              <w:top w:val="nil"/>
            </w:tcBorders>
          </w:tcPr>
          <w:p w14:paraId="06C80063" w14:textId="77777777" w:rsidR="00B256D2" w:rsidRPr="00E23F9C" w:rsidRDefault="00B256D2" w:rsidP="00A41403">
            <w:pPr>
              <w:keepNext/>
              <w:keepLines/>
              <w:ind w:left="-81"/>
              <w:jc w:val="center"/>
              <w:rPr>
                <w:sz w:val="20"/>
              </w:rPr>
            </w:pPr>
            <w:r w:rsidRPr="00E23F9C">
              <w:rPr>
                <w:sz w:val="20"/>
              </w:rPr>
              <w:t>1</w:t>
            </w:r>
          </w:p>
        </w:tc>
        <w:tc>
          <w:tcPr>
            <w:tcW w:w="960" w:type="dxa"/>
            <w:tcBorders>
              <w:top w:val="nil"/>
            </w:tcBorders>
          </w:tcPr>
          <w:p w14:paraId="41C38A91" w14:textId="77777777" w:rsidR="00B256D2" w:rsidRPr="00E23F9C" w:rsidRDefault="00B256D2" w:rsidP="00A41403">
            <w:pPr>
              <w:keepNext/>
              <w:keepLines/>
              <w:ind w:left="-81"/>
              <w:jc w:val="center"/>
              <w:rPr>
                <w:sz w:val="20"/>
                <w:vertAlign w:val="superscript"/>
              </w:rPr>
            </w:pPr>
            <w:r w:rsidRPr="00E23F9C">
              <w:rPr>
                <w:sz w:val="20"/>
              </w:rPr>
              <w:t>1</w:t>
            </w:r>
            <w:r w:rsidRPr="00E23F9C">
              <w:rPr>
                <w:sz w:val="20"/>
                <w:vertAlign w:val="superscript"/>
              </w:rPr>
              <w:t>A</w:t>
            </w:r>
          </w:p>
        </w:tc>
      </w:tr>
    </w:tbl>
    <w:p w14:paraId="0B4317F6" w14:textId="77777777" w:rsidR="00B256D2" w:rsidRPr="00E23F9C" w:rsidRDefault="00B256D2" w:rsidP="00B256D2">
      <w:pPr>
        <w:keepNext/>
        <w:keepLines/>
        <w:rPr>
          <w:sz w:val="20"/>
        </w:rPr>
      </w:pPr>
      <w:r w:rsidRPr="00E23F9C">
        <w:rPr>
          <w:sz w:val="20"/>
        </w:rPr>
        <w:t xml:space="preserve">*Dose = paraquat technical mg/kg bw; </w:t>
      </w:r>
      <w:r w:rsidRPr="00E23F9C">
        <w:rPr>
          <w:sz w:val="20"/>
          <w:vertAlign w:val="superscript"/>
        </w:rPr>
        <w:t>A</w:t>
      </w:r>
      <w:r w:rsidRPr="00E23F9C">
        <w:rPr>
          <w:sz w:val="20"/>
        </w:rPr>
        <w:t> n=9; The severity of all events was graded as slight except as marked “</w:t>
      </w:r>
      <w:r w:rsidRPr="00E23F9C">
        <w:rPr>
          <w:sz w:val="20"/>
          <w:vertAlign w:val="superscript"/>
        </w:rPr>
        <w:t>B</w:t>
      </w:r>
      <w:r w:rsidRPr="00E23F9C">
        <w:rPr>
          <w:sz w:val="20"/>
        </w:rPr>
        <w:t>” which was of moderate severity</w:t>
      </w:r>
      <w:r w:rsidR="00EA3539">
        <w:rPr>
          <w:sz w:val="20"/>
        </w:rPr>
        <w:t>.</w:t>
      </w:r>
    </w:p>
    <w:p w14:paraId="27FAE5DA" w14:textId="77777777" w:rsidR="00B256D2" w:rsidRPr="00E23F9C" w:rsidRDefault="00B256D2" w:rsidP="00B256D2"/>
    <w:p w14:paraId="5F50997C" w14:textId="77777777" w:rsidR="00B256D2" w:rsidRPr="00E23F9C" w:rsidRDefault="00B256D2" w:rsidP="009E40A8">
      <w:r w:rsidRPr="00E23F9C">
        <w:t xml:space="preserve">At necropsy, no treatment-related differences in (perfused) brain weights or macroscopic observations were noted. Microscopic examinations were reported for control and high dose groups only. Minimal demyelination/nerve fibre degeneration was observed in sciatic nerves but in both control and high dose animals. Demyelination/nerve fibre degeneration in proximal tibial nerves affected 4/5 control males and 4/5 high dose males compared to 2/5 control females and 4/5 high dose females. While group sizes examined (5/sex) were minimal, these observations appear to be without association to the functional observations and therefore may be incidental to treatment. </w:t>
      </w:r>
      <w:r>
        <w:t xml:space="preserve"> Histopathological examination did not include examination of brain or </w:t>
      </w:r>
      <w:r w:rsidRPr="0024057E">
        <w:t>SN pc</w:t>
      </w:r>
      <w:r>
        <w:t>.</w:t>
      </w:r>
    </w:p>
    <w:p w14:paraId="321D1A37" w14:textId="77777777" w:rsidR="00B256D2" w:rsidRPr="00E23F9C" w:rsidRDefault="00B256D2" w:rsidP="009E40A8"/>
    <w:p w14:paraId="4DCF7485" w14:textId="78AA1A1B" w:rsidR="006A77BB" w:rsidRDefault="00B256D2" w:rsidP="00B256D2">
      <w:r w:rsidRPr="00E23F9C">
        <w:rPr>
          <w:i/>
        </w:rPr>
        <w:t xml:space="preserve">Conclusions: </w:t>
      </w:r>
      <w:r w:rsidRPr="00E23F9C">
        <w:t>Mortalities/unscheduled deaths (10%) were observed at the high dose (</w:t>
      </w:r>
      <w:r w:rsidR="00486FE3">
        <w:t xml:space="preserve">84 mg paraquat ion/kg bw) </w:t>
      </w:r>
      <w:r w:rsidRPr="00E23F9C">
        <w:t>in males and females</w:t>
      </w:r>
      <w:r>
        <w:t xml:space="preserve"> and was consistent with the po LD</w:t>
      </w:r>
      <w:r>
        <w:rPr>
          <w:vertAlign w:val="subscript"/>
        </w:rPr>
        <w:t>50</w:t>
      </w:r>
      <w:r>
        <w:t xml:space="preserve"> range of 100-249 mg/kg bw</w:t>
      </w:r>
      <w:r w:rsidRPr="00E23F9C">
        <w:t xml:space="preserve">. </w:t>
      </w:r>
      <w:r w:rsidR="00794F11" w:rsidRPr="00E23F9C">
        <w:t>Preceding</w:t>
      </w:r>
      <w:r w:rsidRPr="00E23F9C">
        <w:t xml:space="preserve"> </w:t>
      </w:r>
      <w:r w:rsidR="00794F11" w:rsidRPr="00E23F9C">
        <w:t>clinical</w:t>
      </w:r>
      <w:r w:rsidRPr="00E23F9C">
        <w:t xml:space="preserve"> signs were consistent with paraquat toxicity. In surviving rats, slight changes</w:t>
      </w:r>
      <w:r w:rsidR="00AD4C4D">
        <w:t xml:space="preserve"> in</w:t>
      </w:r>
      <w:r w:rsidRPr="00E23F9C">
        <w:t xml:space="preserve"> body weights in rats which received ≥</w:t>
      </w:r>
      <w:r w:rsidR="00486FE3">
        <w:t>25</w:t>
      </w:r>
      <w:r w:rsidRPr="00E23F9C">
        <w:t> mg</w:t>
      </w:r>
      <w:r w:rsidR="00486FE3">
        <w:t xml:space="preserve"> paraquat ion</w:t>
      </w:r>
      <w:r w:rsidRPr="00E23F9C">
        <w:t xml:space="preserve">/kg bw, were likely to be indicative of general systemic toxicity. Results regarding </w:t>
      </w:r>
      <w:r w:rsidR="004233CC">
        <w:t xml:space="preserve">the </w:t>
      </w:r>
      <w:r w:rsidRPr="00E23F9C">
        <w:t>reduced splay reflex suggested a slight effect in males but the data were inconclusive in females</w:t>
      </w:r>
      <w:r w:rsidR="000A29B2">
        <w:t xml:space="preserve"> due to a higher incidence in</w:t>
      </w:r>
      <w:r w:rsidR="00983434">
        <w:t xml:space="preserve"> the</w:t>
      </w:r>
      <w:r w:rsidR="000A29B2">
        <w:t xml:space="preserve"> control females.</w:t>
      </w:r>
      <w:r w:rsidRPr="00E23F9C">
        <w:t xml:space="preserve"> </w:t>
      </w:r>
      <w:r w:rsidR="00585716">
        <w:t xml:space="preserve">Therefore, following a </w:t>
      </w:r>
      <w:r w:rsidR="000A29B2">
        <w:t>single oral dose of paraquat</w:t>
      </w:r>
      <w:r w:rsidR="00585716">
        <w:t xml:space="preserve"> of</w:t>
      </w:r>
      <w:r w:rsidR="000A29B2">
        <w:t xml:space="preserve"> up to </w:t>
      </w:r>
      <w:r w:rsidR="00486FE3">
        <w:t xml:space="preserve">84 mg paraquat ion/kg bw </w:t>
      </w:r>
      <w:r w:rsidR="00585716">
        <w:t>to rats there w</w:t>
      </w:r>
      <w:r w:rsidR="00486FE3">
        <w:t>as</w:t>
      </w:r>
      <w:r w:rsidR="00585716">
        <w:t xml:space="preserve"> no </w:t>
      </w:r>
      <w:r w:rsidRPr="00E23F9C">
        <w:t xml:space="preserve">clear </w:t>
      </w:r>
      <w:r w:rsidR="00486FE3">
        <w:t>evidence of neurotoxicity</w:t>
      </w:r>
      <w:r w:rsidRPr="00E23F9C">
        <w:t xml:space="preserve">. </w:t>
      </w:r>
    </w:p>
    <w:p w14:paraId="2AB60376" w14:textId="77777777" w:rsidR="006A77BB" w:rsidRDefault="006A77BB" w:rsidP="00B256D2"/>
    <w:p w14:paraId="23AF83FC" w14:textId="77777777" w:rsidR="006A77BB" w:rsidRPr="002B2CFC" w:rsidRDefault="006A77BB" w:rsidP="006A77BB">
      <w:pPr>
        <w:rPr>
          <w:b/>
          <w:szCs w:val="24"/>
          <w:lang w:val="en-US" w:eastAsia="en-US"/>
        </w:rPr>
      </w:pPr>
      <w:r w:rsidRPr="002B2CFC">
        <w:rPr>
          <w:b/>
          <w:szCs w:val="24"/>
          <w:lang w:val="en-US" w:eastAsia="en-US"/>
        </w:rPr>
        <w:t xml:space="preserve">Chivers S (2006) Paraquat: Subchronic neurotoxicity study in the rat. Report No: PR1322-REG; Study No: PR1322; Task No. T000153-06. Syngenta Central Toxicology </w:t>
      </w:r>
      <w:r w:rsidRPr="002B2CFC">
        <w:rPr>
          <w:b/>
          <w:szCs w:val="24"/>
          <w:lang w:val="en-US" w:eastAsia="en-US"/>
        </w:rPr>
        <w:lastRenderedPageBreak/>
        <w:t xml:space="preserve">Laboratory, Alderley Park, Macclesfield, Cheshire, UK. Study initiation 22 Dec, 2005, Study commencement: 15 March, 2005; Study termination: 2 September 2005; Report date 6 June 2006. </w:t>
      </w:r>
    </w:p>
    <w:p w14:paraId="1F672447" w14:textId="77777777" w:rsidR="006A77BB" w:rsidRPr="002B2CFC" w:rsidRDefault="006A77BB" w:rsidP="006A77BB">
      <w:pPr>
        <w:rPr>
          <w:b/>
          <w:szCs w:val="24"/>
          <w:lang w:val="en-US" w:eastAsia="en-US"/>
        </w:rPr>
      </w:pPr>
    </w:p>
    <w:p w14:paraId="52E78771" w14:textId="77777777" w:rsidR="006A77BB" w:rsidRPr="002B2CFC" w:rsidRDefault="006A77BB" w:rsidP="009E40A8">
      <w:pPr>
        <w:rPr>
          <w:szCs w:val="24"/>
          <w:lang w:val="en-US" w:eastAsia="en-US"/>
        </w:rPr>
      </w:pPr>
      <w:r w:rsidRPr="002B2CFC">
        <w:rPr>
          <w:i/>
          <w:szCs w:val="24"/>
          <w:lang w:val="en-US" w:eastAsia="en-US"/>
        </w:rPr>
        <w:t>Guidelines &amp; GLP:</w:t>
      </w:r>
      <w:r w:rsidRPr="002B2CFC">
        <w:rPr>
          <w:szCs w:val="24"/>
          <w:lang w:val="en-US" w:eastAsia="en-US"/>
        </w:rPr>
        <w:t xml:space="preserve"> GLP and QA study. Conducted in compliance with the UK Principles of GLP (1999, 2004) and OECD principles of GLP, in accord with ENV/MC/CHEM(98)17 (1997) OECD Guideline 424 (1997), Neurotoxicity Study in Rodents; US EPA Health Effects Guidelines, OPPTS 870.6200 (1998) Neurotoxicity Screening Battery; Japanese Ministry of Agriculture, Forestry and Fisheries Test Guideline 2-1-12 (Sept 2001). </w:t>
      </w:r>
    </w:p>
    <w:p w14:paraId="1743D71D" w14:textId="77777777" w:rsidR="006A77BB" w:rsidRPr="002B2CFC" w:rsidRDefault="006A77BB" w:rsidP="009E40A8">
      <w:pPr>
        <w:rPr>
          <w:szCs w:val="24"/>
          <w:lang w:val="en-US" w:eastAsia="en-US"/>
        </w:rPr>
      </w:pPr>
    </w:p>
    <w:p w14:paraId="20A03DF1" w14:textId="77777777" w:rsidR="006A77BB" w:rsidRPr="002B2CFC" w:rsidRDefault="006A77BB" w:rsidP="009E40A8">
      <w:pPr>
        <w:rPr>
          <w:szCs w:val="24"/>
          <w:lang w:val="en-US" w:eastAsia="en-US"/>
        </w:rPr>
      </w:pPr>
      <w:r w:rsidRPr="002B2CFC">
        <w:rPr>
          <w:i/>
          <w:szCs w:val="24"/>
          <w:lang w:val="en-US" w:eastAsia="en-US"/>
        </w:rPr>
        <w:t>Materials</w:t>
      </w:r>
      <w:r w:rsidRPr="002B2CFC">
        <w:rPr>
          <w:szCs w:val="24"/>
          <w:lang w:val="en-US" w:eastAsia="en-US"/>
        </w:rPr>
        <w:t xml:space="preserve"> </w:t>
      </w:r>
      <w:r w:rsidRPr="002B2CFC">
        <w:rPr>
          <w:i/>
          <w:szCs w:val="24"/>
          <w:lang w:val="en-US" w:eastAsia="en-US"/>
        </w:rPr>
        <w:t xml:space="preserve">&amp; Methods: </w:t>
      </w:r>
    </w:p>
    <w:p w14:paraId="3E750830" w14:textId="77777777" w:rsidR="006A77BB" w:rsidRPr="002B2CFC" w:rsidRDefault="006A77BB" w:rsidP="009E40A8">
      <w:pPr>
        <w:rPr>
          <w:szCs w:val="24"/>
          <w:lang w:val="en-US" w:eastAsia="en-US"/>
        </w:rPr>
      </w:pPr>
      <w:r w:rsidRPr="002B2CFC">
        <w:rPr>
          <w:szCs w:val="24"/>
          <w:lang w:val="en-US" w:eastAsia="en-US"/>
        </w:rPr>
        <w:t xml:space="preserve">Technical grade paraquat (33.4% paraquat ion, 45.1% paraquat dichloride, batch 216/ reference P47, CTL ref No. Y04517/015, Huddersfield, </w:t>
      </w:r>
      <w:r w:rsidRPr="002B2CFC">
        <w:rPr>
          <w:i/>
          <w:szCs w:val="24"/>
          <w:lang w:val="en-US" w:eastAsia="en-US"/>
        </w:rPr>
        <w:t>via</w:t>
      </w:r>
      <w:r w:rsidRPr="002B2CFC">
        <w:rPr>
          <w:szCs w:val="24"/>
          <w:lang w:val="en-US" w:eastAsia="en-US"/>
        </w:rPr>
        <w:t xml:space="preserve"> Syngenta Crop Protection, Munchwilen, AG) was administered </w:t>
      </w:r>
      <w:r w:rsidRPr="002B2CFC">
        <w:rPr>
          <w:i/>
          <w:szCs w:val="24"/>
          <w:lang w:val="en-US" w:eastAsia="en-US"/>
        </w:rPr>
        <w:t>via</w:t>
      </w:r>
      <w:r w:rsidRPr="002B2CFC">
        <w:rPr>
          <w:szCs w:val="24"/>
          <w:lang w:val="en-US" w:eastAsia="en-US"/>
        </w:rPr>
        <w:t xml:space="preserve"> the diet (based on CT1/RM3 diet). </w:t>
      </w:r>
    </w:p>
    <w:p w14:paraId="2AC7F7C6" w14:textId="77777777" w:rsidR="006A77BB" w:rsidRPr="002B2CFC" w:rsidRDefault="006A77BB" w:rsidP="009E40A8">
      <w:pPr>
        <w:rPr>
          <w:szCs w:val="24"/>
          <w:lang w:val="en-US" w:eastAsia="en-US"/>
        </w:rPr>
      </w:pPr>
    </w:p>
    <w:p w14:paraId="547934B4" w14:textId="77777777" w:rsidR="006A77BB" w:rsidRPr="002B2CFC" w:rsidRDefault="006A77BB" w:rsidP="009E40A8">
      <w:pPr>
        <w:rPr>
          <w:szCs w:val="24"/>
          <w:lang w:val="en-US" w:eastAsia="en-US"/>
        </w:rPr>
      </w:pPr>
      <w:r w:rsidRPr="002B2CFC">
        <w:rPr>
          <w:szCs w:val="24"/>
          <w:lang w:val="en-US" w:eastAsia="en-US"/>
        </w:rPr>
        <w:t>Rats (Alpk:AP</w:t>
      </w:r>
      <w:r w:rsidRPr="002B2CFC">
        <w:rPr>
          <w:szCs w:val="24"/>
          <w:vertAlign w:val="subscript"/>
          <w:lang w:val="en-US" w:eastAsia="en-US"/>
        </w:rPr>
        <w:t>f</w:t>
      </w:r>
      <w:r w:rsidRPr="002B2CFC">
        <w:rPr>
          <w:szCs w:val="24"/>
          <w:lang w:val="en-US" w:eastAsia="en-US"/>
        </w:rPr>
        <w:t>SD (Wistar-derived, 12/sex/group, ≥</w:t>
      </w:r>
      <w:r w:rsidR="0027090A">
        <w:rPr>
          <w:szCs w:val="24"/>
          <w:lang w:val="en-US" w:eastAsia="en-US"/>
        </w:rPr>
        <w:t xml:space="preserve"> </w:t>
      </w:r>
      <w:r w:rsidRPr="002B2CFC">
        <w:rPr>
          <w:szCs w:val="24"/>
          <w:lang w:val="en-US" w:eastAsia="en-US"/>
        </w:rPr>
        <w:t xml:space="preserve">42 days old at dosing), received 0, 15, 50, or 150 ppm paraquat cation in the diet for 90 days. The dose equivalents (as paraquat cation) received by males was 0, 1.0, 3.4 or 10.2 mg/kg bw/d and by females 0, 1.1, 3.9 or 11.9 mg/kg bw/d, respectively. Dose selection was based on a preliminary 28 day dietary neurotoxicity study (100, 150 or 250 ppm, Chivers, 2006, not provided) and was adequately justified as follows: signs of lung pathology and decreased body weight were observed at 250 ppm, therefore this dose would preclude examination of neurotoxicity findings and was unsuitable for a subchronic dietary neurotoxicity study. No adverse effects were reported at 100 or 150 ppm paraquat cation in the preliminary study, however other reports have indicated signs of lung toxicity at 150 ppm. In </w:t>
      </w:r>
      <w:r w:rsidR="003A4C16">
        <w:rPr>
          <w:szCs w:val="24"/>
          <w:lang w:val="en-US" w:eastAsia="en-US"/>
        </w:rPr>
        <w:t>the subchronic study (Chivers, 2006)</w:t>
      </w:r>
      <w:r w:rsidRPr="002B2CFC">
        <w:rPr>
          <w:szCs w:val="24"/>
          <w:lang w:val="en-US" w:eastAsia="en-US"/>
        </w:rPr>
        <w:t xml:space="preserve">, functional observational battery (including quantitative assessments of landing foot splay, sensory perception, grip strength and muscle weakness) and motor activity were performed in weeks -1, 2, 5, 9 and 14. Rat body weights and food consumption were measured weekly. At termination, rats (5/sex/group) were perfused </w:t>
      </w:r>
      <w:r w:rsidRPr="002B2CFC">
        <w:rPr>
          <w:i/>
          <w:szCs w:val="24"/>
          <w:lang w:val="en-US" w:eastAsia="en-US"/>
        </w:rPr>
        <w:t>in situ</w:t>
      </w:r>
      <w:r w:rsidRPr="002B2CFC">
        <w:rPr>
          <w:szCs w:val="24"/>
          <w:lang w:val="en-US" w:eastAsia="en-US"/>
        </w:rPr>
        <w:t xml:space="preserve"> with formal saline. Selected nervous system tissues from control and high dose animals were removed and processed for microscopy (brain at 7 levels, but specific location details/ orientation for each level were not specified </w:t>
      </w:r>
      <w:r w:rsidRPr="00110E09">
        <w:rPr>
          <w:szCs w:val="24"/>
          <w:lang w:val="en-US" w:eastAsia="en-US"/>
        </w:rPr>
        <w:t xml:space="preserve">[the OECD TG </w:t>
      </w:r>
      <w:r w:rsidR="0027090A">
        <w:rPr>
          <w:szCs w:val="24"/>
          <w:lang w:val="en-US" w:eastAsia="en-US"/>
        </w:rPr>
        <w:t>states</w:t>
      </w:r>
      <w:r w:rsidR="0027090A" w:rsidRPr="00110E09">
        <w:rPr>
          <w:szCs w:val="24"/>
          <w:lang w:val="en-US" w:eastAsia="en-US"/>
        </w:rPr>
        <w:t xml:space="preserve"> </w:t>
      </w:r>
      <w:r w:rsidRPr="00110E09">
        <w:rPr>
          <w:szCs w:val="24"/>
          <w:lang w:val="en-US" w:eastAsia="en-US"/>
        </w:rPr>
        <w:t xml:space="preserve">that </w:t>
      </w:r>
      <w:r w:rsidRPr="002B2CFC">
        <w:rPr>
          <w:i/>
          <w:szCs w:val="24"/>
          <w:lang w:val="en-US" w:eastAsia="en-US"/>
        </w:rPr>
        <w:t>“The areas examined should normally include: the forebrain, the centre of the cerebrum, including a section through the hippocampus, the midbrain, the cerebellum, the pons, the medulla oblongata”</w:t>
      </w:r>
      <w:r w:rsidRPr="002B2CFC">
        <w:rPr>
          <w:szCs w:val="24"/>
          <w:lang w:val="en-US" w:eastAsia="en-US"/>
        </w:rPr>
        <w:t xml:space="preserve">], eye -with optic nerve and retina, spinal cord -including cervical and lumbar swellings, spinal nerve roots of cervical and lumbar swellings, dorsal root ganglia at cervical and lumbar swellings, proximal sciatic, proximal and distal tibial nerves and gastrocnemius muscle). Remaining animals were sacrificed and discarded. </w:t>
      </w:r>
    </w:p>
    <w:p w14:paraId="48E7CC0F" w14:textId="77777777" w:rsidR="006A77BB" w:rsidRPr="002B2CFC" w:rsidRDefault="006A77BB" w:rsidP="009E40A8">
      <w:pPr>
        <w:rPr>
          <w:szCs w:val="24"/>
          <w:lang w:val="en-US" w:eastAsia="en-US"/>
        </w:rPr>
      </w:pPr>
    </w:p>
    <w:p w14:paraId="7F8C4026" w14:textId="77777777" w:rsidR="006A77BB" w:rsidRPr="002B2CFC" w:rsidRDefault="006A77BB" w:rsidP="009E40A8">
      <w:pPr>
        <w:rPr>
          <w:i/>
          <w:szCs w:val="24"/>
          <w:lang w:val="en-US" w:eastAsia="en-US"/>
        </w:rPr>
      </w:pPr>
      <w:r w:rsidRPr="002B2CFC">
        <w:rPr>
          <w:i/>
          <w:szCs w:val="24"/>
          <w:lang w:val="en-US" w:eastAsia="en-US"/>
        </w:rPr>
        <w:t>Results:</w:t>
      </w:r>
    </w:p>
    <w:p w14:paraId="4285F6CD" w14:textId="77777777" w:rsidR="006A77BB" w:rsidRPr="002B2CFC" w:rsidRDefault="006A77BB" w:rsidP="009E40A8">
      <w:pPr>
        <w:rPr>
          <w:szCs w:val="24"/>
          <w:lang w:val="en-US" w:eastAsia="en-US"/>
        </w:rPr>
      </w:pPr>
      <w:r w:rsidRPr="002B2CFC">
        <w:rPr>
          <w:szCs w:val="24"/>
          <w:lang w:val="en-US" w:eastAsia="en-US"/>
        </w:rPr>
        <w:t xml:space="preserve">One male rat which received the low dose died on day 22. At necropsy, clear exudate from the nasal passages, </w:t>
      </w:r>
      <w:r w:rsidR="009B36E2">
        <w:rPr>
          <w:szCs w:val="24"/>
          <w:lang w:val="en-US" w:eastAsia="en-US"/>
        </w:rPr>
        <w:t xml:space="preserve">a </w:t>
      </w:r>
      <w:r w:rsidRPr="002B2CFC">
        <w:rPr>
          <w:szCs w:val="24"/>
          <w:lang w:val="en-US" w:eastAsia="en-US"/>
        </w:rPr>
        <w:t xml:space="preserve">dark partially inflated lung and unilateral pelvic dilation of the kidney were reported. The finding was not considered to be related to treatment. No other clinical signs of toxicity were reported and all remaining rats survived until scheduled termination. </w:t>
      </w:r>
    </w:p>
    <w:p w14:paraId="285A0033" w14:textId="77777777" w:rsidR="006A77BB" w:rsidRPr="002B2CFC" w:rsidRDefault="006A77BB" w:rsidP="009E40A8">
      <w:pPr>
        <w:rPr>
          <w:szCs w:val="24"/>
          <w:lang w:val="en-US" w:eastAsia="en-US"/>
        </w:rPr>
      </w:pPr>
    </w:p>
    <w:p w14:paraId="1FC66352" w14:textId="77777777" w:rsidR="006A77BB" w:rsidRPr="002B2CFC" w:rsidRDefault="006A77BB" w:rsidP="009E40A8">
      <w:pPr>
        <w:rPr>
          <w:szCs w:val="24"/>
          <w:lang w:val="en-US" w:eastAsia="en-US"/>
        </w:rPr>
      </w:pPr>
      <w:r w:rsidRPr="002B2CFC">
        <w:rPr>
          <w:szCs w:val="24"/>
          <w:lang w:val="en-US" w:eastAsia="en-US"/>
        </w:rPr>
        <w:t xml:space="preserve">Body weights for males which received the high dose were significantly lower than control male body weights only during week 2. This observation appeared to be </w:t>
      </w:r>
      <w:r w:rsidR="003A4C16">
        <w:rPr>
          <w:szCs w:val="24"/>
          <w:lang w:val="en-US" w:eastAsia="en-US"/>
        </w:rPr>
        <w:t xml:space="preserve">a </w:t>
      </w:r>
      <w:r w:rsidRPr="002B2CFC">
        <w:rPr>
          <w:szCs w:val="24"/>
          <w:lang w:val="en-US" w:eastAsia="en-US"/>
        </w:rPr>
        <w:t xml:space="preserve">consequence of decreased food consumption in week 1 for this treatment group. No other effects on body weight or food consumption were observed. Minor changes were noted in the functional </w:t>
      </w:r>
      <w:r w:rsidRPr="002B2CFC">
        <w:rPr>
          <w:szCs w:val="24"/>
          <w:lang w:val="en-US" w:eastAsia="en-US"/>
        </w:rPr>
        <w:lastRenderedPageBreak/>
        <w:t xml:space="preserve">observation battery parameters, but none were considered to be significant because the incidence and severity was similar between control and test animals. No macroscopic findings (all groups), changes in brain organ weights, ophthalmology changes (in control or high dose) or microscopic findings (control or high dose) which were related to treatment were reported. </w:t>
      </w:r>
    </w:p>
    <w:p w14:paraId="18DCFC82" w14:textId="77777777" w:rsidR="006A77BB" w:rsidRPr="002B2CFC" w:rsidRDefault="006A77BB" w:rsidP="009E40A8">
      <w:pPr>
        <w:rPr>
          <w:szCs w:val="24"/>
          <w:lang w:val="en-US" w:eastAsia="en-US"/>
        </w:rPr>
      </w:pPr>
    </w:p>
    <w:p w14:paraId="70CFD825" w14:textId="77777777" w:rsidR="00B256D2" w:rsidRDefault="006A77BB" w:rsidP="009E40A8">
      <w:pPr>
        <w:rPr>
          <w:b/>
          <w:caps/>
        </w:rPr>
      </w:pPr>
      <w:r w:rsidRPr="002B2CFC">
        <w:rPr>
          <w:szCs w:val="24"/>
          <w:lang w:val="en-US" w:eastAsia="en-US"/>
        </w:rPr>
        <w:t xml:space="preserve">The NOEL assigned for neurotoxic potential in rats as investigated in this study was 150 ppm (as paraquat cation) in the diet for 90 days, or 10.2 and 11.9 mg/kg bw/d for males and females, respectively. This was based on the absence of treatment-related toxicity findings in both male and female rats at the high dose. </w:t>
      </w:r>
    </w:p>
    <w:p w14:paraId="70A40A3C" w14:textId="77777777" w:rsidR="00B256D2" w:rsidRPr="002B2CFC" w:rsidRDefault="00B256D2" w:rsidP="009C4727"/>
    <w:p w14:paraId="6029974E" w14:textId="77777777" w:rsidR="002D47FA" w:rsidRPr="002D47FA" w:rsidRDefault="008E503E" w:rsidP="002D47FA">
      <w:pPr>
        <w:pStyle w:val="Heading2"/>
      </w:pPr>
      <w:bookmarkStart w:id="65" w:name="_Toc459108305"/>
      <w:r w:rsidRPr="00B81F8C">
        <w:t xml:space="preserve">Studies on </w:t>
      </w:r>
      <w:r w:rsidR="006561EB" w:rsidRPr="006D370F">
        <w:t>brain</w:t>
      </w:r>
      <w:r w:rsidRPr="003443AE">
        <w:t xml:space="preserve"> distribution </w:t>
      </w:r>
      <w:r w:rsidR="007C03B9" w:rsidRPr="004F7952">
        <w:t xml:space="preserve">(including </w:t>
      </w:r>
      <w:r w:rsidR="006561EB" w:rsidRPr="0036133F">
        <w:t>other tissues</w:t>
      </w:r>
      <w:r w:rsidR="007C03B9" w:rsidRPr="0036133F">
        <w:t xml:space="preserve">) </w:t>
      </w:r>
      <w:r w:rsidRPr="0036133F">
        <w:t>of paraquat</w:t>
      </w:r>
      <w:bookmarkEnd w:id="65"/>
    </w:p>
    <w:p w14:paraId="369E80C0" w14:textId="58594006" w:rsidR="002B2CFC" w:rsidRPr="008E503E" w:rsidRDefault="002B2CFC" w:rsidP="002B2CFC">
      <w:pPr>
        <w:rPr>
          <w:b/>
          <w:i/>
          <w:szCs w:val="24"/>
          <w:lang w:eastAsia="en-US"/>
        </w:rPr>
      </w:pPr>
      <w:r w:rsidRPr="008E503E">
        <w:rPr>
          <w:b/>
          <w:szCs w:val="24"/>
          <w:lang w:eastAsia="en-US"/>
        </w:rPr>
        <w:t xml:space="preserve">Naylor JL, Widdowson PS, Simpson MG, Farnworth M, Ellis MK &amp; Lock EA (1995) Further evidence that the blood/brain barrier impedes paraquat entry into the brain. </w:t>
      </w:r>
      <w:r w:rsidRPr="008E503E">
        <w:rPr>
          <w:b/>
          <w:i/>
          <w:szCs w:val="24"/>
          <w:lang w:eastAsia="en-US"/>
        </w:rPr>
        <w:t>Hum Exp Toxicol 14: 587-594.</w:t>
      </w:r>
    </w:p>
    <w:p w14:paraId="79BE116D" w14:textId="77777777" w:rsidR="00193360" w:rsidRPr="002B2CFC" w:rsidRDefault="00193360" w:rsidP="009E40A8">
      <w:pPr>
        <w:spacing w:before="120"/>
        <w:rPr>
          <w:szCs w:val="24"/>
          <w:lang w:eastAsia="en-US"/>
        </w:rPr>
      </w:pPr>
    </w:p>
    <w:p w14:paraId="0BAF6DF9" w14:textId="72E7C90F" w:rsidR="00193360" w:rsidRDefault="00193360" w:rsidP="0008427E">
      <w:r>
        <w:t xml:space="preserve">Male Wistar rats (250-300 g body weight, age unspecified; Alderley Park strain) were given a single sc injection of </w:t>
      </w:r>
      <w:r w:rsidR="00A14648">
        <w:t>[</w:t>
      </w:r>
      <w:r>
        <w:rPr>
          <w:vertAlign w:val="superscript"/>
        </w:rPr>
        <w:t>14</w:t>
      </w:r>
      <w:r>
        <w:t>C</w:t>
      </w:r>
      <w:r w:rsidR="00A14648">
        <w:t>]</w:t>
      </w:r>
      <w:r>
        <w:t>-paraquat (93-103 mCi/mmol; Cambridge Research Biochemicals, Gadbrook Park, Northwich, Cheshire, UK) in sterile deionised water at 20 mg/kg bw; (equivalent to 14.4 mg/kg bw paraquat cation; 2 mCi/kg bw) which was the LD</w:t>
      </w:r>
      <w:r>
        <w:rPr>
          <w:vertAlign w:val="subscript"/>
        </w:rPr>
        <w:t>50</w:t>
      </w:r>
      <w:r>
        <w:t xml:space="preserve"> dose. The dose volume was 2 mL/kg bw. A separate group of rats were given a single tail vein injection of </w:t>
      </w:r>
      <w:r w:rsidR="00A14648">
        <w:t>[</w:t>
      </w:r>
      <w:r>
        <w:rPr>
          <w:vertAlign w:val="superscript"/>
        </w:rPr>
        <w:t>14</w:t>
      </w:r>
      <w:r>
        <w:t>C</w:t>
      </w:r>
      <w:r w:rsidR="00A14648">
        <w:t>]</w:t>
      </w:r>
      <w:r>
        <w:t xml:space="preserve">-carboxyl-inulin (a polysaccharide which does not cross the BBB) in sterile deionised water at 16 µCi/kg bw. In both cases, the group sizes were unspecified. Rats were sacrificed at 0.5, 1, 2, 4, 8 and 24 h post treatment, and the amount of </w:t>
      </w:r>
      <w:r w:rsidR="00A14648">
        <w:t>[</w:t>
      </w:r>
      <w:r>
        <w:rPr>
          <w:vertAlign w:val="superscript"/>
        </w:rPr>
        <w:t>14</w:t>
      </w:r>
      <w:r>
        <w:t>C</w:t>
      </w:r>
      <w:r w:rsidR="00A14648">
        <w:t>]</w:t>
      </w:r>
      <w:r>
        <w:t xml:space="preserve">-paraquat in the brain, lung, liver and kidney analysed by </w:t>
      </w:r>
      <w:r w:rsidR="003169C7">
        <w:t>liquid scintillation counting (</w:t>
      </w:r>
      <w:r>
        <w:t>LSC</w:t>
      </w:r>
      <w:r w:rsidR="003169C7">
        <w:t>)</w:t>
      </w:r>
      <w:r>
        <w:t xml:space="preserve">. The amount of </w:t>
      </w:r>
      <w:r>
        <w:rPr>
          <w:vertAlign w:val="superscript"/>
        </w:rPr>
        <w:t>14</w:t>
      </w:r>
      <w:r>
        <w:t xml:space="preserve">C-paraquat and </w:t>
      </w:r>
      <w:r>
        <w:rPr>
          <w:vertAlign w:val="superscript"/>
        </w:rPr>
        <w:t>14</w:t>
      </w:r>
      <w:r>
        <w:t xml:space="preserve">C-inulin in whole blood was determined by sample oxidation. To determine whether any paraquat remaining in the brain after 24 h of treatment was confined to the cerebral circulation, a group of 5 paraquat treated rats were sacrificed by pentobarbitone overdose and intracardially perfused with saline. </w:t>
      </w:r>
    </w:p>
    <w:p w14:paraId="641AA82C" w14:textId="77777777" w:rsidR="00193360" w:rsidRDefault="00193360" w:rsidP="0008427E"/>
    <w:p w14:paraId="6DB27B18" w14:textId="017FAB97" w:rsidR="00193360" w:rsidRDefault="00193360" w:rsidP="0008427E">
      <w:r>
        <w:t xml:space="preserve">In a separate experiment, the regional distribution of paraquat in the brain was determined following a single sc injection of </w:t>
      </w:r>
      <w:r w:rsidR="00A14648">
        <w:t>[</w:t>
      </w:r>
      <w:r>
        <w:rPr>
          <w:vertAlign w:val="superscript"/>
        </w:rPr>
        <w:t>14</w:t>
      </w:r>
      <w:r>
        <w:t>C</w:t>
      </w:r>
      <w:r w:rsidR="00A14648">
        <w:t>]</w:t>
      </w:r>
      <w:r>
        <w:t>-paraquat at 20 mg/kg bw (n=4; equivalent to 14.4 mg/kg bw paraquat cation; 10 mCi/kg bw). Rats were sacrificed 30 minutes or 24 h later</w:t>
      </w:r>
      <w:r w:rsidR="003169C7">
        <w:t>,</w:t>
      </w:r>
      <w:r>
        <w:t xml:space="preserve"> their brains removed and processed for autoradiography. Autoradiograms were analysed by quantitative densitometry.</w:t>
      </w:r>
    </w:p>
    <w:p w14:paraId="7329431F" w14:textId="77777777" w:rsidR="00193360" w:rsidRDefault="00193360" w:rsidP="0008427E"/>
    <w:p w14:paraId="110102C3" w14:textId="77777777" w:rsidR="00193360" w:rsidRDefault="00193360" w:rsidP="0008427E">
      <w:r>
        <w:t>To investigate any treatment-related neuropathological effects, two additional groups of rats were treated with paraquat at 20 mg/kg bw (equivalent to 14.4 mg/kg bw paraquat cation; group size unspecified). Rats were sacrificed at 24 and 48 h post treatment. Two other groups were sacrificed at the same intervals and intracardially perfused with Karnovsky’s fixative. The brain of each rat was histopathologically examined following staining with haematoxylin and eosin</w:t>
      </w:r>
    </w:p>
    <w:p w14:paraId="6ED3A81D" w14:textId="77777777" w:rsidR="00193360" w:rsidRDefault="00193360" w:rsidP="00193360"/>
    <w:p w14:paraId="48E53FFE" w14:textId="635BC0EE" w:rsidR="00193360" w:rsidRDefault="00193360" w:rsidP="00193360">
      <w:r>
        <w:rPr>
          <w:i/>
        </w:rPr>
        <w:t>Findings</w:t>
      </w:r>
      <w:r>
        <w:t xml:space="preserve">: The presence/absence of deaths and clinical signs were unreported. The highest concentration of </w:t>
      </w:r>
      <w:r w:rsidR="00A14648">
        <w:t>[</w:t>
      </w:r>
      <w:r>
        <w:rPr>
          <w:vertAlign w:val="superscript"/>
        </w:rPr>
        <w:t>14</w:t>
      </w:r>
      <w:r>
        <w:t>C</w:t>
      </w:r>
      <w:r w:rsidR="00A14648">
        <w:t>]</w:t>
      </w:r>
      <w:r>
        <w:t xml:space="preserve">-paraquat in the blood, brain, liver and lung was detected at 0.5 h post-dose, while the highest kidney levels were detected at one hour (see </w:t>
      </w:r>
      <w:r w:rsidR="007A5E9A">
        <w:fldChar w:fldCharType="begin"/>
      </w:r>
      <w:r w:rsidR="007A5E9A">
        <w:instrText xml:space="preserve"> REF _Ref459028070 \h </w:instrText>
      </w:r>
      <w:r w:rsidR="007A5E9A">
        <w:fldChar w:fldCharType="separate"/>
      </w:r>
      <w:r w:rsidR="000E54B2">
        <w:t xml:space="preserve">Table </w:t>
      </w:r>
      <w:r w:rsidR="000E54B2">
        <w:rPr>
          <w:noProof/>
        </w:rPr>
        <w:t>5</w:t>
      </w:r>
      <w:r w:rsidR="007A5E9A">
        <w:fldChar w:fldCharType="end"/>
      </w:r>
      <w:r>
        <w:t xml:space="preserve"> </w:t>
      </w:r>
      <w:r w:rsidR="007A5E9A">
        <w:fldChar w:fldCharType="begin"/>
      </w:r>
      <w:r w:rsidR="007A5E9A">
        <w:instrText xml:space="preserve"> REF _Ref459028127 \p \h </w:instrText>
      </w:r>
      <w:r w:rsidR="007A5E9A">
        <w:fldChar w:fldCharType="separate"/>
      </w:r>
      <w:r w:rsidR="000E54B2">
        <w:t>below</w:t>
      </w:r>
      <w:r w:rsidR="007A5E9A">
        <w:fldChar w:fldCharType="end"/>
      </w:r>
      <w:r>
        <w:t>). Paraquat levels in all tissue then declined rapidly over time, with the exception of the lung where approximately 25% of the 0.5 h concentration remained at 24 h. The study authors noted that little paraquat was lost from the brain between 8 to 24 h.</w:t>
      </w:r>
    </w:p>
    <w:p w14:paraId="1DD4DD00" w14:textId="77777777" w:rsidR="00193360" w:rsidRDefault="00193360" w:rsidP="00193360"/>
    <w:p w14:paraId="0A2F07CB" w14:textId="116701E3" w:rsidR="00193360" w:rsidRDefault="00193360" w:rsidP="00CB729E">
      <w:pPr>
        <w:pStyle w:val="Caption"/>
        <w:keepNext/>
        <w:spacing w:after="120"/>
      </w:pPr>
      <w:bookmarkStart w:id="66" w:name="_Ref459028070"/>
      <w:bookmarkStart w:id="67" w:name="_Ref459028127"/>
      <w:r>
        <w:t xml:space="preserve">Table </w:t>
      </w:r>
      <w:r w:rsidR="00897462">
        <w:fldChar w:fldCharType="begin"/>
      </w:r>
      <w:r>
        <w:instrText xml:space="preserve"> SEQ Table \* ARABIC </w:instrText>
      </w:r>
      <w:r w:rsidR="00897462">
        <w:fldChar w:fldCharType="separate"/>
      </w:r>
      <w:r w:rsidR="000E54B2">
        <w:rPr>
          <w:noProof/>
        </w:rPr>
        <w:t>5</w:t>
      </w:r>
      <w:r w:rsidR="00897462">
        <w:fldChar w:fldCharType="end"/>
      </w:r>
      <w:bookmarkEnd w:id="66"/>
      <w:r>
        <w:t>: Distribution of paraquat (nmol/g tissue) in different tissues</w:t>
      </w:r>
      <w:bookmarkEnd w:id="6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2"/>
        <w:gridCol w:w="1320"/>
        <w:gridCol w:w="1320"/>
        <w:gridCol w:w="1320"/>
        <w:gridCol w:w="1349"/>
        <w:gridCol w:w="1276"/>
        <w:gridCol w:w="15"/>
        <w:gridCol w:w="1260"/>
      </w:tblGrid>
      <w:tr w:rsidR="00193360" w14:paraId="2A7625AD" w14:textId="77777777" w:rsidTr="000E221D">
        <w:tc>
          <w:tcPr>
            <w:tcW w:w="121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4AB277" w14:textId="77777777" w:rsidR="00193360" w:rsidRDefault="00193360" w:rsidP="00CB729E">
            <w:pPr>
              <w:keepNext/>
              <w:rPr>
                <w:b/>
                <w:sz w:val="20"/>
              </w:rPr>
            </w:pPr>
            <w:r>
              <w:rPr>
                <w:b/>
                <w:sz w:val="20"/>
              </w:rPr>
              <w:t>Time (h)</w:t>
            </w:r>
          </w:p>
        </w:tc>
        <w:tc>
          <w:tcPr>
            <w:tcW w:w="13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AD5027" w14:textId="77777777" w:rsidR="00193360" w:rsidRDefault="00193360" w:rsidP="00CB729E">
            <w:pPr>
              <w:keepNext/>
              <w:jc w:val="center"/>
              <w:rPr>
                <w:b/>
                <w:sz w:val="20"/>
              </w:rPr>
            </w:pPr>
            <w:r>
              <w:rPr>
                <w:b/>
                <w:sz w:val="20"/>
              </w:rPr>
              <w:t>Whole blood</w:t>
            </w:r>
          </w:p>
        </w:tc>
        <w:tc>
          <w:tcPr>
            <w:tcW w:w="13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E8C89B" w14:textId="77777777" w:rsidR="00193360" w:rsidRDefault="00193360" w:rsidP="00CB729E">
            <w:pPr>
              <w:keepNext/>
              <w:jc w:val="center"/>
              <w:rPr>
                <w:b/>
                <w:sz w:val="20"/>
              </w:rPr>
            </w:pPr>
            <w:r>
              <w:rPr>
                <w:b/>
                <w:sz w:val="20"/>
              </w:rPr>
              <w:t>Plasma</w:t>
            </w:r>
          </w:p>
        </w:tc>
        <w:tc>
          <w:tcPr>
            <w:tcW w:w="13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648D04" w14:textId="77777777" w:rsidR="00193360" w:rsidRDefault="00193360" w:rsidP="00CB729E">
            <w:pPr>
              <w:keepNext/>
              <w:jc w:val="center"/>
              <w:rPr>
                <w:b/>
                <w:sz w:val="20"/>
              </w:rPr>
            </w:pPr>
            <w:r>
              <w:rPr>
                <w:b/>
                <w:sz w:val="20"/>
              </w:rPr>
              <w:t>Brain</w:t>
            </w:r>
          </w:p>
        </w:tc>
        <w:tc>
          <w:tcPr>
            <w:tcW w:w="13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82C0D4" w14:textId="77777777" w:rsidR="00193360" w:rsidRDefault="00193360" w:rsidP="00CB729E">
            <w:pPr>
              <w:keepNext/>
              <w:jc w:val="center"/>
              <w:rPr>
                <w:b/>
                <w:sz w:val="20"/>
              </w:rPr>
            </w:pPr>
            <w:r>
              <w:rPr>
                <w:b/>
                <w:sz w:val="20"/>
              </w:rPr>
              <w:t>Kidney</w:t>
            </w:r>
          </w:p>
        </w:tc>
        <w:tc>
          <w:tcPr>
            <w:tcW w:w="129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2C3318" w14:textId="77777777" w:rsidR="00193360" w:rsidRDefault="00193360" w:rsidP="00CB729E">
            <w:pPr>
              <w:keepNext/>
              <w:jc w:val="center"/>
              <w:rPr>
                <w:b/>
                <w:sz w:val="20"/>
              </w:rPr>
            </w:pPr>
            <w:r>
              <w:rPr>
                <w:b/>
                <w:sz w:val="20"/>
              </w:rPr>
              <w:t>Lung</w:t>
            </w:r>
          </w:p>
        </w:tc>
        <w:tc>
          <w:tcPr>
            <w:tcW w:w="1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B114C2" w14:textId="77777777" w:rsidR="00193360" w:rsidRDefault="00193360" w:rsidP="00CB729E">
            <w:pPr>
              <w:keepNext/>
              <w:jc w:val="center"/>
              <w:rPr>
                <w:b/>
                <w:sz w:val="20"/>
              </w:rPr>
            </w:pPr>
            <w:r>
              <w:rPr>
                <w:b/>
                <w:sz w:val="20"/>
              </w:rPr>
              <w:t>Liver</w:t>
            </w:r>
          </w:p>
        </w:tc>
      </w:tr>
      <w:tr w:rsidR="00193360" w14:paraId="72C50812" w14:textId="77777777" w:rsidTr="00193360">
        <w:tc>
          <w:tcPr>
            <w:tcW w:w="1212" w:type="dxa"/>
            <w:tcBorders>
              <w:top w:val="single" w:sz="4" w:space="0" w:color="auto"/>
              <w:left w:val="single" w:sz="4" w:space="0" w:color="auto"/>
              <w:bottom w:val="single" w:sz="4" w:space="0" w:color="auto"/>
              <w:right w:val="single" w:sz="4" w:space="0" w:color="auto"/>
            </w:tcBorders>
            <w:hideMark/>
          </w:tcPr>
          <w:p w14:paraId="11903777" w14:textId="77777777" w:rsidR="00193360" w:rsidRDefault="00193360" w:rsidP="00CB729E">
            <w:pPr>
              <w:keepNext/>
              <w:rPr>
                <w:sz w:val="20"/>
              </w:rPr>
            </w:pPr>
            <w:r>
              <w:rPr>
                <w:sz w:val="20"/>
              </w:rPr>
              <w:t>0.5</w:t>
            </w:r>
          </w:p>
        </w:tc>
        <w:tc>
          <w:tcPr>
            <w:tcW w:w="1320" w:type="dxa"/>
            <w:tcBorders>
              <w:top w:val="single" w:sz="4" w:space="0" w:color="auto"/>
              <w:left w:val="single" w:sz="4" w:space="0" w:color="auto"/>
              <w:bottom w:val="single" w:sz="4" w:space="0" w:color="auto"/>
              <w:right w:val="single" w:sz="4" w:space="0" w:color="auto"/>
            </w:tcBorders>
            <w:hideMark/>
          </w:tcPr>
          <w:p w14:paraId="64AC8CFF" w14:textId="77777777" w:rsidR="00193360" w:rsidRDefault="00193360" w:rsidP="00CB729E">
            <w:pPr>
              <w:keepNext/>
              <w:jc w:val="center"/>
              <w:rPr>
                <w:sz w:val="20"/>
              </w:rPr>
            </w:pPr>
            <w:r>
              <w:rPr>
                <w:sz w:val="20"/>
              </w:rPr>
              <w:t>77.7 ± 0.9</w:t>
            </w:r>
          </w:p>
        </w:tc>
        <w:tc>
          <w:tcPr>
            <w:tcW w:w="1320" w:type="dxa"/>
            <w:tcBorders>
              <w:top w:val="single" w:sz="4" w:space="0" w:color="auto"/>
              <w:left w:val="single" w:sz="4" w:space="0" w:color="auto"/>
              <w:bottom w:val="single" w:sz="4" w:space="0" w:color="auto"/>
              <w:right w:val="single" w:sz="4" w:space="0" w:color="auto"/>
            </w:tcBorders>
            <w:hideMark/>
          </w:tcPr>
          <w:p w14:paraId="4AA9F864" w14:textId="77777777" w:rsidR="00193360" w:rsidRDefault="00193360" w:rsidP="00CB729E">
            <w:pPr>
              <w:keepNext/>
              <w:jc w:val="center"/>
              <w:rPr>
                <w:sz w:val="20"/>
              </w:rPr>
            </w:pPr>
            <w:r>
              <w:rPr>
                <w:sz w:val="20"/>
              </w:rPr>
              <w:t>158.2 ± 12.1</w:t>
            </w:r>
          </w:p>
        </w:tc>
        <w:tc>
          <w:tcPr>
            <w:tcW w:w="1320" w:type="dxa"/>
            <w:tcBorders>
              <w:top w:val="single" w:sz="4" w:space="0" w:color="auto"/>
              <w:left w:val="single" w:sz="4" w:space="0" w:color="auto"/>
              <w:bottom w:val="single" w:sz="4" w:space="0" w:color="auto"/>
              <w:right w:val="single" w:sz="4" w:space="0" w:color="auto"/>
            </w:tcBorders>
            <w:hideMark/>
          </w:tcPr>
          <w:p w14:paraId="75AAE16D" w14:textId="77777777" w:rsidR="00193360" w:rsidRDefault="00193360" w:rsidP="00CB729E">
            <w:pPr>
              <w:keepNext/>
              <w:jc w:val="center"/>
              <w:rPr>
                <w:sz w:val="20"/>
              </w:rPr>
            </w:pPr>
            <w:r>
              <w:rPr>
                <w:sz w:val="20"/>
              </w:rPr>
              <w:t>11.9 ± 5.6</w:t>
            </w:r>
          </w:p>
        </w:tc>
        <w:tc>
          <w:tcPr>
            <w:tcW w:w="1349" w:type="dxa"/>
            <w:tcBorders>
              <w:top w:val="single" w:sz="4" w:space="0" w:color="auto"/>
              <w:left w:val="single" w:sz="4" w:space="0" w:color="auto"/>
              <w:bottom w:val="single" w:sz="4" w:space="0" w:color="auto"/>
              <w:right w:val="single" w:sz="4" w:space="0" w:color="auto"/>
            </w:tcBorders>
            <w:hideMark/>
          </w:tcPr>
          <w:p w14:paraId="37970F47" w14:textId="77777777" w:rsidR="00193360" w:rsidRDefault="00193360" w:rsidP="00CB729E">
            <w:pPr>
              <w:keepNext/>
              <w:jc w:val="center"/>
              <w:rPr>
                <w:sz w:val="20"/>
              </w:rPr>
            </w:pPr>
            <w:r>
              <w:rPr>
                <w:sz w:val="20"/>
              </w:rPr>
              <w:t>508.4 ± 102.2</w:t>
            </w:r>
          </w:p>
        </w:tc>
        <w:tc>
          <w:tcPr>
            <w:tcW w:w="1276" w:type="dxa"/>
            <w:tcBorders>
              <w:top w:val="single" w:sz="4" w:space="0" w:color="auto"/>
              <w:left w:val="single" w:sz="4" w:space="0" w:color="auto"/>
              <w:bottom w:val="single" w:sz="4" w:space="0" w:color="auto"/>
              <w:right w:val="single" w:sz="4" w:space="0" w:color="auto"/>
            </w:tcBorders>
            <w:hideMark/>
          </w:tcPr>
          <w:p w14:paraId="3931FA39" w14:textId="77777777" w:rsidR="00193360" w:rsidRDefault="00193360" w:rsidP="00CB729E">
            <w:pPr>
              <w:keepNext/>
              <w:jc w:val="center"/>
              <w:rPr>
                <w:sz w:val="20"/>
              </w:rPr>
            </w:pPr>
            <w:r>
              <w:rPr>
                <w:sz w:val="20"/>
              </w:rPr>
              <w:t>86.5 ± 4.5</w:t>
            </w:r>
          </w:p>
        </w:tc>
        <w:tc>
          <w:tcPr>
            <w:tcW w:w="1275" w:type="dxa"/>
            <w:gridSpan w:val="2"/>
            <w:tcBorders>
              <w:top w:val="single" w:sz="4" w:space="0" w:color="auto"/>
              <w:left w:val="single" w:sz="4" w:space="0" w:color="auto"/>
              <w:bottom w:val="single" w:sz="4" w:space="0" w:color="auto"/>
              <w:right w:val="single" w:sz="4" w:space="0" w:color="auto"/>
            </w:tcBorders>
            <w:hideMark/>
          </w:tcPr>
          <w:p w14:paraId="4D5937F8" w14:textId="77777777" w:rsidR="00193360" w:rsidRDefault="00193360" w:rsidP="00CB729E">
            <w:pPr>
              <w:keepNext/>
              <w:jc w:val="center"/>
              <w:rPr>
                <w:sz w:val="20"/>
              </w:rPr>
            </w:pPr>
            <w:r>
              <w:rPr>
                <w:sz w:val="20"/>
              </w:rPr>
              <w:t>44.2 ± 1.6</w:t>
            </w:r>
          </w:p>
        </w:tc>
      </w:tr>
      <w:tr w:rsidR="00193360" w14:paraId="01654439" w14:textId="77777777" w:rsidTr="00193360">
        <w:tc>
          <w:tcPr>
            <w:tcW w:w="1212" w:type="dxa"/>
            <w:tcBorders>
              <w:top w:val="single" w:sz="4" w:space="0" w:color="auto"/>
              <w:left w:val="single" w:sz="4" w:space="0" w:color="auto"/>
              <w:bottom w:val="single" w:sz="4" w:space="0" w:color="auto"/>
              <w:right w:val="single" w:sz="4" w:space="0" w:color="auto"/>
            </w:tcBorders>
            <w:hideMark/>
          </w:tcPr>
          <w:p w14:paraId="0BD398B9" w14:textId="77777777" w:rsidR="00193360" w:rsidRDefault="00193360" w:rsidP="00CB729E">
            <w:pPr>
              <w:keepNext/>
              <w:rPr>
                <w:sz w:val="20"/>
              </w:rPr>
            </w:pPr>
            <w:r>
              <w:rPr>
                <w:sz w:val="20"/>
              </w:rPr>
              <w:t>1</w:t>
            </w:r>
          </w:p>
        </w:tc>
        <w:tc>
          <w:tcPr>
            <w:tcW w:w="1320" w:type="dxa"/>
            <w:tcBorders>
              <w:top w:val="single" w:sz="4" w:space="0" w:color="auto"/>
              <w:left w:val="single" w:sz="4" w:space="0" w:color="auto"/>
              <w:bottom w:val="single" w:sz="4" w:space="0" w:color="auto"/>
              <w:right w:val="single" w:sz="4" w:space="0" w:color="auto"/>
            </w:tcBorders>
            <w:hideMark/>
          </w:tcPr>
          <w:p w14:paraId="4F96A030" w14:textId="77777777" w:rsidR="00193360" w:rsidRDefault="00193360" w:rsidP="00CB729E">
            <w:pPr>
              <w:keepNext/>
              <w:jc w:val="center"/>
              <w:rPr>
                <w:sz w:val="20"/>
              </w:rPr>
            </w:pPr>
            <w:r>
              <w:rPr>
                <w:sz w:val="20"/>
              </w:rPr>
              <w:t>44.0 ± 0.8</w:t>
            </w:r>
          </w:p>
        </w:tc>
        <w:tc>
          <w:tcPr>
            <w:tcW w:w="1320" w:type="dxa"/>
            <w:tcBorders>
              <w:top w:val="single" w:sz="4" w:space="0" w:color="auto"/>
              <w:left w:val="single" w:sz="4" w:space="0" w:color="auto"/>
              <w:bottom w:val="single" w:sz="4" w:space="0" w:color="auto"/>
              <w:right w:val="single" w:sz="4" w:space="0" w:color="auto"/>
            </w:tcBorders>
            <w:hideMark/>
          </w:tcPr>
          <w:p w14:paraId="608C2701" w14:textId="77777777" w:rsidR="00193360" w:rsidRDefault="00193360" w:rsidP="00CB729E">
            <w:pPr>
              <w:keepNext/>
              <w:jc w:val="center"/>
              <w:rPr>
                <w:sz w:val="20"/>
              </w:rPr>
            </w:pPr>
            <w:r>
              <w:rPr>
                <w:sz w:val="20"/>
              </w:rPr>
              <w:t>94.2 ± 3.4</w:t>
            </w:r>
          </w:p>
        </w:tc>
        <w:tc>
          <w:tcPr>
            <w:tcW w:w="1320" w:type="dxa"/>
            <w:tcBorders>
              <w:top w:val="single" w:sz="4" w:space="0" w:color="auto"/>
              <w:left w:val="single" w:sz="4" w:space="0" w:color="auto"/>
              <w:bottom w:val="single" w:sz="4" w:space="0" w:color="auto"/>
              <w:right w:val="single" w:sz="4" w:space="0" w:color="auto"/>
            </w:tcBorders>
            <w:hideMark/>
          </w:tcPr>
          <w:p w14:paraId="7BC13BD5" w14:textId="77777777" w:rsidR="00193360" w:rsidRDefault="00193360" w:rsidP="00CB729E">
            <w:pPr>
              <w:keepNext/>
              <w:jc w:val="center"/>
              <w:rPr>
                <w:sz w:val="20"/>
              </w:rPr>
            </w:pPr>
            <w:r>
              <w:rPr>
                <w:sz w:val="20"/>
              </w:rPr>
              <w:t>5.4 ± 0.4</w:t>
            </w:r>
          </w:p>
        </w:tc>
        <w:tc>
          <w:tcPr>
            <w:tcW w:w="1349" w:type="dxa"/>
            <w:tcBorders>
              <w:top w:val="single" w:sz="4" w:space="0" w:color="auto"/>
              <w:left w:val="single" w:sz="4" w:space="0" w:color="auto"/>
              <w:bottom w:val="single" w:sz="4" w:space="0" w:color="auto"/>
              <w:right w:val="single" w:sz="4" w:space="0" w:color="auto"/>
            </w:tcBorders>
            <w:hideMark/>
          </w:tcPr>
          <w:p w14:paraId="3F215EDA" w14:textId="77777777" w:rsidR="00193360" w:rsidRDefault="00193360" w:rsidP="00CB729E">
            <w:pPr>
              <w:keepNext/>
              <w:jc w:val="center"/>
              <w:rPr>
                <w:sz w:val="20"/>
              </w:rPr>
            </w:pPr>
            <w:r>
              <w:rPr>
                <w:sz w:val="20"/>
              </w:rPr>
              <w:t>752.7 ± 113.4</w:t>
            </w:r>
          </w:p>
        </w:tc>
        <w:tc>
          <w:tcPr>
            <w:tcW w:w="1276" w:type="dxa"/>
            <w:tcBorders>
              <w:top w:val="single" w:sz="4" w:space="0" w:color="auto"/>
              <w:left w:val="single" w:sz="4" w:space="0" w:color="auto"/>
              <w:bottom w:val="single" w:sz="4" w:space="0" w:color="auto"/>
              <w:right w:val="single" w:sz="4" w:space="0" w:color="auto"/>
            </w:tcBorders>
            <w:hideMark/>
          </w:tcPr>
          <w:p w14:paraId="7E40B06D" w14:textId="77777777" w:rsidR="00193360" w:rsidRDefault="00193360" w:rsidP="00CB729E">
            <w:pPr>
              <w:keepNext/>
              <w:jc w:val="center"/>
              <w:rPr>
                <w:sz w:val="20"/>
              </w:rPr>
            </w:pPr>
            <w:r>
              <w:rPr>
                <w:sz w:val="20"/>
              </w:rPr>
              <w:t>73.1 ± 7.2</w:t>
            </w:r>
          </w:p>
        </w:tc>
        <w:tc>
          <w:tcPr>
            <w:tcW w:w="1275" w:type="dxa"/>
            <w:gridSpan w:val="2"/>
            <w:tcBorders>
              <w:top w:val="single" w:sz="4" w:space="0" w:color="auto"/>
              <w:left w:val="single" w:sz="4" w:space="0" w:color="auto"/>
              <w:bottom w:val="single" w:sz="4" w:space="0" w:color="auto"/>
              <w:right w:val="single" w:sz="4" w:space="0" w:color="auto"/>
            </w:tcBorders>
            <w:hideMark/>
          </w:tcPr>
          <w:p w14:paraId="12BD40A2" w14:textId="77777777" w:rsidR="00193360" w:rsidRDefault="00193360" w:rsidP="00CB729E">
            <w:pPr>
              <w:keepNext/>
              <w:jc w:val="center"/>
              <w:rPr>
                <w:sz w:val="20"/>
              </w:rPr>
            </w:pPr>
            <w:r>
              <w:rPr>
                <w:sz w:val="20"/>
              </w:rPr>
              <w:t>44.2 ± 3.7</w:t>
            </w:r>
          </w:p>
        </w:tc>
      </w:tr>
      <w:tr w:rsidR="00193360" w14:paraId="6D33B9D5" w14:textId="77777777" w:rsidTr="00193360">
        <w:tc>
          <w:tcPr>
            <w:tcW w:w="1212" w:type="dxa"/>
            <w:tcBorders>
              <w:top w:val="single" w:sz="4" w:space="0" w:color="auto"/>
              <w:left w:val="single" w:sz="4" w:space="0" w:color="auto"/>
              <w:bottom w:val="single" w:sz="4" w:space="0" w:color="auto"/>
              <w:right w:val="single" w:sz="4" w:space="0" w:color="auto"/>
            </w:tcBorders>
            <w:hideMark/>
          </w:tcPr>
          <w:p w14:paraId="24F6E91E" w14:textId="77777777" w:rsidR="00193360" w:rsidRDefault="00193360" w:rsidP="00CB729E">
            <w:pPr>
              <w:keepNext/>
              <w:rPr>
                <w:sz w:val="20"/>
              </w:rPr>
            </w:pPr>
            <w:r>
              <w:rPr>
                <w:sz w:val="20"/>
              </w:rPr>
              <w:t>2</w:t>
            </w:r>
          </w:p>
        </w:tc>
        <w:tc>
          <w:tcPr>
            <w:tcW w:w="1320" w:type="dxa"/>
            <w:tcBorders>
              <w:top w:val="single" w:sz="4" w:space="0" w:color="auto"/>
              <w:left w:val="single" w:sz="4" w:space="0" w:color="auto"/>
              <w:bottom w:val="single" w:sz="4" w:space="0" w:color="auto"/>
              <w:right w:val="single" w:sz="4" w:space="0" w:color="auto"/>
            </w:tcBorders>
            <w:hideMark/>
          </w:tcPr>
          <w:p w14:paraId="2F59F666" w14:textId="77777777" w:rsidR="00193360" w:rsidRDefault="00193360" w:rsidP="00CB729E">
            <w:pPr>
              <w:keepNext/>
              <w:jc w:val="center"/>
              <w:rPr>
                <w:sz w:val="20"/>
              </w:rPr>
            </w:pPr>
            <w:r>
              <w:rPr>
                <w:sz w:val="20"/>
              </w:rPr>
              <w:t>9.3 ± 0.3</w:t>
            </w:r>
          </w:p>
        </w:tc>
        <w:tc>
          <w:tcPr>
            <w:tcW w:w="1320" w:type="dxa"/>
            <w:tcBorders>
              <w:top w:val="single" w:sz="4" w:space="0" w:color="auto"/>
              <w:left w:val="single" w:sz="4" w:space="0" w:color="auto"/>
              <w:bottom w:val="single" w:sz="4" w:space="0" w:color="auto"/>
              <w:right w:val="single" w:sz="4" w:space="0" w:color="auto"/>
            </w:tcBorders>
            <w:hideMark/>
          </w:tcPr>
          <w:p w14:paraId="294E6582" w14:textId="77777777" w:rsidR="00193360" w:rsidRDefault="00193360" w:rsidP="00CB729E">
            <w:pPr>
              <w:keepNext/>
              <w:jc w:val="center"/>
              <w:rPr>
                <w:sz w:val="20"/>
              </w:rPr>
            </w:pPr>
            <w:r>
              <w:rPr>
                <w:sz w:val="20"/>
              </w:rPr>
              <w:t>18.8 ± 0.3</w:t>
            </w:r>
          </w:p>
        </w:tc>
        <w:tc>
          <w:tcPr>
            <w:tcW w:w="1320" w:type="dxa"/>
            <w:tcBorders>
              <w:top w:val="single" w:sz="4" w:space="0" w:color="auto"/>
              <w:left w:val="single" w:sz="4" w:space="0" w:color="auto"/>
              <w:bottom w:val="single" w:sz="4" w:space="0" w:color="auto"/>
              <w:right w:val="single" w:sz="4" w:space="0" w:color="auto"/>
            </w:tcBorders>
            <w:hideMark/>
          </w:tcPr>
          <w:p w14:paraId="3F990222" w14:textId="77777777" w:rsidR="00193360" w:rsidRDefault="00193360" w:rsidP="00CB729E">
            <w:pPr>
              <w:keepNext/>
              <w:jc w:val="center"/>
              <w:rPr>
                <w:sz w:val="20"/>
              </w:rPr>
            </w:pPr>
            <w:r>
              <w:rPr>
                <w:sz w:val="20"/>
              </w:rPr>
              <w:t>2.9 ± 0.3</w:t>
            </w:r>
          </w:p>
        </w:tc>
        <w:tc>
          <w:tcPr>
            <w:tcW w:w="1349" w:type="dxa"/>
            <w:tcBorders>
              <w:top w:val="single" w:sz="4" w:space="0" w:color="auto"/>
              <w:left w:val="single" w:sz="4" w:space="0" w:color="auto"/>
              <w:bottom w:val="single" w:sz="4" w:space="0" w:color="auto"/>
              <w:right w:val="single" w:sz="4" w:space="0" w:color="auto"/>
            </w:tcBorders>
            <w:hideMark/>
          </w:tcPr>
          <w:p w14:paraId="6BF3A2A3" w14:textId="77777777" w:rsidR="00193360" w:rsidRDefault="00193360" w:rsidP="00CB729E">
            <w:pPr>
              <w:keepNext/>
              <w:jc w:val="center"/>
              <w:rPr>
                <w:sz w:val="20"/>
              </w:rPr>
            </w:pPr>
            <w:r>
              <w:rPr>
                <w:sz w:val="20"/>
              </w:rPr>
              <w:t>203.2 ± 57.5</w:t>
            </w:r>
          </w:p>
        </w:tc>
        <w:tc>
          <w:tcPr>
            <w:tcW w:w="1276" w:type="dxa"/>
            <w:tcBorders>
              <w:top w:val="single" w:sz="4" w:space="0" w:color="auto"/>
              <w:left w:val="single" w:sz="4" w:space="0" w:color="auto"/>
              <w:bottom w:val="single" w:sz="4" w:space="0" w:color="auto"/>
              <w:right w:val="single" w:sz="4" w:space="0" w:color="auto"/>
            </w:tcBorders>
            <w:hideMark/>
          </w:tcPr>
          <w:p w14:paraId="7CB325EC" w14:textId="77777777" w:rsidR="00193360" w:rsidRDefault="00193360" w:rsidP="00CB729E">
            <w:pPr>
              <w:keepNext/>
              <w:jc w:val="center"/>
              <w:rPr>
                <w:sz w:val="20"/>
              </w:rPr>
            </w:pPr>
            <w:r>
              <w:rPr>
                <w:sz w:val="20"/>
              </w:rPr>
              <w:t>47.0 ± 1.2</w:t>
            </w:r>
          </w:p>
        </w:tc>
        <w:tc>
          <w:tcPr>
            <w:tcW w:w="1275" w:type="dxa"/>
            <w:gridSpan w:val="2"/>
            <w:tcBorders>
              <w:top w:val="single" w:sz="4" w:space="0" w:color="auto"/>
              <w:left w:val="single" w:sz="4" w:space="0" w:color="auto"/>
              <w:bottom w:val="single" w:sz="4" w:space="0" w:color="auto"/>
              <w:right w:val="single" w:sz="4" w:space="0" w:color="auto"/>
            </w:tcBorders>
            <w:hideMark/>
          </w:tcPr>
          <w:p w14:paraId="7FC2BF59" w14:textId="77777777" w:rsidR="00193360" w:rsidRDefault="00193360" w:rsidP="00CB729E">
            <w:pPr>
              <w:keepNext/>
              <w:jc w:val="center"/>
              <w:rPr>
                <w:sz w:val="20"/>
              </w:rPr>
            </w:pPr>
            <w:r>
              <w:rPr>
                <w:sz w:val="20"/>
              </w:rPr>
              <w:t>24.6 ± 4.0</w:t>
            </w:r>
          </w:p>
        </w:tc>
      </w:tr>
      <w:tr w:rsidR="00193360" w14:paraId="36069C86" w14:textId="77777777" w:rsidTr="00193360">
        <w:tc>
          <w:tcPr>
            <w:tcW w:w="1212" w:type="dxa"/>
            <w:tcBorders>
              <w:top w:val="single" w:sz="4" w:space="0" w:color="auto"/>
              <w:left w:val="single" w:sz="4" w:space="0" w:color="auto"/>
              <w:bottom w:val="single" w:sz="4" w:space="0" w:color="auto"/>
              <w:right w:val="single" w:sz="4" w:space="0" w:color="auto"/>
            </w:tcBorders>
            <w:hideMark/>
          </w:tcPr>
          <w:p w14:paraId="746D0DFF" w14:textId="77777777" w:rsidR="00193360" w:rsidRDefault="00193360" w:rsidP="00CB729E">
            <w:pPr>
              <w:keepNext/>
              <w:rPr>
                <w:sz w:val="20"/>
              </w:rPr>
            </w:pPr>
            <w:r>
              <w:rPr>
                <w:sz w:val="20"/>
              </w:rPr>
              <w:t>4</w:t>
            </w:r>
          </w:p>
        </w:tc>
        <w:tc>
          <w:tcPr>
            <w:tcW w:w="1320" w:type="dxa"/>
            <w:tcBorders>
              <w:top w:val="single" w:sz="4" w:space="0" w:color="auto"/>
              <w:left w:val="single" w:sz="4" w:space="0" w:color="auto"/>
              <w:bottom w:val="single" w:sz="4" w:space="0" w:color="auto"/>
              <w:right w:val="single" w:sz="4" w:space="0" w:color="auto"/>
            </w:tcBorders>
            <w:hideMark/>
          </w:tcPr>
          <w:p w14:paraId="16BEE5F4" w14:textId="77777777" w:rsidR="00193360" w:rsidRDefault="00193360" w:rsidP="00CB729E">
            <w:pPr>
              <w:keepNext/>
              <w:jc w:val="center"/>
              <w:rPr>
                <w:sz w:val="20"/>
              </w:rPr>
            </w:pPr>
            <w:r>
              <w:rPr>
                <w:sz w:val="20"/>
              </w:rPr>
              <w:t>1.5 ± 0.1</w:t>
            </w:r>
          </w:p>
        </w:tc>
        <w:tc>
          <w:tcPr>
            <w:tcW w:w="1320" w:type="dxa"/>
            <w:tcBorders>
              <w:top w:val="single" w:sz="4" w:space="0" w:color="auto"/>
              <w:left w:val="single" w:sz="4" w:space="0" w:color="auto"/>
              <w:bottom w:val="single" w:sz="4" w:space="0" w:color="auto"/>
              <w:right w:val="single" w:sz="4" w:space="0" w:color="auto"/>
            </w:tcBorders>
            <w:hideMark/>
          </w:tcPr>
          <w:p w14:paraId="34886DED" w14:textId="77777777" w:rsidR="00193360" w:rsidRDefault="00193360" w:rsidP="00CB729E">
            <w:pPr>
              <w:keepNext/>
              <w:jc w:val="center"/>
              <w:rPr>
                <w:sz w:val="20"/>
              </w:rPr>
            </w:pPr>
            <w:r>
              <w:rPr>
                <w:sz w:val="20"/>
              </w:rPr>
              <w:t>2.2 ± 0.2</w:t>
            </w:r>
          </w:p>
        </w:tc>
        <w:tc>
          <w:tcPr>
            <w:tcW w:w="1320" w:type="dxa"/>
            <w:tcBorders>
              <w:top w:val="single" w:sz="4" w:space="0" w:color="auto"/>
              <w:left w:val="single" w:sz="4" w:space="0" w:color="auto"/>
              <w:bottom w:val="single" w:sz="4" w:space="0" w:color="auto"/>
              <w:right w:val="single" w:sz="4" w:space="0" w:color="auto"/>
            </w:tcBorders>
            <w:hideMark/>
          </w:tcPr>
          <w:p w14:paraId="70EDDDFC" w14:textId="77777777" w:rsidR="00193360" w:rsidRDefault="00193360" w:rsidP="00CB729E">
            <w:pPr>
              <w:keepNext/>
              <w:jc w:val="center"/>
              <w:rPr>
                <w:sz w:val="20"/>
              </w:rPr>
            </w:pPr>
            <w:r>
              <w:rPr>
                <w:sz w:val="20"/>
              </w:rPr>
              <w:t>3.4 ± 0.9</w:t>
            </w:r>
          </w:p>
        </w:tc>
        <w:tc>
          <w:tcPr>
            <w:tcW w:w="1349" w:type="dxa"/>
            <w:tcBorders>
              <w:top w:val="single" w:sz="4" w:space="0" w:color="auto"/>
              <w:left w:val="single" w:sz="4" w:space="0" w:color="auto"/>
              <w:bottom w:val="single" w:sz="4" w:space="0" w:color="auto"/>
              <w:right w:val="single" w:sz="4" w:space="0" w:color="auto"/>
            </w:tcBorders>
            <w:hideMark/>
          </w:tcPr>
          <w:p w14:paraId="7069F1EC" w14:textId="77777777" w:rsidR="00193360" w:rsidRDefault="00193360" w:rsidP="00CB729E">
            <w:pPr>
              <w:keepNext/>
              <w:jc w:val="center"/>
              <w:rPr>
                <w:sz w:val="20"/>
              </w:rPr>
            </w:pPr>
            <w:r>
              <w:rPr>
                <w:sz w:val="20"/>
              </w:rPr>
              <w:t>37.1 ± 4.1</w:t>
            </w:r>
          </w:p>
        </w:tc>
        <w:tc>
          <w:tcPr>
            <w:tcW w:w="1276" w:type="dxa"/>
            <w:tcBorders>
              <w:top w:val="single" w:sz="4" w:space="0" w:color="auto"/>
              <w:left w:val="single" w:sz="4" w:space="0" w:color="auto"/>
              <w:bottom w:val="single" w:sz="4" w:space="0" w:color="auto"/>
              <w:right w:val="single" w:sz="4" w:space="0" w:color="auto"/>
            </w:tcBorders>
            <w:hideMark/>
          </w:tcPr>
          <w:p w14:paraId="2B72E1CC" w14:textId="77777777" w:rsidR="00193360" w:rsidRDefault="00193360" w:rsidP="00CB729E">
            <w:pPr>
              <w:keepNext/>
              <w:jc w:val="center"/>
              <w:rPr>
                <w:sz w:val="20"/>
              </w:rPr>
            </w:pPr>
            <w:r>
              <w:rPr>
                <w:sz w:val="20"/>
              </w:rPr>
              <w:t>32.2 ± 2.7</w:t>
            </w:r>
          </w:p>
        </w:tc>
        <w:tc>
          <w:tcPr>
            <w:tcW w:w="1275" w:type="dxa"/>
            <w:gridSpan w:val="2"/>
            <w:tcBorders>
              <w:top w:val="single" w:sz="4" w:space="0" w:color="auto"/>
              <w:left w:val="single" w:sz="4" w:space="0" w:color="auto"/>
              <w:bottom w:val="single" w:sz="4" w:space="0" w:color="auto"/>
              <w:right w:val="single" w:sz="4" w:space="0" w:color="auto"/>
            </w:tcBorders>
            <w:hideMark/>
          </w:tcPr>
          <w:p w14:paraId="714D1AB6" w14:textId="77777777" w:rsidR="00193360" w:rsidRDefault="00193360" w:rsidP="00CB729E">
            <w:pPr>
              <w:keepNext/>
              <w:jc w:val="center"/>
              <w:rPr>
                <w:sz w:val="20"/>
              </w:rPr>
            </w:pPr>
            <w:r>
              <w:rPr>
                <w:sz w:val="20"/>
              </w:rPr>
              <w:t>11.2 ± 2.6</w:t>
            </w:r>
          </w:p>
        </w:tc>
      </w:tr>
      <w:tr w:rsidR="00193360" w14:paraId="47B098BE" w14:textId="77777777" w:rsidTr="00193360">
        <w:tc>
          <w:tcPr>
            <w:tcW w:w="1212" w:type="dxa"/>
            <w:tcBorders>
              <w:top w:val="single" w:sz="4" w:space="0" w:color="auto"/>
              <w:left w:val="single" w:sz="4" w:space="0" w:color="auto"/>
              <w:bottom w:val="single" w:sz="4" w:space="0" w:color="auto"/>
              <w:right w:val="single" w:sz="4" w:space="0" w:color="auto"/>
            </w:tcBorders>
            <w:hideMark/>
          </w:tcPr>
          <w:p w14:paraId="36AF8371" w14:textId="77777777" w:rsidR="00193360" w:rsidRDefault="00193360" w:rsidP="00CB729E">
            <w:pPr>
              <w:keepNext/>
              <w:rPr>
                <w:sz w:val="20"/>
              </w:rPr>
            </w:pPr>
            <w:r>
              <w:rPr>
                <w:sz w:val="20"/>
              </w:rPr>
              <w:t>8</w:t>
            </w:r>
          </w:p>
        </w:tc>
        <w:tc>
          <w:tcPr>
            <w:tcW w:w="1320" w:type="dxa"/>
            <w:tcBorders>
              <w:top w:val="single" w:sz="4" w:space="0" w:color="auto"/>
              <w:left w:val="single" w:sz="4" w:space="0" w:color="auto"/>
              <w:bottom w:val="single" w:sz="4" w:space="0" w:color="auto"/>
              <w:right w:val="single" w:sz="4" w:space="0" w:color="auto"/>
            </w:tcBorders>
            <w:hideMark/>
          </w:tcPr>
          <w:p w14:paraId="065259D3" w14:textId="77777777" w:rsidR="00193360" w:rsidRDefault="00193360" w:rsidP="00CB729E">
            <w:pPr>
              <w:keepNext/>
              <w:jc w:val="center"/>
              <w:rPr>
                <w:sz w:val="20"/>
              </w:rPr>
            </w:pPr>
            <w:r>
              <w:rPr>
                <w:sz w:val="20"/>
              </w:rPr>
              <w:t>0.8 ± 0.1</w:t>
            </w:r>
          </w:p>
        </w:tc>
        <w:tc>
          <w:tcPr>
            <w:tcW w:w="1320" w:type="dxa"/>
            <w:tcBorders>
              <w:top w:val="single" w:sz="4" w:space="0" w:color="auto"/>
              <w:left w:val="single" w:sz="4" w:space="0" w:color="auto"/>
              <w:bottom w:val="single" w:sz="4" w:space="0" w:color="auto"/>
              <w:right w:val="single" w:sz="4" w:space="0" w:color="auto"/>
            </w:tcBorders>
            <w:hideMark/>
          </w:tcPr>
          <w:p w14:paraId="204CA9FA" w14:textId="77777777" w:rsidR="00193360" w:rsidRDefault="00193360" w:rsidP="00CB729E">
            <w:pPr>
              <w:keepNext/>
              <w:jc w:val="center"/>
              <w:rPr>
                <w:sz w:val="20"/>
              </w:rPr>
            </w:pPr>
            <w:r>
              <w:rPr>
                <w:sz w:val="20"/>
              </w:rPr>
              <w:t>0.9 ± 0.1</w:t>
            </w:r>
          </w:p>
        </w:tc>
        <w:tc>
          <w:tcPr>
            <w:tcW w:w="1320" w:type="dxa"/>
            <w:tcBorders>
              <w:top w:val="single" w:sz="4" w:space="0" w:color="auto"/>
              <w:left w:val="single" w:sz="4" w:space="0" w:color="auto"/>
              <w:bottom w:val="single" w:sz="4" w:space="0" w:color="auto"/>
              <w:right w:val="single" w:sz="4" w:space="0" w:color="auto"/>
            </w:tcBorders>
            <w:hideMark/>
          </w:tcPr>
          <w:p w14:paraId="3821A9BF" w14:textId="77777777" w:rsidR="00193360" w:rsidRDefault="00193360" w:rsidP="00CB729E">
            <w:pPr>
              <w:keepNext/>
              <w:jc w:val="center"/>
              <w:rPr>
                <w:sz w:val="20"/>
              </w:rPr>
            </w:pPr>
            <w:r>
              <w:rPr>
                <w:sz w:val="20"/>
              </w:rPr>
              <w:t>1.9 ± 0.0</w:t>
            </w:r>
          </w:p>
        </w:tc>
        <w:tc>
          <w:tcPr>
            <w:tcW w:w="1349" w:type="dxa"/>
            <w:tcBorders>
              <w:top w:val="single" w:sz="4" w:space="0" w:color="auto"/>
              <w:left w:val="single" w:sz="4" w:space="0" w:color="auto"/>
              <w:bottom w:val="single" w:sz="4" w:space="0" w:color="auto"/>
              <w:right w:val="single" w:sz="4" w:space="0" w:color="auto"/>
            </w:tcBorders>
            <w:hideMark/>
          </w:tcPr>
          <w:p w14:paraId="7E79DAA0" w14:textId="77777777" w:rsidR="00193360" w:rsidRDefault="00193360" w:rsidP="00CB729E">
            <w:pPr>
              <w:keepNext/>
              <w:jc w:val="center"/>
              <w:rPr>
                <w:sz w:val="20"/>
              </w:rPr>
            </w:pPr>
            <w:r>
              <w:rPr>
                <w:sz w:val="20"/>
              </w:rPr>
              <w:t>22.9 ± 0.6</w:t>
            </w:r>
          </w:p>
        </w:tc>
        <w:tc>
          <w:tcPr>
            <w:tcW w:w="1291" w:type="dxa"/>
            <w:gridSpan w:val="2"/>
            <w:tcBorders>
              <w:top w:val="single" w:sz="4" w:space="0" w:color="auto"/>
              <w:left w:val="single" w:sz="4" w:space="0" w:color="auto"/>
              <w:bottom w:val="single" w:sz="4" w:space="0" w:color="auto"/>
              <w:right w:val="single" w:sz="4" w:space="0" w:color="auto"/>
            </w:tcBorders>
            <w:hideMark/>
          </w:tcPr>
          <w:p w14:paraId="23C52EF4" w14:textId="77777777" w:rsidR="00193360" w:rsidRDefault="00193360" w:rsidP="00CB729E">
            <w:pPr>
              <w:keepNext/>
              <w:jc w:val="center"/>
              <w:rPr>
                <w:sz w:val="20"/>
              </w:rPr>
            </w:pPr>
            <w:r>
              <w:rPr>
                <w:sz w:val="20"/>
              </w:rPr>
              <w:t>34.7 ± 2.6</w:t>
            </w:r>
          </w:p>
        </w:tc>
        <w:tc>
          <w:tcPr>
            <w:tcW w:w="1260" w:type="dxa"/>
            <w:tcBorders>
              <w:top w:val="single" w:sz="4" w:space="0" w:color="auto"/>
              <w:left w:val="single" w:sz="4" w:space="0" w:color="auto"/>
              <w:bottom w:val="single" w:sz="4" w:space="0" w:color="auto"/>
              <w:right w:val="single" w:sz="4" w:space="0" w:color="auto"/>
            </w:tcBorders>
            <w:hideMark/>
          </w:tcPr>
          <w:p w14:paraId="5EA6FFCF" w14:textId="77777777" w:rsidR="00193360" w:rsidRDefault="00193360" w:rsidP="00CB729E">
            <w:pPr>
              <w:keepNext/>
              <w:jc w:val="center"/>
              <w:rPr>
                <w:sz w:val="20"/>
              </w:rPr>
            </w:pPr>
            <w:r>
              <w:rPr>
                <w:sz w:val="20"/>
              </w:rPr>
              <w:t>6.8 ± 0.8</w:t>
            </w:r>
          </w:p>
        </w:tc>
      </w:tr>
      <w:tr w:rsidR="00193360" w14:paraId="3332F975" w14:textId="77777777" w:rsidTr="00193360">
        <w:tc>
          <w:tcPr>
            <w:tcW w:w="1212" w:type="dxa"/>
            <w:tcBorders>
              <w:top w:val="single" w:sz="4" w:space="0" w:color="auto"/>
              <w:left w:val="single" w:sz="4" w:space="0" w:color="auto"/>
              <w:bottom w:val="single" w:sz="4" w:space="0" w:color="auto"/>
              <w:right w:val="single" w:sz="4" w:space="0" w:color="auto"/>
            </w:tcBorders>
            <w:hideMark/>
          </w:tcPr>
          <w:p w14:paraId="5CE0841E" w14:textId="77777777" w:rsidR="00193360" w:rsidRDefault="00193360" w:rsidP="00CB729E">
            <w:pPr>
              <w:keepNext/>
              <w:rPr>
                <w:sz w:val="20"/>
              </w:rPr>
            </w:pPr>
            <w:r>
              <w:rPr>
                <w:sz w:val="20"/>
              </w:rPr>
              <w:t>24</w:t>
            </w:r>
          </w:p>
        </w:tc>
        <w:tc>
          <w:tcPr>
            <w:tcW w:w="1320" w:type="dxa"/>
            <w:tcBorders>
              <w:top w:val="single" w:sz="4" w:space="0" w:color="auto"/>
              <w:left w:val="single" w:sz="4" w:space="0" w:color="auto"/>
              <w:bottom w:val="single" w:sz="4" w:space="0" w:color="auto"/>
              <w:right w:val="single" w:sz="4" w:space="0" w:color="auto"/>
            </w:tcBorders>
            <w:hideMark/>
          </w:tcPr>
          <w:p w14:paraId="2C395D99" w14:textId="77777777" w:rsidR="00193360" w:rsidRDefault="00193360" w:rsidP="00CB729E">
            <w:pPr>
              <w:keepNext/>
              <w:jc w:val="center"/>
              <w:rPr>
                <w:sz w:val="20"/>
              </w:rPr>
            </w:pPr>
            <w:r>
              <w:rPr>
                <w:sz w:val="20"/>
              </w:rPr>
              <w:t>0.6 ± 0.0</w:t>
            </w:r>
          </w:p>
        </w:tc>
        <w:tc>
          <w:tcPr>
            <w:tcW w:w="1320" w:type="dxa"/>
            <w:tcBorders>
              <w:top w:val="single" w:sz="4" w:space="0" w:color="auto"/>
              <w:left w:val="single" w:sz="4" w:space="0" w:color="auto"/>
              <w:bottom w:val="single" w:sz="4" w:space="0" w:color="auto"/>
              <w:right w:val="single" w:sz="4" w:space="0" w:color="auto"/>
            </w:tcBorders>
            <w:hideMark/>
          </w:tcPr>
          <w:p w14:paraId="2FC8833C" w14:textId="77777777" w:rsidR="00193360" w:rsidRDefault="00193360" w:rsidP="00CB729E">
            <w:pPr>
              <w:keepNext/>
              <w:jc w:val="center"/>
              <w:rPr>
                <w:sz w:val="20"/>
              </w:rPr>
            </w:pPr>
            <w:r>
              <w:rPr>
                <w:sz w:val="20"/>
              </w:rPr>
              <w:t>0.3 ± 0.0</w:t>
            </w:r>
          </w:p>
        </w:tc>
        <w:tc>
          <w:tcPr>
            <w:tcW w:w="1320" w:type="dxa"/>
            <w:tcBorders>
              <w:top w:val="single" w:sz="4" w:space="0" w:color="auto"/>
              <w:left w:val="single" w:sz="4" w:space="0" w:color="auto"/>
              <w:bottom w:val="single" w:sz="4" w:space="0" w:color="auto"/>
              <w:right w:val="single" w:sz="4" w:space="0" w:color="auto"/>
            </w:tcBorders>
            <w:hideMark/>
          </w:tcPr>
          <w:p w14:paraId="3A5F67AB" w14:textId="77777777" w:rsidR="00193360" w:rsidRDefault="00193360" w:rsidP="00CB729E">
            <w:pPr>
              <w:keepNext/>
              <w:jc w:val="center"/>
              <w:rPr>
                <w:sz w:val="20"/>
              </w:rPr>
            </w:pPr>
            <w:r>
              <w:rPr>
                <w:sz w:val="20"/>
              </w:rPr>
              <w:t>1.6 ± 0.1</w:t>
            </w:r>
          </w:p>
        </w:tc>
        <w:tc>
          <w:tcPr>
            <w:tcW w:w="1349" w:type="dxa"/>
            <w:tcBorders>
              <w:top w:val="single" w:sz="4" w:space="0" w:color="auto"/>
              <w:left w:val="single" w:sz="4" w:space="0" w:color="auto"/>
              <w:bottom w:val="single" w:sz="4" w:space="0" w:color="auto"/>
              <w:right w:val="single" w:sz="4" w:space="0" w:color="auto"/>
            </w:tcBorders>
            <w:hideMark/>
          </w:tcPr>
          <w:p w14:paraId="7918E0E9" w14:textId="77777777" w:rsidR="00193360" w:rsidRDefault="00193360" w:rsidP="00CB729E">
            <w:pPr>
              <w:keepNext/>
              <w:jc w:val="center"/>
              <w:rPr>
                <w:sz w:val="20"/>
              </w:rPr>
            </w:pPr>
            <w:r>
              <w:rPr>
                <w:sz w:val="20"/>
              </w:rPr>
              <w:t>12.4 ± 0.9</w:t>
            </w:r>
          </w:p>
        </w:tc>
        <w:tc>
          <w:tcPr>
            <w:tcW w:w="1291" w:type="dxa"/>
            <w:gridSpan w:val="2"/>
            <w:tcBorders>
              <w:top w:val="single" w:sz="4" w:space="0" w:color="auto"/>
              <w:left w:val="single" w:sz="4" w:space="0" w:color="auto"/>
              <w:bottom w:val="single" w:sz="4" w:space="0" w:color="auto"/>
              <w:right w:val="single" w:sz="4" w:space="0" w:color="auto"/>
            </w:tcBorders>
            <w:hideMark/>
          </w:tcPr>
          <w:p w14:paraId="4A794A06" w14:textId="77777777" w:rsidR="00193360" w:rsidRDefault="00193360" w:rsidP="00CB729E">
            <w:pPr>
              <w:keepNext/>
              <w:jc w:val="center"/>
              <w:rPr>
                <w:sz w:val="20"/>
              </w:rPr>
            </w:pPr>
            <w:r>
              <w:rPr>
                <w:sz w:val="20"/>
              </w:rPr>
              <w:t>21.0 ± 1.1</w:t>
            </w:r>
          </w:p>
        </w:tc>
        <w:tc>
          <w:tcPr>
            <w:tcW w:w="1260" w:type="dxa"/>
            <w:tcBorders>
              <w:top w:val="single" w:sz="4" w:space="0" w:color="auto"/>
              <w:left w:val="single" w:sz="4" w:space="0" w:color="auto"/>
              <w:bottom w:val="single" w:sz="4" w:space="0" w:color="auto"/>
              <w:right w:val="single" w:sz="4" w:space="0" w:color="auto"/>
            </w:tcBorders>
            <w:hideMark/>
          </w:tcPr>
          <w:p w14:paraId="2A1999EE" w14:textId="77777777" w:rsidR="00193360" w:rsidRDefault="00193360" w:rsidP="00CB729E">
            <w:pPr>
              <w:keepNext/>
              <w:jc w:val="center"/>
              <w:rPr>
                <w:sz w:val="20"/>
              </w:rPr>
            </w:pPr>
            <w:r>
              <w:rPr>
                <w:sz w:val="20"/>
              </w:rPr>
              <w:t>4.2 ± 0.1</w:t>
            </w:r>
          </w:p>
        </w:tc>
      </w:tr>
    </w:tbl>
    <w:p w14:paraId="4598C79C" w14:textId="77777777" w:rsidR="00193360" w:rsidRDefault="00193360" w:rsidP="00CB729E">
      <w:pPr>
        <w:keepNext/>
        <w:rPr>
          <w:sz w:val="20"/>
        </w:rPr>
      </w:pPr>
      <w:r>
        <w:rPr>
          <w:sz w:val="20"/>
        </w:rPr>
        <w:t xml:space="preserve">Results are expressed as mean </w:t>
      </w:r>
      <w:r>
        <w:rPr>
          <w:sz w:val="20"/>
          <w:u w:val="single"/>
        </w:rPr>
        <w:t>+</w:t>
      </w:r>
      <w:r>
        <w:rPr>
          <w:sz w:val="20"/>
        </w:rPr>
        <w:t xml:space="preserve"> 1 SEM (n=3)</w:t>
      </w:r>
    </w:p>
    <w:p w14:paraId="112E77CD" w14:textId="77777777" w:rsidR="00193360" w:rsidRDefault="00193360" w:rsidP="00193360"/>
    <w:p w14:paraId="3EB6BBEE" w14:textId="4A73E6CE" w:rsidR="00193360" w:rsidRDefault="00193360" w:rsidP="00193360">
      <w:r>
        <w:t xml:space="preserve">Graphically presented data revealed that perfusion of </w:t>
      </w:r>
      <w:r w:rsidR="00794F11">
        <w:t>rat's</w:t>
      </w:r>
      <w:r>
        <w:t xml:space="preserve"> immediately after sacrifice at 0.5 and 4 h post-dose reduced the amount of </w:t>
      </w:r>
      <w:r w:rsidR="00A14648">
        <w:t>[</w:t>
      </w:r>
      <w:r>
        <w:rPr>
          <w:vertAlign w:val="superscript"/>
        </w:rPr>
        <w:t>14</w:t>
      </w:r>
      <w:r>
        <w:t>C</w:t>
      </w:r>
      <w:r w:rsidR="00A14648">
        <w:t>]</w:t>
      </w:r>
      <w:r>
        <w:t xml:space="preserve">-paraquat in the brain by approximately 50%, suggesting that some paraquat was confined to the vascular compartment. However, this reduction was not statistically significant when compared with that of non-perfused brain tissue. At 24 h post treatment, no difference was seen between the concentration of </w:t>
      </w:r>
      <w:r>
        <w:rPr>
          <w:vertAlign w:val="superscript"/>
        </w:rPr>
        <w:t>14</w:t>
      </w:r>
      <w:r>
        <w:t>C-paraquat in perfused and non-perfused brain tissues.</w:t>
      </w:r>
    </w:p>
    <w:p w14:paraId="035465BE" w14:textId="77777777" w:rsidR="00193360" w:rsidRDefault="00193360" w:rsidP="00193360"/>
    <w:p w14:paraId="57CFDA0D" w14:textId="1668750F" w:rsidR="00193360" w:rsidRDefault="00193360" w:rsidP="00193360">
      <w:r>
        <w:t xml:space="preserve">Graphically presented data illustrated that the highest concentration of </w:t>
      </w:r>
      <w:r w:rsidR="00A14648">
        <w:t>[</w:t>
      </w:r>
      <w:r>
        <w:rPr>
          <w:vertAlign w:val="superscript"/>
        </w:rPr>
        <w:t>14</w:t>
      </w:r>
      <w:r>
        <w:t>C</w:t>
      </w:r>
      <w:r w:rsidR="00A14648">
        <w:t>]</w:t>
      </w:r>
      <w:r>
        <w:t xml:space="preserve">-paraquat at 24 h post-dose was located in the rest of forebrain (~2.5 nmol/g wet weight), while the lowest level was found in the striatum (~1 nmol/g wet weight). The concentration of paraquat in other brain regions (parietal cortex, hippocampus, entorhinal cortex, cerebellum, midbrain, frontal cortex, medulla oblongata) was approximately 1-2 nmol/g of wet weight at 24 h post-dose. </w:t>
      </w:r>
    </w:p>
    <w:p w14:paraId="5BED0F1F" w14:textId="77777777" w:rsidR="00193360" w:rsidRDefault="00193360" w:rsidP="00193360"/>
    <w:p w14:paraId="306A0668" w14:textId="6A641558" w:rsidR="00193360" w:rsidRDefault="00193360" w:rsidP="00193360">
      <w:r>
        <w:t xml:space="preserve">Quantitative autoradiography revealed that relatively high concentrations of paraquat were found in the pineal gland, lining of the ventricles, anterior olfactory bulb, olfactory tubercle, area postrema of the medulla oblongata and hypothalamus (see </w:t>
      </w:r>
      <w:r w:rsidR="007A5E9A">
        <w:fldChar w:fldCharType="begin"/>
      </w:r>
      <w:r w:rsidR="007A5E9A">
        <w:instrText xml:space="preserve"> REF _Ref459028103 \h </w:instrText>
      </w:r>
      <w:r w:rsidR="007A5E9A">
        <w:fldChar w:fldCharType="separate"/>
      </w:r>
      <w:r w:rsidR="000E54B2">
        <w:t xml:space="preserve">Table </w:t>
      </w:r>
      <w:r w:rsidR="000E54B2">
        <w:rPr>
          <w:noProof/>
        </w:rPr>
        <w:t>6</w:t>
      </w:r>
      <w:r w:rsidR="007A5E9A">
        <w:fldChar w:fldCharType="end"/>
      </w:r>
      <w:r>
        <w:t xml:space="preserve"> </w:t>
      </w:r>
      <w:r w:rsidR="007A5E9A">
        <w:fldChar w:fldCharType="begin"/>
      </w:r>
      <w:r w:rsidR="007A5E9A">
        <w:instrText xml:space="preserve"> REF _Ref459028150 \p \h </w:instrText>
      </w:r>
      <w:r w:rsidR="007A5E9A">
        <w:fldChar w:fldCharType="separate"/>
      </w:r>
      <w:r w:rsidR="000E54B2">
        <w:t>below</w:t>
      </w:r>
      <w:r w:rsidR="007A5E9A">
        <w:fldChar w:fldCharType="end"/>
      </w:r>
      <w:r>
        <w:t xml:space="preserve">). The pineal gland and linings of the cerebral ventricles lie outside the BBB, whilst the anterior olfactory bulb, hypothalamus and area postrema do not have a BBB. Little difference in paraquat distribution was observed between the remaining brain regions. Autoradiograms illustrated that paraquat did not accumulate in dopaminergic terminal regions in the striatum or in the neuromelanin-containing </w:t>
      </w:r>
      <w:r w:rsidR="00A4092E">
        <w:t>SN</w:t>
      </w:r>
      <w:r>
        <w:t xml:space="preserve">. The study authors attributed the increased concentration of </w:t>
      </w:r>
      <w:r w:rsidR="00A14648">
        <w:t>[</w:t>
      </w:r>
      <w:r>
        <w:rPr>
          <w:vertAlign w:val="superscript"/>
        </w:rPr>
        <w:t>14</w:t>
      </w:r>
      <w:r>
        <w:t>C</w:t>
      </w:r>
      <w:r w:rsidR="00A14648">
        <w:t>]</w:t>
      </w:r>
      <w:r>
        <w:t>-paraquat in the anterior and posterior olfactory bulbs at 24 h to the gradual leaking of paraquat into some brain regions via adjacent regions lacking a BBB.</w:t>
      </w:r>
    </w:p>
    <w:p w14:paraId="6E849E11" w14:textId="77777777" w:rsidR="00193360" w:rsidRDefault="00193360" w:rsidP="00193360"/>
    <w:p w14:paraId="70B0EDA8" w14:textId="37C00E59" w:rsidR="00193360" w:rsidRDefault="00193360" w:rsidP="00CB729E">
      <w:pPr>
        <w:pStyle w:val="Caption"/>
        <w:keepNext/>
        <w:spacing w:after="120"/>
      </w:pPr>
      <w:bookmarkStart w:id="68" w:name="_Ref459028103"/>
      <w:bookmarkStart w:id="69" w:name="_Ref459028150"/>
      <w:r>
        <w:lastRenderedPageBreak/>
        <w:t xml:space="preserve">Table </w:t>
      </w:r>
      <w:r w:rsidR="00897462">
        <w:fldChar w:fldCharType="begin"/>
      </w:r>
      <w:r>
        <w:instrText xml:space="preserve"> SEQ Table \* ARABIC </w:instrText>
      </w:r>
      <w:r w:rsidR="00897462">
        <w:fldChar w:fldCharType="separate"/>
      </w:r>
      <w:r w:rsidR="000E54B2">
        <w:rPr>
          <w:noProof/>
        </w:rPr>
        <w:t>6</w:t>
      </w:r>
      <w:r w:rsidR="00897462">
        <w:fldChar w:fldCharType="end"/>
      </w:r>
      <w:bookmarkEnd w:id="68"/>
      <w:r>
        <w:t xml:space="preserve">: </w:t>
      </w:r>
      <w:r w:rsidR="00A14648">
        <w:t>[</w:t>
      </w:r>
      <w:r>
        <w:rPr>
          <w:vertAlign w:val="superscript"/>
        </w:rPr>
        <w:t>14</w:t>
      </w:r>
      <w:r>
        <w:t>C</w:t>
      </w:r>
      <w:r w:rsidR="00A14648">
        <w:t>]</w:t>
      </w:r>
      <w:r>
        <w:t>-paraquat levels (nmol/g tissue) in various regions of the rat brain at 30 minutes and 24 h after a single sc injection</w:t>
      </w:r>
      <w:bookmarkEnd w:id="6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2976"/>
        <w:gridCol w:w="2835"/>
      </w:tblGrid>
      <w:tr w:rsidR="00193360" w14:paraId="492BE297" w14:textId="77777777" w:rsidTr="000E221D">
        <w:trPr>
          <w:cantSplit/>
        </w:trPr>
        <w:tc>
          <w:tcPr>
            <w:tcW w:w="326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9A2D0F" w14:textId="77777777" w:rsidR="00193360" w:rsidRDefault="00193360" w:rsidP="00CB729E">
            <w:pPr>
              <w:keepNext/>
              <w:rPr>
                <w:b/>
                <w:sz w:val="20"/>
              </w:rPr>
            </w:pPr>
            <w:r>
              <w:rPr>
                <w:b/>
                <w:sz w:val="20"/>
              </w:rPr>
              <w:t>Brain region</w:t>
            </w:r>
          </w:p>
        </w:tc>
        <w:tc>
          <w:tcPr>
            <w:tcW w:w="581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BBF6900" w14:textId="77777777" w:rsidR="00193360" w:rsidRDefault="00193360" w:rsidP="00CB729E">
            <w:pPr>
              <w:keepNext/>
              <w:jc w:val="center"/>
              <w:rPr>
                <w:b/>
                <w:sz w:val="20"/>
              </w:rPr>
            </w:pPr>
            <w:r>
              <w:rPr>
                <w:b/>
                <w:sz w:val="20"/>
              </w:rPr>
              <w:t>Paraquat Concentration (nmol/g of tissue)</w:t>
            </w:r>
          </w:p>
        </w:tc>
      </w:tr>
      <w:tr w:rsidR="00193360" w14:paraId="3C4AB31D" w14:textId="77777777" w:rsidTr="000E221D">
        <w:trPr>
          <w:cantSplit/>
        </w:trPr>
        <w:tc>
          <w:tcPr>
            <w:tcW w:w="3261"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A0A089" w14:textId="77777777" w:rsidR="00193360" w:rsidRDefault="00193360" w:rsidP="00CB729E">
            <w:pPr>
              <w:keepNext/>
              <w:rPr>
                <w:b/>
                <w:sz w:val="20"/>
              </w:rPr>
            </w:pPr>
          </w:p>
        </w:tc>
        <w:tc>
          <w:tcPr>
            <w:tcW w:w="297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43B6DE7" w14:textId="77777777" w:rsidR="00193360" w:rsidRDefault="00193360" w:rsidP="00CB729E">
            <w:pPr>
              <w:keepNext/>
              <w:jc w:val="center"/>
              <w:rPr>
                <w:b/>
                <w:sz w:val="20"/>
              </w:rPr>
            </w:pPr>
            <w:r>
              <w:rPr>
                <w:b/>
                <w:sz w:val="20"/>
              </w:rPr>
              <w:t>30 minutes</w:t>
            </w:r>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F4115B" w14:textId="77777777" w:rsidR="00193360" w:rsidRDefault="00193360" w:rsidP="00CB729E">
            <w:pPr>
              <w:keepNext/>
              <w:jc w:val="center"/>
              <w:rPr>
                <w:b/>
                <w:sz w:val="20"/>
              </w:rPr>
            </w:pPr>
            <w:r>
              <w:rPr>
                <w:b/>
                <w:sz w:val="20"/>
              </w:rPr>
              <w:t>24 h</w:t>
            </w:r>
          </w:p>
        </w:tc>
      </w:tr>
      <w:tr w:rsidR="00193360" w14:paraId="52AC07DB"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18C63E52" w14:textId="77777777" w:rsidR="00193360" w:rsidRDefault="00193360" w:rsidP="00CB729E">
            <w:pPr>
              <w:keepNext/>
              <w:rPr>
                <w:sz w:val="20"/>
              </w:rPr>
            </w:pPr>
            <w:r>
              <w:rPr>
                <w:sz w:val="20"/>
              </w:rPr>
              <w:t>Anterior olfactory bulb</w:t>
            </w:r>
          </w:p>
        </w:tc>
        <w:tc>
          <w:tcPr>
            <w:tcW w:w="2976" w:type="dxa"/>
            <w:tcBorders>
              <w:top w:val="single" w:sz="4" w:space="0" w:color="auto"/>
              <w:left w:val="single" w:sz="4" w:space="0" w:color="auto"/>
              <w:bottom w:val="single" w:sz="4" w:space="0" w:color="auto"/>
              <w:right w:val="single" w:sz="4" w:space="0" w:color="auto"/>
            </w:tcBorders>
            <w:hideMark/>
          </w:tcPr>
          <w:p w14:paraId="0851A104" w14:textId="77777777" w:rsidR="00193360" w:rsidRDefault="00193360" w:rsidP="00CB729E">
            <w:pPr>
              <w:keepNext/>
              <w:jc w:val="center"/>
              <w:rPr>
                <w:sz w:val="20"/>
              </w:rPr>
            </w:pPr>
            <w:r>
              <w:rPr>
                <w:sz w:val="20"/>
              </w:rPr>
              <w:t>5.8 ± 0.8</w:t>
            </w:r>
          </w:p>
        </w:tc>
        <w:tc>
          <w:tcPr>
            <w:tcW w:w="2835" w:type="dxa"/>
            <w:tcBorders>
              <w:top w:val="single" w:sz="4" w:space="0" w:color="auto"/>
              <w:left w:val="single" w:sz="4" w:space="0" w:color="auto"/>
              <w:bottom w:val="single" w:sz="4" w:space="0" w:color="auto"/>
              <w:right w:val="single" w:sz="4" w:space="0" w:color="auto"/>
            </w:tcBorders>
            <w:hideMark/>
          </w:tcPr>
          <w:p w14:paraId="3E9AC608" w14:textId="77777777" w:rsidR="00193360" w:rsidRDefault="00193360" w:rsidP="00CB729E">
            <w:pPr>
              <w:keepNext/>
              <w:jc w:val="center"/>
              <w:rPr>
                <w:sz w:val="20"/>
              </w:rPr>
            </w:pPr>
            <w:r>
              <w:rPr>
                <w:sz w:val="20"/>
              </w:rPr>
              <w:t>9.1 ± 0.6</w:t>
            </w:r>
          </w:p>
        </w:tc>
      </w:tr>
      <w:tr w:rsidR="00193360" w14:paraId="77F21734"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2CB64C6E" w14:textId="77777777" w:rsidR="00193360" w:rsidRDefault="00193360" w:rsidP="00CB729E">
            <w:pPr>
              <w:keepNext/>
              <w:rPr>
                <w:sz w:val="20"/>
              </w:rPr>
            </w:pPr>
            <w:r>
              <w:rPr>
                <w:sz w:val="20"/>
              </w:rPr>
              <w:t>Posterior olfactory bulb</w:t>
            </w:r>
          </w:p>
        </w:tc>
        <w:tc>
          <w:tcPr>
            <w:tcW w:w="2976" w:type="dxa"/>
            <w:tcBorders>
              <w:top w:val="single" w:sz="4" w:space="0" w:color="auto"/>
              <w:left w:val="single" w:sz="4" w:space="0" w:color="auto"/>
              <w:bottom w:val="single" w:sz="4" w:space="0" w:color="auto"/>
              <w:right w:val="single" w:sz="4" w:space="0" w:color="auto"/>
            </w:tcBorders>
            <w:hideMark/>
          </w:tcPr>
          <w:p w14:paraId="689ED2B4" w14:textId="77777777" w:rsidR="00193360" w:rsidRDefault="00193360" w:rsidP="00CB729E">
            <w:pPr>
              <w:keepNext/>
              <w:jc w:val="center"/>
              <w:rPr>
                <w:sz w:val="20"/>
              </w:rPr>
            </w:pPr>
            <w:r>
              <w:rPr>
                <w:sz w:val="20"/>
              </w:rPr>
              <w:t>2.9 ± 0.5</w:t>
            </w:r>
          </w:p>
        </w:tc>
        <w:tc>
          <w:tcPr>
            <w:tcW w:w="2835" w:type="dxa"/>
            <w:tcBorders>
              <w:top w:val="single" w:sz="4" w:space="0" w:color="auto"/>
              <w:left w:val="single" w:sz="4" w:space="0" w:color="auto"/>
              <w:bottom w:val="single" w:sz="4" w:space="0" w:color="auto"/>
              <w:right w:val="single" w:sz="4" w:space="0" w:color="auto"/>
            </w:tcBorders>
            <w:hideMark/>
          </w:tcPr>
          <w:p w14:paraId="30062CD1" w14:textId="77777777" w:rsidR="00193360" w:rsidRDefault="00193360" w:rsidP="00CB729E">
            <w:pPr>
              <w:keepNext/>
              <w:jc w:val="center"/>
              <w:rPr>
                <w:sz w:val="20"/>
              </w:rPr>
            </w:pPr>
            <w:r>
              <w:rPr>
                <w:sz w:val="20"/>
              </w:rPr>
              <w:t>4.8 ± 0.4</w:t>
            </w:r>
          </w:p>
        </w:tc>
      </w:tr>
      <w:tr w:rsidR="00193360" w14:paraId="6AF31F0E"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1D711875" w14:textId="77777777" w:rsidR="00193360" w:rsidRDefault="00193360" w:rsidP="00CB729E">
            <w:pPr>
              <w:keepNext/>
              <w:rPr>
                <w:sz w:val="20"/>
              </w:rPr>
            </w:pPr>
            <w:r>
              <w:rPr>
                <w:sz w:val="20"/>
              </w:rPr>
              <w:t>Olfactory tubercle</w:t>
            </w:r>
          </w:p>
        </w:tc>
        <w:tc>
          <w:tcPr>
            <w:tcW w:w="2976" w:type="dxa"/>
            <w:tcBorders>
              <w:top w:val="single" w:sz="4" w:space="0" w:color="auto"/>
              <w:left w:val="single" w:sz="4" w:space="0" w:color="auto"/>
              <w:bottom w:val="single" w:sz="4" w:space="0" w:color="auto"/>
              <w:right w:val="single" w:sz="4" w:space="0" w:color="auto"/>
            </w:tcBorders>
            <w:hideMark/>
          </w:tcPr>
          <w:p w14:paraId="16C41001" w14:textId="77777777" w:rsidR="00193360" w:rsidRDefault="00193360" w:rsidP="00CB729E">
            <w:pPr>
              <w:keepNext/>
              <w:jc w:val="center"/>
              <w:rPr>
                <w:sz w:val="20"/>
              </w:rPr>
            </w:pPr>
            <w:r>
              <w:rPr>
                <w:sz w:val="20"/>
              </w:rPr>
              <w:t>5.8 ± 0.9</w:t>
            </w:r>
          </w:p>
        </w:tc>
        <w:tc>
          <w:tcPr>
            <w:tcW w:w="2835" w:type="dxa"/>
            <w:tcBorders>
              <w:top w:val="single" w:sz="4" w:space="0" w:color="auto"/>
              <w:left w:val="single" w:sz="4" w:space="0" w:color="auto"/>
              <w:bottom w:val="single" w:sz="4" w:space="0" w:color="auto"/>
              <w:right w:val="single" w:sz="4" w:space="0" w:color="auto"/>
            </w:tcBorders>
            <w:hideMark/>
          </w:tcPr>
          <w:p w14:paraId="7AA6C57C" w14:textId="77777777" w:rsidR="00193360" w:rsidRDefault="00193360" w:rsidP="00CB729E">
            <w:pPr>
              <w:keepNext/>
              <w:jc w:val="center"/>
              <w:rPr>
                <w:sz w:val="20"/>
              </w:rPr>
            </w:pPr>
            <w:r>
              <w:rPr>
                <w:sz w:val="20"/>
              </w:rPr>
              <w:t>4.0 ± 0.3</w:t>
            </w:r>
          </w:p>
        </w:tc>
      </w:tr>
      <w:tr w:rsidR="00193360" w14:paraId="227C3F9F"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0BFB436A" w14:textId="77777777" w:rsidR="00193360" w:rsidRDefault="00193360" w:rsidP="00CB729E">
            <w:pPr>
              <w:keepNext/>
              <w:rPr>
                <w:sz w:val="20"/>
              </w:rPr>
            </w:pPr>
            <w:r>
              <w:rPr>
                <w:sz w:val="20"/>
              </w:rPr>
              <w:t>Striatum</w:t>
            </w:r>
          </w:p>
        </w:tc>
        <w:tc>
          <w:tcPr>
            <w:tcW w:w="2976" w:type="dxa"/>
            <w:tcBorders>
              <w:top w:val="single" w:sz="4" w:space="0" w:color="auto"/>
              <w:left w:val="single" w:sz="4" w:space="0" w:color="auto"/>
              <w:bottom w:val="single" w:sz="4" w:space="0" w:color="auto"/>
              <w:right w:val="single" w:sz="4" w:space="0" w:color="auto"/>
            </w:tcBorders>
            <w:hideMark/>
          </w:tcPr>
          <w:p w14:paraId="4155FF91" w14:textId="77777777" w:rsidR="00193360" w:rsidRDefault="00193360" w:rsidP="00CB729E">
            <w:pPr>
              <w:keepNext/>
              <w:jc w:val="center"/>
              <w:rPr>
                <w:sz w:val="20"/>
              </w:rPr>
            </w:pPr>
            <w:r>
              <w:rPr>
                <w:sz w:val="20"/>
              </w:rPr>
              <w:t>0.5 ± 0.0</w:t>
            </w:r>
          </w:p>
        </w:tc>
        <w:tc>
          <w:tcPr>
            <w:tcW w:w="2835" w:type="dxa"/>
            <w:tcBorders>
              <w:top w:val="single" w:sz="4" w:space="0" w:color="auto"/>
              <w:left w:val="single" w:sz="4" w:space="0" w:color="auto"/>
              <w:bottom w:val="single" w:sz="4" w:space="0" w:color="auto"/>
              <w:right w:val="single" w:sz="4" w:space="0" w:color="auto"/>
            </w:tcBorders>
            <w:hideMark/>
          </w:tcPr>
          <w:p w14:paraId="1B3A3126" w14:textId="77777777" w:rsidR="00193360" w:rsidRDefault="00193360" w:rsidP="00CB729E">
            <w:pPr>
              <w:keepNext/>
              <w:jc w:val="center"/>
              <w:rPr>
                <w:sz w:val="20"/>
              </w:rPr>
            </w:pPr>
            <w:r>
              <w:rPr>
                <w:sz w:val="20"/>
              </w:rPr>
              <w:t>2.2 ± 0.1</w:t>
            </w:r>
          </w:p>
        </w:tc>
      </w:tr>
      <w:tr w:rsidR="00193360" w14:paraId="08CA132A"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13A16ED0" w14:textId="77777777" w:rsidR="00193360" w:rsidRDefault="00193360" w:rsidP="00CB729E">
            <w:pPr>
              <w:keepNext/>
              <w:rPr>
                <w:sz w:val="20"/>
              </w:rPr>
            </w:pPr>
            <w:r>
              <w:rPr>
                <w:sz w:val="20"/>
              </w:rPr>
              <w:t>Nucleus accumbens</w:t>
            </w:r>
          </w:p>
        </w:tc>
        <w:tc>
          <w:tcPr>
            <w:tcW w:w="2976" w:type="dxa"/>
            <w:tcBorders>
              <w:top w:val="single" w:sz="4" w:space="0" w:color="auto"/>
              <w:left w:val="single" w:sz="4" w:space="0" w:color="auto"/>
              <w:bottom w:val="single" w:sz="4" w:space="0" w:color="auto"/>
              <w:right w:val="single" w:sz="4" w:space="0" w:color="auto"/>
            </w:tcBorders>
            <w:hideMark/>
          </w:tcPr>
          <w:p w14:paraId="3324CFF2" w14:textId="77777777" w:rsidR="00193360" w:rsidRDefault="00193360" w:rsidP="00CB729E">
            <w:pPr>
              <w:keepNext/>
              <w:jc w:val="center"/>
              <w:rPr>
                <w:sz w:val="20"/>
              </w:rPr>
            </w:pPr>
            <w:r>
              <w:rPr>
                <w:sz w:val="20"/>
              </w:rPr>
              <w:t>0.7 ± 0.1</w:t>
            </w:r>
          </w:p>
        </w:tc>
        <w:tc>
          <w:tcPr>
            <w:tcW w:w="2835" w:type="dxa"/>
            <w:tcBorders>
              <w:top w:val="single" w:sz="4" w:space="0" w:color="auto"/>
              <w:left w:val="single" w:sz="4" w:space="0" w:color="auto"/>
              <w:bottom w:val="single" w:sz="4" w:space="0" w:color="auto"/>
              <w:right w:val="single" w:sz="4" w:space="0" w:color="auto"/>
            </w:tcBorders>
            <w:hideMark/>
          </w:tcPr>
          <w:p w14:paraId="264A3B1A" w14:textId="77777777" w:rsidR="00193360" w:rsidRDefault="00193360" w:rsidP="00CB729E">
            <w:pPr>
              <w:keepNext/>
              <w:jc w:val="center"/>
              <w:rPr>
                <w:sz w:val="20"/>
              </w:rPr>
            </w:pPr>
            <w:r>
              <w:rPr>
                <w:sz w:val="20"/>
              </w:rPr>
              <w:t>2.8 ± 0.1</w:t>
            </w:r>
          </w:p>
        </w:tc>
      </w:tr>
      <w:tr w:rsidR="00193360" w14:paraId="0C32EBB9"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4B4DE702" w14:textId="77777777" w:rsidR="00193360" w:rsidRDefault="00193360" w:rsidP="00CB729E">
            <w:pPr>
              <w:keepNext/>
              <w:rPr>
                <w:sz w:val="20"/>
              </w:rPr>
            </w:pPr>
            <w:r>
              <w:rPr>
                <w:sz w:val="20"/>
              </w:rPr>
              <w:t>Parietal cortex (layers I-III)</w:t>
            </w:r>
          </w:p>
        </w:tc>
        <w:tc>
          <w:tcPr>
            <w:tcW w:w="2976" w:type="dxa"/>
            <w:tcBorders>
              <w:top w:val="single" w:sz="4" w:space="0" w:color="auto"/>
              <w:left w:val="single" w:sz="4" w:space="0" w:color="auto"/>
              <w:bottom w:val="single" w:sz="4" w:space="0" w:color="auto"/>
              <w:right w:val="single" w:sz="4" w:space="0" w:color="auto"/>
            </w:tcBorders>
            <w:hideMark/>
          </w:tcPr>
          <w:p w14:paraId="06A40CC6" w14:textId="77777777" w:rsidR="00193360" w:rsidRDefault="00193360" w:rsidP="00CB729E">
            <w:pPr>
              <w:keepNext/>
              <w:jc w:val="center"/>
              <w:rPr>
                <w:sz w:val="20"/>
              </w:rPr>
            </w:pPr>
            <w:r>
              <w:rPr>
                <w:sz w:val="20"/>
              </w:rPr>
              <w:t>2.0 ±0.2</w:t>
            </w:r>
          </w:p>
        </w:tc>
        <w:tc>
          <w:tcPr>
            <w:tcW w:w="2835" w:type="dxa"/>
            <w:tcBorders>
              <w:top w:val="single" w:sz="4" w:space="0" w:color="auto"/>
              <w:left w:val="single" w:sz="4" w:space="0" w:color="auto"/>
              <w:bottom w:val="single" w:sz="4" w:space="0" w:color="auto"/>
              <w:right w:val="single" w:sz="4" w:space="0" w:color="auto"/>
            </w:tcBorders>
            <w:hideMark/>
          </w:tcPr>
          <w:p w14:paraId="5E8AC19F" w14:textId="77777777" w:rsidR="00193360" w:rsidRDefault="00193360" w:rsidP="00CB729E">
            <w:pPr>
              <w:keepNext/>
              <w:jc w:val="center"/>
              <w:rPr>
                <w:sz w:val="20"/>
              </w:rPr>
            </w:pPr>
            <w:r>
              <w:rPr>
                <w:sz w:val="20"/>
              </w:rPr>
              <w:t>1.9 ± 0.1</w:t>
            </w:r>
          </w:p>
        </w:tc>
      </w:tr>
      <w:tr w:rsidR="00193360" w14:paraId="074385AD"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1889CE75" w14:textId="77777777" w:rsidR="00193360" w:rsidRDefault="00193360" w:rsidP="00CB729E">
            <w:pPr>
              <w:keepNext/>
              <w:rPr>
                <w:sz w:val="20"/>
              </w:rPr>
            </w:pPr>
            <w:r>
              <w:rPr>
                <w:sz w:val="20"/>
              </w:rPr>
              <w:t>Parietal cortex (layers IV-VI)</w:t>
            </w:r>
          </w:p>
        </w:tc>
        <w:tc>
          <w:tcPr>
            <w:tcW w:w="2976" w:type="dxa"/>
            <w:tcBorders>
              <w:top w:val="single" w:sz="4" w:space="0" w:color="auto"/>
              <w:left w:val="single" w:sz="4" w:space="0" w:color="auto"/>
              <w:bottom w:val="single" w:sz="4" w:space="0" w:color="auto"/>
              <w:right w:val="single" w:sz="4" w:space="0" w:color="auto"/>
            </w:tcBorders>
            <w:hideMark/>
          </w:tcPr>
          <w:p w14:paraId="79C22575" w14:textId="77777777" w:rsidR="00193360" w:rsidRDefault="00193360" w:rsidP="00CB729E">
            <w:pPr>
              <w:keepNext/>
              <w:jc w:val="center"/>
              <w:rPr>
                <w:sz w:val="20"/>
              </w:rPr>
            </w:pPr>
            <w:r>
              <w:rPr>
                <w:sz w:val="20"/>
              </w:rPr>
              <w:t>0.9 ± 0.2</w:t>
            </w:r>
          </w:p>
        </w:tc>
        <w:tc>
          <w:tcPr>
            <w:tcW w:w="2835" w:type="dxa"/>
            <w:tcBorders>
              <w:top w:val="single" w:sz="4" w:space="0" w:color="auto"/>
              <w:left w:val="single" w:sz="4" w:space="0" w:color="auto"/>
              <w:bottom w:val="single" w:sz="4" w:space="0" w:color="auto"/>
              <w:right w:val="single" w:sz="4" w:space="0" w:color="auto"/>
            </w:tcBorders>
            <w:hideMark/>
          </w:tcPr>
          <w:p w14:paraId="2823FA3C" w14:textId="77777777" w:rsidR="00193360" w:rsidRDefault="00193360" w:rsidP="00CB729E">
            <w:pPr>
              <w:keepNext/>
              <w:jc w:val="center"/>
              <w:rPr>
                <w:sz w:val="20"/>
              </w:rPr>
            </w:pPr>
            <w:r>
              <w:rPr>
                <w:sz w:val="20"/>
              </w:rPr>
              <w:t>2.2 ± 0.1</w:t>
            </w:r>
          </w:p>
        </w:tc>
      </w:tr>
      <w:tr w:rsidR="00193360" w14:paraId="281E90A8"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446BE1F7" w14:textId="77777777" w:rsidR="00193360" w:rsidRDefault="00193360" w:rsidP="00CB729E">
            <w:pPr>
              <w:keepNext/>
              <w:rPr>
                <w:sz w:val="20"/>
              </w:rPr>
            </w:pPr>
            <w:r>
              <w:rPr>
                <w:sz w:val="20"/>
              </w:rPr>
              <w:t>Thalamus</w:t>
            </w:r>
          </w:p>
        </w:tc>
        <w:tc>
          <w:tcPr>
            <w:tcW w:w="2976" w:type="dxa"/>
            <w:tcBorders>
              <w:top w:val="single" w:sz="4" w:space="0" w:color="auto"/>
              <w:left w:val="single" w:sz="4" w:space="0" w:color="auto"/>
              <w:bottom w:val="single" w:sz="4" w:space="0" w:color="auto"/>
              <w:right w:val="single" w:sz="4" w:space="0" w:color="auto"/>
            </w:tcBorders>
            <w:hideMark/>
          </w:tcPr>
          <w:p w14:paraId="79C88955" w14:textId="77777777" w:rsidR="00193360" w:rsidRDefault="00193360" w:rsidP="00CB729E">
            <w:pPr>
              <w:keepNext/>
              <w:jc w:val="center"/>
              <w:rPr>
                <w:sz w:val="20"/>
              </w:rPr>
            </w:pPr>
            <w:r>
              <w:rPr>
                <w:sz w:val="20"/>
              </w:rPr>
              <w:t>2.0 ± 0.8</w:t>
            </w:r>
          </w:p>
        </w:tc>
        <w:tc>
          <w:tcPr>
            <w:tcW w:w="2835" w:type="dxa"/>
            <w:tcBorders>
              <w:top w:val="single" w:sz="4" w:space="0" w:color="auto"/>
              <w:left w:val="single" w:sz="4" w:space="0" w:color="auto"/>
              <w:bottom w:val="single" w:sz="4" w:space="0" w:color="auto"/>
              <w:right w:val="single" w:sz="4" w:space="0" w:color="auto"/>
            </w:tcBorders>
            <w:hideMark/>
          </w:tcPr>
          <w:p w14:paraId="1D498275" w14:textId="77777777" w:rsidR="00193360" w:rsidRDefault="00193360" w:rsidP="00CB729E">
            <w:pPr>
              <w:keepNext/>
              <w:jc w:val="center"/>
              <w:rPr>
                <w:sz w:val="20"/>
              </w:rPr>
            </w:pPr>
            <w:r>
              <w:rPr>
                <w:sz w:val="20"/>
              </w:rPr>
              <w:t>2.2 ± 0.1</w:t>
            </w:r>
          </w:p>
        </w:tc>
      </w:tr>
      <w:tr w:rsidR="00193360" w14:paraId="1F361CFB"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37A041D1" w14:textId="77777777" w:rsidR="00193360" w:rsidRDefault="00193360" w:rsidP="00CB729E">
            <w:pPr>
              <w:keepNext/>
              <w:rPr>
                <w:sz w:val="20"/>
              </w:rPr>
            </w:pPr>
            <w:r>
              <w:rPr>
                <w:sz w:val="20"/>
              </w:rPr>
              <w:t>Hypothalamus</w:t>
            </w:r>
          </w:p>
        </w:tc>
        <w:tc>
          <w:tcPr>
            <w:tcW w:w="2976" w:type="dxa"/>
            <w:tcBorders>
              <w:top w:val="single" w:sz="4" w:space="0" w:color="auto"/>
              <w:left w:val="single" w:sz="4" w:space="0" w:color="auto"/>
              <w:bottom w:val="single" w:sz="4" w:space="0" w:color="auto"/>
              <w:right w:val="single" w:sz="4" w:space="0" w:color="auto"/>
            </w:tcBorders>
            <w:hideMark/>
          </w:tcPr>
          <w:p w14:paraId="1A09BF07" w14:textId="77777777" w:rsidR="00193360" w:rsidRDefault="00193360" w:rsidP="00CB729E">
            <w:pPr>
              <w:keepNext/>
              <w:jc w:val="center"/>
              <w:rPr>
                <w:sz w:val="20"/>
              </w:rPr>
            </w:pPr>
            <w:r>
              <w:rPr>
                <w:sz w:val="20"/>
              </w:rPr>
              <w:t>4.1 ± 1.0</w:t>
            </w:r>
          </w:p>
        </w:tc>
        <w:tc>
          <w:tcPr>
            <w:tcW w:w="2835" w:type="dxa"/>
            <w:tcBorders>
              <w:top w:val="single" w:sz="4" w:space="0" w:color="auto"/>
              <w:left w:val="single" w:sz="4" w:space="0" w:color="auto"/>
              <w:bottom w:val="single" w:sz="4" w:space="0" w:color="auto"/>
              <w:right w:val="single" w:sz="4" w:space="0" w:color="auto"/>
            </w:tcBorders>
            <w:hideMark/>
          </w:tcPr>
          <w:p w14:paraId="02F229B1" w14:textId="77777777" w:rsidR="00193360" w:rsidRDefault="00193360" w:rsidP="00CB729E">
            <w:pPr>
              <w:keepNext/>
              <w:jc w:val="center"/>
              <w:rPr>
                <w:sz w:val="20"/>
              </w:rPr>
            </w:pPr>
            <w:r>
              <w:rPr>
                <w:sz w:val="20"/>
              </w:rPr>
              <w:t>5.1 ± 0.2</w:t>
            </w:r>
          </w:p>
        </w:tc>
      </w:tr>
      <w:tr w:rsidR="00193360" w14:paraId="65A24BBD"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7A028D11" w14:textId="77777777" w:rsidR="00193360" w:rsidRDefault="00193360" w:rsidP="00CB729E">
            <w:pPr>
              <w:keepNext/>
              <w:rPr>
                <w:sz w:val="20"/>
              </w:rPr>
            </w:pPr>
            <w:r>
              <w:rPr>
                <w:sz w:val="20"/>
              </w:rPr>
              <w:t>Hippocampus</w:t>
            </w:r>
          </w:p>
        </w:tc>
        <w:tc>
          <w:tcPr>
            <w:tcW w:w="2976" w:type="dxa"/>
            <w:tcBorders>
              <w:top w:val="single" w:sz="4" w:space="0" w:color="auto"/>
              <w:left w:val="single" w:sz="4" w:space="0" w:color="auto"/>
              <w:bottom w:val="single" w:sz="4" w:space="0" w:color="auto"/>
              <w:right w:val="single" w:sz="4" w:space="0" w:color="auto"/>
            </w:tcBorders>
            <w:hideMark/>
          </w:tcPr>
          <w:p w14:paraId="4EEACBBF" w14:textId="77777777" w:rsidR="00193360" w:rsidRDefault="00193360" w:rsidP="00CB729E">
            <w:pPr>
              <w:keepNext/>
              <w:jc w:val="center"/>
              <w:rPr>
                <w:sz w:val="20"/>
              </w:rPr>
            </w:pPr>
            <w:r>
              <w:rPr>
                <w:sz w:val="20"/>
              </w:rPr>
              <w:t>0.9 ± 0.2</w:t>
            </w:r>
          </w:p>
        </w:tc>
        <w:tc>
          <w:tcPr>
            <w:tcW w:w="2835" w:type="dxa"/>
            <w:tcBorders>
              <w:top w:val="single" w:sz="4" w:space="0" w:color="auto"/>
              <w:left w:val="single" w:sz="4" w:space="0" w:color="auto"/>
              <w:bottom w:val="single" w:sz="4" w:space="0" w:color="auto"/>
              <w:right w:val="single" w:sz="4" w:space="0" w:color="auto"/>
            </w:tcBorders>
            <w:hideMark/>
          </w:tcPr>
          <w:p w14:paraId="209740EB" w14:textId="77777777" w:rsidR="00193360" w:rsidRDefault="00193360" w:rsidP="00CB729E">
            <w:pPr>
              <w:keepNext/>
              <w:jc w:val="center"/>
              <w:rPr>
                <w:sz w:val="20"/>
              </w:rPr>
            </w:pPr>
            <w:r>
              <w:rPr>
                <w:sz w:val="20"/>
              </w:rPr>
              <w:t>2.8 ± 0.2</w:t>
            </w:r>
          </w:p>
        </w:tc>
      </w:tr>
      <w:tr w:rsidR="00193360" w14:paraId="5667EBD9"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1E407FBB" w14:textId="77777777" w:rsidR="00193360" w:rsidRDefault="00193360" w:rsidP="00CB729E">
            <w:pPr>
              <w:keepNext/>
              <w:rPr>
                <w:sz w:val="20"/>
              </w:rPr>
            </w:pPr>
            <w:r>
              <w:rPr>
                <w:sz w:val="20"/>
              </w:rPr>
              <w:t>Lining of lateral ventricles</w:t>
            </w:r>
          </w:p>
        </w:tc>
        <w:tc>
          <w:tcPr>
            <w:tcW w:w="2976" w:type="dxa"/>
            <w:tcBorders>
              <w:top w:val="single" w:sz="4" w:space="0" w:color="auto"/>
              <w:left w:val="single" w:sz="4" w:space="0" w:color="auto"/>
              <w:bottom w:val="single" w:sz="4" w:space="0" w:color="auto"/>
              <w:right w:val="single" w:sz="4" w:space="0" w:color="auto"/>
            </w:tcBorders>
            <w:hideMark/>
          </w:tcPr>
          <w:p w14:paraId="2B70FC41" w14:textId="77777777" w:rsidR="00193360" w:rsidRDefault="00193360" w:rsidP="00CB729E">
            <w:pPr>
              <w:keepNext/>
              <w:jc w:val="center"/>
              <w:rPr>
                <w:sz w:val="20"/>
              </w:rPr>
            </w:pPr>
            <w:r>
              <w:rPr>
                <w:sz w:val="20"/>
              </w:rPr>
              <w:t>4.8 ± 1.0</w:t>
            </w:r>
          </w:p>
        </w:tc>
        <w:tc>
          <w:tcPr>
            <w:tcW w:w="2835" w:type="dxa"/>
            <w:tcBorders>
              <w:top w:val="single" w:sz="4" w:space="0" w:color="auto"/>
              <w:left w:val="single" w:sz="4" w:space="0" w:color="auto"/>
              <w:bottom w:val="single" w:sz="4" w:space="0" w:color="auto"/>
              <w:right w:val="single" w:sz="4" w:space="0" w:color="auto"/>
            </w:tcBorders>
            <w:hideMark/>
          </w:tcPr>
          <w:p w14:paraId="288A22DB" w14:textId="77777777" w:rsidR="00193360" w:rsidRDefault="00193360" w:rsidP="00CB729E">
            <w:pPr>
              <w:keepNext/>
              <w:jc w:val="center"/>
              <w:rPr>
                <w:sz w:val="20"/>
              </w:rPr>
            </w:pPr>
            <w:r>
              <w:rPr>
                <w:sz w:val="20"/>
              </w:rPr>
              <w:t>4.6 ± 0.7</w:t>
            </w:r>
          </w:p>
        </w:tc>
      </w:tr>
      <w:tr w:rsidR="00193360" w14:paraId="20EDE025"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6BCFB7D3" w14:textId="77777777" w:rsidR="00193360" w:rsidRDefault="00193360" w:rsidP="00CB729E">
            <w:pPr>
              <w:keepNext/>
              <w:rPr>
                <w:sz w:val="20"/>
              </w:rPr>
            </w:pPr>
            <w:r>
              <w:rPr>
                <w:sz w:val="20"/>
              </w:rPr>
              <w:t>Substantia nigra</w:t>
            </w:r>
          </w:p>
        </w:tc>
        <w:tc>
          <w:tcPr>
            <w:tcW w:w="2976" w:type="dxa"/>
            <w:tcBorders>
              <w:top w:val="single" w:sz="4" w:space="0" w:color="auto"/>
              <w:left w:val="single" w:sz="4" w:space="0" w:color="auto"/>
              <w:bottom w:val="single" w:sz="4" w:space="0" w:color="auto"/>
              <w:right w:val="single" w:sz="4" w:space="0" w:color="auto"/>
            </w:tcBorders>
            <w:hideMark/>
          </w:tcPr>
          <w:p w14:paraId="1ACC0B3F" w14:textId="77777777" w:rsidR="00193360" w:rsidRDefault="00193360" w:rsidP="00CB729E">
            <w:pPr>
              <w:keepNext/>
              <w:jc w:val="center"/>
              <w:rPr>
                <w:sz w:val="20"/>
              </w:rPr>
            </w:pPr>
            <w:r>
              <w:rPr>
                <w:sz w:val="20"/>
              </w:rPr>
              <w:t>1.5 ± 0.4</w:t>
            </w:r>
          </w:p>
        </w:tc>
        <w:tc>
          <w:tcPr>
            <w:tcW w:w="2835" w:type="dxa"/>
            <w:tcBorders>
              <w:top w:val="single" w:sz="4" w:space="0" w:color="auto"/>
              <w:left w:val="single" w:sz="4" w:space="0" w:color="auto"/>
              <w:bottom w:val="single" w:sz="4" w:space="0" w:color="auto"/>
              <w:right w:val="single" w:sz="4" w:space="0" w:color="auto"/>
            </w:tcBorders>
            <w:hideMark/>
          </w:tcPr>
          <w:p w14:paraId="20D83174" w14:textId="77777777" w:rsidR="00193360" w:rsidRDefault="00193360" w:rsidP="00CB729E">
            <w:pPr>
              <w:keepNext/>
              <w:jc w:val="center"/>
              <w:rPr>
                <w:sz w:val="20"/>
              </w:rPr>
            </w:pPr>
            <w:r>
              <w:rPr>
                <w:sz w:val="20"/>
              </w:rPr>
              <w:t>3.2 ± 0.2</w:t>
            </w:r>
          </w:p>
        </w:tc>
      </w:tr>
      <w:tr w:rsidR="00193360" w14:paraId="50BC2083"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60BCBD56" w14:textId="77777777" w:rsidR="00193360" w:rsidRDefault="00193360" w:rsidP="00CB729E">
            <w:pPr>
              <w:keepNext/>
              <w:rPr>
                <w:sz w:val="20"/>
              </w:rPr>
            </w:pPr>
            <w:r>
              <w:rPr>
                <w:sz w:val="20"/>
              </w:rPr>
              <w:t>Superior colliculus</w:t>
            </w:r>
          </w:p>
        </w:tc>
        <w:tc>
          <w:tcPr>
            <w:tcW w:w="2976" w:type="dxa"/>
            <w:tcBorders>
              <w:top w:val="single" w:sz="4" w:space="0" w:color="auto"/>
              <w:left w:val="single" w:sz="4" w:space="0" w:color="auto"/>
              <w:bottom w:val="single" w:sz="4" w:space="0" w:color="auto"/>
              <w:right w:val="single" w:sz="4" w:space="0" w:color="auto"/>
            </w:tcBorders>
            <w:hideMark/>
          </w:tcPr>
          <w:p w14:paraId="43B87A89" w14:textId="77777777" w:rsidR="00193360" w:rsidRDefault="00193360" w:rsidP="00CB729E">
            <w:pPr>
              <w:keepNext/>
              <w:jc w:val="center"/>
              <w:rPr>
                <w:sz w:val="20"/>
              </w:rPr>
            </w:pPr>
            <w:r>
              <w:rPr>
                <w:sz w:val="20"/>
              </w:rPr>
              <w:t>1.2 ± 0.1</w:t>
            </w:r>
          </w:p>
        </w:tc>
        <w:tc>
          <w:tcPr>
            <w:tcW w:w="2835" w:type="dxa"/>
            <w:tcBorders>
              <w:top w:val="single" w:sz="4" w:space="0" w:color="auto"/>
              <w:left w:val="single" w:sz="4" w:space="0" w:color="auto"/>
              <w:bottom w:val="single" w:sz="4" w:space="0" w:color="auto"/>
              <w:right w:val="single" w:sz="4" w:space="0" w:color="auto"/>
            </w:tcBorders>
            <w:hideMark/>
          </w:tcPr>
          <w:p w14:paraId="1741C1FF" w14:textId="77777777" w:rsidR="00193360" w:rsidRDefault="00193360" w:rsidP="00CB729E">
            <w:pPr>
              <w:keepNext/>
              <w:jc w:val="center"/>
              <w:rPr>
                <w:sz w:val="20"/>
              </w:rPr>
            </w:pPr>
            <w:r>
              <w:rPr>
                <w:sz w:val="20"/>
              </w:rPr>
              <w:t>2.8 ± 0.1</w:t>
            </w:r>
          </w:p>
        </w:tc>
      </w:tr>
      <w:tr w:rsidR="00193360" w14:paraId="21CFFA8A"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5C38295D" w14:textId="77777777" w:rsidR="00193360" w:rsidRDefault="00193360" w:rsidP="00CB729E">
            <w:pPr>
              <w:keepNext/>
              <w:rPr>
                <w:sz w:val="20"/>
              </w:rPr>
            </w:pPr>
            <w:r>
              <w:rPr>
                <w:sz w:val="20"/>
              </w:rPr>
              <w:t>Inferior colliculus</w:t>
            </w:r>
          </w:p>
        </w:tc>
        <w:tc>
          <w:tcPr>
            <w:tcW w:w="2976" w:type="dxa"/>
            <w:tcBorders>
              <w:top w:val="single" w:sz="4" w:space="0" w:color="auto"/>
              <w:left w:val="single" w:sz="4" w:space="0" w:color="auto"/>
              <w:bottom w:val="single" w:sz="4" w:space="0" w:color="auto"/>
              <w:right w:val="single" w:sz="4" w:space="0" w:color="auto"/>
            </w:tcBorders>
            <w:hideMark/>
          </w:tcPr>
          <w:p w14:paraId="7197C493" w14:textId="77777777" w:rsidR="00193360" w:rsidRDefault="00193360" w:rsidP="00CB729E">
            <w:pPr>
              <w:keepNext/>
              <w:jc w:val="center"/>
              <w:rPr>
                <w:sz w:val="20"/>
              </w:rPr>
            </w:pPr>
            <w:r>
              <w:rPr>
                <w:sz w:val="20"/>
              </w:rPr>
              <w:t>1.1 ± 0.1</w:t>
            </w:r>
          </w:p>
        </w:tc>
        <w:tc>
          <w:tcPr>
            <w:tcW w:w="2835" w:type="dxa"/>
            <w:tcBorders>
              <w:top w:val="single" w:sz="4" w:space="0" w:color="auto"/>
              <w:left w:val="single" w:sz="4" w:space="0" w:color="auto"/>
              <w:bottom w:val="single" w:sz="4" w:space="0" w:color="auto"/>
              <w:right w:val="single" w:sz="4" w:space="0" w:color="auto"/>
            </w:tcBorders>
            <w:hideMark/>
          </w:tcPr>
          <w:p w14:paraId="665D3BE7" w14:textId="77777777" w:rsidR="00193360" w:rsidRDefault="00193360" w:rsidP="00CB729E">
            <w:pPr>
              <w:keepNext/>
              <w:jc w:val="center"/>
              <w:rPr>
                <w:sz w:val="20"/>
              </w:rPr>
            </w:pPr>
            <w:r>
              <w:rPr>
                <w:sz w:val="20"/>
              </w:rPr>
              <w:t>2.8 ± 0.1</w:t>
            </w:r>
          </w:p>
        </w:tc>
      </w:tr>
      <w:tr w:rsidR="00193360" w14:paraId="2005DA7F"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42CB5002" w14:textId="77777777" w:rsidR="00193360" w:rsidRDefault="00193360" w:rsidP="00CB729E">
            <w:pPr>
              <w:keepNext/>
              <w:rPr>
                <w:sz w:val="20"/>
              </w:rPr>
            </w:pPr>
            <w:r>
              <w:rPr>
                <w:sz w:val="20"/>
              </w:rPr>
              <w:t>Pons</w:t>
            </w:r>
          </w:p>
        </w:tc>
        <w:tc>
          <w:tcPr>
            <w:tcW w:w="2976" w:type="dxa"/>
            <w:tcBorders>
              <w:top w:val="single" w:sz="4" w:space="0" w:color="auto"/>
              <w:left w:val="single" w:sz="4" w:space="0" w:color="auto"/>
              <w:bottom w:val="single" w:sz="4" w:space="0" w:color="auto"/>
              <w:right w:val="single" w:sz="4" w:space="0" w:color="auto"/>
            </w:tcBorders>
            <w:hideMark/>
          </w:tcPr>
          <w:p w14:paraId="0CC92855" w14:textId="77777777" w:rsidR="00193360" w:rsidRDefault="00193360" w:rsidP="00CB729E">
            <w:pPr>
              <w:keepNext/>
              <w:jc w:val="center"/>
              <w:rPr>
                <w:sz w:val="20"/>
              </w:rPr>
            </w:pPr>
            <w:r>
              <w:rPr>
                <w:sz w:val="20"/>
              </w:rPr>
              <w:t>4.2 ± 0.9</w:t>
            </w:r>
          </w:p>
        </w:tc>
        <w:tc>
          <w:tcPr>
            <w:tcW w:w="2835" w:type="dxa"/>
            <w:tcBorders>
              <w:top w:val="single" w:sz="4" w:space="0" w:color="auto"/>
              <w:left w:val="single" w:sz="4" w:space="0" w:color="auto"/>
              <w:bottom w:val="single" w:sz="4" w:space="0" w:color="auto"/>
              <w:right w:val="single" w:sz="4" w:space="0" w:color="auto"/>
            </w:tcBorders>
            <w:hideMark/>
          </w:tcPr>
          <w:p w14:paraId="1C1D02EC" w14:textId="77777777" w:rsidR="00193360" w:rsidRDefault="00193360" w:rsidP="00CB729E">
            <w:pPr>
              <w:keepNext/>
              <w:jc w:val="center"/>
              <w:rPr>
                <w:sz w:val="20"/>
              </w:rPr>
            </w:pPr>
            <w:r>
              <w:rPr>
                <w:sz w:val="20"/>
              </w:rPr>
              <w:t>3.0 ± 0.1</w:t>
            </w:r>
          </w:p>
        </w:tc>
      </w:tr>
      <w:tr w:rsidR="00193360" w14:paraId="73BD8F0E"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1B9C0DE9" w14:textId="77777777" w:rsidR="00193360" w:rsidRDefault="00193360" w:rsidP="00CB729E">
            <w:pPr>
              <w:keepNext/>
              <w:rPr>
                <w:sz w:val="20"/>
              </w:rPr>
            </w:pPr>
            <w:r>
              <w:rPr>
                <w:sz w:val="20"/>
              </w:rPr>
              <w:t>Lining of fourth ventricle</w:t>
            </w:r>
          </w:p>
        </w:tc>
        <w:tc>
          <w:tcPr>
            <w:tcW w:w="2976" w:type="dxa"/>
            <w:tcBorders>
              <w:top w:val="single" w:sz="4" w:space="0" w:color="auto"/>
              <w:left w:val="single" w:sz="4" w:space="0" w:color="auto"/>
              <w:bottom w:val="single" w:sz="4" w:space="0" w:color="auto"/>
              <w:right w:val="single" w:sz="4" w:space="0" w:color="auto"/>
            </w:tcBorders>
            <w:hideMark/>
          </w:tcPr>
          <w:p w14:paraId="4CCE59F8" w14:textId="77777777" w:rsidR="00193360" w:rsidRDefault="00193360" w:rsidP="00CB729E">
            <w:pPr>
              <w:keepNext/>
              <w:jc w:val="center"/>
              <w:rPr>
                <w:sz w:val="20"/>
              </w:rPr>
            </w:pPr>
            <w:r>
              <w:rPr>
                <w:sz w:val="20"/>
              </w:rPr>
              <w:t>4.3 ± 0.5</w:t>
            </w:r>
          </w:p>
        </w:tc>
        <w:tc>
          <w:tcPr>
            <w:tcW w:w="2835" w:type="dxa"/>
            <w:tcBorders>
              <w:top w:val="single" w:sz="4" w:space="0" w:color="auto"/>
              <w:left w:val="single" w:sz="4" w:space="0" w:color="auto"/>
              <w:bottom w:val="single" w:sz="4" w:space="0" w:color="auto"/>
              <w:right w:val="single" w:sz="4" w:space="0" w:color="auto"/>
            </w:tcBorders>
            <w:hideMark/>
          </w:tcPr>
          <w:p w14:paraId="235E4D05" w14:textId="77777777" w:rsidR="00193360" w:rsidRDefault="00193360" w:rsidP="00CB729E">
            <w:pPr>
              <w:keepNext/>
              <w:jc w:val="center"/>
              <w:rPr>
                <w:sz w:val="20"/>
              </w:rPr>
            </w:pPr>
            <w:r>
              <w:rPr>
                <w:sz w:val="20"/>
              </w:rPr>
              <w:t>4.3 ± 0.2</w:t>
            </w:r>
          </w:p>
        </w:tc>
      </w:tr>
      <w:tr w:rsidR="00193360" w14:paraId="6B7F13EC"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4A260EE9" w14:textId="77777777" w:rsidR="00193360" w:rsidRDefault="00193360" w:rsidP="00CB729E">
            <w:pPr>
              <w:keepNext/>
              <w:rPr>
                <w:sz w:val="20"/>
              </w:rPr>
            </w:pPr>
            <w:r>
              <w:rPr>
                <w:sz w:val="20"/>
              </w:rPr>
              <w:t>Medulla oblongata</w:t>
            </w:r>
          </w:p>
        </w:tc>
        <w:tc>
          <w:tcPr>
            <w:tcW w:w="2976" w:type="dxa"/>
            <w:tcBorders>
              <w:top w:val="single" w:sz="4" w:space="0" w:color="auto"/>
              <w:left w:val="single" w:sz="4" w:space="0" w:color="auto"/>
              <w:bottom w:val="single" w:sz="4" w:space="0" w:color="auto"/>
              <w:right w:val="single" w:sz="4" w:space="0" w:color="auto"/>
            </w:tcBorders>
            <w:hideMark/>
          </w:tcPr>
          <w:p w14:paraId="3116E02E" w14:textId="77777777" w:rsidR="00193360" w:rsidRDefault="00193360" w:rsidP="00CB729E">
            <w:pPr>
              <w:keepNext/>
              <w:jc w:val="center"/>
              <w:rPr>
                <w:sz w:val="20"/>
              </w:rPr>
            </w:pPr>
            <w:r>
              <w:rPr>
                <w:sz w:val="20"/>
              </w:rPr>
              <w:t>2.6 ± 0.4</w:t>
            </w:r>
          </w:p>
        </w:tc>
        <w:tc>
          <w:tcPr>
            <w:tcW w:w="2835" w:type="dxa"/>
            <w:tcBorders>
              <w:top w:val="single" w:sz="4" w:space="0" w:color="auto"/>
              <w:left w:val="single" w:sz="4" w:space="0" w:color="auto"/>
              <w:bottom w:val="single" w:sz="4" w:space="0" w:color="auto"/>
              <w:right w:val="single" w:sz="4" w:space="0" w:color="auto"/>
            </w:tcBorders>
            <w:hideMark/>
          </w:tcPr>
          <w:p w14:paraId="55A30EE4" w14:textId="77777777" w:rsidR="00193360" w:rsidRDefault="00193360" w:rsidP="00CB729E">
            <w:pPr>
              <w:keepNext/>
              <w:jc w:val="center"/>
              <w:rPr>
                <w:sz w:val="20"/>
              </w:rPr>
            </w:pPr>
            <w:r>
              <w:rPr>
                <w:sz w:val="20"/>
              </w:rPr>
              <w:t>2.8 ± 0.1</w:t>
            </w:r>
          </w:p>
        </w:tc>
      </w:tr>
      <w:tr w:rsidR="00193360" w14:paraId="65282A17"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052C2F70" w14:textId="77777777" w:rsidR="00193360" w:rsidRDefault="00193360" w:rsidP="00CB729E">
            <w:pPr>
              <w:keepNext/>
              <w:rPr>
                <w:sz w:val="20"/>
              </w:rPr>
            </w:pPr>
            <w:r>
              <w:rPr>
                <w:sz w:val="20"/>
              </w:rPr>
              <w:t>Cerebellum</w:t>
            </w:r>
          </w:p>
        </w:tc>
        <w:tc>
          <w:tcPr>
            <w:tcW w:w="2976" w:type="dxa"/>
            <w:tcBorders>
              <w:top w:val="single" w:sz="4" w:space="0" w:color="auto"/>
              <w:left w:val="single" w:sz="4" w:space="0" w:color="auto"/>
              <w:bottom w:val="single" w:sz="4" w:space="0" w:color="auto"/>
              <w:right w:val="single" w:sz="4" w:space="0" w:color="auto"/>
            </w:tcBorders>
            <w:hideMark/>
          </w:tcPr>
          <w:p w14:paraId="0B2481FB" w14:textId="77777777" w:rsidR="00193360" w:rsidRDefault="00193360" w:rsidP="00CB729E">
            <w:pPr>
              <w:keepNext/>
              <w:jc w:val="center"/>
              <w:rPr>
                <w:sz w:val="20"/>
              </w:rPr>
            </w:pPr>
            <w:r>
              <w:rPr>
                <w:sz w:val="20"/>
              </w:rPr>
              <w:t>1.2 ± 0.1</w:t>
            </w:r>
          </w:p>
        </w:tc>
        <w:tc>
          <w:tcPr>
            <w:tcW w:w="2835" w:type="dxa"/>
            <w:tcBorders>
              <w:top w:val="single" w:sz="4" w:space="0" w:color="auto"/>
              <w:left w:val="single" w:sz="4" w:space="0" w:color="auto"/>
              <w:bottom w:val="single" w:sz="4" w:space="0" w:color="auto"/>
              <w:right w:val="single" w:sz="4" w:space="0" w:color="auto"/>
            </w:tcBorders>
            <w:hideMark/>
          </w:tcPr>
          <w:p w14:paraId="129B26B2" w14:textId="77777777" w:rsidR="00193360" w:rsidRDefault="00193360" w:rsidP="00CB729E">
            <w:pPr>
              <w:keepNext/>
              <w:jc w:val="center"/>
              <w:rPr>
                <w:sz w:val="20"/>
              </w:rPr>
            </w:pPr>
            <w:r>
              <w:rPr>
                <w:sz w:val="20"/>
              </w:rPr>
              <w:t>1.7 ± 0.0</w:t>
            </w:r>
          </w:p>
        </w:tc>
      </w:tr>
      <w:tr w:rsidR="00193360" w14:paraId="3145082A"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50E3B3BC" w14:textId="77777777" w:rsidR="00193360" w:rsidRDefault="00193360" w:rsidP="00CB729E">
            <w:pPr>
              <w:keepNext/>
              <w:rPr>
                <w:sz w:val="20"/>
              </w:rPr>
            </w:pPr>
            <w:r>
              <w:rPr>
                <w:sz w:val="20"/>
              </w:rPr>
              <w:t>Area postrema</w:t>
            </w:r>
          </w:p>
        </w:tc>
        <w:tc>
          <w:tcPr>
            <w:tcW w:w="2976" w:type="dxa"/>
            <w:tcBorders>
              <w:top w:val="single" w:sz="4" w:space="0" w:color="auto"/>
              <w:left w:val="single" w:sz="4" w:space="0" w:color="auto"/>
              <w:bottom w:val="single" w:sz="4" w:space="0" w:color="auto"/>
              <w:right w:val="single" w:sz="4" w:space="0" w:color="auto"/>
            </w:tcBorders>
            <w:hideMark/>
          </w:tcPr>
          <w:p w14:paraId="4A73050B" w14:textId="77777777" w:rsidR="00193360" w:rsidRDefault="00193360" w:rsidP="00CB729E">
            <w:pPr>
              <w:keepNext/>
              <w:jc w:val="center"/>
              <w:rPr>
                <w:sz w:val="20"/>
              </w:rPr>
            </w:pPr>
            <w:r>
              <w:rPr>
                <w:sz w:val="20"/>
              </w:rPr>
              <w:t>6.3 ± 2.0</w:t>
            </w:r>
          </w:p>
        </w:tc>
        <w:tc>
          <w:tcPr>
            <w:tcW w:w="2835" w:type="dxa"/>
            <w:tcBorders>
              <w:top w:val="single" w:sz="4" w:space="0" w:color="auto"/>
              <w:left w:val="single" w:sz="4" w:space="0" w:color="auto"/>
              <w:bottom w:val="single" w:sz="4" w:space="0" w:color="auto"/>
              <w:right w:val="single" w:sz="4" w:space="0" w:color="auto"/>
            </w:tcBorders>
            <w:hideMark/>
          </w:tcPr>
          <w:p w14:paraId="3995575B" w14:textId="77777777" w:rsidR="00193360" w:rsidRDefault="00193360" w:rsidP="00CB729E">
            <w:pPr>
              <w:keepNext/>
              <w:jc w:val="center"/>
              <w:rPr>
                <w:sz w:val="20"/>
              </w:rPr>
            </w:pPr>
            <w:r>
              <w:rPr>
                <w:sz w:val="20"/>
              </w:rPr>
              <w:t>4.9 ± 0.7</w:t>
            </w:r>
          </w:p>
        </w:tc>
      </w:tr>
      <w:tr w:rsidR="00193360" w14:paraId="3629AFFC" w14:textId="77777777" w:rsidTr="00193360">
        <w:tc>
          <w:tcPr>
            <w:tcW w:w="3261" w:type="dxa"/>
            <w:tcBorders>
              <w:top w:val="single" w:sz="4" w:space="0" w:color="auto"/>
              <w:left w:val="single" w:sz="4" w:space="0" w:color="auto"/>
              <w:bottom w:val="single" w:sz="4" w:space="0" w:color="auto"/>
              <w:right w:val="single" w:sz="4" w:space="0" w:color="auto"/>
            </w:tcBorders>
            <w:hideMark/>
          </w:tcPr>
          <w:p w14:paraId="4056FF63" w14:textId="77777777" w:rsidR="00193360" w:rsidRDefault="00193360" w:rsidP="00CB729E">
            <w:pPr>
              <w:keepNext/>
              <w:rPr>
                <w:sz w:val="20"/>
              </w:rPr>
            </w:pPr>
            <w:r>
              <w:rPr>
                <w:sz w:val="20"/>
              </w:rPr>
              <w:t>Pineal gland</w:t>
            </w:r>
          </w:p>
        </w:tc>
        <w:tc>
          <w:tcPr>
            <w:tcW w:w="2976" w:type="dxa"/>
            <w:tcBorders>
              <w:top w:val="single" w:sz="4" w:space="0" w:color="auto"/>
              <w:left w:val="single" w:sz="4" w:space="0" w:color="auto"/>
              <w:bottom w:val="single" w:sz="4" w:space="0" w:color="auto"/>
              <w:right w:val="single" w:sz="4" w:space="0" w:color="auto"/>
            </w:tcBorders>
            <w:hideMark/>
          </w:tcPr>
          <w:p w14:paraId="6490416B" w14:textId="77777777" w:rsidR="00193360" w:rsidRDefault="00193360" w:rsidP="00CB729E">
            <w:pPr>
              <w:keepNext/>
              <w:jc w:val="center"/>
              <w:rPr>
                <w:sz w:val="20"/>
              </w:rPr>
            </w:pPr>
            <w:r>
              <w:rPr>
                <w:sz w:val="20"/>
              </w:rPr>
              <w:t>17.0 ± 2.6</w:t>
            </w:r>
          </w:p>
        </w:tc>
        <w:tc>
          <w:tcPr>
            <w:tcW w:w="2835" w:type="dxa"/>
            <w:tcBorders>
              <w:top w:val="single" w:sz="4" w:space="0" w:color="auto"/>
              <w:left w:val="single" w:sz="4" w:space="0" w:color="auto"/>
              <w:bottom w:val="single" w:sz="4" w:space="0" w:color="auto"/>
              <w:right w:val="single" w:sz="4" w:space="0" w:color="auto"/>
            </w:tcBorders>
            <w:hideMark/>
          </w:tcPr>
          <w:p w14:paraId="0D2A9884" w14:textId="77777777" w:rsidR="00193360" w:rsidRDefault="00193360" w:rsidP="00CB729E">
            <w:pPr>
              <w:keepNext/>
              <w:jc w:val="center"/>
              <w:rPr>
                <w:sz w:val="20"/>
              </w:rPr>
            </w:pPr>
            <w:r>
              <w:rPr>
                <w:sz w:val="20"/>
              </w:rPr>
              <w:t>8.5 ± 0.3</w:t>
            </w:r>
          </w:p>
        </w:tc>
      </w:tr>
    </w:tbl>
    <w:p w14:paraId="78511A94" w14:textId="77777777" w:rsidR="00193360" w:rsidRDefault="00193360" w:rsidP="00CB729E">
      <w:pPr>
        <w:keepNext/>
        <w:rPr>
          <w:sz w:val="20"/>
        </w:rPr>
      </w:pPr>
      <w:r>
        <w:rPr>
          <w:sz w:val="20"/>
        </w:rPr>
        <w:t>Data are expressed as means ± 1 SEM for 3-4 animals</w:t>
      </w:r>
    </w:p>
    <w:p w14:paraId="5A759D45" w14:textId="77777777" w:rsidR="00193360" w:rsidRDefault="00193360" w:rsidP="00193360"/>
    <w:p w14:paraId="636D3A66" w14:textId="15D59A6B" w:rsidR="00193360" w:rsidRPr="00CB729E" w:rsidRDefault="00193360" w:rsidP="00CB729E">
      <w:pPr>
        <w:spacing w:before="120"/>
        <w:rPr>
          <w:szCs w:val="24"/>
          <w:lang w:eastAsia="en-US"/>
        </w:rPr>
      </w:pPr>
      <w:r>
        <w:t xml:space="preserve">The distribution of </w:t>
      </w:r>
      <w:r w:rsidR="00A14648">
        <w:t>[</w:t>
      </w:r>
      <w:r>
        <w:rPr>
          <w:vertAlign w:val="superscript"/>
        </w:rPr>
        <w:t>14</w:t>
      </w:r>
      <w:r>
        <w:t>C</w:t>
      </w:r>
      <w:r w:rsidR="00A14648">
        <w:t>]</w:t>
      </w:r>
      <w:r>
        <w:t xml:space="preserve">-paraquat in different brain regions at 24 h closely matched the distribution of </w:t>
      </w:r>
      <w:r w:rsidR="00A14648">
        <w:t>[</w:t>
      </w:r>
      <w:r>
        <w:rPr>
          <w:vertAlign w:val="superscript"/>
        </w:rPr>
        <w:t>14</w:t>
      </w:r>
      <w:r>
        <w:t>C</w:t>
      </w:r>
      <w:r w:rsidR="00A14648">
        <w:t>]</w:t>
      </w:r>
      <w:r>
        <w:t xml:space="preserve">-inulin at 20 minutes post-dose, indicating that the overall distribution of paraquat in the brain was correlated with blood volume (however, approximately 30-50% of </w:t>
      </w:r>
      <w:r w:rsidR="00A14648">
        <w:t>[</w:t>
      </w:r>
      <w:r>
        <w:rPr>
          <w:vertAlign w:val="superscript"/>
        </w:rPr>
        <w:t>14</w:t>
      </w:r>
      <w:r>
        <w:t>C</w:t>
      </w:r>
      <w:r w:rsidR="00A14648">
        <w:t>]</w:t>
      </w:r>
      <w:r>
        <w:t xml:space="preserve">-inulin could not be removed from some brain regions by perfusion). </w:t>
      </w:r>
      <w:r w:rsidR="0091026C">
        <w:t>The authors concluded that paraquat detected in the brain after 24 hours was related to the cerebral circulation, and there was limited entry of paraquat in to brain regions with</w:t>
      </w:r>
      <w:r w:rsidR="006C542A">
        <w:t>out</w:t>
      </w:r>
      <w:r w:rsidR="0091026C">
        <w:t xml:space="preserve"> a </w:t>
      </w:r>
      <w:r w:rsidR="009E2A0B">
        <w:t>BBB</w:t>
      </w:r>
      <w:r w:rsidR="006C542A">
        <w:t xml:space="preserve"> (such as the pineal gland and linings of cerebral ventricles and hypothalamus)</w:t>
      </w:r>
      <w:r w:rsidR="008E503E">
        <w:t xml:space="preserve"> and</w:t>
      </w:r>
      <w:r w:rsidR="0091026C">
        <w:t xml:space="preserve"> </w:t>
      </w:r>
      <w:r w:rsidR="008E503E" w:rsidRPr="002B2CFC">
        <w:rPr>
          <w:szCs w:val="24"/>
          <w:lang w:eastAsia="en-US"/>
        </w:rPr>
        <w:t xml:space="preserve">was associated with elements of the cerebro-circulatory system. </w:t>
      </w:r>
      <w:r>
        <w:t xml:space="preserve">No evidence of any neuronal damage was seen in any part of the brain </w:t>
      </w:r>
      <w:r w:rsidR="008E503E" w:rsidRPr="002B2CFC">
        <w:rPr>
          <w:szCs w:val="24"/>
          <w:lang w:eastAsia="en-US"/>
        </w:rPr>
        <w:t>24 or 48 hours following systemic administrat</w:t>
      </w:r>
      <w:r w:rsidR="008E503E">
        <w:rPr>
          <w:szCs w:val="24"/>
          <w:lang w:eastAsia="en-US"/>
        </w:rPr>
        <w:t xml:space="preserve">ion of a toxic dose of </w:t>
      </w:r>
      <w:r>
        <w:t>paraquat.</w:t>
      </w:r>
      <w:r w:rsidR="008E503E" w:rsidRPr="008E503E">
        <w:rPr>
          <w:szCs w:val="24"/>
          <w:lang w:eastAsia="en-US"/>
        </w:rPr>
        <w:t xml:space="preserve"> </w:t>
      </w:r>
    </w:p>
    <w:p w14:paraId="70663E2F" w14:textId="77777777" w:rsidR="002B2CFC" w:rsidRPr="002B2CFC" w:rsidRDefault="00193360" w:rsidP="002B2CFC">
      <w:pPr>
        <w:tabs>
          <w:tab w:val="num" w:pos="1440"/>
        </w:tabs>
        <w:rPr>
          <w:szCs w:val="24"/>
          <w:lang w:eastAsia="en-US"/>
        </w:rPr>
      </w:pPr>
      <w:r w:rsidRPr="002B2CFC" w:rsidDel="00193360">
        <w:rPr>
          <w:szCs w:val="24"/>
          <w:lang w:eastAsia="en-US"/>
        </w:rPr>
        <w:t xml:space="preserve"> </w:t>
      </w:r>
    </w:p>
    <w:p w14:paraId="1D6C76D4" w14:textId="77777777" w:rsidR="002B2CFC" w:rsidRPr="002B2CFC" w:rsidRDefault="002B2CFC" w:rsidP="002B2CFC">
      <w:pPr>
        <w:tabs>
          <w:tab w:val="num" w:pos="1440"/>
        </w:tabs>
        <w:rPr>
          <w:b/>
          <w:i/>
          <w:szCs w:val="24"/>
          <w:lang w:eastAsia="en-US"/>
        </w:rPr>
      </w:pPr>
      <w:r w:rsidRPr="00627DF7">
        <w:rPr>
          <w:b/>
          <w:szCs w:val="24"/>
          <w:lang w:eastAsia="en-US"/>
        </w:rPr>
        <w:t xml:space="preserve">Bartlett RM, Holden JE, Nickles RJ, Dhanabalan M, Barbee DL, Barnhart TE, Christian BT &amp; DeJesus OT (2009) Paraquat is excluded by the blood brain barrier in rhesus macaque: An </w:t>
      </w:r>
      <w:r w:rsidRPr="00627DF7">
        <w:rPr>
          <w:b/>
          <w:i/>
          <w:szCs w:val="24"/>
          <w:lang w:eastAsia="en-US"/>
        </w:rPr>
        <w:t>in vivo</w:t>
      </w:r>
      <w:r w:rsidRPr="00627DF7">
        <w:rPr>
          <w:b/>
          <w:szCs w:val="24"/>
          <w:lang w:eastAsia="en-US"/>
        </w:rPr>
        <w:t xml:space="preserve"> PET study</w:t>
      </w:r>
      <w:r w:rsidRPr="002B2CFC">
        <w:rPr>
          <w:b/>
          <w:i/>
          <w:szCs w:val="24"/>
          <w:lang w:eastAsia="en-US"/>
        </w:rPr>
        <w:t>. Brain Res. 1259:74-79.</w:t>
      </w:r>
    </w:p>
    <w:p w14:paraId="65177044" w14:textId="77777777" w:rsidR="00846DA3" w:rsidRDefault="00131A96" w:rsidP="009E40A8">
      <w:pPr>
        <w:spacing w:before="120"/>
        <w:rPr>
          <w:szCs w:val="24"/>
          <w:lang w:eastAsia="en-US"/>
        </w:rPr>
      </w:pPr>
      <w:r>
        <w:rPr>
          <w:szCs w:val="24"/>
          <w:lang w:eastAsia="en-US"/>
        </w:rPr>
        <w:t>This study</w:t>
      </w:r>
      <w:r w:rsidR="002B2CFC" w:rsidRPr="002B2CFC">
        <w:rPr>
          <w:szCs w:val="24"/>
          <w:lang w:eastAsia="en-US"/>
        </w:rPr>
        <w:t xml:space="preserve"> aimed to clarify the issue of </w:t>
      </w:r>
      <w:r w:rsidR="009E2A0B">
        <w:rPr>
          <w:szCs w:val="24"/>
          <w:lang w:eastAsia="en-US"/>
        </w:rPr>
        <w:t>BBB</w:t>
      </w:r>
      <w:r w:rsidR="002B2CFC" w:rsidRPr="002B2CFC">
        <w:rPr>
          <w:szCs w:val="24"/>
          <w:lang w:eastAsia="en-US"/>
        </w:rPr>
        <w:t xml:space="preserve"> penetration of systemic paraquat by assessing the uptake of [</w:t>
      </w:r>
      <w:r w:rsidR="002B2CFC" w:rsidRPr="002B2CFC">
        <w:rPr>
          <w:szCs w:val="24"/>
          <w:vertAlign w:val="superscript"/>
          <w:lang w:eastAsia="en-US"/>
        </w:rPr>
        <w:t>11</w:t>
      </w:r>
      <w:r w:rsidR="002B2CFC" w:rsidRPr="002B2CFC">
        <w:rPr>
          <w:szCs w:val="24"/>
          <w:lang w:eastAsia="en-US"/>
        </w:rPr>
        <w:t xml:space="preserve">C] paraquat in the non-human primate brain </w:t>
      </w:r>
      <w:r w:rsidR="002B2CFC" w:rsidRPr="009E40A8">
        <w:rPr>
          <w:i/>
          <w:szCs w:val="24"/>
          <w:lang w:eastAsia="en-US"/>
        </w:rPr>
        <w:t>in vivo</w:t>
      </w:r>
      <w:r w:rsidR="002B2CFC" w:rsidRPr="002B2CFC">
        <w:rPr>
          <w:szCs w:val="24"/>
          <w:lang w:eastAsia="en-US"/>
        </w:rPr>
        <w:t xml:space="preserve"> using quantitative </w:t>
      </w:r>
      <w:r w:rsidR="00846DA3">
        <w:rPr>
          <w:szCs w:val="24"/>
          <w:lang w:eastAsia="en-US"/>
        </w:rPr>
        <w:t>positron emission tomography (</w:t>
      </w:r>
      <w:r w:rsidR="002B2CFC" w:rsidRPr="002B2CFC">
        <w:rPr>
          <w:szCs w:val="24"/>
          <w:lang w:eastAsia="en-US"/>
        </w:rPr>
        <w:t>PET</w:t>
      </w:r>
      <w:r w:rsidR="00846DA3">
        <w:rPr>
          <w:szCs w:val="24"/>
          <w:lang w:eastAsia="en-US"/>
        </w:rPr>
        <w:t>)</w:t>
      </w:r>
      <w:r w:rsidR="002B2CFC" w:rsidRPr="002B2CFC">
        <w:rPr>
          <w:szCs w:val="24"/>
          <w:lang w:eastAsia="en-US"/>
        </w:rPr>
        <w:t xml:space="preserve"> imaging. Four adult rhesus monkeys were used for the PET studies. </w:t>
      </w:r>
      <w:r w:rsidR="00846DA3">
        <w:rPr>
          <w:szCs w:val="24"/>
          <w:lang w:eastAsia="en-US"/>
        </w:rPr>
        <w:t xml:space="preserve">The animals were anaesthetised and heads immobolised to allow PET scanning parallel to the orbitomeatal (OM) line. </w:t>
      </w:r>
      <w:r w:rsidR="00846DA3" w:rsidRPr="002B2CFC">
        <w:rPr>
          <w:szCs w:val="24"/>
          <w:lang w:eastAsia="en-US"/>
        </w:rPr>
        <w:t>[</w:t>
      </w:r>
      <w:r w:rsidR="00846DA3" w:rsidRPr="002B2CFC">
        <w:rPr>
          <w:szCs w:val="24"/>
          <w:vertAlign w:val="superscript"/>
          <w:lang w:eastAsia="en-US"/>
        </w:rPr>
        <w:t>11</w:t>
      </w:r>
      <w:r w:rsidR="00846DA3" w:rsidRPr="002B2CFC">
        <w:rPr>
          <w:szCs w:val="24"/>
          <w:lang w:eastAsia="en-US"/>
        </w:rPr>
        <w:t>C] paraquat</w:t>
      </w:r>
      <w:r w:rsidR="00846DA3">
        <w:rPr>
          <w:szCs w:val="24"/>
          <w:lang w:eastAsia="en-US"/>
        </w:rPr>
        <w:t xml:space="preserve"> at a dose of </w:t>
      </w:r>
      <w:r w:rsidR="00846DA3" w:rsidRPr="002B2CFC">
        <w:rPr>
          <w:szCs w:val="24"/>
          <w:lang w:eastAsia="en-US"/>
        </w:rPr>
        <w:t>3.0-6.1 mCi</w:t>
      </w:r>
      <w:r w:rsidR="00846DA3">
        <w:rPr>
          <w:szCs w:val="24"/>
          <w:lang w:eastAsia="en-US"/>
        </w:rPr>
        <w:t xml:space="preserve"> (0.1-0.4 µg/kg) was in</w:t>
      </w:r>
      <w:r w:rsidR="00366C8D">
        <w:rPr>
          <w:szCs w:val="24"/>
          <w:lang w:eastAsia="en-US"/>
        </w:rPr>
        <w:t>jected into the saphenous vein. PET images were scanned concurrently with oral delivery of the radiotracer. Venous blood samples were collected throughout the PET imaging sequence.</w:t>
      </w:r>
    </w:p>
    <w:p w14:paraId="4F3AC4F5" w14:textId="77777777" w:rsidR="002B2CFC" w:rsidRPr="002B2CFC" w:rsidRDefault="002B2CFC" w:rsidP="009E40A8">
      <w:pPr>
        <w:spacing w:before="120"/>
        <w:rPr>
          <w:szCs w:val="24"/>
          <w:lang w:eastAsia="en-US"/>
        </w:rPr>
      </w:pPr>
      <w:r w:rsidRPr="002B2CFC">
        <w:rPr>
          <w:szCs w:val="24"/>
          <w:lang w:eastAsia="en-US"/>
        </w:rPr>
        <w:t>The axial and sagittal views of monkey brains at early, mid and late time points after [</w:t>
      </w:r>
      <w:r w:rsidRPr="002B2CFC">
        <w:rPr>
          <w:szCs w:val="24"/>
          <w:vertAlign w:val="superscript"/>
          <w:lang w:eastAsia="en-US"/>
        </w:rPr>
        <w:t>11</w:t>
      </w:r>
      <w:r w:rsidRPr="002B2CFC">
        <w:rPr>
          <w:szCs w:val="24"/>
          <w:lang w:eastAsia="en-US"/>
        </w:rPr>
        <w:t>C] paraquat injection provided visualisation of the pharmacokinetics of the radiotracer and [</w:t>
      </w:r>
      <w:r w:rsidRPr="002B2CFC">
        <w:rPr>
          <w:szCs w:val="24"/>
          <w:vertAlign w:val="superscript"/>
          <w:lang w:eastAsia="en-US"/>
        </w:rPr>
        <w:t>11</w:t>
      </w:r>
      <w:r w:rsidRPr="002B2CFC">
        <w:rPr>
          <w:szCs w:val="24"/>
          <w:lang w:eastAsia="en-US"/>
        </w:rPr>
        <w:t xml:space="preserve">C]-intensity was related to perfusion. </w:t>
      </w:r>
    </w:p>
    <w:p w14:paraId="1CA2C632" w14:textId="3E91B64A" w:rsidR="002B2CFC" w:rsidRPr="002B2CFC" w:rsidRDefault="002B2CFC" w:rsidP="009E40A8">
      <w:pPr>
        <w:spacing w:before="120"/>
        <w:rPr>
          <w:szCs w:val="24"/>
          <w:lang w:val="en-US" w:eastAsia="en-US"/>
        </w:rPr>
      </w:pPr>
      <w:r w:rsidRPr="002B2CFC">
        <w:rPr>
          <w:szCs w:val="24"/>
          <w:lang w:eastAsia="en-US"/>
        </w:rPr>
        <w:lastRenderedPageBreak/>
        <w:t xml:space="preserve">The images and tissue time courses showed that there was minimal paraquat uptake and retention in the whole primate brain. Paraquat was weakly sequestered by specific brain structures, namely, the pineal gland and the lateral ventricles. The tissue time courses indicated no </w:t>
      </w:r>
      <w:r w:rsidRPr="002B2CFC">
        <w:rPr>
          <w:szCs w:val="24"/>
          <w:lang w:val="en-US" w:eastAsia="en-US"/>
        </w:rPr>
        <w:t xml:space="preserve">selective accumulation of paraquat in the </w:t>
      </w:r>
      <w:r w:rsidR="00A4092E">
        <w:rPr>
          <w:szCs w:val="24"/>
          <w:lang w:val="en-US" w:eastAsia="en-US"/>
        </w:rPr>
        <w:t>DA</w:t>
      </w:r>
      <w:r w:rsidRPr="002B2CFC">
        <w:rPr>
          <w:szCs w:val="24"/>
          <w:lang w:val="en-US" w:eastAsia="en-US"/>
        </w:rPr>
        <w:t xml:space="preserve"> terminals located at the caudate nucleus and putamen but rather close association with plasma radioactivity. This is consistent with rodent studies that reported the high correlation of cerebral distribution </w:t>
      </w:r>
      <w:r w:rsidR="00951770" w:rsidRPr="002B2CFC">
        <w:rPr>
          <w:szCs w:val="24"/>
          <w:lang w:val="en-US" w:eastAsia="en-US"/>
        </w:rPr>
        <w:t xml:space="preserve">with cerebral blood volume </w:t>
      </w:r>
      <w:r w:rsidRPr="002B2CFC">
        <w:rPr>
          <w:szCs w:val="24"/>
          <w:lang w:val="en-US" w:eastAsia="en-US"/>
        </w:rPr>
        <w:t>of [</w:t>
      </w:r>
      <w:r w:rsidRPr="002B2CFC">
        <w:rPr>
          <w:szCs w:val="24"/>
          <w:vertAlign w:val="superscript"/>
          <w:lang w:val="en-US" w:eastAsia="en-US"/>
        </w:rPr>
        <w:t>14</w:t>
      </w:r>
      <w:r w:rsidRPr="002B2CFC">
        <w:rPr>
          <w:szCs w:val="24"/>
          <w:lang w:val="en-US" w:eastAsia="en-US"/>
        </w:rPr>
        <w:t>C]</w:t>
      </w:r>
      <w:r w:rsidR="00A14648">
        <w:rPr>
          <w:szCs w:val="24"/>
          <w:lang w:val="en-US" w:eastAsia="en-US"/>
        </w:rPr>
        <w:t>-</w:t>
      </w:r>
      <w:r w:rsidRPr="002B2CFC">
        <w:rPr>
          <w:szCs w:val="24"/>
          <w:lang w:val="en-US" w:eastAsia="en-US"/>
        </w:rPr>
        <w:t xml:space="preserve">paraquat 24 h after systemic administration (Naylor </w:t>
      </w:r>
      <w:r w:rsidRPr="002B2CFC">
        <w:rPr>
          <w:i/>
          <w:szCs w:val="24"/>
          <w:lang w:val="en-US" w:eastAsia="en-US"/>
        </w:rPr>
        <w:t>et al</w:t>
      </w:r>
      <w:r w:rsidR="00120920">
        <w:rPr>
          <w:i/>
          <w:szCs w:val="24"/>
          <w:lang w:val="en-US" w:eastAsia="en-US"/>
        </w:rPr>
        <w:t>,</w:t>
      </w:r>
      <w:r w:rsidRPr="002B2CFC">
        <w:rPr>
          <w:szCs w:val="24"/>
          <w:lang w:val="en-US" w:eastAsia="en-US"/>
        </w:rPr>
        <w:t xml:space="preserve"> 1995). </w:t>
      </w:r>
    </w:p>
    <w:p w14:paraId="2B9A21D0" w14:textId="77777777" w:rsidR="002B2CFC" w:rsidRPr="002B2CFC" w:rsidRDefault="002B2CFC" w:rsidP="009E40A8">
      <w:pPr>
        <w:rPr>
          <w:szCs w:val="24"/>
          <w:lang w:val="en-US" w:eastAsia="en-US"/>
        </w:rPr>
      </w:pPr>
    </w:p>
    <w:p w14:paraId="53100480" w14:textId="77777777" w:rsidR="002B2CFC" w:rsidRPr="002B2CFC" w:rsidRDefault="002B2CFC" w:rsidP="002B2CFC">
      <w:pPr>
        <w:spacing w:before="120"/>
        <w:rPr>
          <w:b/>
          <w:i/>
        </w:rPr>
      </w:pPr>
      <w:r w:rsidRPr="000E275D">
        <w:rPr>
          <w:b/>
        </w:rPr>
        <w:t>Corasaniti MT, Defilippo R, Rodinò P, Nappi G &amp; Nisticò G (1991) Evidence that paraquat is able to cross the blood-brain barrier to a different extent in rats of various age</w:t>
      </w:r>
      <w:r w:rsidRPr="002B2CFC">
        <w:rPr>
          <w:b/>
          <w:i/>
        </w:rPr>
        <w:t>. Funct Neurol 6 (4): 385-391.</w:t>
      </w:r>
    </w:p>
    <w:p w14:paraId="28897778" w14:textId="77777777" w:rsidR="0027090A" w:rsidRDefault="0027090A" w:rsidP="00D133D4"/>
    <w:p w14:paraId="3CB90FAF" w14:textId="77777777" w:rsidR="00D133D4" w:rsidRDefault="00D133D4" w:rsidP="00D133D4">
      <w:r>
        <w:t>Male Wistar rats (body weight and source unspecified), aged 2 weeks, 3, 12 or 24 months, were given a single sc injection of paraquat dichloride (unspecified purity and batch no.; Sigma, USA) in double-distilled, pyrogen free water at 1, 2.5 or 5.0 mg/kg bw (6-8 rats/group; equivalent to 0.72, 1.8 or 3.6 mg/kg bw paraquat cation, respectively) in a dose volume of 1 mL/kg bw. Animals were sacrificed one hour after dosing (method unspecified) and their brains immediately removed, weighed and stored at -20°C until further analysis. To determine whether paraquat levels in cerebral vessels could affect the measurement of paraquat in brain tissue, 12 month-old rats were given a single sc injection of paraquat at 5 mg/kg bw (n=4; equivalent to 3.6 mg/kg bw paraquat cation) and 1 h later, intracardially perfused with saline prior to removal of the brain. Brain paraquat levels were analysed by ion-pair solid-phase extraction and HPLC.</w:t>
      </w:r>
    </w:p>
    <w:p w14:paraId="229B854B" w14:textId="77777777" w:rsidR="00D133D4" w:rsidRDefault="00D133D4" w:rsidP="00D133D4">
      <w:pPr>
        <w:pStyle w:val="BodyText"/>
        <w:rPr>
          <w:b w:val="0"/>
          <w:i w:val="0"/>
        </w:rPr>
      </w:pPr>
    </w:p>
    <w:p w14:paraId="4355441F" w14:textId="21534FD8" w:rsidR="00D133D4" w:rsidRDefault="00D133D4" w:rsidP="00D133D4">
      <w:r>
        <w:t xml:space="preserve">There was a dose-related increase in brain paraquat levels across all age groups (see </w:t>
      </w:r>
      <w:r w:rsidR="00EB102B" w:rsidRPr="00EB102B">
        <w:rPr>
          <w:szCs w:val="24"/>
        </w:rPr>
        <w:fldChar w:fldCharType="begin"/>
      </w:r>
      <w:r w:rsidR="00EB102B" w:rsidRPr="00EB102B">
        <w:rPr>
          <w:szCs w:val="24"/>
        </w:rPr>
        <w:instrText xml:space="preserve"> REF _Ref419277710 \h  \* MERGEFORMAT </w:instrText>
      </w:r>
      <w:r w:rsidR="00EB102B" w:rsidRPr="00EB102B">
        <w:rPr>
          <w:szCs w:val="24"/>
        </w:rPr>
      </w:r>
      <w:r w:rsidR="00EB102B" w:rsidRPr="00EB102B">
        <w:rPr>
          <w:szCs w:val="24"/>
        </w:rPr>
        <w:fldChar w:fldCharType="separate"/>
      </w:r>
      <w:r w:rsidR="000E54B2" w:rsidRPr="000E54B2">
        <w:rPr>
          <w:bCs/>
          <w:szCs w:val="24"/>
          <w:lang w:val="en-US" w:eastAsia="en-US"/>
        </w:rPr>
        <w:t xml:space="preserve">Table </w:t>
      </w:r>
      <w:r w:rsidR="000E54B2" w:rsidRPr="000E54B2">
        <w:rPr>
          <w:bCs/>
          <w:noProof/>
          <w:szCs w:val="24"/>
          <w:lang w:val="en-US" w:eastAsia="en-US"/>
        </w:rPr>
        <w:t>7</w:t>
      </w:r>
      <w:r w:rsidR="00EB102B" w:rsidRPr="00EB102B">
        <w:rPr>
          <w:szCs w:val="24"/>
        </w:rPr>
        <w:fldChar w:fldCharType="end"/>
      </w:r>
      <w:r>
        <w:t xml:space="preserve"> </w:t>
      </w:r>
      <w:r w:rsidR="00EB102B">
        <w:fldChar w:fldCharType="begin"/>
      </w:r>
      <w:r w:rsidR="00EB102B">
        <w:instrText xml:space="preserve"> REF _Ref459028202 \p \h </w:instrText>
      </w:r>
      <w:r w:rsidR="00EB102B">
        <w:fldChar w:fldCharType="separate"/>
      </w:r>
      <w:r w:rsidR="000E54B2">
        <w:t>below</w:t>
      </w:r>
      <w:r w:rsidR="00EB102B">
        <w:fldChar w:fldCharType="end"/>
      </w:r>
      <w:r>
        <w:t>). Paraquat levels were significantly higher in 24-month old rats relative to 3-month old rats (p&lt;0.01-0.05; t-test) while no significant difference occurred between 12- and 24-month old rats</w:t>
      </w:r>
      <w:r w:rsidRPr="00EB102B">
        <w:rPr>
          <w:szCs w:val="24"/>
        </w:rPr>
        <w:t>.</w:t>
      </w:r>
      <w:r>
        <w:t xml:space="preserve"> At 2.5 mg/kg bw, a significant difference (p&lt;0.05; t-test) in the concentration of paraquat was found between 12- and 3-month old rats, however, in the absence of a similar effect at the highest dose (ie 5 mg/kg bw) this result was not considered </w:t>
      </w:r>
      <w:r w:rsidR="00B235F7">
        <w:t>definitive</w:t>
      </w:r>
      <w:r>
        <w:t xml:space="preserve"> in </w:t>
      </w:r>
      <w:r w:rsidR="00B235F7">
        <w:t xml:space="preserve">assessing the difference in </w:t>
      </w:r>
      <w:r>
        <w:t>paraquat levels between these two age groups. At and above 2.5 mg/kg bw, 2-week old rats had a significantly higher (p&lt;0.05; t-test) level of brain paraquat compared to 3-month old rats. The study authors concluded that there was an age-related effect on paraquat uptake by the brain, with 2-week and 24-month old rats taking up more paraquat than 3- and 12-month old rats due to changes in BBB permeability. The reviewing toxicologist considered that this age-related effect was equivocal given the small group sizes and that plasma paraquat concentrations were not measured to enable changes in blood:brain ratio to be monitored.</w:t>
      </w:r>
      <w:r w:rsidR="007F4EE0">
        <w:t xml:space="preserve"> This study therefore has reduced regulatory value.</w:t>
      </w:r>
    </w:p>
    <w:p w14:paraId="392323BE" w14:textId="77777777" w:rsidR="007F4EE0" w:rsidRDefault="007F4EE0" w:rsidP="00D133D4"/>
    <w:p w14:paraId="141EF8A2" w14:textId="57B584B8" w:rsidR="002B2CFC" w:rsidRPr="002B2CFC" w:rsidRDefault="002B2CFC" w:rsidP="009D0D8F">
      <w:pPr>
        <w:keepNext/>
        <w:keepLines/>
        <w:spacing w:before="120" w:after="120"/>
        <w:rPr>
          <w:szCs w:val="24"/>
          <w:lang w:val="en-US" w:eastAsia="en-US"/>
        </w:rPr>
      </w:pPr>
      <w:bookmarkStart w:id="70" w:name="_Ref419277710"/>
      <w:bookmarkStart w:id="71" w:name="_Ref459028202"/>
      <w:r w:rsidRPr="002B2CFC">
        <w:rPr>
          <w:b/>
          <w:bCs/>
          <w:sz w:val="20"/>
          <w:lang w:val="en-US" w:eastAsia="en-US"/>
        </w:rPr>
        <w:t xml:space="preserve">Table </w:t>
      </w:r>
      <w:r w:rsidR="00897462" w:rsidRPr="002B2CFC">
        <w:rPr>
          <w:b/>
          <w:bCs/>
          <w:sz w:val="20"/>
          <w:lang w:val="en-US" w:eastAsia="en-US"/>
        </w:rPr>
        <w:fldChar w:fldCharType="begin"/>
      </w:r>
      <w:r w:rsidRPr="002B2CFC">
        <w:rPr>
          <w:b/>
          <w:bCs/>
          <w:sz w:val="20"/>
          <w:lang w:val="en-US" w:eastAsia="en-US"/>
        </w:rPr>
        <w:instrText xml:space="preserve"> SEQ Table \* ARABIC </w:instrText>
      </w:r>
      <w:r w:rsidR="00897462" w:rsidRPr="002B2CFC">
        <w:rPr>
          <w:b/>
          <w:bCs/>
          <w:sz w:val="20"/>
          <w:lang w:val="en-US" w:eastAsia="en-US"/>
        </w:rPr>
        <w:fldChar w:fldCharType="separate"/>
      </w:r>
      <w:r w:rsidR="000E54B2">
        <w:rPr>
          <w:b/>
          <w:bCs/>
          <w:noProof/>
          <w:sz w:val="20"/>
          <w:lang w:val="en-US" w:eastAsia="en-US"/>
        </w:rPr>
        <w:t>7</w:t>
      </w:r>
      <w:r w:rsidR="00897462" w:rsidRPr="002B2CFC">
        <w:rPr>
          <w:b/>
          <w:bCs/>
          <w:sz w:val="20"/>
          <w:lang w:val="en-US" w:eastAsia="en-US"/>
        </w:rPr>
        <w:fldChar w:fldCharType="end"/>
      </w:r>
      <w:bookmarkEnd w:id="70"/>
      <w:r w:rsidRPr="002B2CFC">
        <w:rPr>
          <w:b/>
          <w:bCs/>
          <w:noProof/>
          <w:sz w:val="20"/>
          <w:lang w:val="en-US" w:eastAsia="en-US"/>
        </w:rPr>
        <w:t>: Brain paraquat levels in rats of different ages after a single sc injection</w:t>
      </w:r>
      <w:bookmarkEnd w:id="7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4"/>
        <w:gridCol w:w="1838"/>
        <w:gridCol w:w="1838"/>
        <w:gridCol w:w="1838"/>
        <w:gridCol w:w="1769"/>
      </w:tblGrid>
      <w:tr w:rsidR="002B2CFC" w:rsidRPr="002B2CFC" w14:paraId="7841DF41" w14:textId="77777777" w:rsidTr="000E221D">
        <w:tc>
          <w:tcPr>
            <w:tcW w:w="962" w:type="pct"/>
            <w:vMerge w:val="restart"/>
            <w:shd w:val="clear" w:color="auto" w:fill="BFBFBF" w:themeFill="background1" w:themeFillShade="BF"/>
          </w:tcPr>
          <w:p w14:paraId="033512B5" w14:textId="77777777" w:rsidR="002B2CFC" w:rsidRPr="002B2CFC" w:rsidRDefault="002B2CFC" w:rsidP="002B2CFC">
            <w:pPr>
              <w:keepNext/>
              <w:keepLines/>
              <w:jc w:val="center"/>
              <w:rPr>
                <w:b/>
                <w:sz w:val="20"/>
                <w:lang w:val="en-US" w:eastAsia="en-US"/>
              </w:rPr>
            </w:pPr>
            <w:r w:rsidRPr="002B2CFC">
              <w:rPr>
                <w:b/>
                <w:sz w:val="20"/>
                <w:lang w:val="en-US" w:eastAsia="en-US"/>
              </w:rPr>
              <w:t>Dose</w:t>
            </w:r>
          </w:p>
          <w:p w14:paraId="261B518B" w14:textId="77777777" w:rsidR="002B2CFC" w:rsidRPr="002B2CFC" w:rsidRDefault="002B2CFC" w:rsidP="002B2CFC">
            <w:pPr>
              <w:keepNext/>
              <w:keepLines/>
              <w:jc w:val="center"/>
              <w:rPr>
                <w:b/>
                <w:sz w:val="20"/>
                <w:lang w:val="en-US" w:eastAsia="en-US"/>
              </w:rPr>
            </w:pPr>
            <w:r w:rsidRPr="002B2CFC">
              <w:rPr>
                <w:b/>
                <w:sz w:val="20"/>
                <w:lang w:val="en-US" w:eastAsia="en-US"/>
              </w:rPr>
              <w:t>(mg/kg bw)</w:t>
            </w:r>
          </w:p>
        </w:tc>
        <w:tc>
          <w:tcPr>
            <w:tcW w:w="4038" w:type="pct"/>
            <w:gridSpan w:val="4"/>
            <w:shd w:val="clear" w:color="auto" w:fill="BFBFBF" w:themeFill="background1" w:themeFillShade="BF"/>
          </w:tcPr>
          <w:p w14:paraId="01140649" w14:textId="77777777" w:rsidR="002B2CFC" w:rsidRPr="002B2CFC" w:rsidRDefault="002B2CFC" w:rsidP="002B2CFC">
            <w:pPr>
              <w:keepNext/>
              <w:keepLines/>
              <w:jc w:val="center"/>
              <w:rPr>
                <w:b/>
                <w:sz w:val="20"/>
                <w:lang w:val="en-US" w:eastAsia="en-US"/>
              </w:rPr>
            </w:pPr>
            <w:r w:rsidRPr="002B2CFC">
              <w:rPr>
                <w:b/>
                <w:sz w:val="20"/>
                <w:lang w:val="en-US" w:eastAsia="en-US"/>
              </w:rPr>
              <w:t>Age (weeks)</w:t>
            </w:r>
          </w:p>
        </w:tc>
      </w:tr>
      <w:tr w:rsidR="002B2CFC" w:rsidRPr="002B2CFC" w14:paraId="4F18DB8D" w14:textId="77777777" w:rsidTr="000E221D">
        <w:tc>
          <w:tcPr>
            <w:tcW w:w="962" w:type="pct"/>
            <w:vMerge/>
            <w:shd w:val="clear" w:color="auto" w:fill="BFBFBF" w:themeFill="background1" w:themeFillShade="BF"/>
          </w:tcPr>
          <w:p w14:paraId="121EBE6C" w14:textId="77777777" w:rsidR="002B2CFC" w:rsidRPr="002B2CFC" w:rsidRDefault="002B2CFC" w:rsidP="002B2CFC">
            <w:pPr>
              <w:keepNext/>
              <w:keepLines/>
              <w:jc w:val="center"/>
              <w:rPr>
                <w:b/>
                <w:sz w:val="20"/>
                <w:lang w:val="en-US" w:eastAsia="en-US"/>
              </w:rPr>
            </w:pPr>
          </w:p>
        </w:tc>
        <w:tc>
          <w:tcPr>
            <w:tcW w:w="1019" w:type="pct"/>
            <w:shd w:val="clear" w:color="auto" w:fill="BFBFBF" w:themeFill="background1" w:themeFillShade="BF"/>
          </w:tcPr>
          <w:p w14:paraId="407BF35A" w14:textId="77777777" w:rsidR="002B2CFC" w:rsidRPr="002B2CFC" w:rsidRDefault="002B2CFC" w:rsidP="002B2CFC">
            <w:pPr>
              <w:keepNext/>
              <w:keepLines/>
              <w:jc w:val="center"/>
              <w:rPr>
                <w:b/>
                <w:sz w:val="20"/>
                <w:lang w:val="en-US" w:eastAsia="en-US"/>
              </w:rPr>
            </w:pPr>
            <w:r w:rsidRPr="002B2CFC">
              <w:rPr>
                <w:b/>
                <w:sz w:val="20"/>
                <w:lang w:val="en-US" w:eastAsia="en-US"/>
              </w:rPr>
              <w:t>2</w:t>
            </w:r>
          </w:p>
        </w:tc>
        <w:tc>
          <w:tcPr>
            <w:tcW w:w="1019" w:type="pct"/>
            <w:shd w:val="clear" w:color="auto" w:fill="BFBFBF" w:themeFill="background1" w:themeFillShade="BF"/>
          </w:tcPr>
          <w:p w14:paraId="6E338D6C" w14:textId="77777777" w:rsidR="002B2CFC" w:rsidRPr="002B2CFC" w:rsidRDefault="002B2CFC" w:rsidP="002B2CFC">
            <w:pPr>
              <w:keepNext/>
              <w:keepLines/>
              <w:jc w:val="center"/>
              <w:rPr>
                <w:b/>
                <w:sz w:val="20"/>
                <w:lang w:val="en-US" w:eastAsia="en-US"/>
              </w:rPr>
            </w:pPr>
            <w:r w:rsidRPr="002B2CFC">
              <w:rPr>
                <w:b/>
                <w:sz w:val="20"/>
                <w:lang w:val="en-US" w:eastAsia="en-US"/>
              </w:rPr>
              <w:t>13</w:t>
            </w:r>
          </w:p>
        </w:tc>
        <w:tc>
          <w:tcPr>
            <w:tcW w:w="1019" w:type="pct"/>
            <w:shd w:val="clear" w:color="auto" w:fill="BFBFBF" w:themeFill="background1" w:themeFillShade="BF"/>
          </w:tcPr>
          <w:p w14:paraId="4AC55E3F" w14:textId="77777777" w:rsidR="002B2CFC" w:rsidRPr="002B2CFC" w:rsidRDefault="002B2CFC" w:rsidP="002B2CFC">
            <w:pPr>
              <w:keepNext/>
              <w:keepLines/>
              <w:jc w:val="center"/>
              <w:rPr>
                <w:b/>
                <w:sz w:val="20"/>
                <w:lang w:val="en-US" w:eastAsia="en-US"/>
              </w:rPr>
            </w:pPr>
            <w:r w:rsidRPr="002B2CFC">
              <w:rPr>
                <w:b/>
                <w:sz w:val="20"/>
                <w:lang w:val="en-US" w:eastAsia="en-US"/>
              </w:rPr>
              <w:t>52</w:t>
            </w:r>
          </w:p>
        </w:tc>
        <w:tc>
          <w:tcPr>
            <w:tcW w:w="982" w:type="pct"/>
            <w:shd w:val="clear" w:color="auto" w:fill="BFBFBF" w:themeFill="background1" w:themeFillShade="BF"/>
          </w:tcPr>
          <w:p w14:paraId="10BD7407" w14:textId="77777777" w:rsidR="002B2CFC" w:rsidRPr="002B2CFC" w:rsidRDefault="002B2CFC" w:rsidP="002B2CFC">
            <w:pPr>
              <w:keepNext/>
              <w:keepLines/>
              <w:jc w:val="center"/>
              <w:rPr>
                <w:b/>
                <w:sz w:val="20"/>
                <w:lang w:val="en-US" w:eastAsia="en-US"/>
              </w:rPr>
            </w:pPr>
            <w:r w:rsidRPr="002B2CFC">
              <w:rPr>
                <w:b/>
                <w:sz w:val="20"/>
                <w:lang w:val="en-US" w:eastAsia="en-US"/>
              </w:rPr>
              <w:t>104</w:t>
            </w:r>
          </w:p>
        </w:tc>
      </w:tr>
      <w:tr w:rsidR="002B2CFC" w:rsidRPr="002B2CFC" w14:paraId="3CF58B48" w14:textId="77777777" w:rsidTr="00441FE4">
        <w:tc>
          <w:tcPr>
            <w:tcW w:w="962" w:type="pct"/>
            <w:vAlign w:val="center"/>
          </w:tcPr>
          <w:p w14:paraId="07AB941B" w14:textId="77777777" w:rsidR="002B2CFC" w:rsidRPr="002B2CFC" w:rsidRDefault="002B2CFC" w:rsidP="002B2CFC">
            <w:pPr>
              <w:keepNext/>
              <w:keepLines/>
              <w:jc w:val="center"/>
              <w:rPr>
                <w:sz w:val="20"/>
                <w:lang w:val="en-US" w:eastAsia="en-US"/>
              </w:rPr>
            </w:pPr>
            <w:r w:rsidRPr="002B2CFC">
              <w:rPr>
                <w:sz w:val="20"/>
                <w:lang w:val="en-US" w:eastAsia="en-US"/>
              </w:rPr>
              <w:t>1.0</w:t>
            </w:r>
          </w:p>
        </w:tc>
        <w:tc>
          <w:tcPr>
            <w:tcW w:w="1019" w:type="pct"/>
          </w:tcPr>
          <w:p w14:paraId="5C5D8827" w14:textId="77777777" w:rsidR="002B2CFC" w:rsidRPr="002B2CFC" w:rsidRDefault="002B2CFC" w:rsidP="002B2CFC">
            <w:pPr>
              <w:keepNext/>
              <w:keepLines/>
              <w:jc w:val="center"/>
              <w:rPr>
                <w:sz w:val="20"/>
                <w:lang w:val="en-US" w:eastAsia="en-US"/>
              </w:rPr>
            </w:pPr>
            <w:r w:rsidRPr="002B2CFC">
              <w:rPr>
                <w:sz w:val="20"/>
                <w:lang w:val="en-US" w:eastAsia="en-US"/>
              </w:rPr>
              <w:t>64</w:t>
            </w:r>
          </w:p>
        </w:tc>
        <w:tc>
          <w:tcPr>
            <w:tcW w:w="1019" w:type="pct"/>
          </w:tcPr>
          <w:p w14:paraId="0B3D30CA" w14:textId="77777777" w:rsidR="002B2CFC" w:rsidRPr="002B2CFC" w:rsidRDefault="002B2CFC" w:rsidP="002B2CFC">
            <w:pPr>
              <w:keepNext/>
              <w:keepLines/>
              <w:jc w:val="center"/>
              <w:rPr>
                <w:sz w:val="20"/>
                <w:lang w:val="en-US" w:eastAsia="en-US"/>
              </w:rPr>
            </w:pPr>
            <w:r w:rsidRPr="002B2CFC">
              <w:rPr>
                <w:sz w:val="20"/>
                <w:lang w:val="en-US" w:eastAsia="en-US"/>
              </w:rPr>
              <w:t>39</w:t>
            </w:r>
          </w:p>
        </w:tc>
        <w:tc>
          <w:tcPr>
            <w:tcW w:w="1019" w:type="pct"/>
          </w:tcPr>
          <w:p w14:paraId="45856915" w14:textId="77777777" w:rsidR="002B2CFC" w:rsidRPr="002B2CFC" w:rsidRDefault="002B2CFC" w:rsidP="002B2CFC">
            <w:pPr>
              <w:keepNext/>
              <w:keepLines/>
              <w:jc w:val="center"/>
              <w:rPr>
                <w:sz w:val="20"/>
                <w:lang w:val="en-US" w:eastAsia="en-US"/>
              </w:rPr>
            </w:pPr>
            <w:r w:rsidRPr="002B2CFC">
              <w:rPr>
                <w:sz w:val="20"/>
                <w:lang w:val="en-US" w:eastAsia="en-US"/>
              </w:rPr>
              <w:t>47</w:t>
            </w:r>
          </w:p>
        </w:tc>
        <w:tc>
          <w:tcPr>
            <w:tcW w:w="982" w:type="pct"/>
          </w:tcPr>
          <w:p w14:paraId="2A1D3135" w14:textId="77777777" w:rsidR="002B2CFC" w:rsidRPr="002B2CFC" w:rsidRDefault="002B2CFC" w:rsidP="002B2CFC">
            <w:pPr>
              <w:keepNext/>
              <w:keepLines/>
              <w:jc w:val="center"/>
              <w:rPr>
                <w:sz w:val="20"/>
                <w:lang w:val="en-US" w:eastAsia="en-US"/>
              </w:rPr>
            </w:pPr>
            <w:r w:rsidRPr="002B2CFC">
              <w:rPr>
                <w:sz w:val="20"/>
                <w:lang w:val="en-US" w:eastAsia="en-US"/>
              </w:rPr>
              <w:t>80*</w:t>
            </w:r>
          </w:p>
        </w:tc>
      </w:tr>
      <w:tr w:rsidR="002B2CFC" w:rsidRPr="002B2CFC" w14:paraId="18FE082E" w14:textId="77777777" w:rsidTr="00441FE4">
        <w:tc>
          <w:tcPr>
            <w:tcW w:w="962" w:type="pct"/>
            <w:vAlign w:val="center"/>
          </w:tcPr>
          <w:p w14:paraId="32ED1882" w14:textId="77777777" w:rsidR="002B2CFC" w:rsidRPr="002B2CFC" w:rsidRDefault="002B2CFC" w:rsidP="002B2CFC">
            <w:pPr>
              <w:keepNext/>
              <w:keepLines/>
              <w:jc w:val="center"/>
              <w:rPr>
                <w:sz w:val="20"/>
                <w:lang w:val="en-US" w:eastAsia="en-US"/>
              </w:rPr>
            </w:pPr>
            <w:r w:rsidRPr="002B2CFC">
              <w:rPr>
                <w:sz w:val="20"/>
                <w:lang w:val="en-US" w:eastAsia="en-US"/>
              </w:rPr>
              <w:t>2.5</w:t>
            </w:r>
          </w:p>
        </w:tc>
        <w:tc>
          <w:tcPr>
            <w:tcW w:w="1019" w:type="pct"/>
          </w:tcPr>
          <w:p w14:paraId="4CD1F46A" w14:textId="77777777" w:rsidR="002B2CFC" w:rsidRPr="002B2CFC" w:rsidRDefault="002B2CFC" w:rsidP="002B2CFC">
            <w:pPr>
              <w:keepNext/>
              <w:keepLines/>
              <w:jc w:val="center"/>
              <w:rPr>
                <w:sz w:val="20"/>
                <w:lang w:val="en-US" w:eastAsia="en-US"/>
              </w:rPr>
            </w:pPr>
            <w:r w:rsidRPr="002B2CFC">
              <w:rPr>
                <w:sz w:val="20"/>
                <w:lang w:val="en-US" w:eastAsia="en-US"/>
              </w:rPr>
              <w:t>118*</w:t>
            </w:r>
          </w:p>
        </w:tc>
        <w:tc>
          <w:tcPr>
            <w:tcW w:w="1019" w:type="pct"/>
          </w:tcPr>
          <w:p w14:paraId="2D9A6166" w14:textId="77777777" w:rsidR="002B2CFC" w:rsidRPr="002B2CFC" w:rsidRDefault="002B2CFC" w:rsidP="002B2CFC">
            <w:pPr>
              <w:keepNext/>
              <w:keepLines/>
              <w:jc w:val="center"/>
              <w:rPr>
                <w:sz w:val="20"/>
                <w:lang w:val="en-US" w:eastAsia="en-US"/>
              </w:rPr>
            </w:pPr>
            <w:r w:rsidRPr="002B2CFC">
              <w:rPr>
                <w:sz w:val="20"/>
                <w:lang w:val="en-US" w:eastAsia="en-US"/>
              </w:rPr>
              <w:t>82</w:t>
            </w:r>
          </w:p>
        </w:tc>
        <w:tc>
          <w:tcPr>
            <w:tcW w:w="1019" w:type="pct"/>
          </w:tcPr>
          <w:p w14:paraId="16974632" w14:textId="77777777" w:rsidR="002B2CFC" w:rsidRPr="002B2CFC" w:rsidRDefault="002B2CFC" w:rsidP="002B2CFC">
            <w:pPr>
              <w:keepNext/>
              <w:keepLines/>
              <w:jc w:val="center"/>
              <w:rPr>
                <w:sz w:val="20"/>
                <w:lang w:val="en-US" w:eastAsia="en-US"/>
              </w:rPr>
            </w:pPr>
            <w:r w:rsidRPr="002B2CFC">
              <w:rPr>
                <w:sz w:val="20"/>
                <w:lang w:val="en-US" w:eastAsia="en-US"/>
              </w:rPr>
              <w:t>133*</w:t>
            </w:r>
          </w:p>
        </w:tc>
        <w:tc>
          <w:tcPr>
            <w:tcW w:w="982" w:type="pct"/>
          </w:tcPr>
          <w:p w14:paraId="446CB239" w14:textId="77777777" w:rsidR="002B2CFC" w:rsidRPr="002B2CFC" w:rsidRDefault="002B2CFC" w:rsidP="002B2CFC">
            <w:pPr>
              <w:keepNext/>
              <w:keepLines/>
              <w:jc w:val="center"/>
              <w:rPr>
                <w:sz w:val="20"/>
                <w:lang w:val="en-US" w:eastAsia="en-US"/>
              </w:rPr>
            </w:pPr>
            <w:r w:rsidRPr="002B2CFC">
              <w:rPr>
                <w:sz w:val="20"/>
                <w:lang w:val="en-US" w:eastAsia="en-US"/>
              </w:rPr>
              <w:t>171 *</w:t>
            </w:r>
          </w:p>
        </w:tc>
      </w:tr>
      <w:tr w:rsidR="002B2CFC" w:rsidRPr="002B2CFC" w14:paraId="3792D0AE" w14:textId="77777777" w:rsidTr="00441FE4">
        <w:tc>
          <w:tcPr>
            <w:tcW w:w="962" w:type="pct"/>
            <w:vAlign w:val="center"/>
          </w:tcPr>
          <w:p w14:paraId="648C8D86" w14:textId="77777777" w:rsidR="002B2CFC" w:rsidRPr="002B2CFC" w:rsidRDefault="002B2CFC" w:rsidP="002B2CFC">
            <w:pPr>
              <w:keepNext/>
              <w:keepLines/>
              <w:jc w:val="center"/>
              <w:rPr>
                <w:sz w:val="20"/>
                <w:lang w:val="en-US" w:eastAsia="en-US"/>
              </w:rPr>
            </w:pPr>
            <w:r w:rsidRPr="002B2CFC">
              <w:rPr>
                <w:sz w:val="20"/>
                <w:lang w:val="en-US" w:eastAsia="en-US"/>
              </w:rPr>
              <w:t>5.0</w:t>
            </w:r>
          </w:p>
        </w:tc>
        <w:tc>
          <w:tcPr>
            <w:tcW w:w="1019" w:type="pct"/>
          </w:tcPr>
          <w:p w14:paraId="7F1E2C16" w14:textId="77777777" w:rsidR="002B2CFC" w:rsidRPr="002B2CFC" w:rsidRDefault="002B2CFC" w:rsidP="002B2CFC">
            <w:pPr>
              <w:keepNext/>
              <w:keepLines/>
              <w:jc w:val="center"/>
              <w:rPr>
                <w:sz w:val="20"/>
                <w:lang w:val="en-US" w:eastAsia="en-US"/>
              </w:rPr>
            </w:pPr>
            <w:r w:rsidRPr="002B2CFC">
              <w:rPr>
                <w:sz w:val="20"/>
                <w:lang w:val="en-US" w:eastAsia="en-US"/>
              </w:rPr>
              <w:t>334*</w:t>
            </w:r>
          </w:p>
        </w:tc>
        <w:tc>
          <w:tcPr>
            <w:tcW w:w="1019" w:type="pct"/>
          </w:tcPr>
          <w:p w14:paraId="438E4319" w14:textId="77777777" w:rsidR="002B2CFC" w:rsidRPr="002B2CFC" w:rsidRDefault="002B2CFC" w:rsidP="002B2CFC">
            <w:pPr>
              <w:keepNext/>
              <w:keepLines/>
              <w:jc w:val="center"/>
              <w:rPr>
                <w:sz w:val="20"/>
                <w:lang w:val="en-US" w:eastAsia="en-US"/>
              </w:rPr>
            </w:pPr>
            <w:r w:rsidRPr="002B2CFC">
              <w:rPr>
                <w:sz w:val="20"/>
                <w:lang w:val="en-US" w:eastAsia="en-US"/>
              </w:rPr>
              <w:t>186</w:t>
            </w:r>
          </w:p>
        </w:tc>
        <w:tc>
          <w:tcPr>
            <w:tcW w:w="1019" w:type="pct"/>
          </w:tcPr>
          <w:p w14:paraId="43B100B5" w14:textId="77777777" w:rsidR="002B2CFC" w:rsidRPr="002B2CFC" w:rsidRDefault="002B2CFC" w:rsidP="002B2CFC">
            <w:pPr>
              <w:keepNext/>
              <w:keepLines/>
              <w:jc w:val="center"/>
              <w:rPr>
                <w:sz w:val="20"/>
                <w:lang w:val="en-US" w:eastAsia="en-US"/>
              </w:rPr>
            </w:pPr>
            <w:r w:rsidRPr="002B2CFC">
              <w:rPr>
                <w:sz w:val="20"/>
                <w:lang w:val="en-US" w:eastAsia="en-US"/>
              </w:rPr>
              <w:t>216</w:t>
            </w:r>
          </w:p>
        </w:tc>
        <w:tc>
          <w:tcPr>
            <w:tcW w:w="982" w:type="pct"/>
          </w:tcPr>
          <w:p w14:paraId="7874E56F" w14:textId="77777777" w:rsidR="002B2CFC" w:rsidRPr="002B2CFC" w:rsidRDefault="002B2CFC" w:rsidP="002B2CFC">
            <w:pPr>
              <w:keepNext/>
              <w:keepLines/>
              <w:jc w:val="center"/>
              <w:rPr>
                <w:sz w:val="20"/>
                <w:lang w:val="en-US" w:eastAsia="en-US"/>
              </w:rPr>
            </w:pPr>
            <w:r w:rsidRPr="002B2CFC">
              <w:rPr>
                <w:sz w:val="20"/>
                <w:lang w:val="en-US" w:eastAsia="en-US"/>
              </w:rPr>
              <w:t>243*</w:t>
            </w:r>
          </w:p>
        </w:tc>
      </w:tr>
    </w:tbl>
    <w:p w14:paraId="165C78B5" w14:textId="77777777" w:rsidR="002B2CFC" w:rsidRPr="002B2CFC" w:rsidRDefault="002B2CFC" w:rsidP="002B2CFC">
      <w:pPr>
        <w:keepNext/>
        <w:keepLines/>
        <w:rPr>
          <w:sz w:val="20"/>
          <w:lang w:val="en-US" w:eastAsia="en-US"/>
        </w:rPr>
      </w:pPr>
      <w:r w:rsidRPr="002B2CFC">
        <w:rPr>
          <w:noProof/>
          <w:sz w:val="20"/>
          <w:lang w:val="en-US" w:eastAsia="en-US"/>
        </w:rPr>
        <w:t>Rounded data presented; ng/g wet weight;</w:t>
      </w:r>
      <w:r w:rsidRPr="002B2CFC">
        <w:rPr>
          <w:sz w:val="20"/>
          <w:lang w:val="en-US" w:eastAsia="en-US"/>
        </w:rPr>
        <w:t xml:space="preserve"> * cf. 13 week old rats at p&lt;0.05 (t-test); ** cf. 13 week old rats at p&lt;0.01 (t-test).</w:t>
      </w:r>
    </w:p>
    <w:p w14:paraId="748F74E4" w14:textId="77777777" w:rsidR="002B2CFC" w:rsidRPr="002B2CFC" w:rsidRDefault="002B2CFC" w:rsidP="002B2CFC">
      <w:pPr>
        <w:rPr>
          <w:szCs w:val="24"/>
          <w:lang w:val="en-US" w:eastAsia="en-US"/>
        </w:rPr>
      </w:pPr>
    </w:p>
    <w:p w14:paraId="3E84576C" w14:textId="77777777" w:rsidR="002B2CFC" w:rsidRPr="002B2CFC" w:rsidRDefault="002B2CFC" w:rsidP="009E40A8">
      <w:pPr>
        <w:spacing w:before="120"/>
        <w:rPr>
          <w:szCs w:val="24"/>
          <w:lang w:val="en-US" w:eastAsia="en-US"/>
        </w:rPr>
      </w:pPr>
      <w:r w:rsidRPr="002B2CFC">
        <w:rPr>
          <w:szCs w:val="24"/>
          <w:lang w:val="en-US" w:eastAsia="en-US"/>
        </w:rPr>
        <w:lastRenderedPageBreak/>
        <w:t>Brain paraquat levels in rats treated at 5 mg/kg bw and then intracardially perfused with saline prior to brain removal, were not significantly different from the levels found in non-perfused rats (194.7 ± 9.9 versus 216.0 ± 22.6 ng/g wet brain weight, respectively). This finding suggested that paraquat concentrations measured in the brain were not influenced by any located in the cerebral circulation.</w:t>
      </w:r>
    </w:p>
    <w:p w14:paraId="761AA92A" w14:textId="77777777" w:rsidR="002B2CFC" w:rsidRPr="002B2CFC" w:rsidRDefault="002B2CFC" w:rsidP="00CB729E">
      <w:pPr>
        <w:rPr>
          <w:szCs w:val="24"/>
          <w:lang w:val="en-US" w:eastAsia="en-US"/>
        </w:rPr>
      </w:pPr>
    </w:p>
    <w:p w14:paraId="77D8B5C7" w14:textId="77777777" w:rsidR="002B2CFC" w:rsidRPr="002B2CFC" w:rsidRDefault="002B2CFC" w:rsidP="00845CCC">
      <w:pPr>
        <w:rPr>
          <w:b/>
          <w:i/>
          <w:szCs w:val="24"/>
          <w:lang w:eastAsia="en-US"/>
        </w:rPr>
      </w:pPr>
      <w:bookmarkStart w:id="72" w:name="OLE_LINK5"/>
      <w:bookmarkStart w:id="73" w:name="OLE_LINK6"/>
      <w:r w:rsidRPr="000E275D">
        <w:rPr>
          <w:b/>
          <w:szCs w:val="24"/>
          <w:lang w:eastAsia="en-US"/>
        </w:rPr>
        <w:t>Widdowson</w:t>
      </w:r>
      <w:bookmarkEnd w:id="72"/>
      <w:bookmarkEnd w:id="73"/>
      <w:r w:rsidRPr="000E275D">
        <w:rPr>
          <w:b/>
          <w:szCs w:val="24"/>
          <w:lang w:eastAsia="en-US"/>
        </w:rPr>
        <w:t xml:space="preserve"> PS, Farnworth MJ, Simpson MG &amp; Lock EA (1996a) Influence of age on the passage of paraquat through the blood-brain barrier in rats: A distribution and pathological examination.</w:t>
      </w:r>
      <w:r w:rsidRPr="002B2CFC">
        <w:rPr>
          <w:b/>
          <w:i/>
          <w:szCs w:val="24"/>
          <w:lang w:eastAsia="en-US"/>
        </w:rPr>
        <w:t xml:space="preserve"> Hum Exp Toxicol 15: 231-236.</w:t>
      </w:r>
    </w:p>
    <w:p w14:paraId="4FC28782" w14:textId="72FA1AD7" w:rsidR="002B2CFC" w:rsidRPr="002B2CFC" w:rsidRDefault="00F75082" w:rsidP="002B2CFC">
      <w:pPr>
        <w:spacing w:before="120"/>
        <w:rPr>
          <w:szCs w:val="24"/>
          <w:lang w:eastAsia="en-US"/>
        </w:rPr>
      </w:pPr>
      <w:r>
        <w:rPr>
          <w:szCs w:val="24"/>
          <w:lang w:eastAsia="en-US"/>
        </w:rPr>
        <w:t xml:space="preserve">To examine the effect of age on brain exposure to paraquat, </w:t>
      </w:r>
      <w:r w:rsidR="002B2CFC" w:rsidRPr="002B2CFC">
        <w:rPr>
          <w:szCs w:val="24"/>
          <w:lang w:eastAsia="en-US"/>
        </w:rPr>
        <w:t xml:space="preserve"> a single median lethal dose of [</w:t>
      </w:r>
      <w:r w:rsidR="002B2CFC" w:rsidRPr="002B2CFC">
        <w:rPr>
          <w:szCs w:val="24"/>
          <w:vertAlign w:val="superscript"/>
          <w:lang w:eastAsia="en-US"/>
        </w:rPr>
        <w:t>14</w:t>
      </w:r>
      <w:r w:rsidR="002B2CFC" w:rsidRPr="002B2CFC">
        <w:rPr>
          <w:szCs w:val="24"/>
          <w:lang w:eastAsia="en-US"/>
        </w:rPr>
        <w:t>C]</w:t>
      </w:r>
      <w:r w:rsidR="00A14648">
        <w:rPr>
          <w:szCs w:val="24"/>
          <w:lang w:eastAsia="en-US"/>
        </w:rPr>
        <w:t>-</w:t>
      </w:r>
      <w:r w:rsidR="002B2CFC" w:rsidRPr="002B2CFC">
        <w:rPr>
          <w:szCs w:val="24"/>
          <w:lang w:eastAsia="en-US"/>
        </w:rPr>
        <w:t xml:space="preserve">paraquat of 20 mg/kg bw </w:t>
      </w:r>
      <w:r>
        <w:rPr>
          <w:szCs w:val="24"/>
          <w:lang w:eastAsia="en-US"/>
        </w:rPr>
        <w:t xml:space="preserve">was </w:t>
      </w:r>
      <w:r w:rsidRPr="002B2CFC">
        <w:rPr>
          <w:szCs w:val="24"/>
          <w:lang w:eastAsia="en-US"/>
        </w:rPr>
        <w:t xml:space="preserve">administered </w:t>
      </w:r>
      <w:r>
        <w:rPr>
          <w:szCs w:val="24"/>
          <w:lang w:eastAsia="en-US"/>
        </w:rPr>
        <w:t xml:space="preserve">via </w:t>
      </w:r>
      <w:r w:rsidRPr="002B2CFC">
        <w:rPr>
          <w:szCs w:val="24"/>
          <w:lang w:eastAsia="en-US"/>
        </w:rPr>
        <w:t>sc</w:t>
      </w:r>
      <w:r>
        <w:rPr>
          <w:szCs w:val="24"/>
          <w:lang w:eastAsia="en-US"/>
        </w:rPr>
        <w:t xml:space="preserve"> injection</w:t>
      </w:r>
      <w:r w:rsidRPr="002B2CFC">
        <w:rPr>
          <w:b/>
          <w:szCs w:val="24"/>
          <w:lang w:eastAsia="en-US"/>
        </w:rPr>
        <w:t xml:space="preserve"> </w:t>
      </w:r>
      <w:r w:rsidR="002B2CFC" w:rsidRPr="002B2CFC">
        <w:rPr>
          <w:szCs w:val="24"/>
          <w:lang w:eastAsia="en-US"/>
        </w:rPr>
        <w:t xml:space="preserve">to neonatal male and female rats (10 day old), male adult (3 month old) and male elderly (18 month old) rats. </w:t>
      </w:r>
    </w:p>
    <w:p w14:paraId="74D55593" w14:textId="77777777" w:rsidR="00D133D4" w:rsidRDefault="00D133D4" w:rsidP="002B2CFC">
      <w:pPr>
        <w:spacing w:before="120"/>
        <w:rPr>
          <w:szCs w:val="24"/>
          <w:lang w:val="en-US" w:eastAsia="en-US"/>
        </w:rPr>
      </w:pPr>
    </w:p>
    <w:p w14:paraId="3740CFF4" w14:textId="33970842" w:rsidR="00D133D4" w:rsidRDefault="00D133D4" w:rsidP="00D133D4">
      <w:r>
        <w:rPr>
          <w:i/>
        </w:rPr>
        <w:t>Experimental</w:t>
      </w:r>
      <w:r>
        <w:t>: Groups of between 6-8 male and female neonatal (10-day old), male adult (3-month old) and male aged rats (18-month old) (Alpk:Apfsd, Wistar-derived; body weight unspecified) were given a single sc injection of [</w:t>
      </w:r>
      <w:r>
        <w:rPr>
          <w:vertAlign w:val="superscript"/>
        </w:rPr>
        <w:t>14</w:t>
      </w:r>
      <w:r>
        <w:t>C]</w:t>
      </w:r>
      <w:r w:rsidR="00A14648">
        <w:t>-</w:t>
      </w:r>
      <w:r>
        <w:t xml:space="preserve">paraquat (103 mCi/mmol, &gt; 98% purity; Cambridge Research Biochemicals, Gadbrook Park, Northwich, Cheshire, UK) at 20 mg/kg bw (equivalent to 14.4 mg/kg bw paraquat cation) in a dose volume of 2 mL/kg bw. Rats were observed periodically for any signs of toxicity or abnormal behaviour and sacrificed when deemed to be moderately stressed. At 0.5 and 24 h post-dose, rats were sacrificed with an overdose of sodium pentobarbitone and their brains, liver, lungs, kidneys and blood collected. Paraquat levels in plasma and tissues were determined by LSC. Paraquat levels in various regions of the brain were measured by quantitative autoradiography as described by Naylor </w:t>
      </w:r>
      <w:r w:rsidRPr="0058670C">
        <w:rPr>
          <w:i/>
        </w:rPr>
        <w:t>et al</w:t>
      </w:r>
      <w:r>
        <w:t xml:space="preserve"> (1995). To determine the amount of paraquat that was confined to the blood in each organ, groups of rats were perfused transcardially with saline at 0.5 and 24 h after dosing, prior to paraquat analysis. In a separate experiment, neonatal, adult and aged rats (4/group) were given a single sc injection of 20 mg/kg bw paraquat (equivalent to 14.4 mg/kg bw) or water (10 mL/kg bw, controls). Rats were sacrificed 24 and 48 h after dosing and their brains histopathologically examined following staining with haematoxylin and eosin.</w:t>
      </w:r>
    </w:p>
    <w:p w14:paraId="4C769EAE" w14:textId="77777777" w:rsidR="00D133D4" w:rsidRDefault="00D133D4" w:rsidP="00D133D4"/>
    <w:p w14:paraId="7DB24748" w14:textId="77777777" w:rsidR="00D133D4" w:rsidRDefault="00D133D4" w:rsidP="00D133D4">
      <w:r>
        <w:rPr>
          <w:i/>
        </w:rPr>
        <w:t>Findings</w:t>
      </w:r>
      <w:r>
        <w:t>: The presence/absence of clinical signs or behavioural abnormalities were unreported. The brains of all paraquat-treated and control rats appeared normal and did not show any evidence of neuronal death. Graphically presented data illustrated that at 0.5 h after dosing, relatively low levels of paraquat were detected in the brain, liver and lung from all 3 ages of rats. While there was no difference in lung paraquat levels, brain and liver concentrations were significantly different across all age groups (p&lt;0.01-0.001, ANOVA) with paraquat levels in the brains of aged rats significantly higher than neonatal and adult rats. Relatively high levels of paraquat were found in the kidney, with concentrations in adult and aged rats significantly higher than neonatal rats (p&lt;0.001, ANOVA). Renal paraquat levels were comparable between adult and aged rats.</w:t>
      </w:r>
    </w:p>
    <w:p w14:paraId="3B659FB3" w14:textId="77777777" w:rsidR="00D133D4" w:rsidRDefault="00D133D4" w:rsidP="00D133D4"/>
    <w:p w14:paraId="44AC6A52" w14:textId="77777777" w:rsidR="00D133D4" w:rsidRDefault="00D133D4" w:rsidP="00D133D4">
      <w:r>
        <w:t xml:space="preserve">Graphically presented data revealed that concentrations of paraquat in the lung, liver and kidneys had fallen by 24 h. Renal levels had decreased to between 2-8% of the levels measured at 30 minutes in all age groups, and were not significantly different to each other. Lung paraquat levels had fallen by approximately 50% in neonates, while an 85% decrease was observed in both adult and aged rats. Liver paraquat concentrations had fallen by 60% in neonates, while an 80 and 90% reduction was seen in adult and aged rats, respectively. Neonatal lung and liver </w:t>
      </w:r>
      <w:r>
        <w:lastRenderedPageBreak/>
        <w:t>paraquat levels were significantly higher than those in adult and aged rats (p&lt;0.05-0.001, ANOVA). At 24 h, neonatal brain paraquat level had not decreased relative to the levels measured at 30 minutes, while in adult and aged rats, the concentration of paraquat in the brain had fallen to 14-16% of the 30 minute levels. Statistical analysis revealed that neonatal brains had significantly higher paraquat levels than adult and aged rats 24 h after dosing (p&lt;0.001, ANOVA).</w:t>
      </w:r>
    </w:p>
    <w:p w14:paraId="2577B2E4" w14:textId="77777777" w:rsidR="00D133D4" w:rsidRDefault="00D133D4" w:rsidP="00D133D4"/>
    <w:p w14:paraId="7C16AC44" w14:textId="77777777" w:rsidR="00D133D4" w:rsidRDefault="00D133D4" w:rsidP="00D133D4">
      <w:r>
        <w:t>In the brain, liver and lungs of adult and aged rats, paraquat was not located in the blood of each organ as perfusion did not significantly reduce tissue paraquat concentrations at either 0.5 or 24 h post-dose. Perfusion of adult rats resulted in a 60% decrease in renal paraquat levels (p&lt;0.05, t-test) at 0.5 but not 24 h post-dose. The later finding suggested that the majority of paraquat detected in the kidneys at 0.5 h is confined to the blood.</w:t>
      </w:r>
    </w:p>
    <w:p w14:paraId="0CDBABEF" w14:textId="77777777" w:rsidR="00D133D4" w:rsidRDefault="00D133D4" w:rsidP="00D133D4"/>
    <w:p w14:paraId="625FB3C8" w14:textId="5CF77FC9" w:rsidR="00D133D4" w:rsidRDefault="00D133D4" w:rsidP="00D133D4">
      <w:r>
        <w:t xml:space="preserve">Quantitative autoradiography revealed that the highest concentration of </w:t>
      </w:r>
      <w:r w:rsidR="00742FA9">
        <w:t>radioactivity</w:t>
      </w:r>
      <w:r>
        <w:t xml:space="preserve"> was detected in the anterior olfactory bulb, ventral hypothalamus and the area postrema of the medulla oblongata in all 3 age groups (see </w:t>
      </w:r>
      <w:r w:rsidR="003A31EB">
        <w:fldChar w:fldCharType="begin"/>
      </w:r>
      <w:r w:rsidR="003A31EB">
        <w:instrText xml:space="preserve"> REF _Ref421025470 </w:instrText>
      </w:r>
      <w:r w:rsidR="003A31EB">
        <w:fldChar w:fldCharType="separate"/>
      </w:r>
      <w:r w:rsidR="000E54B2">
        <w:t xml:space="preserve">Table </w:t>
      </w:r>
      <w:r w:rsidR="000E54B2">
        <w:rPr>
          <w:noProof/>
        </w:rPr>
        <w:t>8</w:t>
      </w:r>
      <w:r w:rsidR="003A31EB">
        <w:rPr>
          <w:noProof/>
        </w:rPr>
        <w:fldChar w:fldCharType="end"/>
      </w:r>
      <w:r w:rsidR="00EB102B">
        <w:t xml:space="preserve"> </w:t>
      </w:r>
      <w:r w:rsidR="003A31EB">
        <w:fldChar w:fldCharType="begin"/>
      </w:r>
      <w:r w:rsidR="003A31EB">
        <w:instrText xml:space="preserve"> REF _Ref459028280 \p </w:instrText>
      </w:r>
      <w:r w:rsidR="003A31EB">
        <w:fldChar w:fldCharType="separate"/>
      </w:r>
      <w:r w:rsidR="000E54B2">
        <w:t>below</w:t>
      </w:r>
      <w:r w:rsidR="003A31EB">
        <w:fldChar w:fldCharType="end"/>
      </w:r>
      <w:r>
        <w:t xml:space="preserve">). The lowest concentrations were detected in the medulla adjacent to the area postrema and in deeper structures like the cerebral cortex, </w:t>
      </w:r>
      <w:r w:rsidR="00742FA9">
        <w:t>SN</w:t>
      </w:r>
      <w:r>
        <w:t xml:space="preserve"> and med</w:t>
      </w:r>
      <w:r w:rsidR="00EB102B">
        <w:t>ulla oblongata</w:t>
      </w:r>
      <w:r>
        <w:t xml:space="preserve">. From 0.5 to 24 h after dosing, </w:t>
      </w:r>
      <w:r w:rsidR="00742FA9">
        <w:t>radioactivity</w:t>
      </w:r>
      <w:r>
        <w:t xml:space="preserve"> in these deeper lying regions, like the striatum, hypothalamus and </w:t>
      </w:r>
      <w:r w:rsidR="00742FA9">
        <w:t>SN</w:t>
      </w:r>
      <w:r>
        <w:t xml:space="preserve"> increased in all age groups. Statistical analysis revealed no difference in levels between regions of adult and aged brains. In contrast, all regions of the neonatal brain had significantly higher levels of </w:t>
      </w:r>
      <w:r w:rsidR="00742FA9">
        <w:t>radioactivity</w:t>
      </w:r>
      <w:r>
        <w:t xml:space="preserve"> than either adult or aged rats (up to 10-fold higher levels i</w:t>
      </w:r>
      <w:r w:rsidR="00EB102B">
        <w:t>n some regions)</w:t>
      </w:r>
      <w:r>
        <w:t>.</w:t>
      </w:r>
    </w:p>
    <w:p w14:paraId="0C80F632" w14:textId="77777777" w:rsidR="00D133D4" w:rsidRDefault="00D133D4" w:rsidP="00D133D4">
      <w:pPr>
        <w:pStyle w:val="BodyText2"/>
      </w:pPr>
    </w:p>
    <w:p w14:paraId="4A719D47" w14:textId="1337545B" w:rsidR="001E5092" w:rsidRDefault="001E5092" w:rsidP="009D0D8F">
      <w:pPr>
        <w:pStyle w:val="Caption"/>
        <w:keepNext/>
        <w:spacing w:after="120"/>
      </w:pPr>
      <w:bookmarkStart w:id="74" w:name="_Ref421025470"/>
      <w:bookmarkStart w:id="75" w:name="_Ref459028280"/>
      <w:r>
        <w:t xml:space="preserve">Table </w:t>
      </w:r>
      <w:r w:rsidR="00897462">
        <w:fldChar w:fldCharType="begin"/>
      </w:r>
      <w:r>
        <w:instrText xml:space="preserve"> SEQ Table \* ARABIC </w:instrText>
      </w:r>
      <w:r w:rsidR="00897462">
        <w:fldChar w:fldCharType="separate"/>
      </w:r>
      <w:r w:rsidR="000E54B2">
        <w:rPr>
          <w:noProof/>
        </w:rPr>
        <w:t>8</w:t>
      </w:r>
      <w:r w:rsidR="00897462">
        <w:fldChar w:fldCharType="end"/>
      </w:r>
      <w:bookmarkEnd w:id="74"/>
      <w:r>
        <w:t xml:space="preserve">. </w:t>
      </w:r>
      <w:r w:rsidR="00742FA9">
        <w:t>[</w:t>
      </w:r>
      <w:r w:rsidR="00742FA9">
        <w:rPr>
          <w:vertAlign w:val="superscript"/>
        </w:rPr>
        <w:t>14</w:t>
      </w:r>
      <w:r w:rsidR="00742FA9">
        <w:t>C]</w:t>
      </w:r>
      <w:r w:rsidR="00A14648">
        <w:t>-</w:t>
      </w:r>
      <w:r w:rsidR="00742FA9">
        <w:t xml:space="preserve">paraquat </w:t>
      </w:r>
      <w:r w:rsidRPr="00CD0C66">
        <w:t xml:space="preserve"> concentrations (nmol/g tissue) in various regions of the brain of neonatal, adult and aged rats at 0.5 and 24 h after a single dose (20 mg/kg bw, sc)</w:t>
      </w:r>
      <w:bookmarkEnd w:id="7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417"/>
        <w:gridCol w:w="1276"/>
        <w:gridCol w:w="992"/>
        <w:gridCol w:w="993"/>
        <w:gridCol w:w="1134"/>
        <w:gridCol w:w="1275"/>
      </w:tblGrid>
      <w:tr w:rsidR="00D133D4" w14:paraId="6C25F0E1" w14:textId="77777777" w:rsidTr="000E221D">
        <w:trPr>
          <w:cantSplit/>
          <w:tblHeader/>
        </w:trPr>
        <w:tc>
          <w:tcPr>
            <w:tcW w:w="1985" w:type="dxa"/>
            <w:vMerge w:val="restart"/>
            <w:shd w:val="clear" w:color="auto" w:fill="BFBFBF" w:themeFill="background1" w:themeFillShade="BF"/>
            <w:vAlign w:val="center"/>
          </w:tcPr>
          <w:p w14:paraId="03AB80B7" w14:textId="77777777" w:rsidR="00D133D4" w:rsidRDefault="00D133D4" w:rsidP="00DC07C7">
            <w:pPr>
              <w:rPr>
                <w:b/>
                <w:sz w:val="20"/>
              </w:rPr>
            </w:pPr>
            <w:r>
              <w:rPr>
                <w:b/>
                <w:sz w:val="20"/>
              </w:rPr>
              <w:t>Brain region</w:t>
            </w:r>
          </w:p>
        </w:tc>
        <w:tc>
          <w:tcPr>
            <w:tcW w:w="2693" w:type="dxa"/>
            <w:gridSpan w:val="2"/>
            <w:shd w:val="clear" w:color="auto" w:fill="BFBFBF" w:themeFill="background1" w:themeFillShade="BF"/>
          </w:tcPr>
          <w:p w14:paraId="6575B0BD" w14:textId="77777777" w:rsidR="00D133D4" w:rsidRDefault="00D133D4" w:rsidP="00DC07C7">
            <w:pPr>
              <w:jc w:val="center"/>
              <w:rPr>
                <w:b/>
                <w:sz w:val="20"/>
              </w:rPr>
            </w:pPr>
            <w:r>
              <w:rPr>
                <w:b/>
                <w:sz w:val="20"/>
              </w:rPr>
              <w:t>Neonates</w:t>
            </w:r>
          </w:p>
        </w:tc>
        <w:tc>
          <w:tcPr>
            <w:tcW w:w="1985" w:type="dxa"/>
            <w:gridSpan w:val="2"/>
            <w:shd w:val="clear" w:color="auto" w:fill="BFBFBF" w:themeFill="background1" w:themeFillShade="BF"/>
          </w:tcPr>
          <w:p w14:paraId="6F0A2EB4" w14:textId="77777777" w:rsidR="00D133D4" w:rsidRDefault="00D133D4" w:rsidP="00DC07C7">
            <w:pPr>
              <w:jc w:val="center"/>
              <w:rPr>
                <w:b/>
                <w:sz w:val="20"/>
              </w:rPr>
            </w:pPr>
            <w:r>
              <w:rPr>
                <w:b/>
                <w:sz w:val="20"/>
              </w:rPr>
              <w:t>Adults</w:t>
            </w:r>
          </w:p>
        </w:tc>
        <w:tc>
          <w:tcPr>
            <w:tcW w:w="2409" w:type="dxa"/>
            <w:gridSpan w:val="2"/>
            <w:shd w:val="clear" w:color="auto" w:fill="BFBFBF" w:themeFill="background1" w:themeFillShade="BF"/>
          </w:tcPr>
          <w:p w14:paraId="74AEACBE" w14:textId="77777777" w:rsidR="00D133D4" w:rsidRDefault="00D133D4" w:rsidP="00DC07C7">
            <w:pPr>
              <w:jc w:val="center"/>
              <w:rPr>
                <w:b/>
                <w:sz w:val="20"/>
              </w:rPr>
            </w:pPr>
            <w:r>
              <w:rPr>
                <w:b/>
                <w:sz w:val="20"/>
              </w:rPr>
              <w:t>Aged</w:t>
            </w:r>
          </w:p>
        </w:tc>
      </w:tr>
      <w:tr w:rsidR="00D133D4" w14:paraId="01154AB5" w14:textId="77777777" w:rsidTr="000E221D">
        <w:trPr>
          <w:cantSplit/>
          <w:tblHeader/>
        </w:trPr>
        <w:tc>
          <w:tcPr>
            <w:tcW w:w="1985" w:type="dxa"/>
            <w:vMerge/>
            <w:shd w:val="clear" w:color="auto" w:fill="BFBFBF" w:themeFill="background1" w:themeFillShade="BF"/>
          </w:tcPr>
          <w:p w14:paraId="0696CB52" w14:textId="77777777" w:rsidR="00D133D4" w:rsidRDefault="00D133D4" w:rsidP="00DC07C7">
            <w:pPr>
              <w:rPr>
                <w:sz w:val="20"/>
              </w:rPr>
            </w:pPr>
          </w:p>
        </w:tc>
        <w:tc>
          <w:tcPr>
            <w:tcW w:w="1417" w:type="dxa"/>
            <w:shd w:val="clear" w:color="auto" w:fill="BFBFBF" w:themeFill="background1" w:themeFillShade="BF"/>
          </w:tcPr>
          <w:p w14:paraId="6202CBB3" w14:textId="77777777" w:rsidR="00D133D4" w:rsidRDefault="00D133D4" w:rsidP="00DC07C7">
            <w:pPr>
              <w:jc w:val="center"/>
              <w:rPr>
                <w:b/>
                <w:sz w:val="20"/>
              </w:rPr>
            </w:pPr>
            <w:r>
              <w:rPr>
                <w:b/>
                <w:sz w:val="20"/>
              </w:rPr>
              <w:t>0.5 h</w:t>
            </w:r>
          </w:p>
        </w:tc>
        <w:tc>
          <w:tcPr>
            <w:tcW w:w="1276" w:type="dxa"/>
            <w:shd w:val="clear" w:color="auto" w:fill="BFBFBF" w:themeFill="background1" w:themeFillShade="BF"/>
          </w:tcPr>
          <w:p w14:paraId="204D73BC" w14:textId="77777777" w:rsidR="00D133D4" w:rsidRDefault="00D133D4" w:rsidP="00DC07C7">
            <w:pPr>
              <w:jc w:val="center"/>
              <w:rPr>
                <w:b/>
                <w:sz w:val="20"/>
              </w:rPr>
            </w:pPr>
            <w:r>
              <w:rPr>
                <w:b/>
                <w:sz w:val="20"/>
              </w:rPr>
              <w:t>24 h</w:t>
            </w:r>
          </w:p>
        </w:tc>
        <w:tc>
          <w:tcPr>
            <w:tcW w:w="992" w:type="dxa"/>
            <w:shd w:val="clear" w:color="auto" w:fill="BFBFBF" w:themeFill="background1" w:themeFillShade="BF"/>
          </w:tcPr>
          <w:p w14:paraId="565DC7BD" w14:textId="77777777" w:rsidR="00D133D4" w:rsidRDefault="00D133D4" w:rsidP="00DC07C7">
            <w:pPr>
              <w:jc w:val="center"/>
              <w:rPr>
                <w:b/>
                <w:sz w:val="20"/>
              </w:rPr>
            </w:pPr>
            <w:r>
              <w:rPr>
                <w:b/>
                <w:sz w:val="20"/>
              </w:rPr>
              <w:t>0.5 h</w:t>
            </w:r>
          </w:p>
        </w:tc>
        <w:tc>
          <w:tcPr>
            <w:tcW w:w="993" w:type="dxa"/>
            <w:shd w:val="clear" w:color="auto" w:fill="BFBFBF" w:themeFill="background1" w:themeFillShade="BF"/>
          </w:tcPr>
          <w:p w14:paraId="66C492B2" w14:textId="77777777" w:rsidR="00D133D4" w:rsidRDefault="00D133D4" w:rsidP="00DC07C7">
            <w:pPr>
              <w:jc w:val="center"/>
              <w:rPr>
                <w:b/>
                <w:sz w:val="20"/>
              </w:rPr>
            </w:pPr>
            <w:r>
              <w:rPr>
                <w:b/>
                <w:sz w:val="20"/>
              </w:rPr>
              <w:t>24 h</w:t>
            </w:r>
          </w:p>
        </w:tc>
        <w:tc>
          <w:tcPr>
            <w:tcW w:w="1134" w:type="dxa"/>
            <w:shd w:val="clear" w:color="auto" w:fill="BFBFBF" w:themeFill="background1" w:themeFillShade="BF"/>
          </w:tcPr>
          <w:p w14:paraId="1E3CAC3B" w14:textId="77777777" w:rsidR="00D133D4" w:rsidRDefault="00D133D4" w:rsidP="00DC07C7">
            <w:pPr>
              <w:jc w:val="center"/>
              <w:rPr>
                <w:b/>
                <w:sz w:val="20"/>
              </w:rPr>
            </w:pPr>
            <w:r>
              <w:rPr>
                <w:b/>
                <w:sz w:val="20"/>
              </w:rPr>
              <w:t>0.5 h</w:t>
            </w:r>
          </w:p>
        </w:tc>
        <w:tc>
          <w:tcPr>
            <w:tcW w:w="1275" w:type="dxa"/>
            <w:shd w:val="clear" w:color="auto" w:fill="BFBFBF" w:themeFill="background1" w:themeFillShade="BF"/>
          </w:tcPr>
          <w:p w14:paraId="18A806B0" w14:textId="77777777" w:rsidR="00D133D4" w:rsidRDefault="00D133D4" w:rsidP="00DC07C7">
            <w:pPr>
              <w:jc w:val="center"/>
              <w:rPr>
                <w:b/>
                <w:sz w:val="20"/>
              </w:rPr>
            </w:pPr>
            <w:r>
              <w:rPr>
                <w:b/>
                <w:sz w:val="20"/>
              </w:rPr>
              <w:t>24 h</w:t>
            </w:r>
          </w:p>
        </w:tc>
      </w:tr>
      <w:tr w:rsidR="00D133D4" w14:paraId="0B118DF6" w14:textId="77777777" w:rsidTr="00DC07C7">
        <w:trPr>
          <w:cantSplit/>
          <w:trHeight w:val="700"/>
        </w:trPr>
        <w:tc>
          <w:tcPr>
            <w:tcW w:w="1985" w:type="dxa"/>
          </w:tcPr>
          <w:p w14:paraId="28DFC125" w14:textId="77777777" w:rsidR="00D133D4" w:rsidRDefault="00D133D4" w:rsidP="00DC07C7">
            <w:pPr>
              <w:rPr>
                <w:sz w:val="20"/>
              </w:rPr>
            </w:pPr>
            <w:r>
              <w:rPr>
                <w:sz w:val="20"/>
              </w:rPr>
              <w:t>Olfactory bulb</w:t>
            </w:r>
          </w:p>
          <w:p w14:paraId="2B01758C" w14:textId="77777777" w:rsidR="00D133D4" w:rsidRDefault="00D133D4" w:rsidP="00DC07C7">
            <w:pPr>
              <w:rPr>
                <w:sz w:val="20"/>
              </w:rPr>
            </w:pPr>
            <w:r>
              <w:rPr>
                <w:sz w:val="20"/>
              </w:rPr>
              <w:t xml:space="preserve">     Anterior portion</w:t>
            </w:r>
          </w:p>
          <w:p w14:paraId="72073750" w14:textId="77777777" w:rsidR="00D133D4" w:rsidRDefault="00D133D4" w:rsidP="00DC07C7">
            <w:pPr>
              <w:rPr>
                <w:sz w:val="20"/>
              </w:rPr>
            </w:pPr>
            <w:r>
              <w:rPr>
                <w:sz w:val="20"/>
              </w:rPr>
              <w:t xml:space="preserve">     Posterior portion</w:t>
            </w:r>
          </w:p>
        </w:tc>
        <w:tc>
          <w:tcPr>
            <w:tcW w:w="1417" w:type="dxa"/>
          </w:tcPr>
          <w:p w14:paraId="19E1EA25" w14:textId="77777777" w:rsidR="00D133D4" w:rsidRDefault="00D133D4" w:rsidP="00DC07C7">
            <w:pPr>
              <w:jc w:val="center"/>
              <w:rPr>
                <w:sz w:val="20"/>
              </w:rPr>
            </w:pPr>
          </w:p>
          <w:p w14:paraId="0AE042DE" w14:textId="77777777" w:rsidR="00D133D4" w:rsidRDefault="00D133D4" w:rsidP="00DC07C7">
            <w:pPr>
              <w:jc w:val="center"/>
              <w:rPr>
                <w:sz w:val="20"/>
              </w:rPr>
            </w:pPr>
            <w:r>
              <w:rPr>
                <w:sz w:val="20"/>
              </w:rPr>
              <w:t xml:space="preserve">30.1 </w:t>
            </w:r>
            <w:r>
              <w:rPr>
                <w:sz w:val="20"/>
                <w:u w:val="single"/>
              </w:rPr>
              <w:t>+</w:t>
            </w:r>
            <w:r>
              <w:rPr>
                <w:sz w:val="20"/>
              </w:rPr>
              <w:t xml:space="preserve"> 3.7**</w:t>
            </w:r>
          </w:p>
          <w:p w14:paraId="587205AE" w14:textId="77777777" w:rsidR="00D133D4" w:rsidRDefault="00D133D4" w:rsidP="00DC07C7">
            <w:pPr>
              <w:jc w:val="center"/>
              <w:rPr>
                <w:sz w:val="20"/>
              </w:rPr>
            </w:pPr>
            <w:r>
              <w:rPr>
                <w:sz w:val="20"/>
              </w:rPr>
              <w:t xml:space="preserve">19.1 </w:t>
            </w:r>
            <w:r>
              <w:rPr>
                <w:sz w:val="20"/>
                <w:u w:val="single"/>
              </w:rPr>
              <w:t>+</w:t>
            </w:r>
            <w:r>
              <w:rPr>
                <w:sz w:val="20"/>
              </w:rPr>
              <w:t xml:space="preserve"> 1.9**</w:t>
            </w:r>
          </w:p>
        </w:tc>
        <w:tc>
          <w:tcPr>
            <w:tcW w:w="1276" w:type="dxa"/>
          </w:tcPr>
          <w:p w14:paraId="2950C58B" w14:textId="77777777" w:rsidR="00D133D4" w:rsidRDefault="00D133D4" w:rsidP="00DC07C7">
            <w:pPr>
              <w:jc w:val="center"/>
              <w:rPr>
                <w:sz w:val="20"/>
              </w:rPr>
            </w:pPr>
          </w:p>
          <w:p w14:paraId="1AB73D77" w14:textId="77777777" w:rsidR="00D133D4" w:rsidRDefault="00D133D4" w:rsidP="00DC07C7">
            <w:pPr>
              <w:jc w:val="center"/>
              <w:rPr>
                <w:sz w:val="20"/>
              </w:rPr>
            </w:pPr>
            <w:r>
              <w:rPr>
                <w:sz w:val="20"/>
              </w:rPr>
              <w:t xml:space="preserve">21.5 </w:t>
            </w:r>
            <w:r>
              <w:rPr>
                <w:sz w:val="20"/>
                <w:u w:val="single"/>
              </w:rPr>
              <w:t>+</w:t>
            </w:r>
            <w:r>
              <w:rPr>
                <w:sz w:val="20"/>
              </w:rPr>
              <w:t xml:space="preserve"> 1.5**</w:t>
            </w:r>
          </w:p>
          <w:p w14:paraId="02BDBB27" w14:textId="77777777" w:rsidR="00D133D4" w:rsidRDefault="00D133D4" w:rsidP="00DC07C7">
            <w:pPr>
              <w:jc w:val="center"/>
              <w:rPr>
                <w:sz w:val="20"/>
              </w:rPr>
            </w:pPr>
            <w:r>
              <w:rPr>
                <w:sz w:val="20"/>
              </w:rPr>
              <w:t xml:space="preserve">10.2 </w:t>
            </w:r>
            <w:r>
              <w:rPr>
                <w:sz w:val="20"/>
                <w:u w:val="single"/>
              </w:rPr>
              <w:t>+</w:t>
            </w:r>
            <w:r>
              <w:rPr>
                <w:sz w:val="20"/>
              </w:rPr>
              <w:t xml:space="preserve"> 0.8**</w:t>
            </w:r>
          </w:p>
        </w:tc>
        <w:tc>
          <w:tcPr>
            <w:tcW w:w="992" w:type="dxa"/>
          </w:tcPr>
          <w:p w14:paraId="43C16E21" w14:textId="77777777" w:rsidR="00D133D4" w:rsidRDefault="00D133D4" w:rsidP="00DC07C7">
            <w:pPr>
              <w:jc w:val="center"/>
              <w:rPr>
                <w:sz w:val="20"/>
              </w:rPr>
            </w:pPr>
          </w:p>
          <w:p w14:paraId="6EAAD336" w14:textId="77777777" w:rsidR="00D133D4" w:rsidRDefault="00D133D4" w:rsidP="00DC07C7">
            <w:pPr>
              <w:jc w:val="center"/>
              <w:rPr>
                <w:sz w:val="20"/>
              </w:rPr>
            </w:pPr>
            <w:r>
              <w:rPr>
                <w:sz w:val="20"/>
              </w:rPr>
              <w:t xml:space="preserve">5.8 </w:t>
            </w:r>
            <w:r>
              <w:rPr>
                <w:sz w:val="20"/>
                <w:u w:val="single"/>
              </w:rPr>
              <w:t>+</w:t>
            </w:r>
            <w:r>
              <w:rPr>
                <w:sz w:val="20"/>
              </w:rPr>
              <w:t xml:space="preserve"> 0.8</w:t>
            </w:r>
          </w:p>
          <w:p w14:paraId="2A75ACB0" w14:textId="77777777" w:rsidR="00D133D4" w:rsidRDefault="00D133D4" w:rsidP="00DC07C7">
            <w:pPr>
              <w:jc w:val="center"/>
              <w:rPr>
                <w:sz w:val="20"/>
              </w:rPr>
            </w:pPr>
            <w:r>
              <w:rPr>
                <w:sz w:val="20"/>
              </w:rPr>
              <w:t xml:space="preserve">2.9 </w:t>
            </w:r>
            <w:r>
              <w:rPr>
                <w:sz w:val="20"/>
                <w:u w:val="single"/>
              </w:rPr>
              <w:t>+</w:t>
            </w:r>
            <w:r>
              <w:rPr>
                <w:sz w:val="20"/>
              </w:rPr>
              <w:t xml:space="preserve"> 0.5</w:t>
            </w:r>
          </w:p>
        </w:tc>
        <w:tc>
          <w:tcPr>
            <w:tcW w:w="993" w:type="dxa"/>
          </w:tcPr>
          <w:p w14:paraId="7F6EAF54" w14:textId="77777777" w:rsidR="00D133D4" w:rsidRDefault="00D133D4" w:rsidP="00DC07C7">
            <w:pPr>
              <w:jc w:val="center"/>
              <w:rPr>
                <w:sz w:val="20"/>
              </w:rPr>
            </w:pPr>
          </w:p>
          <w:p w14:paraId="54493016" w14:textId="77777777" w:rsidR="00D133D4" w:rsidRDefault="00D133D4" w:rsidP="00DC07C7">
            <w:pPr>
              <w:jc w:val="center"/>
              <w:rPr>
                <w:sz w:val="20"/>
              </w:rPr>
            </w:pPr>
            <w:r>
              <w:rPr>
                <w:sz w:val="20"/>
              </w:rPr>
              <w:t xml:space="preserve">9.1 </w:t>
            </w:r>
            <w:r>
              <w:rPr>
                <w:sz w:val="20"/>
                <w:u w:val="single"/>
              </w:rPr>
              <w:t>+</w:t>
            </w:r>
            <w:r>
              <w:rPr>
                <w:sz w:val="20"/>
              </w:rPr>
              <w:t xml:space="preserve"> 0.6</w:t>
            </w:r>
          </w:p>
          <w:p w14:paraId="16C69E87" w14:textId="77777777" w:rsidR="00D133D4" w:rsidRDefault="00D133D4" w:rsidP="00DC07C7">
            <w:pPr>
              <w:jc w:val="center"/>
              <w:rPr>
                <w:sz w:val="20"/>
              </w:rPr>
            </w:pPr>
            <w:r>
              <w:rPr>
                <w:sz w:val="20"/>
              </w:rPr>
              <w:t xml:space="preserve">4.8 </w:t>
            </w:r>
            <w:r>
              <w:rPr>
                <w:sz w:val="20"/>
                <w:u w:val="single"/>
              </w:rPr>
              <w:t>+</w:t>
            </w:r>
            <w:r>
              <w:rPr>
                <w:sz w:val="20"/>
              </w:rPr>
              <w:t xml:space="preserve"> 0.4</w:t>
            </w:r>
          </w:p>
        </w:tc>
        <w:tc>
          <w:tcPr>
            <w:tcW w:w="1134" w:type="dxa"/>
          </w:tcPr>
          <w:p w14:paraId="5CBC4F0C" w14:textId="77777777" w:rsidR="00D133D4" w:rsidRDefault="00D133D4" w:rsidP="00DC07C7">
            <w:pPr>
              <w:jc w:val="center"/>
              <w:rPr>
                <w:sz w:val="20"/>
              </w:rPr>
            </w:pPr>
          </w:p>
          <w:p w14:paraId="3F316D6E" w14:textId="77777777" w:rsidR="00D133D4" w:rsidRDefault="00D133D4" w:rsidP="00DC07C7">
            <w:pPr>
              <w:jc w:val="center"/>
              <w:rPr>
                <w:sz w:val="20"/>
              </w:rPr>
            </w:pPr>
            <w:r>
              <w:rPr>
                <w:sz w:val="20"/>
              </w:rPr>
              <w:t xml:space="preserve">2.9 </w:t>
            </w:r>
            <w:r>
              <w:rPr>
                <w:sz w:val="20"/>
                <w:u w:val="single"/>
              </w:rPr>
              <w:t>+</w:t>
            </w:r>
            <w:r>
              <w:rPr>
                <w:sz w:val="20"/>
              </w:rPr>
              <w:t xml:space="preserve"> 0.1††</w:t>
            </w:r>
          </w:p>
          <w:p w14:paraId="663FE847" w14:textId="77777777" w:rsidR="00D133D4" w:rsidRDefault="00D133D4" w:rsidP="00DC07C7">
            <w:pPr>
              <w:jc w:val="center"/>
              <w:rPr>
                <w:sz w:val="20"/>
              </w:rPr>
            </w:pPr>
            <w:r>
              <w:rPr>
                <w:sz w:val="20"/>
              </w:rPr>
              <w:t xml:space="preserve">2.8 </w:t>
            </w:r>
            <w:r>
              <w:rPr>
                <w:sz w:val="20"/>
                <w:u w:val="single"/>
              </w:rPr>
              <w:t>+</w:t>
            </w:r>
            <w:r>
              <w:rPr>
                <w:sz w:val="20"/>
              </w:rPr>
              <w:t xml:space="preserve"> 0.2††</w:t>
            </w:r>
          </w:p>
        </w:tc>
        <w:tc>
          <w:tcPr>
            <w:tcW w:w="1275" w:type="dxa"/>
            <w:tcBorders>
              <w:bottom w:val="single" w:sz="4" w:space="0" w:color="auto"/>
            </w:tcBorders>
          </w:tcPr>
          <w:p w14:paraId="3CBEEB65" w14:textId="77777777" w:rsidR="00D133D4" w:rsidRDefault="00D133D4" w:rsidP="00DC07C7">
            <w:pPr>
              <w:jc w:val="center"/>
              <w:rPr>
                <w:sz w:val="20"/>
              </w:rPr>
            </w:pPr>
          </w:p>
          <w:p w14:paraId="03596859" w14:textId="77777777" w:rsidR="00D133D4" w:rsidRDefault="00D133D4" w:rsidP="00DC07C7">
            <w:pPr>
              <w:jc w:val="center"/>
              <w:rPr>
                <w:sz w:val="20"/>
              </w:rPr>
            </w:pPr>
            <w:r>
              <w:rPr>
                <w:sz w:val="20"/>
              </w:rPr>
              <w:t xml:space="preserve">5.4 </w:t>
            </w:r>
            <w:r>
              <w:rPr>
                <w:sz w:val="20"/>
                <w:u w:val="single"/>
              </w:rPr>
              <w:t>+</w:t>
            </w:r>
            <w:r>
              <w:rPr>
                <w:sz w:val="20"/>
              </w:rPr>
              <w:t xml:space="preserve"> 1.0††</w:t>
            </w:r>
          </w:p>
          <w:p w14:paraId="1804CBF7" w14:textId="77777777" w:rsidR="00D133D4" w:rsidRDefault="00D133D4" w:rsidP="00DC07C7">
            <w:pPr>
              <w:jc w:val="center"/>
              <w:rPr>
                <w:sz w:val="20"/>
              </w:rPr>
            </w:pPr>
            <w:r>
              <w:rPr>
                <w:sz w:val="20"/>
              </w:rPr>
              <w:t xml:space="preserve">5.5 </w:t>
            </w:r>
            <w:r>
              <w:rPr>
                <w:sz w:val="20"/>
                <w:u w:val="single"/>
              </w:rPr>
              <w:t>+</w:t>
            </w:r>
            <w:r>
              <w:rPr>
                <w:sz w:val="20"/>
              </w:rPr>
              <w:t xml:space="preserve"> 0.7††</w:t>
            </w:r>
          </w:p>
        </w:tc>
      </w:tr>
      <w:tr w:rsidR="00D133D4" w14:paraId="4E3861BE" w14:textId="77777777" w:rsidTr="00DC07C7">
        <w:tc>
          <w:tcPr>
            <w:tcW w:w="1985" w:type="dxa"/>
          </w:tcPr>
          <w:p w14:paraId="3B7FD7EE" w14:textId="77777777" w:rsidR="00D133D4" w:rsidRDefault="00D133D4" w:rsidP="00DC07C7">
            <w:pPr>
              <w:rPr>
                <w:sz w:val="20"/>
              </w:rPr>
            </w:pPr>
            <w:r>
              <w:rPr>
                <w:sz w:val="20"/>
              </w:rPr>
              <w:t>Frontal cortex</w:t>
            </w:r>
          </w:p>
        </w:tc>
        <w:tc>
          <w:tcPr>
            <w:tcW w:w="1417" w:type="dxa"/>
          </w:tcPr>
          <w:p w14:paraId="328B9CD4" w14:textId="77777777" w:rsidR="00D133D4" w:rsidRDefault="00D133D4" w:rsidP="00DC07C7">
            <w:pPr>
              <w:jc w:val="center"/>
              <w:rPr>
                <w:sz w:val="20"/>
              </w:rPr>
            </w:pPr>
            <w:r>
              <w:rPr>
                <w:sz w:val="20"/>
              </w:rPr>
              <w:t xml:space="preserve">10.2 </w:t>
            </w:r>
            <w:r>
              <w:rPr>
                <w:sz w:val="20"/>
                <w:u w:val="single"/>
              </w:rPr>
              <w:t>+</w:t>
            </w:r>
            <w:r>
              <w:rPr>
                <w:sz w:val="20"/>
              </w:rPr>
              <w:t xml:space="preserve"> 0.9**</w:t>
            </w:r>
          </w:p>
        </w:tc>
        <w:tc>
          <w:tcPr>
            <w:tcW w:w="1276" w:type="dxa"/>
          </w:tcPr>
          <w:p w14:paraId="310C42EA" w14:textId="77777777" w:rsidR="00D133D4" w:rsidRDefault="00D133D4" w:rsidP="00DC07C7">
            <w:pPr>
              <w:jc w:val="center"/>
              <w:rPr>
                <w:sz w:val="20"/>
              </w:rPr>
            </w:pPr>
            <w:r>
              <w:rPr>
                <w:sz w:val="20"/>
              </w:rPr>
              <w:t xml:space="preserve">14.3 </w:t>
            </w:r>
            <w:r>
              <w:rPr>
                <w:sz w:val="20"/>
                <w:u w:val="single"/>
              </w:rPr>
              <w:t>+</w:t>
            </w:r>
            <w:r>
              <w:rPr>
                <w:sz w:val="20"/>
              </w:rPr>
              <w:t xml:space="preserve"> 0.6**</w:t>
            </w:r>
          </w:p>
        </w:tc>
        <w:tc>
          <w:tcPr>
            <w:tcW w:w="992" w:type="dxa"/>
          </w:tcPr>
          <w:p w14:paraId="3E6FD2F0" w14:textId="77777777" w:rsidR="00D133D4" w:rsidRDefault="00D133D4" w:rsidP="00DC07C7">
            <w:pPr>
              <w:jc w:val="center"/>
              <w:rPr>
                <w:sz w:val="20"/>
              </w:rPr>
            </w:pPr>
            <w:r>
              <w:rPr>
                <w:sz w:val="20"/>
              </w:rPr>
              <w:t xml:space="preserve">1.5 </w:t>
            </w:r>
            <w:r>
              <w:rPr>
                <w:sz w:val="20"/>
                <w:u w:val="single"/>
              </w:rPr>
              <w:t>+</w:t>
            </w:r>
            <w:r>
              <w:rPr>
                <w:sz w:val="20"/>
              </w:rPr>
              <w:t xml:space="preserve"> 0.2</w:t>
            </w:r>
          </w:p>
        </w:tc>
        <w:tc>
          <w:tcPr>
            <w:tcW w:w="993" w:type="dxa"/>
          </w:tcPr>
          <w:p w14:paraId="62FC2969" w14:textId="77777777" w:rsidR="00D133D4" w:rsidRDefault="00D133D4" w:rsidP="00DC07C7">
            <w:pPr>
              <w:jc w:val="center"/>
              <w:rPr>
                <w:sz w:val="20"/>
              </w:rPr>
            </w:pPr>
            <w:r>
              <w:rPr>
                <w:sz w:val="20"/>
              </w:rPr>
              <w:t xml:space="preserve">2.0 </w:t>
            </w:r>
            <w:r>
              <w:rPr>
                <w:sz w:val="20"/>
                <w:u w:val="single"/>
              </w:rPr>
              <w:t>+</w:t>
            </w:r>
            <w:r>
              <w:rPr>
                <w:sz w:val="20"/>
              </w:rPr>
              <w:t xml:space="preserve"> 0.1</w:t>
            </w:r>
          </w:p>
        </w:tc>
        <w:tc>
          <w:tcPr>
            <w:tcW w:w="1134" w:type="dxa"/>
          </w:tcPr>
          <w:p w14:paraId="7ECD9461" w14:textId="77777777" w:rsidR="00D133D4" w:rsidRDefault="00D133D4" w:rsidP="00DC07C7">
            <w:pPr>
              <w:jc w:val="center"/>
              <w:rPr>
                <w:sz w:val="20"/>
              </w:rPr>
            </w:pPr>
            <w:r>
              <w:rPr>
                <w:sz w:val="20"/>
              </w:rPr>
              <w:t xml:space="preserve">2.8 </w:t>
            </w:r>
            <w:r>
              <w:rPr>
                <w:sz w:val="20"/>
                <w:u w:val="single"/>
              </w:rPr>
              <w:t>+</w:t>
            </w:r>
            <w:r>
              <w:rPr>
                <w:sz w:val="20"/>
              </w:rPr>
              <w:t xml:space="preserve"> 0.3††</w:t>
            </w:r>
          </w:p>
        </w:tc>
        <w:tc>
          <w:tcPr>
            <w:tcW w:w="1275" w:type="dxa"/>
          </w:tcPr>
          <w:p w14:paraId="2FC25B61" w14:textId="77777777" w:rsidR="00D133D4" w:rsidRDefault="00D133D4" w:rsidP="00DC07C7">
            <w:pPr>
              <w:jc w:val="center"/>
              <w:rPr>
                <w:sz w:val="20"/>
              </w:rPr>
            </w:pPr>
            <w:r>
              <w:rPr>
                <w:sz w:val="20"/>
              </w:rPr>
              <w:t xml:space="preserve">6.5 </w:t>
            </w:r>
            <w:r>
              <w:rPr>
                <w:sz w:val="20"/>
                <w:u w:val="single"/>
              </w:rPr>
              <w:t>+</w:t>
            </w:r>
            <w:r>
              <w:rPr>
                <w:sz w:val="20"/>
              </w:rPr>
              <w:t xml:space="preserve"> 0.7††</w:t>
            </w:r>
          </w:p>
        </w:tc>
      </w:tr>
      <w:tr w:rsidR="00D133D4" w14:paraId="15A3B314" w14:textId="77777777" w:rsidTr="00DC07C7">
        <w:tc>
          <w:tcPr>
            <w:tcW w:w="1985" w:type="dxa"/>
          </w:tcPr>
          <w:p w14:paraId="640A9721" w14:textId="77777777" w:rsidR="00D133D4" w:rsidRDefault="00D133D4" w:rsidP="00DC07C7">
            <w:pPr>
              <w:rPr>
                <w:sz w:val="20"/>
              </w:rPr>
            </w:pPr>
            <w:r>
              <w:rPr>
                <w:sz w:val="20"/>
              </w:rPr>
              <w:t>Striatum</w:t>
            </w:r>
          </w:p>
        </w:tc>
        <w:tc>
          <w:tcPr>
            <w:tcW w:w="1417" w:type="dxa"/>
          </w:tcPr>
          <w:p w14:paraId="0554B66B" w14:textId="77777777" w:rsidR="00D133D4" w:rsidRDefault="00D133D4" w:rsidP="00DC07C7">
            <w:pPr>
              <w:jc w:val="center"/>
              <w:rPr>
                <w:sz w:val="20"/>
              </w:rPr>
            </w:pPr>
            <w:r>
              <w:rPr>
                <w:sz w:val="20"/>
              </w:rPr>
              <w:t xml:space="preserve">8.4 </w:t>
            </w:r>
            <w:r>
              <w:rPr>
                <w:sz w:val="20"/>
                <w:u w:val="single"/>
              </w:rPr>
              <w:t>+</w:t>
            </w:r>
            <w:r>
              <w:rPr>
                <w:sz w:val="20"/>
              </w:rPr>
              <w:t xml:space="preserve"> 0.5**</w:t>
            </w:r>
          </w:p>
        </w:tc>
        <w:tc>
          <w:tcPr>
            <w:tcW w:w="1276" w:type="dxa"/>
          </w:tcPr>
          <w:p w14:paraId="1DE6C9CA" w14:textId="77777777" w:rsidR="00D133D4" w:rsidRDefault="00D133D4" w:rsidP="00DC07C7">
            <w:pPr>
              <w:jc w:val="center"/>
              <w:rPr>
                <w:sz w:val="20"/>
              </w:rPr>
            </w:pPr>
            <w:r>
              <w:rPr>
                <w:sz w:val="20"/>
              </w:rPr>
              <w:t xml:space="preserve">16.6 </w:t>
            </w:r>
            <w:r>
              <w:rPr>
                <w:sz w:val="20"/>
                <w:u w:val="single"/>
              </w:rPr>
              <w:t>+</w:t>
            </w:r>
            <w:r>
              <w:rPr>
                <w:sz w:val="20"/>
              </w:rPr>
              <w:t xml:space="preserve"> 0.5**</w:t>
            </w:r>
          </w:p>
        </w:tc>
        <w:tc>
          <w:tcPr>
            <w:tcW w:w="992" w:type="dxa"/>
          </w:tcPr>
          <w:p w14:paraId="39D81696" w14:textId="77777777" w:rsidR="00D133D4" w:rsidRDefault="00D133D4" w:rsidP="00DC07C7">
            <w:pPr>
              <w:jc w:val="center"/>
              <w:rPr>
                <w:sz w:val="20"/>
              </w:rPr>
            </w:pPr>
            <w:r>
              <w:rPr>
                <w:sz w:val="20"/>
              </w:rPr>
              <w:t xml:space="preserve">0.5 </w:t>
            </w:r>
            <w:r>
              <w:rPr>
                <w:sz w:val="20"/>
                <w:u w:val="single"/>
              </w:rPr>
              <w:t>+</w:t>
            </w:r>
            <w:r>
              <w:rPr>
                <w:sz w:val="20"/>
              </w:rPr>
              <w:t xml:space="preserve"> 0.2</w:t>
            </w:r>
          </w:p>
        </w:tc>
        <w:tc>
          <w:tcPr>
            <w:tcW w:w="993" w:type="dxa"/>
          </w:tcPr>
          <w:p w14:paraId="31E747EB" w14:textId="77777777" w:rsidR="00D133D4" w:rsidRDefault="00D133D4" w:rsidP="00DC07C7">
            <w:pPr>
              <w:jc w:val="center"/>
              <w:rPr>
                <w:sz w:val="20"/>
              </w:rPr>
            </w:pPr>
            <w:r>
              <w:rPr>
                <w:sz w:val="20"/>
              </w:rPr>
              <w:t xml:space="preserve">2.2 </w:t>
            </w:r>
            <w:r>
              <w:rPr>
                <w:sz w:val="20"/>
                <w:u w:val="single"/>
              </w:rPr>
              <w:t>+</w:t>
            </w:r>
            <w:r>
              <w:rPr>
                <w:sz w:val="20"/>
              </w:rPr>
              <w:t xml:space="preserve"> 0.1</w:t>
            </w:r>
          </w:p>
        </w:tc>
        <w:tc>
          <w:tcPr>
            <w:tcW w:w="1134" w:type="dxa"/>
          </w:tcPr>
          <w:p w14:paraId="10BECA88" w14:textId="77777777" w:rsidR="00D133D4" w:rsidRDefault="00D133D4" w:rsidP="00DC07C7">
            <w:pPr>
              <w:jc w:val="center"/>
              <w:rPr>
                <w:sz w:val="20"/>
              </w:rPr>
            </w:pPr>
            <w:r>
              <w:rPr>
                <w:sz w:val="20"/>
              </w:rPr>
              <w:t xml:space="preserve">2.3 </w:t>
            </w:r>
            <w:r>
              <w:rPr>
                <w:sz w:val="20"/>
                <w:u w:val="single"/>
              </w:rPr>
              <w:t>+</w:t>
            </w:r>
            <w:r>
              <w:rPr>
                <w:sz w:val="20"/>
              </w:rPr>
              <w:t xml:space="preserve"> 0.2††</w:t>
            </w:r>
          </w:p>
        </w:tc>
        <w:tc>
          <w:tcPr>
            <w:tcW w:w="1275" w:type="dxa"/>
          </w:tcPr>
          <w:p w14:paraId="026C73D0" w14:textId="77777777" w:rsidR="00D133D4" w:rsidRDefault="00D133D4" w:rsidP="00DC07C7">
            <w:pPr>
              <w:jc w:val="center"/>
              <w:rPr>
                <w:sz w:val="20"/>
              </w:rPr>
            </w:pPr>
            <w:r>
              <w:rPr>
                <w:sz w:val="20"/>
              </w:rPr>
              <w:t xml:space="preserve">2.6 </w:t>
            </w:r>
            <w:r>
              <w:rPr>
                <w:sz w:val="20"/>
                <w:u w:val="single"/>
              </w:rPr>
              <w:t>+</w:t>
            </w:r>
            <w:r>
              <w:rPr>
                <w:sz w:val="20"/>
              </w:rPr>
              <w:t xml:space="preserve"> 0.1††</w:t>
            </w:r>
          </w:p>
        </w:tc>
      </w:tr>
      <w:tr w:rsidR="00D133D4" w14:paraId="70E4A7BF" w14:textId="77777777" w:rsidTr="00DC07C7">
        <w:trPr>
          <w:cantSplit/>
          <w:trHeight w:val="700"/>
        </w:trPr>
        <w:tc>
          <w:tcPr>
            <w:tcW w:w="1985" w:type="dxa"/>
          </w:tcPr>
          <w:p w14:paraId="4419C8CE" w14:textId="77777777" w:rsidR="00D133D4" w:rsidRPr="006A42B1" w:rsidRDefault="00D133D4" w:rsidP="00DC07C7">
            <w:pPr>
              <w:rPr>
                <w:sz w:val="20"/>
                <w:lang w:val="de-DE"/>
              </w:rPr>
            </w:pPr>
            <w:r w:rsidRPr="006A42B1">
              <w:rPr>
                <w:sz w:val="20"/>
                <w:lang w:val="de-DE"/>
              </w:rPr>
              <w:t>Hypothalamus</w:t>
            </w:r>
          </w:p>
          <w:p w14:paraId="2C395CB5" w14:textId="77777777" w:rsidR="00D133D4" w:rsidRPr="006A42B1" w:rsidRDefault="00D133D4" w:rsidP="00DC07C7">
            <w:pPr>
              <w:rPr>
                <w:sz w:val="20"/>
                <w:lang w:val="de-DE"/>
              </w:rPr>
            </w:pPr>
            <w:r w:rsidRPr="006A42B1">
              <w:rPr>
                <w:sz w:val="20"/>
                <w:lang w:val="de-DE"/>
              </w:rPr>
              <w:t xml:space="preserve">     Ventral region</w:t>
            </w:r>
          </w:p>
          <w:p w14:paraId="2FA64560" w14:textId="77777777" w:rsidR="00D133D4" w:rsidRPr="006A42B1" w:rsidRDefault="00D133D4" w:rsidP="00DC07C7">
            <w:pPr>
              <w:rPr>
                <w:sz w:val="20"/>
                <w:lang w:val="de-DE"/>
              </w:rPr>
            </w:pPr>
            <w:r w:rsidRPr="006A42B1">
              <w:rPr>
                <w:sz w:val="20"/>
                <w:lang w:val="de-DE"/>
              </w:rPr>
              <w:t xml:space="preserve">     Dorsal region</w:t>
            </w:r>
          </w:p>
        </w:tc>
        <w:tc>
          <w:tcPr>
            <w:tcW w:w="1417" w:type="dxa"/>
          </w:tcPr>
          <w:p w14:paraId="18C04181" w14:textId="77777777" w:rsidR="00D133D4" w:rsidRPr="006A42B1" w:rsidRDefault="00D133D4" w:rsidP="00DC07C7">
            <w:pPr>
              <w:jc w:val="center"/>
              <w:rPr>
                <w:sz w:val="20"/>
                <w:lang w:val="de-DE"/>
              </w:rPr>
            </w:pPr>
          </w:p>
          <w:p w14:paraId="229DAC3C" w14:textId="77777777" w:rsidR="00D133D4" w:rsidRDefault="00D133D4" w:rsidP="00DC07C7">
            <w:pPr>
              <w:jc w:val="center"/>
              <w:rPr>
                <w:sz w:val="20"/>
              </w:rPr>
            </w:pPr>
            <w:r>
              <w:rPr>
                <w:sz w:val="20"/>
              </w:rPr>
              <w:t xml:space="preserve">20.6 </w:t>
            </w:r>
            <w:r>
              <w:rPr>
                <w:sz w:val="20"/>
                <w:u w:val="single"/>
              </w:rPr>
              <w:t>+</w:t>
            </w:r>
            <w:r>
              <w:rPr>
                <w:sz w:val="20"/>
              </w:rPr>
              <w:t xml:space="preserve"> 0.13**</w:t>
            </w:r>
          </w:p>
          <w:p w14:paraId="15E54062" w14:textId="77777777" w:rsidR="00D133D4" w:rsidRDefault="00D133D4" w:rsidP="00DC07C7">
            <w:pPr>
              <w:jc w:val="center"/>
              <w:rPr>
                <w:sz w:val="20"/>
              </w:rPr>
            </w:pPr>
            <w:r>
              <w:rPr>
                <w:sz w:val="20"/>
              </w:rPr>
              <w:t xml:space="preserve">9.0 </w:t>
            </w:r>
            <w:r>
              <w:rPr>
                <w:sz w:val="20"/>
                <w:u w:val="single"/>
              </w:rPr>
              <w:t>+</w:t>
            </w:r>
            <w:r>
              <w:rPr>
                <w:sz w:val="20"/>
              </w:rPr>
              <w:t xml:space="preserve"> 0.7**</w:t>
            </w:r>
          </w:p>
        </w:tc>
        <w:tc>
          <w:tcPr>
            <w:tcW w:w="1276" w:type="dxa"/>
          </w:tcPr>
          <w:p w14:paraId="16E3A720" w14:textId="77777777" w:rsidR="00D133D4" w:rsidRDefault="00D133D4" w:rsidP="00DC07C7">
            <w:pPr>
              <w:jc w:val="center"/>
              <w:rPr>
                <w:sz w:val="20"/>
              </w:rPr>
            </w:pPr>
          </w:p>
          <w:p w14:paraId="368F40F4" w14:textId="77777777" w:rsidR="00D133D4" w:rsidRDefault="00D133D4" w:rsidP="00DC07C7">
            <w:pPr>
              <w:jc w:val="center"/>
              <w:rPr>
                <w:sz w:val="20"/>
              </w:rPr>
            </w:pPr>
            <w:r>
              <w:rPr>
                <w:sz w:val="20"/>
              </w:rPr>
              <w:t xml:space="preserve">35.3 </w:t>
            </w:r>
            <w:r>
              <w:rPr>
                <w:sz w:val="20"/>
                <w:u w:val="single"/>
              </w:rPr>
              <w:t>+</w:t>
            </w:r>
            <w:r>
              <w:rPr>
                <w:sz w:val="20"/>
              </w:rPr>
              <w:t xml:space="preserve"> 3.0**</w:t>
            </w:r>
          </w:p>
          <w:p w14:paraId="30BBB1AD" w14:textId="77777777" w:rsidR="00D133D4" w:rsidRDefault="00D133D4" w:rsidP="00DC07C7">
            <w:pPr>
              <w:jc w:val="center"/>
              <w:rPr>
                <w:sz w:val="20"/>
              </w:rPr>
            </w:pPr>
            <w:r>
              <w:rPr>
                <w:sz w:val="20"/>
              </w:rPr>
              <w:t xml:space="preserve">23.3 </w:t>
            </w:r>
            <w:r>
              <w:rPr>
                <w:sz w:val="20"/>
                <w:u w:val="single"/>
              </w:rPr>
              <w:t>+</w:t>
            </w:r>
            <w:r>
              <w:rPr>
                <w:sz w:val="20"/>
              </w:rPr>
              <w:t xml:space="preserve"> 1.7**</w:t>
            </w:r>
          </w:p>
        </w:tc>
        <w:tc>
          <w:tcPr>
            <w:tcW w:w="992" w:type="dxa"/>
          </w:tcPr>
          <w:p w14:paraId="2B9BF5F1" w14:textId="77777777" w:rsidR="00D133D4" w:rsidRDefault="00D133D4" w:rsidP="00DC07C7">
            <w:pPr>
              <w:jc w:val="center"/>
              <w:rPr>
                <w:sz w:val="20"/>
              </w:rPr>
            </w:pPr>
          </w:p>
          <w:p w14:paraId="1936EBF4" w14:textId="77777777" w:rsidR="00D133D4" w:rsidRDefault="00D133D4" w:rsidP="00DC07C7">
            <w:pPr>
              <w:jc w:val="center"/>
              <w:rPr>
                <w:sz w:val="20"/>
              </w:rPr>
            </w:pPr>
            <w:r>
              <w:rPr>
                <w:sz w:val="20"/>
              </w:rPr>
              <w:t xml:space="preserve">4.1 </w:t>
            </w:r>
            <w:r>
              <w:rPr>
                <w:sz w:val="20"/>
                <w:u w:val="single"/>
              </w:rPr>
              <w:t>+</w:t>
            </w:r>
            <w:r>
              <w:rPr>
                <w:sz w:val="20"/>
              </w:rPr>
              <w:t xml:space="preserve"> 1.0</w:t>
            </w:r>
          </w:p>
          <w:p w14:paraId="6B06BB77" w14:textId="77777777" w:rsidR="00D133D4" w:rsidRDefault="00D133D4" w:rsidP="00DC07C7">
            <w:pPr>
              <w:jc w:val="center"/>
              <w:rPr>
                <w:sz w:val="20"/>
              </w:rPr>
            </w:pPr>
            <w:r>
              <w:rPr>
                <w:sz w:val="20"/>
              </w:rPr>
              <w:t xml:space="preserve">1.5 </w:t>
            </w:r>
            <w:r>
              <w:rPr>
                <w:sz w:val="20"/>
                <w:u w:val="single"/>
              </w:rPr>
              <w:t>+</w:t>
            </w:r>
            <w:r>
              <w:rPr>
                <w:sz w:val="20"/>
              </w:rPr>
              <w:t xml:space="preserve"> 0.6</w:t>
            </w:r>
          </w:p>
        </w:tc>
        <w:tc>
          <w:tcPr>
            <w:tcW w:w="993" w:type="dxa"/>
          </w:tcPr>
          <w:p w14:paraId="7C52BD89" w14:textId="77777777" w:rsidR="00D133D4" w:rsidRDefault="00D133D4" w:rsidP="00DC07C7">
            <w:pPr>
              <w:jc w:val="center"/>
              <w:rPr>
                <w:sz w:val="20"/>
              </w:rPr>
            </w:pPr>
          </w:p>
          <w:p w14:paraId="0D3E33F9" w14:textId="77777777" w:rsidR="00D133D4" w:rsidRDefault="00D133D4" w:rsidP="00DC07C7">
            <w:pPr>
              <w:jc w:val="center"/>
              <w:rPr>
                <w:sz w:val="20"/>
              </w:rPr>
            </w:pPr>
            <w:r>
              <w:rPr>
                <w:sz w:val="20"/>
              </w:rPr>
              <w:t xml:space="preserve">5.1 </w:t>
            </w:r>
            <w:r>
              <w:rPr>
                <w:sz w:val="20"/>
                <w:u w:val="single"/>
              </w:rPr>
              <w:t>+</w:t>
            </w:r>
            <w:r>
              <w:rPr>
                <w:sz w:val="20"/>
              </w:rPr>
              <w:t xml:space="preserve"> 0.2</w:t>
            </w:r>
          </w:p>
          <w:p w14:paraId="265C8D08" w14:textId="77777777" w:rsidR="00D133D4" w:rsidRDefault="00D133D4" w:rsidP="00DC07C7">
            <w:pPr>
              <w:jc w:val="center"/>
              <w:rPr>
                <w:sz w:val="20"/>
              </w:rPr>
            </w:pPr>
            <w:r>
              <w:rPr>
                <w:sz w:val="20"/>
              </w:rPr>
              <w:t xml:space="preserve">2.3 </w:t>
            </w:r>
            <w:r>
              <w:rPr>
                <w:sz w:val="20"/>
                <w:u w:val="single"/>
              </w:rPr>
              <w:t>+</w:t>
            </w:r>
            <w:r>
              <w:rPr>
                <w:sz w:val="20"/>
              </w:rPr>
              <w:t xml:space="preserve"> 0.5</w:t>
            </w:r>
          </w:p>
        </w:tc>
        <w:tc>
          <w:tcPr>
            <w:tcW w:w="1134" w:type="dxa"/>
          </w:tcPr>
          <w:p w14:paraId="479B40E0" w14:textId="77777777" w:rsidR="00D133D4" w:rsidRDefault="00D133D4" w:rsidP="00DC07C7">
            <w:pPr>
              <w:jc w:val="center"/>
              <w:rPr>
                <w:sz w:val="20"/>
              </w:rPr>
            </w:pPr>
          </w:p>
          <w:p w14:paraId="2A14AA77" w14:textId="77777777" w:rsidR="00D133D4" w:rsidRDefault="00D133D4" w:rsidP="00DC07C7">
            <w:pPr>
              <w:jc w:val="center"/>
              <w:rPr>
                <w:sz w:val="20"/>
              </w:rPr>
            </w:pPr>
            <w:r>
              <w:rPr>
                <w:sz w:val="20"/>
              </w:rPr>
              <w:t xml:space="preserve">5.0 </w:t>
            </w:r>
            <w:r>
              <w:rPr>
                <w:sz w:val="20"/>
                <w:u w:val="single"/>
              </w:rPr>
              <w:t>+</w:t>
            </w:r>
            <w:r>
              <w:rPr>
                <w:sz w:val="20"/>
              </w:rPr>
              <w:t xml:space="preserve"> 0.5††</w:t>
            </w:r>
          </w:p>
          <w:p w14:paraId="75DC6FF1" w14:textId="77777777" w:rsidR="00D133D4" w:rsidRDefault="00D133D4" w:rsidP="00DC07C7">
            <w:pPr>
              <w:jc w:val="center"/>
              <w:rPr>
                <w:sz w:val="20"/>
              </w:rPr>
            </w:pPr>
            <w:r>
              <w:rPr>
                <w:sz w:val="20"/>
              </w:rPr>
              <w:t xml:space="preserve">3.0 </w:t>
            </w:r>
            <w:r>
              <w:rPr>
                <w:sz w:val="20"/>
                <w:u w:val="single"/>
              </w:rPr>
              <w:t>+</w:t>
            </w:r>
            <w:r>
              <w:rPr>
                <w:sz w:val="20"/>
              </w:rPr>
              <w:t xml:space="preserve"> 0.2††</w:t>
            </w:r>
          </w:p>
        </w:tc>
        <w:tc>
          <w:tcPr>
            <w:tcW w:w="1275" w:type="dxa"/>
            <w:tcBorders>
              <w:bottom w:val="single" w:sz="4" w:space="0" w:color="auto"/>
            </w:tcBorders>
          </w:tcPr>
          <w:p w14:paraId="24BF7327" w14:textId="77777777" w:rsidR="00D133D4" w:rsidRDefault="00D133D4" w:rsidP="00DC07C7">
            <w:pPr>
              <w:jc w:val="center"/>
              <w:rPr>
                <w:sz w:val="20"/>
              </w:rPr>
            </w:pPr>
          </w:p>
          <w:p w14:paraId="5FB169B8" w14:textId="77777777" w:rsidR="00D133D4" w:rsidRDefault="00D133D4" w:rsidP="00DC07C7">
            <w:pPr>
              <w:jc w:val="center"/>
              <w:rPr>
                <w:sz w:val="20"/>
              </w:rPr>
            </w:pPr>
            <w:r>
              <w:rPr>
                <w:sz w:val="20"/>
              </w:rPr>
              <w:t xml:space="preserve">9.2 </w:t>
            </w:r>
            <w:r>
              <w:rPr>
                <w:sz w:val="20"/>
                <w:u w:val="single"/>
              </w:rPr>
              <w:t>+</w:t>
            </w:r>
            <w:r>
              <w:rPr>
                <w:sz w:val="20"/>
              </w:rPr>
              <w:t xml:space="preserve"> 0.7††</w:t>
            </w:r>
          </w:p>
          <w:p w14:paraId="3431ADC8" w14:textId="77777777" w:rsidR="00D133D4" w:rsidRDefault="00D133D4" w:rsidP="00DC07C7">
            <w:pPr>
              <w:jc w:val="center"/>
              <w:rPr>
                <w:sz w:val="20"/>
              </w:rPr>
            </w:pPr>
            <w:r>
              <w:rPr>
                <w:sz w:val="20"/>
              </w:rPr>
              <w:t xml:space="preserve">4.0 </w:t>
            </w:r>
            <w:r>
              <w:rPr>
                <w:sz w:val="20"/>
                <w:u w:val="single"/>
              </w:rPr>
              <w:t>+</w:t>
            </w:r>
            <w:r>
              <w:rPr>
                <w:sz w:val="20"/>
              </w:rPr>
              <w:t xml:space="preserve"> 0.2††</w:t>
            </w:r>
          </w:p>
        </w:tc>
      </w:tr>
      <w:tr w:rsidR="00D133D4" w14:paraId="1C92C547" w14:textId="77777777" w:rsidTr="00DC07C7">
        <w:tc>
          <w:tcPr>
            <w:tcW w:w="1985" w:type="dxa"/>
          </w:tcPr>
          <w:p w14:paraId="0F043F47" w14:textId="77777777" w:rsidR="00D133D4" w:rsidRDefault="00D133D4" w:rsidP="00DC07C7">
            <w:pPr>
              <w:rPr>
                <w:sz w:val="20"/>
              </w:rPr>
            </w:pPr>
            <w:r>
              <w:rPr>
                <w:sz w:val="20"/>
              </w:rPr>
              <w:t>Ependymal lining of the lateral ventricles</w:t>
            </w:r>
          </w:p>
        </w:tc>
        <w:tc>
          <w:tcPr>
            <w:tcW w:w="1417" w:type="dxa"/>
            <w:vAlign w:val="center"/>
          </w:tcPr>
          <w:p w14:paraId="30FC480F" w14:textId="77777777" w:rsidR="00D133D4" w:rsidRDefault="00D133D4" w:rsidP="00DC07C7">
            <w:pPr>
              <w:jc w:val="center"/>
              <w:rPr>
                <w:sz w:val="20"/>
              </w:rPr>
            </w:pPr>
            <w:r>
              <w:rPr>
                <w:sz w:val="20"/>
              </w:rPr>
              <w:t xml:space="preserve">19.2 </w:t>
            </w:r>
            <w:r>
              <w:rPr>
                <w:sz w:val="20"/>
                <w:u w:val="single"/>
              </w:rPr>
              <w:t>+</w:t>
            </w:r>
            <w:r>
              <w:rPr>
                <w:sz w:val="20"/>
              </w:rPr>
              <w:t xml:space="preserve"> 0.5**</w:t>
            </w:r>
          </w:p>
        </w:tc>
        <w:tc>
          <w:tcPr>
            <w:tcW w:w="1276" w:type="dxa"/>
            <w:vAlign w:val="center"/>
          </w:tcPr>
          <w:p w14:paraId="596522F1" w14:textId="77777777" w:rsidR="00D133D4" w:rsidRDefault="00D133D4" w:rsidP="00DC07C7">
            <w:pPr>
              <w:jc w:val="center"/>
              <w:rPr>
                <w:sz w:val="20"/>
              </w:rPr>
            </w:pPr>
            <w:r>
              <w:rPr>
                <w:sz w:val="20"/>
              </w:rPr>
              <w:t xml:space="preserve">46.5 </w:t>
            </w:r>
            <w:r>
              <w:rPr>
                <w:sz w:val="20"/>
                <w:u w:val="single"/>
              </w:rPr>
              <w:t>+</w:t>
            </w:r>
            <w:r>
              <w:rPr>
                <w:sz w:val="20"/>
              </w:rPr>
              <w:t xml:space="preserve"> 4.1**</w:t>
            </w:r>
          </w:p>
        </w:tc>
        <w:tc>
          <w:tcPr>
            <w:tcW w:w="992" w:type="dxa"/>
            <w:vAlign w:val="center"/>
          </w:tcPr>
          <w:p w14:paraId="17FA59EF" w14:textId="77777777" w:rsidR="00D133D4" w:rsidRDefault="00D133D4" w:rsidP="00DC07C7">
            <w:pPr>
              <w:jc w:val="center"/>
              <w:rPr>
                <w:sz w:val="20"/>
              </w:rPr>
            </w:pPr>
            <w:r>
              <w:rPr>
                <w:sz w:val="20"/>
              </w:rPr>
              <w:t xml:space="preserve">4.8 </w:t>
            </w:r>
            <w:r>
              <w:rPr>
                <w:sz w:val="20"/>
                <w:u w:val="single"/>
              </w:rPr>
              <w:t>+</w:t>
            </w:r>
            <w:r>
              <w:rPr>
                <w:sz w:val="20"/>
              </w:rPr>
              <w:t xml:space="preserve"> 1.0</w:t>
            </w:r>
          </w:p>
        </w:tc>
        <w:tc>
          <w:tcPr>
            <w:tcW w:w="993" w:type="dxa"/>
            <w:vAlign w:val="center"/>
          </w:tcPr>
          <w:p w14:paraId="7A58EC41" w14:textId="77777777" w:rsidR="00D133D4" w:rsidRDefault="00D133D4" w:rsidP="00DC07C7">
            <w:pPr>
              <w:jc w:val="center"/>
              <w:rPr>
                <w:sz w:val="20"/>
              </w:rPr>
            </w:pPr>
            <w:r>
              <w:rPr>
                <w:sz w:val="20"/>
              </w:rPr>
              <w:t xml:space="preserve">4.6 </w:t>
            </w:r>
            <w:r>
              <w:rPr>
                <w:sz w:val="20"/>
                <w:u w:val="single"/>
              </w:rPr>
              <w:t>+</w:t>
            </w:r>
            <w:r>
              <w:rPr>
                <w:sz w:val="20"/>
              </w:rPr>
              <w:t xml:space="preserve"> 0.7</w:t>
            </w:r>
          </w:p>
        </w:tc>
        <w:tc>
          <w:tcPr>
            <w:tcW w:w="1134" w:type="dxa"/>
            <w:vAlign w:val="center"/>
          </w:tcPr>
          <w:p w14:paraId="406C6FED" w14:textId="77777777" w:rsidR="00D133D4" w:rsidRDefault="00D133D4" w:rsidP="00DC07C7">
            <w:pPr>
              <w:jc w:val="center"/>
              <w:rPr>
                <w:sz w:val="20"/>
              </w:rPr>
            </w:pPr>
            <w:r>
              <w:rPr>
                <w:sz w:val="20"/>
              </w:rPr>
              <w:t xml:space="preserve">4.3 </w:t>
            </w:r>
            <w:r>
              <w:rPr>
                <w:sz w:val="20"/>
                <w:u w:val="single"/>
              </w:rPr>
              <w:t>+</w:t>
            </w:r>
            <w:r>
              <w:rPr>
                <w:sz w:val="20"/>
              </w:rPr>
              <w:t xml:space="preserve"> 0.5††</w:t>
            </w:r>
          </w:p>
        </w:tc>
        <w:tc>
          <w:tcPr>
            <w:tcW w:w="1275" w:type="dxa"/>
            <w:vAlign w:val="center"/>
          </w:tcPr>
          <w:p w14:paraId="1B0EA9BF" w14:textId="77777777" w:rsidR="00D133D4" w:rsidRDefault="00D133D4" w:rsidP="00DC07C7">
            <w:pPr>
              <w:jc w:val="center"/>
              <w:rPr>
                <w:sz w:val="20"/>
              </w:rPr>
            </w:pPr>
            <w:r>
              <w:rPr>
                <w:sz w:val="20"/>
              </w:rPr>
              <w:t xml:space="preserve">7.2 </w:t>
            </w:r>
            <w:r>
              <w:rPr>
                <w:sz w:val="20"/>
                <w:u w:val="single"/>
              </w:rPr>
              <w:t>+</w:t>
            </w:r>
            <w:r>
              <w:rPr>
                <w:sz w:val="20"/>
              </w:rPr>
              <w:t xml:space="preserve"> 1.5††</w:t>
            </w:r>
          </w:p>
        </w:tc>
      </w:tr>
      <w:tr w:rsidR="00D133D4" w14:paraId="693C8C39" w14:textId="77777777" w:rsidTr="00DC07C7">
        <w:tc>
          <w:tcPr>
            <w:tcW w:w="1985" w:type="dxa"/>
          </w:tcPr>
          <w:p w14:paraId="45A6F3CF" w14:textId="77777777" w:rsidR="00D133D4" w:rsidRDefault="00D133D4" w:rsidP="00DC07C7">
            <w:pPr>
              <w:rPr>
                <w:sz w:val="20"/>
              </w:rPr>
            </w:pPr>
            <w:r>
              <w:rPr>
                <w:sz w:val="20"/>
              </w:rPr>
              <w:t>Substantia nigra</w:t>
            </w:r>
          </w:p>
        </w:tc>
        <w:tc>
          <w:tcPr>
            <w:tcW w:w="1417" w:type="dxa"/>
          </w:tcPr>
          <w:p w14:paraId="30E41CD3" w14:textId="77777777" w:rsidR="00D133D4" w:rsidRDefault="00D133D4" w:rsidP="00DC07C7">
            <w:pPr>
              <w:jc w:val="center"/>
              <w:rPr>
                <w:sz w:val="20"/>
              </w:rPr>
            </w:pPr>
            <w:r>
              <w:rPr>
                <w:sz w:val="20"/>
              </w:rPr>
              <w:t xml:space="preserve">10.7 </w:t>
            </w:r>
            <w:r>
              <w:rPr>
                <w:sz w:val="20"/>
                <w:u w:val="single"/>
              </w:rPr>
              <w:t>+</w:t>
            </w:r>
            <w:r>
              <w:rPr>
                <w:sz w:val="20"/>
              </w:rPr>
              <w:t xml:space="preserve"> 0.4**</w:t>
            </w:r>
          </w:p>
        </w:tc>
        <w:tc>
          <w:tcPr>
            <w:tcW w:w="1276" w:type="dxa"/>
          </w:tcPr>
          <w:p w14:paraId="3A328F36" w14:textId="77777777" w:rsidR="00D133D4" w:rsidRDefault="00D133D4" w:rsidP="00DC07C7">
            <w:pPr>
              <w:jc w:val="center"/>
              <w:rPr>
                <w:sz w:val="20"/>
              </w:rPr>
            </w:pPr>
            <w:r>
              <w:rPr>
                <w:sz w:val="20"/>
              </w:rPr>
              <w:t xml:space="preserve">16.5 </w:t>
            </w:r>
            <w:r>
              <w:rPr>
                <w:sz w:val="20"/>
                <w:u w:val="single"/>
              </w:rPr>
              <w:t>+</w:t>
            </w:r>
            <w:r>
              <w:rPr>
                <w:sz w:val="20"/>
              </w:rPr>
              <w:t xml:space="preserve"> 0.8**</w:t>
            </w:r>
          </w:p>
        </w:tc>
        <w:tc>
          <w:tcPr>
            <w:tcW w:w="992" w:type="dxa"/>
          </w:tcPr>
          <w:p w14:paraId="40ACEC2D" w14:textId="77777777" w:rsidR="00D133D4" w:rsidRDefault="00D133D4" w:rsidP="00DC07C7">
            <w:pPr>
              <w:jc w:val="center"/>
              <w:rPr>
                <w:sz w:val="20"/>
              </w:rPr>
            </w:pPr>
            <w:r>
              <w:rPr>
                <w:sz w:val="20"/>
              </w:rPr>
              <w:t xml:space="preserve">1.5 </w:t>
            </w:r>
            <w:r>
              <w:rPr>
                <w:sz w:val="20"/>
                <w:u w:val="single"/>
              </w:rPr>
              <w:t>+</w:t>
            </w:r>
            <w:r>
              <w:rPr>
                <w:sz w:val="20"/>
              </w:rPr>
              <w:t xml:space="preserve"> 0.4</w:t>
            </w:r>
          </w:p>
        </w:tc>
        <w:tc>
          <w:tcPr>
            <w:tcW w:w="993" w:type="dxa"/>
          </w:tcPr>
          <w:p w14:paraId="44ED40DB" w14:textId="77777777" w:rsidR="00D133D4" w:rsidRDefault="00D133D4" w:rsidP="00DC07C7">
            <w:pPr>
              <w:jc w:val="center"/>
              <w:rPr>
                <w:sz w:val="20"/>
              </w:rPr>
            </w:pPr>
            <w:r>
              <w:rPr>
                <w:sz w:val="20"/>
              </w:rPr>
              <w:t xml:space="preserve">3.2 </w:t>
            </w:r>
            <w:r>
              <w:rPr>
                <w:sz w:val="20"/>
                <w:u w:val="single"/>
              </w:rPr>
              <w:t>+</w:t>
            </w:r>
            <w:r>
              <w:rPr>
                <w:sz w:val="20"/>
              </w:rPr>
              <w:t xml:space="preserve"> 0.2</w:t>
            </w:r>
          </w:p>
        </w:tc>
        <w:tc>
          <w:tcPr>
            <w:tcW w:w="1134" w:type="dxa"/>
          </w:tcPr>
          <w:p w14:paraId="5CDDE879" w14:textId="77777777" w:rsidR="00D133D4" w:rsidRDefault="00D133D4" w:rsidP="00DC07C7">
            <w:pPr>
              <w:jc w:val="center"/>
              <w:rPr>
                <w:sz w:val="20"/>
              </w:rPr>
            </w:pPr>
            <w:r>
              <w:rPr>
                <w:sz w:val="20"/>
              </w:rPr>
              <w:t xml:space="preserve">2.6 </w:t>
            </w:r>
            <w:r>
              <w:rPr>
                <w:sz w:val="20"/>
                <w:u w:val="single"/>
              </w:rPr>
              <w:t>+</w:t>
            </w:r>
            <w:r>
              <w:rPr>
                <w:sz w:val="20"/>
              </w:rPr>
              <w:t xml:space="preserve"> 0.2††</w:t>
            </w:r>
          </w:p>
        </w:tc>
        <w:tc>
          <w:tcPr>
            <w:tcW w:w="1275" w:type="dxa"/>
          </w:tcPr>
          <w:p w14:paraId="482C5EC5" w14:textId="77777777" w:rsidR="00D133D4" w:rsidRDefault="00D133D4" w:rsidP="00DC07C7">
            <w:pPr>
              <w:jc w:val="center"/>
              <w:rPr>
                <w:sz w:val="20"/>
              </w:rPr>
            </w:pPr>
            <w:r>
              <w:rPr>
                <w:sz w:val="20"/>
              </w:rPr>
              <w:t xml:space="preserve">3.7 </w:t>
            </w:r>
            <w:r>
              <w:rPr>
                <w:sz w:val="20"/>
                <w:u w:val="single"/>
              </w:rPr>
              <w:t>+</w:t>
            </w:r>
            <w:r>
              <w:rPr>
                <w:sz w:val="20"/>
              </w:rPr>
              <w:t xml:space="preserve"> 0.5††</w:t>
            </w:r>
          </w:p>
        </w:tc>
      </w:tr>
      <w:tr w:rsidR="00D133D4" w14:paraId="4FD81A6F" w14:textId="77777777" w:rsidTr="00DC07C7">
        <w:tc>
          <w:tcPr>
            <w:tcW w:w="1985" w:type="dxa"/>
          </w:tcPr>
          <w:p w14:paraId="52DC4CAF" w14:textId="77777777" w:rsidR="00D133D4" w:rsidRDefault="00D133D4" w:rsidP="00DC07C7">
            <w:pPr>
              <w:rPr>
                <w:sz w:val="20"/>
              </w:rPr>
            </w:pPr>
            <w:r>
              <w:rPr>
                <w:sz w:val="20"/>
              </w:rPr>
              <w:t>Area postrema</w:t>
            </w:r>
          </w:p>
        </w:tc>
        <w:tc>
          <w:tcPr>
            <w:tcW w:w="1417" w:type="dxa"/>
          </w:tcPr>
          <w:p w14:paraId="6876B794" w14:textId="77777777" w:rsidR="00D133D4" w:rsidRDefault="00D133D4" w:rsidP="00DC07C7">
            <w:pPr>
              <w:jc w:val="center"/>
              <w:rPr>
                <w:sz w:val="20"/>
              </w:rPr>
            </w:pPr>
            <w:r>
              <w:rPr>
                <w:sz w:val="20"/>
              </w:rPr>
              <w:t xml:space="preserve">24.9 </w:t>
            </w:r>
            <w:r>
              <w:rPr>
                <w:sz w:val="20"/>
                <w:u w:val="single"/>
              </w:rPr>
              <w:t>+</w:t>
            </w:r>
            <w:r>
              <w:rPr>
                <w:sz w:val="20"/>
              </w:rPr>
              <w:t xml:space="preserve"> 4.3</w:t>
            </w:r>
          </w:p>
        </w:tc>
        <w:tc>
          <w:tcPr>
            <w:tcW w:w="1276" w:type="dxa"/>
          </w:tcPr>
          <w:p w14:paraId="2D6D9916" w14:textId="77777777" w:rsidR="00D133D4" w:rsidRDefault="00D133D4" w:rsidP="00DC07C7">
            <w:pPr>
              <w:jc w:val="center"/>
              <w:rPr>
                <w:sz w:val="20"/>
              </w:rPr>
            </w:pPr>
            <w:r>
              <w:rPr>
                <w:sz w:val="20"/>
              </w:rPr>
              <w:t xml:space="preserve">45.2 </w:t>
            </w:r>
            <w:r>
              <w:rPr>
                <w:sz w:val="20"/>
                <w:u w:val="single"/>
              </w:rPr>
              <w:t>+</w:t>
            </w:r>
            <w:r>
              <w:rPr>
                <w:sz w:val="20"/>
              </w:rPr>
              <w:t xml:space="preserve"> 3.4</w:t>
            </w:r>
          </w:p>
        </w:tc>
        <w:tc>
          <w:tcPr>
            <w:tcW w:w="992" w:type="dxa"/>
          </w:tcPr>
          <w:p w14:paraId="60969F2E" w14:textId="77777777" w:rsidR="00D133D4" w:rsidRDefault="00D133D4" w:rsidP="00DC07C7">
            <w:pPr>
              <w:jc w:val="center"/>
              <w:rPr>
                <w:sz w:val="20"/>
              </w:rPr>
            </w:pPr>
            <w:r>
              <w:rPr>
                <w:sz w:val="20"/>
              </w:rPr>
              <w:t xml:space="preserve">6.3 </w:t>
            </w:r>
            <w:r>
              <w:rPr>
                <w:sz w:val="20"/>
                <w:u w:val="single"/>
              </w:rPr>
              <w:t>+</w:t>
            </w:r>
            <w:r>
              <w:rPr>
                <w:sz w:val="20"/>
              </w:rPr>
              <w:t xml:space="preserve"> 2.0</w:t>
            </w:r>
          </w:p>
        </w:tc>
        <w:tc>
          <w:tcPr>
            <w:tcW w:w="993" w:type="dxa"/>
          </w:tcPr>
          <w:p w14:paraId="0D659EC7" w14:textId="77777777" w:rsidR="00D133D4" w:rsidRDefault="00D133D4" w:rsidP="00DC07C7">
            <w:pPr>
              <w:jc w:val="center"/>
              <w:rPr>
                <w:sz w:val="20"/>
              </w:rPr>
            </w:pPr>
            <w:r>
              <w:rPr>
                <w:sz w:val="20"/>
              </w:rPr>
              <w:t xml:space="preserve">4.9 </w:t>
            </w:r>
            <w:r>
              <w:rPr>
                <w:sz w:val="20"/>
                <w:u w:val="single"/>
              </w:rPr>
              <w:t>+</w:t>
            </w:r>
            <w:r>
              <w:rPr>
                <w:sz w:val="20"/>
              </w:rPr>
              <w:t xml:space="preserve"> 0.7</w:t>
            </w:r>
          </w:p>
        </w:tc>
        <w:tc>
          <w:tcPr>
            <w:tcW w:w="1134" w:type="dxa"/>
          </w:tcPr>
          <w:p w14:paraId="0E88DD76" w14:textId="77777777" w:rsidR="00D133D4" w:rsidRDefault="00D133D4" w:rsidP="00DC07C7">
            <w:pPr>
              <w:jc w:val="center"/>
              <w:rPr>
                <w:sz w:val="20"/>
              </w:rPr>
            </w:pPr>
            <w:r>
              <w:rPr>
                <w:sz w:val="20"/>
              </w:rPr>
              <w:t xml:space="preserve">5.5 </w:t>
            </w:r>
            <w:r>
              <w:rPr>
                <w:sz w:val="20"/>
                <w:u w:val="single"/>
              </w:rPr>
              <w:t>+</w:t>
            </w:r>
            <w:r>
              <w:rPr>
                <w:sz w:val="20"/>
              </w:rPr>
              <w:t xml:space="preserve"> 0.8†</w:t>
            </w:r>
          </w:p>
        </w:tc>
        <w:tc>
          <w:tcPr>
            <w:tcW w:w="1275" w:type="dxa"/>
          </w:tcPr>
          <w:p w14:paraId="33A4AEF1" w14:textId="77777777" w:rsidR="00D133D4" w:rsidRDefault="00D133D4" w:rsidP="00DC07C7">
            <w:pPr>
              <w:jc w:val="center"/>
              <w:rPr>
                <w:sz w:val="20"/>
              </w:rPr>
            </w:pPr>
            <w:r>
              <w:rPr>
                <w:sz w:val="20"/>
              </w:rPr>
              <w:t xml:space="preserve">7.9 </w:t>
            </w:r>
            <w:r>
              <w:rPr>
                <w:sz w:val="20"/>
                <w:u w:val="single"/>
              </w:rPr>
              <w:t>+</w:t>
            </w:r>
            <w:r>
              <w:rPr>
                <w:sz w:val="20"/>
              </w:rPr>
              <w:t xml:space="preserve"> 1.1†</w:t>
            </w:r>
          </w:p>
        </w:tc>
      </w:tr>
      <w:tr w:rsidR="00D133D4" w14:paraId="3E6E409D" w14:textId="77777777" w:rsidTr="00DC07C7">
        <w:tc>
          <w:tcPr>
            <w:tcW w:w="1985" w:type="dxa"/>
          </w:tcPr>
          <w:p w14:paraId="307AE7B8" w14:textId="77777777" w:rsidR="00D133D4" w:rsidRDefault="00D133D4" w:rsidP="00DC07C7">
            <w:pPr>
              <w:rPr>
                <w:sz w:val="20"/>
              </w:rPr>
            </w:pPr>
            <w:r>
              <w:rPr>
                <w:sz w:val="20"/>
              </w:rPr>
              <w:t>Medulla oblongata</w:t>
            </w:r>
          </w:p>
        </w:tc>
        <w:tc>
          <w:tcPr>
            <w:tcW w:w="1417" w:type="dxa"/>
          </w:tcPr>
          <w:p w14:paraId="76185E0C" w14:textId="77777777" w:rsidR="00D133D4" w:rsidRDefault="00D133D4" w:rsidP="00DC07C7">
            <w:pPr>
              <w:jc w:val="center"/>
              <w:rPr>
                <w:sz w:val="20"/>
              </w:rPr>
            </w:pPr>
            <w:r>
              <w:rPr>
                <w:sz w:val="20"/>
              </w:rPr>
              <w:t xml:space="preserve">13.9 </w:t>
            </w:r>
            <w:r>
              <w:rPr>
                <w:sz w:val="20"/>
                <w:u w:val="single"/>
              </w:rPr>
              <w:t>+</w:t>
            </w:r>
            <w:r>
              <w:rPr>
                <w:sz w:val="20"/>
              </w:rPr>
              <w:t xml:space="preserve"> 1.6**</w:t>
            </w:r>
          </w:p>
        </w:tc>
        <w:tc>
          <w:tcPr>
            <w:tcW w:w="1276" w:type="dxa"/>
          </w:tcPr>
          <w:p w14:paraId="1FDCFB41" w14:textId="77777777" w:rsidR="00D133D4" w:rsidRDefault="00D133D4" w:rsidP="00DC07C7">
            <w:pPr>
              <w:jc w:val="center"/>
              <w:rPr>
                <w:sz w:val="20"/>
              </w:rPr>
            </w:pPr>
            <w:r>
              <w:rPr>
                <w:sz w:val="20"/>
              </w:rPr>
              <w:t xml:space="preserve">42.1 </w:t>
            </w:r>
            <w:r>
              <w:rPr>
                <w:sz w:val="20"/>
                <w:u w:val="single"/>
              </w:rPr>
              <w:t>+</w:t>
            </w:r>
            <w:r>
              <w:rPr>
                <w:sz w:val="20"/>
              </w:rPr>
              <w:t xml:space="preserve"> 2.6**</w:t>
            </w:r>
          </w:p>
        </w:tc>
        <w:tc>
          <w:tcPr>
            <w:tcW w:w="992" w:type="dxa"/>
          </w:tcPr>
          <w:p w14:paraId="7B9FC10E" w14:textId="77777777" w:rsidR="00D133D4" w:rsidRDefault="00D133D4" w:rsidP="00DC07C7">
            <w:pPr>
              <w:jc w:val="center"/>
              <w:rPr>
                <w:sz w:val="20"/>
              </w:rPr>
            </w:pPr>
            <w:r>
              <w:rPr>
                <w:sz w:val="20"/>
              </w:rPr>
              <w:t xml:space="preserve">2.6 </w:t>
            </w:r>
            <w:r>
              <w:rPr>
                <w:sz w:val="20"/>
                <w:u w:val="single"/>
              </w:rPr>
              <w:t>+</w:t>
            </w:r>
            <w:r>
              <w:rPr>
                <w:sz w:val="20"/>
              </w:rPr>
              <w:t xml:space="preserve"> 0.4</w:t>
            </w:r>
          </w:p>
        </w:tc>
        <w:tc>
          <w:tcPr>
            <w:tcW w:w="993" w:type="dxa"/>
          </w:tcPr>
          <w:p w14:paraId="3ABE2B20" w14:textId="77777777" w:rsidR="00D133D4" w:rsidRDefault="00D133D4" w:rsidP="00DC07C7">
            <w:pPr>
              <w:jc w:val="center"/>
              <w:rPr>
                <w:sz w:val="20"/>
              </w:rPr>
            </w:pPr>
            <w:r>
              <w:rPr>
                <w:sz w:val="20"/>
              </w:rPr>
              <w:t xml:space="preserve">1.7 </w:t>
            </w:r>
            <w:r>
              <w:rPr>
                <w:sz w:val="20"/>
                <w:u w:val="single"/>
              </w:rPr>
              <w:t>+</w:t>
            </w:r>
            <w:r>
              <w:rPr>
                <w:sz w:val="20"/>
              </w:rPr>
              <w:t xml:space="preserve"> 0.0</w:t>
            </w:r>
          </w:p>
        </w:tc>
        <w:tc>
          <w:tcPr>
            <w:tcW w:w="1134" w:type="dxa"/>
          </w:tcPr>
          <w:p w14:paraId="2C8939FA" w14:textId="77777777" w:rsidR="00D133D4" w:rsidRDefault="00D133D4" w:rsidP="00DC07C7">
            <w:pPr>
              <w:jc w:val="center"/>
              <w:rPr>
                <w:sz w:val="20"/>
              </w:rPr>
            </w:pPr>
            <w:r>
              <w:rPr>
                <w:sz w:val="20"/>
              </w:rPr>
              <w:t xml:space="preserve">2.6 </w:t>
            </w:r>
            <w:r>
              <w:rPr>
                <w:sz w:val="20"/>
                <w:u w:val="single"/>
              </w:rPr>
              <w:t>+</w:t>
            </w:r>
            <w:r>
              <w:rPr>
                <w:sz w:val="20"/>
              </w:rPr>
              <w:t xml:space="preserve"> 0.1††</w:t>
            </w:r>
          </w:p>
        </w:tc>
        <w:tc>
          <w:tcPr>
            <w:tcW w:w="1275" w:type="dxa"/>
          </w:tcPr>
          <w:p w14:paraId="2781ED02" w14:textId="77777777" w:rsidR="00D133D4" w:rsidRDefault="00D133D4" w:rsidP="00DC07C7">
            <w:pPr>
              <w:jc w:val="center"/>
              <w:rPr>
                <w:sz w:val="20"/>
              </w:rPr>
            </w:pPr>
            <w:r>
              <w:rPr>
                <w:sz w:val="20"/>
              </w:rPr>
              <w:t xml:space="preserve">5.3 </w:t>
            </w:r>
            <w:r>
              <w:rPr>
                <w:sz w:val="20"/>
                <w:u w:val="single"/>
              </w:rPr>
              <w:t>+</w:t>
            </w:r>
            <w:r>
              <w:rPr>
                <w:sz w:val="20"/>
              </w:rPr>
              <w:t xml:space="preserve"> 0.5††</w:t>
            </w:r>
          </w:p>
        </w:tc>
      </w:tr>
    </w:tbl>
    <w:p w14:paraId="26B1AD8A" w14:textId="77777777" w:rsidR="00D133D4" w:rsidRDefault="00D133D4" w:rsidP="00D133D4">
      <w:pPr>
        <w:rPr>
          <w:sz w:val="20"/>
        </w:rPr>
      </w:pPr>
      <w:r>
        <w:rPr>
          <w:sz w:val="20"/>
        </w:rPr>
        <w:t xml:space="preserve">Data are expressed as means </w:t>
      </w:r>
      <w:r>
        <w:rPr>
          <w:sz w:val="20"/>
          <w:u w:val="single"/>
        </w:rPr>
        <w:t>+</w:t>
      </w:r>
      <w:r>
        <w:rPr>
          <w:sz w:val="20"/>
        </w:rPr>
        <w:t xml:space="preserve"> 1 SEM for 5 groups of brains measured in duplicate; ** p&lt;0.01 compared to the concentration measured in the adult brain at the same time point; † p&lt;0.05, †† p&lt;0.01 compared to neonatal rats at the same time point (ANOVA, Bonferonni tests).</w:t>
      </w:r>
    </w:p>
    <w:p w14:paraId="095B4D32" w14:textId="77777777" w:rsidR="00D133D4" w:rsidRDefault="00D133D4" w:rsidP="00D133D4"/>
    <w:p w14:paraId="0EAD2446" w14:textId="77777777" w:rsidR="00D133D4" w:rsidRDefault="00D133D4" w:rsidP="00D133D4">
      <w:r>
        <w:t>In summary, paraquat was shown to enter the brain of rats of various ages following a single sc injection in the absence of any neuronal damage. The observations that brain paraquat levels in neonates did not decrease over the study period, and that these levels were significantly higher than those in adult and aged rats, were attributed to impaired BBB integrity.</w:t>
      </w:r>
      <w:r w:rsidR="0091026C">
        <w:t xml:space="preserve"> There was no evidence of treatment related cell damage in the brain.</w:t>
      </w:r>
    </w:p>
    <w:p w14:paraId="2355523F" w14:textId="77777777" w:rsidR="00D133D4" w:rsidRPr="002B2CFC" w:rsidRDefault="00D133D4" w:rsidP="002B2CFC">
      <w:pPr>
        <w:spacing w:before="120"/>
        <w:rPr>
          <w:szCs w:val="24"/>
          <w:lang w:val="en-US" w:eastAsia="en-US"/>
        </w:rPr>
      </w:pPr>
    </w:p>
    <w:p w14:paraId="1B40F2F0" w14:textId="77777777" w:rsidR="00406205" w:rsidRDefault="002B2CFC" w:rsidP="002B2CFC">
      <w:pPr>
        <w:spacing w:before="120"/>
        <w:rPr>
          <w:b/>
          <w:i/>
        </w:rPr>
      </w:pPr>
      <w:r w:rsidRPr="000E275D">
        <w:rPr>
          <w:b/>
        </w:rPr>
        <w:lastRenderedPageBreak/>
        <w:t>Widdowson PS, Farnworth MJ, Upton R &amp; Simpson MG (1996b) No changes in behaviour, nigro-striatal system neurochemistry or neuronal cell death following toxic multiple oral paraquat administration to rats.</w:t>
      </w:r>
      <w:r w:rsidRPr="002B2CFC">
        <w:rPr>
          <w:b/>
          <w:i/>
        </w:rPr>
        <w:t xml:space="preserve"> Hum Exp Toxicol 15: 583-591.</w:t>
      </w:r>
    </w:p>
    <w:p w14:paraId="25B48F92" w14:textId="77777777" w:rsidR="00D43CEC" w:rsidRPr="002B2CFC" w:rsidRDefault="00D43CEC" w:rsidP="002B2CFC">
      <w:pPr>
        <w:spacing w:before="120"/>
        <w:rPr>
          <w:b/>
          <w:i/>
        </w:rPr>
      </w:pPr>
    </w:p>
    <w:p w14:paraId="1AF4983A" w14:textId="4C591BD7" w:rsidR="00D133D4" w:rsidRDefault="00A14648" w:rsidP="00D133D4">
      <w:r>
        <w:t>P</w:t>
      </w:r>
      <w:r w:rsidR="00D133D4">
        <w:t>araquat (33% paraquat cation; unspecified batch no.; ICI Chemicals and Polymers, Widnes, Cheshire, UK) in deionised water was administered by po gavage at 0 (control) or 5 mg/kg bw/d paraquat cation, in a dose volume of 1 mL/kg bw, to groups of 8 male AP (Alpk: Apfsd, Wistar-derived) rats (200-250 g body weight; age and source unspecified) for 14 days. All rats were weighed daily and observed for any clinical signs of toxicity. Locomotor activity was examined in an open field test on days 4 and 12 at 22</w:t>
      </w:r>
      <w:r w:rsidR="00D133D4">
        <w:sym w:font="Symbol" w:char="F0B0"/>
      </w:r>
      <w:r w:rsidR="00D133D4">
        <w:t>C. Over a 10 minute period, the total number of line crossings per box, line crossings in the centre of the box, line crossing in the periphery of the box and the total number of rearings were recorded by an observer sitting 2 metres from the box. Additionally, any abnormal movements (eg excessive grooming, licking etc) were recorded.</w:t>
      </w:r>
    </w:p>
    <w:p w14:paraId="3480A7C9" w14:textId="77777777" w:rsidR="00D133D4" w:rsidRDefault="00D133D4" w:rsidP="00D133D4"/>
    <w:p w14:paraId="46B1A522" w14:textId="77777777" w:rsidR="00D133D4" w:rsidRDefault="00D133D4" w:rsidP="00D133D4">
      <w:r>
        <w:t xml:space="preserve">Motor coordination and grip strength were measured on days 4, 8 and 15. </w:t>
      </w:r>
      <w:r w:rsidR="00AE4925">
        <w:t>Front and rear leg g</w:t>
      </w:r>
      <w:r>
        <w:t xml:space="preserve">rip strength was measured </w:t>
      </w:r>
      <w:r w:rsidR="00AE4925">
        <w:t xml:space="preserve">in 3 trials </w:t>
      </w:r>
      <w:r>
        <w:t xml:space="preserve">using </w:t>
      </w:r>
      <w:r w:rsidR="00AE4925">
        <w:t>strain gauges</w:t>
      </w:r>
      <w:r>
        <w:t>. Motor coordination was measured twice following the grip strength experiment by recording the time taken for each rat to remove their hind limbs out of 2 x 5 cm holes that were cut 2.5 cm apart in a perspex platform. Total locomotor activity was measured on day 15 using animal activity monitors</w:t>
      </w:r>
      <w:r w:rsidR="00AE4925">
        <w:t xml:space="preserve"> (infrared motion detectors)</w:t>
      </w:r>
      <w:r>
        <w:t>. Rats were sacrificed on day 15 by inhalation of CO</w:t>
      </w:r>
      <w:r>
        <w:rPr>
          <w:vertAlign w:val="subscript"/>
        </w:rPr>
        <w:t>2</w:t>
      </w:r>
      <w:r>
        <w:t xml:space="preserve"> and their brains analysed for </w:t>
      </w:r>
      <w:r w:rsidR="00A4092E">
        <w:t>DA</w:t>
      </w:r>
      <w:r>
        <w:t>, DOPAC and noradrenaline by HPLC.</w:t>
      </w:r>
    </w:p>
    <w:p w14:paraId="2818DE66" w14:textId="77777777" w:rsidR="00D133D4" w:rsidRDefault="00D133D4" w:rsidP="00D133D4"/>
    <w:p w14:paraId="5D18A8BF" w14:textId="77777777" w:rsidR="00D133D4" w:rsidRDefault="00D133D4" w:rsidP="00D133D4">
      <w:r>
        <w:t xml:space="preserve">In a separate experiment, 6 rats/group received a daily po gavage of 0 or 5 mg/kg bw/d paraquat cation for 14 days in a dose volume of 1 mL/kg bw. Following sacrifice at day 15, brains were removed and examined for neurotransmitter receptor densities (dopamine D1 and D2 receptors, muscarinic receptors, </w:t>
      </w:r>
      <w:r>
        <w:rPr>
          <w:sz w:val="20"/>
        </w:rPr>
        <w:t>N</w:t>
      </w:r>
      <w:r>
        <w:t>-methyl-</w:t>
      </w:r>
      <w:r>
        <w:rPr>
          <w:sz w:val="20"/>
        </w:rPr>
        <w:t>D</w:t>
      </w:r>
      <w:r>
        <w:t>-aspartate receptors, benzodiazepine sites on GABA</w:t>
      </w:r>
      <w:r>
        <w:rPr>
          <w:vertAlign w:val="subscript"/>
        </w:rPr>
        <w:t>A</w:t>
      </w:r>
      <w:r>
        <w:t xml:space="preserve"> receptors) using quantitative receptor autoradiography.</w:t>
      </w:r>
    </w:p>
    <w:p w14:paraId="160EA259" w14:textId="77777777" w:rsidR="00D133D4" w:rsidRDefault="00D133D4" w:rsidP="00D133D4"/>
    <w:p w14:paraId="4A76E694" w14:textId="118DE119" w:rsidR="00D133D4" w:rsidRDefault="00D133D4" w:rsidP="00D133D4">
      <w:r>
        <w:t>To determine the tissue distribution of paraquat, 4 rats/group received 5 mg/kg bw/d [</w:t>
      </w:r>
      <w:r>
        <w:rPr>
          <w:vertAlign w:val="superscript"/>
        </w:rPr>
        <w:t>14</w:t>
      </w:r>
      <w:r>
        <w:t>C]</w:t>
      </w:r>
      <w:r w:rsidR="00A14648">
        <w:t>-</w:t>
      </w:r>
      <w:r>
        <w:t xml:space="preserve">paraquat cation (98% purity, 103 mCi/mmol; batch no. unspecified; Cambridge Research Biologicals, Gadbrook Park, Northwich, Cheshire, UK) in water for one (106 </w:t>
      </w:r>
      <w:r>
        <w:sym w:font="Symbol" w:char="F06D"/>
      </w:r>
      <w:r>
        <w:t xml:space="preserve">Ci/mL) or 14 (20 </w:t>
      </w:r>
      <w:r>
        <w:sym w:font="Symbol" w:char="F06D"/>
      </w:r>
      <w:r>
        <w:t xml:space="preserve">Ci/mL) days in a dose volume of 1 mL/kg bw. Rats were sacrificed with an overdose of fluothane 24 h after the single dose or 24 h </w:t>
      </w:r>
      <w:r w:rsidR="00DC2490">
        <w:t xml:space="preserve">or </w:t>
      </w:r>
      <w:r>
        <w:t xml:space="preserve">after the last of the 14 daily doses. Blood was collected transcardially and the concentrations of paraquat in the plasma, liver, kidneys, brain and lung measured according to the method of Naylor </w:t>
      </w:r>
      <w:r w:rsidRPr="0058670C">
        <w:rPr>
          <w:i/>
        </w:rPr>
        <w:t>et al</w:t>
      </w:r>
      <w:r>
        <w:t xml:space="preserve"> (1995).</w:t>
      </w:r>
    </w:p>
    <w:p w14:paraId="4E78A916" w14:textId="77777777" w:rsidR="00D133D4" w:rsidRDefault="00D133D4" w:rsidP="00D133D4"/>
    <w:p w14:paraId="05FB8B5C" w14:textId="77777777" w:rsidR="00D133D4" w:rsidRDefault="00D133D4" w:rsidP="00D133D4">
      <w:r>
        <w:t xml:space="preserve">To determine whether paraquat could cause neuronal damage or death, 4 rats/group received 0 or 5 mg/kg bw/d paraquat cation in water at a dose volume of 1 mL/kg bw for 14 days. Rats were sacrificed with an overdose of Euthatal 24 h after the final dose and perfused </w:t>
      </w:r>
      <w:r w:rsidR="00794F11">
        <w:t>intracardially</w:t>
      </w:r>
      <w:r>
        <w:t xml:space="preserve"> with saline followed by a 4% paraformaldehyde solution. Brains were removed and processed for histopathological examination as previously described (Naylor </w:t>
      </w:r>
      <w:r w:rsidRPr="0058670C">
        <w:rPr>
          <w:i/>
        </w:rPr>
        <w:t>et al</w:t>
      </w:r>
      <w:r w:rsidR="00120920">
        <w:rPr>
          <w:i/>
        </w:rPr>
        <w:t>,</w:t>
      </w:r>
      <w:r>
        <w:t xml:space="preserve"> 1995).</w:t>
      </w:r>
    </w:p>
    <w:p w14:paraId="1E1DFE26" w14:textId="77777777" w:rsidR="00D133D4" w:rsidRDefault="00D133D4" w:rsidP="00D133D4"/>
    <w:p w14:paraId="7FABB458" w14:textId="77777777" w:rsidR="00D133D4" w:rsidRDefault="00D133D4" w:rsidP="00D133D4">
      <w:r>
        <w:t xml:space="preserve">Paraquat-treated rats showed no clinical signs of toxicity, however a slight depression in </w:t>
      </w:r>
      <w:r w:rsidR="008E3EB0">
        <w:t>body weight</w:t>
      </w:r>
      <w:r>
        <w:t xml:space="preserve"> gain was observed over 14 days (90 </w:t>
      </w:r>
      <w:r>
        <w:rPr>
          <w:u w:val="single"/>
        </w:rPr>
        <w:t>+</w:t>
      </w:r>
      <w:r>
        <w:t xml:space="preserve"> 5 g) compared to the control group (103 </w:t>
      </w:r>
      <w:r>
        <w:rPr>
          <w:u w:val="single"/>
        </w:rPr>
        <w:t>+</w:t>
      </w:r>
      <w:r>
        <w:t xml:space="preserve"> 4 g), a finding which was not statistically significant. The study authors concluded that the low </w:t>
      </w:r>
      <w:r>
        <w:lastRenderedPageBreak/>
        <w:t>paraquat dose was toxic to the rats however there were no overt signs of toxicity reported, including any effects on behaviour or motor activity.</w:t>
      </w:r>
    </w:p>
    <w:p w14:paraId="79328B2D" w14:textId="77777777" w:rsidR="00D133D4" w:rsidRDefault="00D133D4" w:rsidP="00D133D4"/>
    <w:p w14:paraId="23123D41" w14:textId="0B013555" w:rsidR="00D133D4" w:rsidRDefault="00D133D4" w:rsidP="00D133D4">
      <w:r>
        <w:t>Twenty-four hours after a single oral dose, the lung had the highest concentration of [</w:t>
      </w:r>
      <w:r>
        <w:rPr>
          <w:vertAlign w:val="superscript"/>
        </w:rPr>
        <w:t>14</w:t>
      </w:r>
      <w:r>
        <w:t>C]</w:t>
      </w:r>
      <w:r w:rsidR="00A14648">
        <w:t>-</w:t>
      </w:r>
      <w:r>
        <w:t xml:space="preserve">paraquat (0.57 </w:t>
      </w:r>
      <w:r>
        <w:rPr>
          <w:u w:val="single"/>
        </w:rPr>
        <w:t>+</w:t>
      </w:r>
      <w:r>
        <w:t xml:space="preserve"> 0.12 nmol/mL), followed by the kidney (0.21 </w:t>
      </w:r>
      <w:r>
        <w:rPr>
          <w:u w:val="single"/>
        </w:rPr>
        <w:t>+</w:t>
      </w:r>
      <w:r>
        <w:t xml:space="preserve"> 0.02 nmol/mL), liver (0.11 </w:t>
      </w:r>
      <w:r>
        <w:rPr>
          <w:u w:val="single"/>
        </w:rPr>
        <w:t>+</w:t>
      </w:r>
      <w:r>
        <w:t xml:space="preserve"> 0.01 nmol/mL), brain (0.05 </w:t>
      </w:r>
      <w:r>
        <w:rPr>
          <w:u w:val="single"/>
        </w:rPr>
        <w:t>+</w:t>
      </w:r>
      <w:r>
        <w:t xml:space="preserve"> 0 nmol/mL) and plasma (0.02 </w:t>
      </w:r>
      <w:r>
        <w:rPr>
          <w:u w:val="single"/>
        </w:rPr>
        <w:t>+</w:t>
      </w:r>
      <w:r>
        <w:t xml:space="preserve"> 0.01 nmol/L). Twenty-four hours after 14 daily oral doses, the lung again showed the highest paraquat concentration (2.52 </w:t>
      </w:r>
      <w:r>
        <w:rPr>
          <w:u w:val="single"/>
        </w:rPr>
        <w:t>+</w:t>
      </w:r>
      <w:r>
        <w:t xml:space="preserve"> 0.37 nmol/mL), followed by the brain (0.47 </w:t>
      </w:r>
      <w:r>
        <w:rPr>
          <w:u w:val="single"/>
        </w:rPr>
        <w:t>+</w:t>
      </w:r>
      <w:r>
        <w:t xml:space="preserve"> 0.05 nmol/mL), the kidney (0.44 </w:t>
      </w:r>
      <w:r>
        <w:rPr>
          <w:u w:val="single"/>
        </w:rPr>
        <w:t>+</w:t>
      </w:r>
      <w:r>
        <w:t xml:space="preserve"> 0.02 nmol/mL), liver (0.34 </w:t>
      </w:r>
      <w:r>
        <w:rPr>
          <w:u w:val="single"/>
        </w:rPr>
        <w:t>+</w:t>
      </w:r>
      <w:r>
        <w:t xml:space="preserve"> 0.01 nmol/mL) and plasma (0.06 </w:t>
      </w:r>
      <w:r>
        <w:rPr>
          <w:u w:val="single"/>
        </w:rPr>
        <w:t>+</w:t>
      </w:r>
      <w:r>
        <w:t xml:space="preserve"> 0.01 nmol/mL). </w:t>
      </w:r>
      <w:r w:rsidRPr="00A11E70">
        <w:t>The brain exhibited an approximately 10-fold greater paraquat concentration after 14 repeat doses compared to a single dose while all other tissue only showed a 2 to 4-fold increase.</w:t>
      </w:r>
    </w:p>
    <w:p w14:paraId="0DC49C7D" w14:textId="77777777" w:rsidR="00D133D4" w:rsidRDefault="00D133D4" w:rsidP="00D133D4"/>
    <w:p w14:paraId="4AB431E3" w14:textId="77777777" w:rsidR="00D133D4" w:rsidRDefault="00D133D4" w:rsidP="00D133D4">
      <w:r>
        <w:t xml:space="preserve">There was no treatment-related effect on behaviour, motor coordination, grip strength or total locomotor activity. Paraquat-treated rats showed a significantly higher (p=0.005; 2-sampled, 2-tailed t-test) striatal </w:t>
      </w:r>
      <w:r w:rsidR="00A4092E">
        <w:t>DA</w:t>
      </w:r>
      <w:r>
        <w:t xml:space="preserve"> concentration (219.4 </w:t>
      </w:r>
      <w:r>
        <w:rPr>
          <w:u w:val="single"/>
        </w:rPr>
        <w:t>+</w:t>
      </w:r>
      <w:r>
        <w:t xml:space="preserve"> 10.2 ng/mg protein) compared to the control (157.4 </w:t>
      </w:r>
      <w:r>
        <w:rPr>
          <w:u w:val="single"/>
        </w:rPr>
        <w:t>+</w:t>
      </w:r>
      <w:r>
        <w:t xml:space="preserve"> 15.6 ng/mg protein) which the study authors suggested may have due to a paraquat-induced stress response. In contrast, there was no treatment-related effect on the concentration of </w:t>
      </w:r>
      <w:r w:rsidR="00A4092E">
        <w:t>DA</w:t>
      </w:r>
      <w:r>
        <w:t xml:space="preserve"> in the hypothalamus. There was no perturbation in the level of DOPAC in the striatum or hypothalamus. Noradrenaline appeared to be slightly elevated in the striatum, hypothalamus and frontal cortex, however none of these results were statistically significant. There was no treatment-related effect on the density of dopamine D1, dopamine D2, muscarinic, </w:t>
      </w:r>
      <w:r>
        <w:rPr>
          <w:sz w:val="20"/>
        </w:rPr>
        <w:t>N</w:t>
      </w:r>
      <w:r>
        <w:t>-methyl-</w:t>
      </w:r>
      <w:r>
        <w:rPr>
          <w:sz w:val="20"/>
        </w:rPr>
        <w:t>D</w:t>
      </w:r>
      <w:r>
        <w:t>-aspartate or benzodiazepine receptors.</w:t>
      </w:r>
    </w:p>
    <w:p w14:paraId="7DEAC06E" w14:textId="77777777" w:rsidR="00D133D4" w:rsidRDefault="00D133D4" w:rsidP="00D133D4"/>
    <w:p w14:paraId="31E53C8A" w14:textId="77777777" w:rsidR="00D133D4" w:rsidRDefault="00D133D4" w:rsidP="00D133D4">
      <w:r>
        <w:t xml:space="preserve">Photographic evidence illustrated that paraquat-treated rats showed no signs of neuronal cell damage or death in the laminar pars reticulata or the lamina pars compacta of the </w:t>
      </w:r>
      <w:r w:rsidR="00A4092E">
        <w:t>SN</w:t>
      </w:r>
      <w:r w:rsidR="00557BB3">
        <w:t>.</w:t>
      </w:r>
    </w:p>
    <w:p w14:paraId="42504849" w14:textId="77777777" w:rsidR="00D133D4" w:rsidRDefault="00D133D4" w:rsidP="00D133D4"/>
    <w:p w14:paraId="1CF1DD4E" w14:textId="77777777" w:rsidR="00D133D4" w:rsidRDefault="00D133D4" w:rsidP="00D133D4">
      <w:r>
        <w:t>In summary, paraquat showed no evidence of neurotoxicity when administered by po gavage to Wistar-derived rats at 5 mg/kg bw/d paraquat cation for 14 days, despite evidence that paraquat could enter the brain. There was no treatment-related effect on behaviour, locomotor activity and nigrostriatal neurochemistry, and no evidence of neuropathology. Although all paraquat-treated rats received the same dose, measurements of tissue paraquat concentrations, neurotransmitter receptor densities and neurohistopathology were performed on separate groups of rats than the main experiment</w:t>
      </w:r>
      <w:r w:rsidRPr="0091026C">
        <w:t>.</w:t>
      </w:r>
      <w:r w:rsidR="00D90EC7" w:rsidRPr="0091026C">
        <w:t xml:space="preserve"> </w:t>
      </w:r>
      <w:r w:rsidR="00D90EC7" w:rsidRPr="0091026C">
        <w:rPr>
          <w:szCs w:val="24"/>
          <w:lang w:val="en-US" w:eastAsia="en-US"/>
        </w:rPr>
        <w:t>In this study paraquat did not behave like MPP</w:t>
      </w:r>
      <w:r w:rsidR="00D90EC7" w:rsidRPr="0091026C">
        <w:rPr>
          <w:szCs w:val="24"/>
          <w:vertAlign w:val="superscript"/>
          <w:lang w:val="en-US" w:eastAsia="en-US"/>
        </w:rPr>
        <w:t xml:space="preserve">+ </w:t>
      </w:r>
      <w:r w:rsidR="00D90EC7" w:rsidRPr="0091026C">
        <w:rPr>
          <w:szCs w:val="24"/>
          <w:lang w:eastAsia="en-US"/>
        </w:rPr>
        <w:t>(N-methyl-4-phenylpyridinium), the neurotoxic metabolite of MPTP</w:t>
      </w:r>
      <w:r w:rsidR="005D1F31" w:rsidRPr="0091026C">
        <w:rPr>
          <w:szCs w:val="24"/>
          <w:lang w:eastAsia="en-US"/>
        </w:rPr>
        <w:t>.</w:t>
      </w:r>
    </w:p>
    <w:p w14:paraId="05C3C970" w14:textId="77777777" w:rsidR="00D133D4" w:rsidRPr="002B2CFC" w:rsidRDefault="00D133D4" w:rsidP="002B2CFC">
      <w:pPr>
        <w:spacing w:before="120"/>
        <w:rPr>
          <w:szCs w:val="24"/>
          <w:lang w:eastAsia="en-US"/>
        </w:rPr>
      </w:pPr>
    </w:p>
    <w:p w14:paraId="431387D5" w14:textId="7FE4A330" w:rsidR="002B2CFC" w:rsidRPr="002B2CFC" w:rsidRDefault="002B2CFC" w:rsidP="002B2CFC">
      <w:pPr>
        <w:spacing w:before="120"/>
        <w:rPr>
          <w:b/>
          <w:i/>
          <w:szCs w:val="24"/>
          <w:lang w:eastAsia="en-US"/>
        </w:rPr>
      </w:pPr>
      <w:r w:rsidRPr="000E275D">
        <w:rPr>
          <w:b/>
          <w:szCs w:val="24"/>
          <w:lang w:eastAsia="en-US"/>
        </w:rPr>
        <w:t>Shimizu K, Ohtaki K, Matsubara K, Aoyama K, Uezono T, Saito O, Suno M, Ogawa K, Hayase N, Kimura K, Shiono H (200</w:t>
      </w:r>
      <w:r w:rsidR="002C074F">
        <w:rPr>
          <w:b/>
          <w:szCs w:val="24"/>
          <w:lang w:eastAsia="en-US"/>
        </w:rPr>
        <w:t>1</w:t>
      </w:r>
      <w:r w:rsidRPr="000E275D">
        <w:rPr>
          <w:b/>
          <w:szCs w:val="24"/>
          <w:lang w:eastAsia="en-US"/>
        </w:rPr>
        <w:t>) Carrier-mediated processes in blood-brain barrier penetration and neural uptake of paraquat.</w:t>
      </w:r>
      <w:r w:rsidRPr="002B2CFC">
        <w:rPr>
          <w:b/>
          <w:i/>
          <w:szCs w:val="24"/>
          <w:lang w:eastAsia="en-US"/>
        </w:rPr>
        <w:t xml:space="preserve"> Brain Res 906: 135-142.</w:t>
      </w:r>
    </w:p>
    <w:p w14:paraId="5F4ECE6B" w14:textId="77777777" w:rsidR="002B2CFC" w:rsidRPr="00D90EC7" w:rsidRDefault="00251893" w:rsidP="009E40A8">
      <w:pPr>
        <w:spacing w:before="120"/>
        <w:rPr>
          <w:szCs w:val="24"/>
          <w:lang w:val="en-US" w:eastAsia="en-US"/>
        </w:rPr>
      </w:pPr>
      <w:r>
        <w:rPr>
          <w:szCs w:val="24"/>
          <w:lang w:eastAsia="en-US"/>
        </w:rPr>
        <w:t>This study de</w:t>
      </w:r>
      <w:r w:rsidR="002B2CFC" w:rsidRPr="002B2CFC">
        <w:rPr>
          <w:szCs w:val="24"/>
          <w:lang w:eastAsia="en-US"/>
        </w:rPr>
        <w:t xml:space="preserve">veloped a microdialysis probe technique in stereotaxically implanted male rats. These authors also investigated </w:t>
      </w:r>
      <w:r w:rsidR="00312C7A">
        <w:rPr>
          <w:szCs w:val="24"/>
          <w:lang w:eastAsia="en-US"/>
        </w:rPr>
        <w:t>paraquats’ affect on the BBB</w:t>
      </w:r>
      <w:r w:rsidR="002B2CFC" w:rsidRPr="00D90EC7">
        <w:rPr>
          <w:szCs w:val="24"/>
          <w:lang w:val="en-US" w:eastAsia="en-US"/>
        </w:rPr>
        <w:t xml:space="preserve"> and </w:t>
      </w:r>
      <w:r w:rsidR="00312C7A">
        <w:rPr>
          <w:szCs w:val="24"/>
          <w:lang w:val="en-US" w:eastAsia="en-US"/>
        </w:rPr>
        <w:t>various brain uptake mechanisms.</w:t>
      </w:r>
      <w:r w:rsidR="002B2CFC" w:rsidRPr="00D90EC7">
        <w:rPr>
          <w:szCs w:val="24"/>
          <w:lang w:val="en-US" w:eastAsia="en-US"/>
        </w:rPr>
        <w:t xml:space="preserve"> </w:t>
      </w:r>
    </w:p>
    <w:p w14:paraId="6D51C91E" w14:textId="77777777" w:rsidR="002B2CFC" w:rsidRDefault="002B2CFC" w:rsidP="002B2CFC">
      <w:pPr>
        <w:rPr>
          <w:szCs w:val="24"/>
          <w:lang w:val="en-US" w:eastAsia="en-US"/>
        </w:rPr>
      </w:pPr>
    </w:p>
    <w:p w14:paraId="759D7377" w14:textId="77777777" w:rsidR="00D133D4" w:rsidRDefault="00D133D4" w:rsidP="00D133D4">
      <w:r>
        <w:rPr>
          <w:i/>
        </w:rPr>
        <w:t>Experimental</w:t>
      </w:r>
      <w:r>
        <w:t xml:space="preserve">: Male Wistar rats (8-weeks old, 210-260 g body weight; SLC Shizuoka, Japan) were stereotaxically implanted with 22-gauge cannulae, according to the co-ordinates of Paxinos &amp; Watson, (1986) under sodium pentobarbital anaesthesia. Microdialysis probes (I-shaped), with a dialysis area of 3 mm length, were prepared according to the method of Nakahara </w:t>
      </w:r>
      <w:r w:rsidRPr="0058670C">
        <w:rPr>
          <w:i/>
        </w:rPr>
        <w:t>et al</w:t>
      </w:r>
      <w:r>
        <w:t xml:space="preserve"> (1989), inserted through the guide cannulae and connected to a microinfusion </w:t>
      </w:r>
      <w:r>
        <w:lastRenderedPageBreak/>
        <w:t xml:space="preserve">pump. Brains were perfused with Ringer’s solution at 2 </w:t>
      </w:r>
      <w:r>
        <w:sym w:font="Symbol" w:char="F06D"/>
      </w:r>
      <w:r>
        <w:t xml:space="preserve">L/min for 4 h to allow for </w:t>
      </w:r>
      <w:r w:rsidR="00312C7A">
        <w:t xml:space="preserve">recovery </w:t>
      </w:r>
      <w:r>
        <w:t xml:space="preserve">after possible injury due to insertion of the probe. Following this recovery period, the dialysate was collected for 60 minutes and this was used as a blank sample. </w:t>
      </w:r>
    </w:p>
    <w:p w14:paraId="346387E7" w14:textId="77777777" w:rsidR="00D133D4" w:rsidRDefault="00D133D4" w:rsidP="00D133D4"/>
    <w:p w14:paraId="69618381" w14:textId="77777777" w:rsidR="00D133D4" w:rsidRDefault="00D133D4" w:rsidP="00D133D4">
      <w:r>
        <w:t>Paraquat dichloride (unspecified purity and batch number; Tokyo Chemical Industry, Tokyo, Japan) in saline was injected sc into the back of the neck of 3-8 rats/group at 5, 10 or 20 mg/kg bw (equivalent to 3.6, 7.2 and 14.4 mg/kg bw paraquat cation, respectively). A separate group of 4 rats was given a single sc injection of 10 mg/kg bw MPP</w:t>
      </w:r>
      <w:r>
        <w:rPr>
          <w:vertAlign w:val="superscript"/>
        </w:rPr>
        <w:t>+</w:t>
      </w:r>
      <w:r>
        <w:t xml:space="preserve"> iodide (unspecified purity and batch no.; Research Biochemicals International, Natick, MA, USA) to test the suitability of the brain microdialysis technique. Dose volumes were unspecified. The dialysate was collected at 60 minute intervals over 180 minutes. At the end of the collection period, blood was collected from each rat by cardiac puncture under deep pentobarbital anaesthesia. The amount of paraquat and MPP</w:t>
      </w:r>
      <w:r>
        <w:rPr>
          <w:vertAlign w:val="superscript"/>
        </w:rPr>
        <w:t>+</w:t>
      </w:r>
      <w:r>
        <w:t xml:space="preserve"> in dialysate and blood samples were analysed by HPLC.</w:t>
      </w:r>
    </w:p>
    <w:p w14:paraId="5CFEDCDB" w14:textId="77777777" w:rsidR="00D133D4" w:rsidRDefault="00D133D4" w:rsidP="00D133D4"/>
    <w:p w14:paraId="386B941A" w14:textId="77777777" w:rsidR="00D133D4" w:rsidRDefault="00D133D4" w:rsidP="00D133D4">
      <w:r>
        <w:t>To determine whether paraquat might damage the BBB and thereby facilitate entry into the brain, MPP</w:t>
      </w:r>
      <w:r>
        <w:rPr>
          <w:vertAlign w:val="superscript"/>
        </w:rPr>
        <w:t>+</w:t>
      </w:r>
      <w:r>
        <w:t xml:space="preserve"> (10 mg/kg bw, sc) was administered one hour after a single paraquat injection (20 mg/kg bw, sc), and then the amount of MPP</w:t>
      </w:r>
      <w:r>
        <w:rPr>
          <w:vertAlign w:val="superscript"/>
        </w:rPr>
        <w:t>+</w:t>
      </w:r>
      <w:r>
        <w:t xml:space="preserve"> in the dialysate analysed. To determine whether paraquat was carried into the brain via a specific amino acid transporter, </w:t>
      </w:r>
      <w:r>
        <w:rPr>
          <w:sz w:val="20"/>
        </w:rPr>
        <w:t>L</w:t>
      </w:r>
      <w:r>
        <w:t xml:space="preserve">-valine or </w:t>
      </w:r>
      <w:r>
        <w:rPr>
          <w:sz w:val="20"/>
        </w:rPr>
        <w:t>L</w:t>
      </w:r>
      <w:r>
        <w:t xml:space="preserve">-lysine (200 mg/kg bw, ip) were injected 30 minutes prior to a sc injection of paraquat (20 mg/kg bw). To determine whether paraquat was taken up by striatal cells, paraquat (50 </w:t>
      </w:r>
      <w:r>
        <w:sym w:font="Symbol" w:char="F06D"/>
      </w:r>
      <w:r>
        <w:t>M) or MPP</w:t>
      </w:r>
      <w:r>
        <w:rPr>
          <w:vertAlign w:val="superscript"/>
        </w:rPr>
        <w:t>+</w:t>
      </w:r>
      <w:r>
        <w:t xml:space="preserve"> (10 </w:t>
      </w:r>
      <w:r>
        <w:sym w:font="Symbol" w:char="F06D"/>
      </w:r>
      <w:r>
        <w:t>M) was administered directly into the striatum through the microdialysis tube for 60 minutes, followed by a sequential 180 minute washout with Ringer’s solution. Rats were decapitated, the ipsi- and contra-lateral striata immediately removed, homogenised and the amount of paraquat and MPP</w:t>
      </w:r>
      <w:r>
        <w:rPr>
          <w:vertAlign w:val="superscript"/>
        </w:rPr>
        <w:t>+</w:t>
      </w:r>
      <w:r>
        <w:t xml:space="preserve"> analysed by HPLC. To determine whether the uptake of paraquat was mediated by an ion exchange transporter, the above procedure was performed using Na</w:t>
      </w:r>
      <w:r>
        <w:rPr>
          <w:vertAlign w:val="superscript"/>
        </w:rPr>
        <w:t>+</w:t>
      </w:r>
      <w:r>
        <w:t xml:space="preserve">-free Ringer’s solution. To determine whether the polyamine transporter was involved in paraquat uptake by the brain (as is the case with lung paraquat uptake) this experiment was performed in the presence of 50 </w:t>
      </w:r>
      <w:r>
        <w:sym w:font="Symbol" w:char="F06D"/>
      </w:r>
      <w:r>
        <w:t>M putrescine. Statistical differences were determined using a 1-factor ANOVA, followed by a post-hoc Dunnet’s t-test.</w:t>
      </w:r>
    </w:p>
    <w:p w14:paraId="121D7B6C" w14:textId="77777777" w:rsidR="00D133D4" w:rsidRDefault="00D133D4" w:rsidP="00D133D4"/>
    <w:p w14:paraId="101486C6" w14:textId="77777777" w:rsidR="00D133D4" w:rsidRDefault="00D133D4" w:rsidP="00D133D4">
      <w:r>
        <w:rPr>
          <w:i/>
        </w:rPr>
        <w:t>Findings</w:t>
      </w:r>
      <w:r>
        <w:t>: A HPLC chromatogram illustrated that paraquat was detected in the dialysate at 60, 120 and 180 minutes after a single injection (20 mg/kg bw, sc) indicating that paraquat had crossed the BBB. Paraquat was also shown to be present in a blood sample collected 3 h after a sc injection. In contrast, a HPLC chromatogram showed that no MPP</w:t>
      </w:r>
      <w:r>
        <w:rPr>
          <w:vertAlign w:val="superscript"/>
        </w:rPr>
        <w:t>+</w:t>
      </w:r>
      <w:r>
        <w:t xml:space="preserve"> was detected in the dialysate following a single injection (10 mg/kg bw, sc) and thus none had crossed the BBB. MPP</w:t>
      </w:r>
      <w:r>
        <w:rPr>
          <w:vertAlign w:val="superscript"/>
        </w:rPr>
        <w:t>+</w:t>
      </w:r>
      <w:r>
        <w:t xml:space="preserve"> was, however, detected in the serum of rats 3 h after administration.</w:t>
      </w:r>
    </w:p>
    <w:p w14:paraId="7E8317AB" w14:textId="77777777" w:rsidR="00D133D4" w:rsidRDefault="00D133D4" w:rsidP="00D133D4"/>
    <w:p w14:paraId="062FEEBD" w14:textId="61FE88E1" w:rsidR="00D133D4" w:rsidRDefault="00D133D4" w:rsidP="00D133D4">
      <w:r>
        <w:t xml:space="preserve">There was a dose-related increase in both the serum and extracellular striatal concentrations of paraquat, and a dose-related decrease in the ratio of extracellular striatal to serum paraquat concentrations (see </w:t>
      </w:r>
      <w:r w:rsidR="003A31EB">
        <w:fldChar w:fldCharType="begin"/>
      </w:r>
      <w:r w:rsidR="003A31EB">
        <w:instrText xml:space="preserve"> REF _Ref459028331 </w:instrText>
      </w:r>
      <w:r w:rsidR="003A31EB">
        <w:fldChar w:fldCharType="separate"/>
      </w:r>
      <w:r w:rsidR="000E54B2">
        <w:t xml:space="preserve">Table </w:t>
      </w:r>
      <w:r w:rsidR="000E54B2">
        <w:rPr>
          <w:noProof/>
        </w:rPr>
        <w:t>9</w:t>
      </w:r>
      <w:r w:rsidR="003A31EB">
        <w:rPr>
          <w:noProof/>
        </w:rPr>
        <w:fldChar w:fldCharType="end"/>
      </w:r>
      <w:r w:rsidR="00EB102B">
        <w:t xml:space="preserve"> </w:t>
      </w:r>
      <w:r w:rsidR="003A31EB">
        <w:fldChar w:fldCharType="begin"/>
      </w:r>
      <w:r w:rsidR="003A31EB">
        <w:instrText xml:space="preserve"> REF _Ref459</w:instrText>
      </w:r>
      <w:r w:rsidR="003A31EB">
        <w:instrText xml:space="preserve">028338 \p </w:instrText>
      </w:r>
      <w:r w:rsidR="003A31EB">
        <w:fldChar w:fldCharType="separate"/>
      </w:r>
      <w:r w:rsidR="000E54B2">
        <w:t>below</w:t>
      </w:r>
      <w:r w:rsidR="003A31EB">
        <w:fldChar w:fldCharType="end"/>
      </w:r>
      <w:r>
        <w:t xml:space="preserve">). Graphically presented data confirmed that the </w:t>
      </w:r>
      <w:r w:rsidR="009E7300">
        <w:t xml:space="preserve">concentration </w:t>
      </w:r>
      <w:r>
        <w:t>of paraquat in the striatal dialysate was dose-dependent. Paraquat was quickly eliminated from the striatal extracellular fluid. The elimination constant and half-life in rats injected with 20 mg/kg bw paraquat were 0.91/h and 0.76 h, respectively. No elimination constant or half-life data were provided for the other dose groups.</w:t>
      </w:r>
    </w:p>
    <w:p w14:paraId="77E6869F" w14:textId="77777777" w:rsidR="00D133D4" w:rsidRDefault="00D133D4" w:rsidP="00D133D4"/>
    <w:p w14:paraId="61C78A48" w14:textId="4CABD630" w:rsidR="001E5092" w:rsidRDefault="001E5092" w:rsidP="00845CCC">
      <w:pPr>
        <w:pStyle w:val="Caption"/>
        <w:keepNext/>
        <w:spacing w:after="120"/>
      </w:pPr>
      <w:bookmarkStart w:id="76" w:name="_Ref459028331"/>
      <w:bookmarkStart w:id="77" w:name="_Ref459028338"/>
      <w:r>
        <w:lastRenderedPageBreak/>
        <w:t xml:space="preserve">Table </w:t>
      </w:r>
      <w:r w:rsidR="00897462">
        <w:fldChar w:fldCharType="begin"/>
      </w:r>
      <w:r>
        <w:instrText xml:space="preserve"> SEQ Table \* ARABIC </w:instrText>
      </w:r>
      <w:r w:rsidR="00897462">
        <w:fldChar w:fldCharType="separate"/>
      </w:r>
      <w:r w:rsidR="000E54B2">
        <w:rPr>
          <w:noProof/>
        </w:rPr>
        <w:t>9</w:t>
      </w:r>
      <w:r w:rsidR="00897462">
        <w:fldChar w:fldCharType="end"/>
      </w:r>
      <w:bookmarkEnd w:id="76"/>
      <w:r>
        <w:t xml:space="preserve">. </w:t>
      </w:r>
      <w:r w:rsidRPr="006A66B9">
        <w:t>The ratio of extracellular to serum paraquat or MPP+ concentrations 3 h after administration.</w:t>
      </w:r>
      <w:bookmarkEnd w:id="7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567"/>
        <w:gridCol w:w="2268"/>
        <w:gridCol w:w="2464"/>
        <w:gridCol w:w="1788"/>
      </w:tblGrid>
      <w:tr w:rsidR="00D133D4" w14:paraId="3E2505A8" w14:textId="77777777" w:rsidTr="000E221D">
        <w:tc>
          <w:tcPr>
            <w:tcW w:w="1985" w:type="dxa"/>
            <w:shd w:val="clear" w:color="auto" w:fill="BFBFBF" w:themeFill="background1" w:themeFillShade="BF"/>
            <w:vAlign w:val="center"/>
          </w:tcPr>
          <w:p w14:paraId="3F10C433" w14:textId="77777777" w:rsidR="00D133D4" w:rsidRDefault="00D133D4" w:rsidP="00845CCC">
            <w:pPr>
              <w:keepNext/>
              <w:rPr>
                <w:b/>
                <w:sz w:val="20"/>
              </w:rPr>
            </w:pPr>
            <w:r>
              <w:rPr>
                <w:b/>
                <w:sz w:val="20"/>
              </w:rPr>
              <w:t>Treatment</w:t>
            </w:r>
          </w:p>
        </w:tc>
        <w:tc>
          <w:tcPr>
            <w:tcW w:w="567" w:type="dxa"/>
            <w:shd w:val="clear" w:color="auto" w:fill="BFBFBF" w:themeFill="background1" w:themeFillShade="BF"/>
            <w:vAlign w:val="center"/>
          </w:tcPr>
          <w:p w14:paraId="01439C6B" w14:textId="77777777" w:rsidR="00D133D4" w:rsidRDefault="00D133D4" w:rsidP="00845CCC">
            <w:pPr>
              <w:keepNext/>
              <w:jc w:val="center"/>
              <w:rPr>
                <w:b/>
                <w:sz w:val="20"/>
              </w:rPr>
            </w:pPr>
            <w:r>
              <w:rPr>
                <w:b/>
                <w:sz w:val="20"/>
              </w:rPr>
              <w:t>n</w:t>
            </w:r>
          </w:p>
        </w:tc>
        <w:tc>
          <w:tcPr>
            <w:tcW w:w="2268" w:type="dxa"/>
            <w:shd w:val="clear" w:color="auto" w:fill="BFBFBF" w:themeFill="background1" w:themeFillShade="BF"/>
            <w:vAlign w:val="center"/>
          </w:tcPr>
          <w:p w14:paraId="19D457B7" w14:textId="77777777" w:rsidR="00D133D4" w:rsidRDefault="00D133D4" w:rsidP="00845CCC">
            <w:pPr>
              <w:keepNext/>
              <w:jc w:val="center"/>
              <w:rPr>
                <w:b/>
                <w:sz w:val="20"/>
              </w:rPr>
            </w:pPr>
            <w:r>
              <w:rPr>
                <w:b/>
                <w:sz w:val="20"/>
              </w:rPr>
              <w:t xml:space="preserve">Serum concentration </w:t>
            </w:r>
          </w:p>
          <w:p w14:paraId="0235CCB8" w14:textId="77777777" w:rsidR="00D133D4" w:rsidRDefault="00D133D4" w:rsidP="00845CCC">
            <w:pPr>
              <w:keepNext/>
              <w:jc w:val="center"/>
              <w:rPr>
                <w:b/>
                <w:sz w:val="20"/>
              </w:rPr>
            </w:pPr>
            <w:r>
              <w:rPr>
                <w:b/>
                <w:sz w:val="20"/>
              </w:rPr>
              <w:t>(nmol/mL)</w:t>
            </w:r>
          </w:p>
        </w:tc>
        <w:tc>
          <w:tcPr>
            <w:tcW w:w="2464" w:type="dxa"/>
            <w:shd w:val="clear" w:color="auto" w:fill="BFBFBF" w:themeFill="background1" w:themeFillShade="BF"/>
            <w:vAlign w:val="center"/>
          </w:tcPr>
          <w:p w14:paraId="64FB6786" w14:textId="77777777" w:rsidR="00D133D4" w:rsidRDefault="00D133D4" w:rsidP="00845CCC">
            <w:pPr>
              <w:keepNext/>
              <w:jc w:val="center"/>
              <w:rPr>
                <w:b/>
                <w:sz w:val="20"/>
              </w:rPr>
            </w:pPr>
            <w:r>
              <w:rPr>
                <w:b/>
                <w:sz w:val="20"/>
              </w:rPr>
              <w:t xml:space="preserve">Striatal extracellular </w:t>
            </w:r>
          </w:p>
          <w:p w14:paraId="1BBF7C7A" w14:textId="77777777" w:rsidR="00D133D4" w:rsidRDefault="00D133D4" w:rsidP="00845CCC">
            <w:pPr>
              <w:keepNext/>
              <w:jc w:val="center"/>
              <w:rPr>
                <w:b/>
                <w:sz w:val="20"/>
              </w:rPr>
            </w:pPr>
            <w:r>
              <w:rPr>
                <w:b/>
                <w:sz w:val="20"/>
              </w:rPr>
              <w:t>concentration (nmol/mL)</w:t>
            </w:r>
          </w:p>
        </w:tc>
        <w:tc>
          <w:tcPr>
            <w:tcW w:w="1788" w:type="dxa"/>
            <w:shd w:val="clear" w:color="auto" w:fill="BFBFBF" w:themeFill="background1" w:themeFillShade="BF"/>
            <w:vAlign w:val="center"/>
          </w:tcPr>
          <w:p w14:paraId="1C171FA0" w14:textId="77777777" w:rsidR="00D133D4" w:rsidRDefault="00D133D4" w:rsidP="00845CCC">
            <w:pPr>
              <w:keepNext/>
              <w:jc w:val="center"/>
              <w:rPr>
                <w:b/>
                <w:sz w:val="20"/>
              </w:rPr>
            </w:pPr>
            <w:r>
              <w:rPr>
                <w:b/>
                <w:sz w:val="20"/>
              </w:rPr>
              <w:t>Ratio</w:t>
            </w:r>
          </w:p>
        </w:tc>
      </w:tr>
      <w:tr w:rsidR="00D133D4" w14:paraId="00FAFC95" w14:textId="77777777" w:rsidTr="00DC07C7">
        <w:tc>
          <w:tcPr>
            <w:tcW w:w="1985" w:type="dxa"/>
          </w:tcPr>
          <w:p w14:paraId="2D56D147" w14:textId="77777777" w:rsidR="00D133D4" w:rsidRDefault="00D133D4" w:rsidP="00845CCC">
            <w:pPr>
              <w:keepNext/>
              <w:rPr>
                <w:sz w:val="20"/>
              </w:rPr>
            </w:pPr>
            <w:r>
              <w:rPr>
                <w:sz w:val="20"/>
              </w:rPr>
              <w:t>5 mg/kg bw PQ</w:t>
            </w:r>
          </w:p>
        </w:tc>
        <w:tc>
          <w:tcPr>
            <w:tcW w:w="567" w:type="dxa"/>
          </w:tcPr>
          <w:p w14:paraId="76A76310" w14:textId="77777777" w:rsidR="00D133D4" w:rsidRDefault="00D133D4" w:rsidP="00845CCC">
            <w:pPr>
              <w:keepNext/>
              <w:jc w:val="center"/>
              <w:rPr>
                <w:sz w:val="20"/>
              </w:rPr>
            </w:pPr>
            <w:r>
              <w:rPr>
                <w:sz w:val="20"/>
              </w:rPr>
              <w:t>3</w:t>
            </w:r>
          </w:p>
        </w:tc>
        <w:tc>
          <w:tcPr>
            <w:tcW w:w="2268" w:type="dxa"/>
          </w:tcPr>
          <w:p w14:paraId="0E904797" w14:textId="77777777" w:rsidR="00D133D4" w:rsidRDefault="00D133D4" w:rsidP="00845CCC">
            <w:pPr>
              <w:keepNext/>
              <w:jc w:val="center"/>
              <w:rPr>
                <w:sz w:val="20"/>
              </w:rPr>
            </w:pPr>
            <w:r>
              <w:rPr>
                <w:sz w:val="20"/>
              </w:rPr>
              <w:t xml:space="preserve">1.42 </w:t>
            </w:r>
            <w:r>
              <w:rPr>
                <w:sz w:val="20"/>
                <w:u w:val="single"/>
              </w:rPr>
              <w:t>+</w:t>
            </w:r>
            <w:r>
              <w:rPr>
                <w:sz w:val="20"/>
              </w:rPr>
              <w:t xml:space="preserve"> 1.50</w:t>
            </w:r>
          </w:p>
        </w:tc>
        <w:tc>
          <w:tcPr>
            <w:tcW w:w="2464" w:type="dxa"/>
          </w:tcPr>
          <w:p w14:paraId="50171930" w14:textId="77777777" w:rsidR="00D133D4" w:rsidRDefault="00D133D4" w:rsidP="00845CCC">
            <w:pPr>
              <w:keepNext/>
              <w:jc w:val="center"/>
              <w:rPr>
                <w:sz w:val="20"/>
              </w:rPr>
            </w:pPr>
            <w:r>
              <w:rPr>
                <w:sz w:val="20"/>
              </w:rPr>
              <w:t xml:space="preserve">0.28 </w:t>
            </w:r>
            <w:r>
              <w:rPr>
                <w:sz w:val="20"/>
                <w:u w:val="single"/>
              </w:rPr>
              <w:t>+</w:t>
            </w:r>
            <w:r>
              <w:rPr>
                <w:sz w:val="20"/>
              </w:rPr>
              <w:t xml:space="preserve"> 0.06</w:t>
            </w:r>
          </w:p>
        </w:tc>
        <w:tc>
          <w:tcPr>
            <w:tcW w:w="1788" w:type="dxa"/>
          </w:tcPr>
          <w:p w14:paraId="212E1C28" w14:textId="77777777" w:rsidR="00D133D4" w:rsidRDefault="00D133D4" w:rsidP="00845CCC">
            <w:pPr>
              <w:keepNext/>
              <w:jc w:val="center"/>
              <w:rPr>
                <w:sz w:val="20"/>
              </w:rPr>
            </w:pPr>
            <w:r>
              <w:rPr>
                <w:sz w:val="20"/>
              </w:rPr>
              <w:t xml:space="preserve">0.208 </w:t>
            </w:r>
            <w:r>
              <w:rPr>
                <w:sz w:val="20"/>
                <w:u w:val="single"/>
              </w:rPr>
              <w:t>+</w:t>
            </w:r>
            <w:r>
              <w:rPr>
                <w:sz w:val="20"/>
              </w:rPr>
              <w:t xml:space="preserve"> 0.064</w:t>
            </w:r>
          </w:p>
        </w:tc>
      </w:tr>
      <w:tr w:rsidR="00D133D4" w14:paraId="296C847C" w14:textId="77777777" w:rsidTr="00DC07C7">
        <w:tc>
          <w:tcPr>
            <w:tcW w:w="1985" w:type="dxa"/>
          </w:tcPr>
          <w:p w14:paraId="37B88FA2" w14:textId="77777777" w:rsidR="00D133D4" w:rsidRDefault="00D133D4" w:rsidP="00845CCC">
            <w:pPr>
              <w:keepNext/>
              <w:rPr>
                <w:sz w:val="20"/>
              </w:rPr>
            </w:pPr>
            <w:r>
              <w:rPr>
                <w:sz w:val="20"/>
              </w:rPr>
              <w:t>10 mg/kg bw PQ</w:t>
            </w:r>
          </w:p>
        </w:tc>
        <w:tc>
          <w:tcPr>
            <w:tcW w:w="567" w:type="dxa"/>
          </w:tcPr>
          <w:p w14:paraId="3E6B19D6" w14:textId="77777777" w:rsidR="00D133D4" w:rsidRDefault="00D133D4" w:rsidP="00845CCC">
            <w:pPr>
              <w:keepNext/>
              <w:jc w:val="center"/>
              <w:rPr>
                <w:sz w:val="20"/>
              </w:rPr>
            </w:pPr>
            <w:r>
              <w:rPr>
                <w:sz w:val="20"/>
              </w:rPr>
              <w:t>5</w:t>
            </w:r>
          </w:p>
        </w:tc>
        <w:tc>
          <w:tcPr>
            <w:tcW w:w="2268" w:type="dxa"/>
          </w:tcPr>
          <w:p w14:paraId="2DCAFFD5" w14:textId="77777777" w:rsidR="00D133D4" w:rsidRDefault="00D133D4" w:rsidP="00845CCC">
            <w:pPr>
              <w:keepNext/>
              <w:jc w:val="center"/>
              <w:rPr>
                <w:sz w:val="20"/>
              </w:rPr>
            </w:pPr>
            <w:r>
              <w:rPr>
                <w:sz w:val="20"/>
              </w:rPr>
              <w:t xml:space="preserve">3.88 </w:t>
            </w:r>
            <w:r>
              <w:rPr>
                <w:sz w:val="20"/>
                <w:u w:val="single"/>
              </w:rPr>
              <w:t>+</w:t>
            </w:r>
            <w:r>
              <w:rPr>
                <w:sz w:val="20"/>
              </w:rPr>
              <w:t xml:space="preserve"> 0.79</w:t>
            </w:r>
          </w:p>
        </w:tc>
        <w:tc>
          <w:tcPr>
            <w:tcW w:w="2464" w:type="dxa"/>
          </w:tcPr>
          <w:p w14:paraId="5FC56718" w14:textId="77777777" w:rsidR="00D133D4" w:rsidRDefault="00D133D4" w:rsidP="00845CCC">
            <w:pPr>
              <w:keepNext/>
              <w:jc w:val="center"/>
              <w:rPr>
                <w:sz w:val="20"/>
              </w:rPr>
            </w:pPr>
            <w:r>
              <w:rPr>
                <w:sz w:val="20"/>
              </w:rPr>
              <w:t xml:space="preserve">0.36 </w:t>
            </w:r>
            <w:r>
              <w:rPr>
                <w:sz w:val="20"/>
                <w:u w:val="single"/>
              </w:rPr>
              <w:t>+</w:t>
            </w:r>
            <w:r>
              <w:rPr>
                <w:sz w:val="20"/>
              </w:rPr>
              <w:t xml:space="preserve"> 0.09</w:t>
            </w:r>
          </w:p>
        </w:tc>
        <w:tc>
          <w:tcPr>
            <w:tcW w:w="1788" w:type="dxa"/>
          </w:tcPr>
          <w:p w14:paraId="3310DFF5" w14:textId="77777777" w:rsidR="00D133D4" w:rsidRDefault="00D133D4" w:rsidP="00845CCC">
            <w:pPr>
              <w:keepNext/>
              <w:jc w:val="center"/>
              <w:rPr>
                <w:sz w:val="20"/>
              </w:rPr>
            </w:pPr>
            <w:r>
              <w:rPr>
                <w:sz w:val="20"/>
              </w:rPr>
              <w:t xml:space="preserve">0.126 </w:t>
            </w:r>
            <w:r>
              <w:rPr>
                <w:sz w:val="20"/>
                <w:u w:val="single"/>
              </w:rPr>
              <w:t>+</w:t>
            </w:r>
            <w:r>
              <w:rPr>
                <w:sz w:val="20"/>
              </w:rPr>
              <w:t xml:space="preserve"> 0.031</w:t>
            </w:r>
          </w:p>
        </w:tc>
      </w:tr>
      <w:tr w:rsidR="00D133D4" w14:paraId="4F2718C0" w14:textId="77777777" w:rsidTr="00DC07C7">
        <w:tc>
          <w:tcPr>
            <w:tcW w:w="1985" w:type="dxa"/>
          </w:tcPr>
          <w:p w14:paraId="432351A7" w14:textId="77777777" w:rsidR="00D133D4" w:rsidRDefault="00D133D4" w:rsidP="00845CCC">
            <w:pPr>
              <w:keepNext/>
              <w:rPr>
                <w:sz w:val="20"/>
              </w:rPr>
            </w:pPr>
            <w:r>
              <w:rPr>
                <w:sz w:val="20"/>
              </w:rPr>
              <w:t>20 mg/kg bw PQ</w:t>
            </w:r>
          </w:p>
        </w:tc>
        <w:tc>
          <w:tcPr>
            <w:tcW w:w="567" w:type="dxa"/>
          </w:tcPr>
          <w:p w14:paraId="3D004DE2" w14:textId="77777777" w:rsidR="00D133D4" w:rsidRDefault="00D133D4" w:rsidP="00845CCC">
            <w:pPr>
              <w:keepNext/>
              <w:jc w:val="center"/>
              <w:rPr>
                <w:sz w:val="20"/>
              </w:rPr>
            </w:pPr>
            <w:r>
              <w:rPr>
                <w:sz w:val="20"/>
              </w:rPr>
              <w:t>8</w:t>
            </w:r>
          </w:p>
        </w:tc>
        <w:tc>
          <w:tcPr>
            <w:tcW w:w="2268" w:type="dxa"/>
          </w:tcPr>
          <w:p w14:paraId="4FB8A540" w14:textId="77777777" w:rsidR="00D133D4" w:rsidRDefault="00D133D4" w:rsidP="00845CCC">
            <w:pPr>
              <w:keepNext/>
              <w:jc w:val="center"/>
              <w:rPr>
                <w:sz w:val="20"/>
              </w:rPr>
            </w:pPr>
            <w:r>
              <w:rPr>
                <w:sz w:val="20"/>
              </w:rPr>
              <w:t xml:space="preserve">8.04 </w:t>
            </w:r>
            <w:r>
              <w:rPr>
                <w:sz w:val="20"/>
                <w:u w:val="single"/>
              </w:rPr>
              <w:t>+</w:t>
            </w:r>
            <w:r>
              <w:rPr>
                <w:sz w:val="20"/>
              </w:rPr>
              <w:t xml:space="preserve"> 2.41</w:t>
            </w:r>
          </w:p>
        </w:tc>
        <w:tc>
          <w:tcPr>
            <w:tcW w:w="2464" w:type="dxa"/>
          </w:tcPr>
          <w:p w14:paraId="79A87365" w14:textId="77777777" w:rsidR="00D133D4" w:rsidRDefault="00D133D4" w:rsidP="00845CCC">
            <w:pPr>
              <w:keepNext/>
              <w:jc w:val="center"/>
              <w:rPr>
                <w:sz w:val="20"/>
              </w:rPr>
            </w:pPr>
            <w:r>
              <w:rPr>
                <w:sz w:val="20"/>
              </w:rPr>
              <w:t xml:space="preserve">0.49 </w:t>
            </w:r>
            <w:r>
              <w:rPr>
                <w:sz w:val="20"/>
                <w:u w:val="single"/>
              </w:rPr>
              <w:t>+</w:t>
            </w:r>
            <w:r>
              <w:rPr>
                <w:sz w:val="20"/>
              </w:rPr>
              <w:t xml:space="preserve"> 0.09</w:t>
            </w:r>
          </w:p>
        </w:tc>
        <w:tc>
          <w:tcPr>
            <w:tcW w:w="1788" w:type="dxa"/>
          </w:tcPr>
          <w:p w14:paraId="4E5FE027" w14:textId="77777777" w:rsidR="00D133D4" w:rsidRDefault="00D133D4" w:rsidP="00845CCC">
            <w:pPr>
              <w:keepNext/>
              <w:jc w:val="center"/>
              <w:rPr>
                <w:sz w:val="20"/>
              </w:rPr>
            </w:pPr>
            <w:r>
              <w:rPr>
                <w:sz w:val="20"/>
              </w:rPr>
              <w:t xml:space="preserve">0.085 </w:t>
            </w:r>
            <w:r>
              <w:rPr>
                <w:sz w:val="20"/>
                <w:u w:val="single"/>
              </w:rPr>
              <w:t>+</w:t>
            </w:r>
            <w:r>
              <w:rPr>
                <w:sz w:val="20"/>
              </w:rPr>
              <w:t xml:space="preserve"> 0.023**</w:t>
            </w:r>
          </w:p>
        </w:tc>
      </w:tr>
      <w:tr w:rsidR="00D133D4" w14:paraId="5D9B03CE" w14:textId="77777777" w:rsidTr="00DC07C7">
        <w:tc>
          <w:tcPr>
            <w:tcW w:w="1985" w:type="dxa"/>
          </w:tcPr>
          <w:p w14:paraId="29ED5CC3" w14:textId="77777777" w:rsidR="00D133D4" w:rsidRDefault="00D133D4" w:rsidP="00845CCC">
            <w:pPr>
              <w:keepNext/>
              <w:rPr>
                <w:sz w:val="20"/>
              </w:rPr>
            </w:pPr>
            <w:r>
              <w:rPr>
                <w:sz w:val="20"/>
              </w:rPr>
              <w:t>10 mg/kg bw MPP</w:t>
            </w:r>
            <w:r>
              <w:rPr>
                <w:sz w:val="20"/>
                <w:vertAlign w:val="superscript"/>
              </w:rPr>
              <w:t>+</w:t>
            </w:r>
          </w:p>
        </w:tc>
        <w:tc>
          <w:tcPr>
            <w:tcW w:w="567" w:type="dxa"/>
          </w:tcPr>
          <w:p w14:paraId="120C649B" w14:textId="77777777" w:rsidR="00D133D4" w:rsidRDefault="00D133D4" w:rsidP="00845CCC">
            <w:pPr>
              <w:keepNext/>
              <w:jc w:val="center"/>
              <w:rPr>
                <w:sz w:val="20"/>
              </w:rPr>
            </w:pPr>
            <w:r>
              <w:rPr>
                <w:sz w:val="20"/>
              </w:rPr>
              <w:t>4</w:t>
            </w:r>
          </w:p>
        </w:tc>
        <w:tc>
          <w:tcPr>
            <w:tcW w:w="2268" w:type="dxa"/>
          </w:tcPr>
          <w:p w14:paraId="007C57E4" w14:textId="77777777" w:rsidR="00D133D4" w:rsidRDefault="00D133D4" w:rsidP="00845CCC">
            <w:pPr>
              <w:keepNext/>
              <w:jc w:val="center"/>
              <w:rPr>
                <w:sz w:val="20"/>
              </w:rPr>
            </w:pPr>
            <w:r>
              <w:rPr>
                <w:sz w:val="20"/>
              </w:rPr>
              <w:t xml:space="preserve">11.62 </w:t>
            </w:r>
            <w:r>
              <w:rPr>
                <w:sz w:val="20"/>
                <w:u w:val="single"/>
              </w:rPr>
              <w:t>+</w:t>
            </w:r>
            <w:r>
              <w:rPr>
                <w:sz w:val="20"/>
              </w:rPr>
              <w:t xml:space="preserve"> 4.84*</w:t>
            </w:r>
          </w:p>
        </w:tc>
        <w:tc>
          <w:tcPr>
            <w:tcW w:w="2464" w:type="dxa"/>
          </w:tcPr>
          <w:p w14:paraId="3D44878A" w14:textId="77777777" w:rsidR="00D133D4" w:rsidRDefault="00D133D4" w:rsidP="00845CCC">
            <w:pPr>
              <w:keepNext/>
              <w:jc w:val="center"/>
              <w:rPr>
                <w:sz w:val="20"/>
              </w:rPr>
            </w:pPr>
            <w:r>
              <w:rPr>
                <w:sz w:val="20"/>
              </w:rPr>
              <w:t>Not detected</w:t>
            </w:r>
          </w:p>
        </w:tc>
        <w:tc>
          <w:tcPr>
            <w:tcW w:w="1788" w:type="dxa"/>
          </w:tcPr>
          <w:p w14:paraId="09109E71" w14:textId="77777777" w:rsidR="00D133D4" w:rsidRDefault="00D133D4" w:rsidP="00845CCC">
            <w:pPr>
              <w:keepNext/>
              <w:jc w:val="center"/>
              <w:rPr>
                <w:sz w:val="20"/>
              </w:rPr>
            </w:pPr>
            <w:r>
              <w:rPr>
                <w:sz w:val="20"/>
              </w:rPr>
              <w:t>-</w:t>
            </w:r>
          </w:p>
        </w:tc>
      </w:tr>
    </w:tbl>
    <w:p w14:paraId="1EEDDCDD" w14:textId="77777777" w:rsidR="00D133D4" w:rsidRDefault="00D133D4" w:rsidP="00845CCC">
      <w:pPr>
        <w:keepNext/>
        <w:rPr>
          <w:sz w:val="20"/>
        </w:rPr>
      </w:pPr>
      <w:r>
        <w:rPr>
          <w:sz w:val="20"/>
        </w:rPr>
        <w:t xml:space="preserve">Data are expressed as means </w:t>
      </w:r>
      <w:r>
        <w:rPr>
          <w:sz w:val="20"/>
          <w:u w:val="single"/>
        </w:rPr>
        <w:t>+</w:t>
      </w:r>
      <w:r>
        <w:rPr>
          <w:sz w:val="20"/>
        </w:rPr>
        <w:t xml:space="preserve"> 1 SEM; PQ = paraquat; * = statistically different to the 10 mg/kg bw PQ group at p&lt;0.01; ** = statistically different to the 5 mg/kg bw paraquat group at p&lt;0.01.</w:t>
      </w:r>
    </w:p>
    <w:p w14:paraId="263EDAC3" w14:textId="77777777" w:rsidR="00D133D4" w:rsidRDefault="00D133D4" w:rsidP="00D133D4"/>
    <w:p w14:paraId="545B2176" w14:textId="77777777" w:rsidR="00D133D4" w:rsidRDefault="00D133D4" w:rsidP="00D133D4">
      <w:r>
        <w:t xml:space="preserve">A HPLC chromatogram illustrated that </w:t>
      </w:r>
      <w:r w:rsidR="00794F11">
        <w:t>pre-treatment</w:t>
      </w:r>
      <w:r>
        <w:t xml:space="preserve"> of rats with paraquat (20 mg/kg bw, sc) prior to injection of MPP</w:t>
      </w:r>
      <w:r>
        <w:rPr>
          <w:vertAlign w:val="superscript"/>
        </w:rPr>
        <w:t>+</w:t>
      </w:r>
      <w:r>
        <w:t xml:space="preserve"> (10 mg/kg bw, sc) did not result in any MPP</w:t>
      </w:r>
      <w:r>
        <w:rPr>
          <w:vertAlign w:val="superscript"/>
        </w:rPr>
        <w:t>+</w:t>
      </w:r>
      <w:r>
        <w:t xml:space="preserve"> being detected in the striatal dialysate. This result indicated that the entry of paraquat into the brain had not resulted from damage to the BBB due to paraquat toxicity.</w:t>
      </w:r>
    </w:p>
    <w:p w14:paraId="471F95AA" w14:textId="77777777" w:rsidR="00D133D4" w:rsidRDefault="00D133D4" w:rsidP="00D133D4"/>
    <w:p w14:paraId="21BD86E2" w14:textId="53BEE54D" w:rsidR="00D133D4" w:rsidRDefault="00794F11" w:rsidP="00D133D4">
      <w:r>
        <w:t>Pre-treatment</w:t>
      </w:r>
      <w:r w:rsidR="00D133D4">
        <w:t xml:space="preserve"> of rats with </w:t>
      </w:r>
      <w:r w:rsidR="00D133D4">
        <w:rPr>
          <w:sz w:val="20"/>
        </w:rPr>
        <w:t>L</w:t>
      </w:r>
      <w:r w:rsidR="00D133D4">
        <w:t xml:space="preserve">-valine (200 mg/kg bw, ip) prior to injection of paraquat (20 mg/kg bw, sc) resulted in a significantly lower concentration of extracellular striatal paraquat and a concomitant increase in serum paraquat relative to the control (see </w:t>
      </w:r>
      <w:r w:rsidR="003A31EB">
        <w:fldChar w:fldCharType="begin"/>
      </w:r>
      <w:r w:rsidR="003A31EB">
        <w:instrText xml:space="preserve"> REF _Ref459028354 </w:instrText>
      </w:r>
      <w:r w:rsidR="003A31EB">
        <w:fldChar w:fldCharType="separate"/>
      </w:r>
      <w:r w:rsidR="000E54B2">
        <w:t xml:space="preserve">Table </w:t>
      </w:r>
      <w:r w:rsidR="000E54B2">
        <w:rPr>
          <w:noProof/>
        </w:rPr>
        <w:t>10</w:t>
      </w:r>
      <w:r w:rsidR="003A31EB">
        <w:rPr>
          <w:noProof/>
        </w:rPr>
        <w:fldChar w:fldCharType="end"/>
      </w:r>
      <w:r w:rsidR="00EB102B">
        <w:t xml:space="preserve"> </w:t>
      </w:r>
      <w:r w:rsidR="003A31EB">
        <w:fldChar w:fldCharType="begin"/>
      </w:r>
      <w:r w:rsidR="003A31EB">
        <w:instrText xml:space="preserve"> REF _Ref459028362 \p </w:instrText>
      </w:r>
      <w:r w:rsidR="003A31EB">
        <w:fldChar w:fldCharType="separate"/>
      </w:r>
      <w:r w:rsidR="000E54B2">
        <w:t>below</w:t>
      </w:r>
      <w:r w:rsidR="003A31EB">
        <w:fldChar w:fldCharType="end"/>
      </w:r>
      <w:r w:rsidR="00D133D4">
        <w:t xml:space="preserve">). In contrast, </w:t>
      </w:r>
      <w:r>
        <w:t>pre-treatment</w:t>
      </w:r>
      <w:r w:rsidR="00D133D4">
        <w:t xml:space="preserve"> of rats with </w:t>
      </w:r>
      <w:r w:rsidR="00D133D4">
        <w:rPr>
          <w:sz w:val="20"/>
        </w:rPr>
        <w:t>L</w:t>
      </w:r>
      <w:r w:rsidR="00D133D4">
        <w:t xml:space="preserve">-lysine (200 mg/kg bw, ip) did not affect the entry of paraquat </w:t>
      </w:r>
      <w:r w:rsidR="00EB102B">
        <w:t>into the brain</w:t>
      </w:r>
      <w:r w:rsidR="00D133D4">
        <w:t>. These findings suggested that paraquat was carried through the BBB by a neutral amino acid transporter.</w:t>
      </w:r>
    </w:p>
    <w:p w14:paraId="7EEC43B2" w14:textId="77777777" w:rsidR="00D133D4" w:rsidRDefault="00D133D4" w:rsidP="00D133D4">
      <w:pPr>
        <w:rPr>
          <w:b/>
        </w:rPr>
      </w:pPr>
    </w:p>
    <w:p w14:paraId="48EDFB53" w14:textId="7744D2F0" w:rsidR="001E5092" w:rsidRDefault="001E5092" w:rsidP="009D0D8F">
      <w:pPr>
        <w:pStyle w:val="Caption"/>
        <w:keepNext/>
        <w:spacing w:after="120"/>
      </w:pPr>
      <w:bookmarkStart w:id="78" w:name="_Ref459028354"/>
      <w:bookmarkStart w:id="79" w:name="_Ref459028362"/>
      <w:r>
        <w:t xml:space="preserve">Table </w:t>
      </w:r>
      <w:r w:rsidR="00897462">
        <w:fldChar w:fldCharType="begin"/>
      </w:r>
      <w:r>
        <w:instrText xml:space="preserve"> SEQ Table \* ARABIC </w:instrText>
      </w:r>
      <w:r w:rsidR="00897462">
        <w:fldChar w:fldCharType="separate"/>
      </w:r>
      <w:r w:rsidR="000E54B2">
        <w:rPr>
          <w:noProof/>
        </w:rPr>
        <w:t>10</w:t>
      </w:r>
      <w:r w:rsidR="00897462">
        <w:fldChar w:fldCharType="end"/>
      </w:r>
      <w:bookmarkEnd w:id="78"/>
      <w:r>
        <w:t xml:space="preserve">. </w:t>
      </w:r>
      <w:r w:rsidRPr="00596FA1">
        <w:t>Effects of L-valine and L-lysine on entry of paraquat into the brain of rats</w:t>
      </w:r>
      <w:bookmarkEnd w:id="7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412"/>
        <w:gridCol w:w="1540"/>
        <w:gridCol w:w="1540"/>
        <w:gridCol w:w="1540"/>
        <w:gridCol w:w="1480"/>
      </w:tblGrid>
      <w:tr w:rsidR="00D133D4" w14:paraId="748A7D6E" w14:textId="77777777" w:rsidTr="000E221D">
        <w:trPr>
          <w:cantSplit/>
        </w:trPr>
        <w:tc>
          <w:tcPr>
            <w:tcW w:w="1560" w:type="dxa"/>
            <w:vMerge w:val="restart"/>
            <w:shd w:val="clear" w:color="auto" w:fill="BFBFBF" w:themeFill="background1" w:themeFillShade="BF"/>
            <w:vAlign w:val="center"/>
          </w:tcPr>
          <w:p w14:paraId="6CCF7C23" w14:textId="77777777" w:rsidR="00D133D4" w:rsidRDefault="00D133D4" w:rsidP="00DC07C7">
            <w:pPr>
              <w:rPr>
                <w:b/>
                <w:sz w:val="20"/>
              </w:rPr>
            </w:pPr>
            <w:r>
              <w:rPr>
                <w:b/>
                <w:sz w:val="20"/>
              </w:rPr>
              <w:t>Treatment</w:t>
            </w:r>
          </w:p>
        </w:tc>
        <w:tc>
          <w:tcPr>
            <w:tcW w:w="4492" w:type="dxa"/>
            <w:gridSpan w:val="3"/>
            <w:shd w:val="clear" w:color="auto" w:fill="BFBFBF" w:themeFill="background1" w:themeFillShade="BF"/>
            <w:vAlign w:val="center"/>
          </w:tcPr>
          <w:p w14:paraId="6EDA3483" w14:textId="77777777" w:rsidR="00D133D4" w:rsidRDefault="00D133D4" w:rsidP="00DC07C7">
            <w:pPr>
              <w:jc w:val="center"/>
              <w:rPr>
                <w:b/>
                <w:sz w:val="20"/>
              </w:rPr>
            </w:pPr>
            <w:r>
              <w:rPr>
                <w:b/>
                <w:sz w:val="20"/>
              </w:rPr>
              <w:t>Extracellular striatal PQ concentration (nmol/mL)</w:t>
            </w:r>
          </w:p>
        </w:tc>
        <w:tc>
          <w:tcPr>
            <w:tcW w:w="1540" w:type="dxa"/>
            <w:vMerge w:val="restart"/>
            <w:shd w:val="clear" w:color="auto" w:fill="BFBFBF" w:themeFill="background1" w:themeFillShade="BF"/>
            <w:vAlign w:val="center"/>
          </w:tcPr>
          <w:p w14:paraId="441D71B6" w14:textId="77777777" w:rsidR="00D133D4" w:rsidRDefault="00D133D4" w:rsidP="00DC07C7">
            <w:pPr>
              <w:jc w:val="center"/>
              <w:rPr>
                <w:b/>
                <w:sz w:val="20"/>
              </w:rPr>
            </w:pPr>
            <w:r>
              <w:rPr>
                <w:b/>
                <w:sz w:val="20"/>
              </w:rPr>
              <w:t>Serum PQ (3h)</w:t>
            </w:r>
          </w:p>
        </w:tc>
        <w:tc>
          <w:tcPr>
            <w:tcW w:w="1480" w:type="dxa"/>
            <w:vMerge w:val="restart"/>
            <w:shd w:val="clear" w:color="auto" w:fill="BFBFBF" w:themeFill="background1" w:themeFillShade="BF"/>
            <w:vAlign w:val="center"/>
          </w:tcPr>
          <w:p w14:paraId="38A03127" w14:textId="77777777" w:rsidR="00D133D4" w:rsidRDefault="00D133D4" w:rsidP="00DC07C7">
            <w:pPr>
              <w:jc w:val="center"/>
              <w:rPr>
                <w:b/>
                <w:sz w:val="20"/>
              </w:rPr>
            </w:pPr>
            <w:r>
              <w:rPr>
                <w:b/>
                <w:sz w:val="20"/>
              </w:rPr>
              <w:t>Ratio</w:t>
            </w:r>
          </w:p>
        </w:tc>
      </w:tr>
      <w:tr w:rsidR="00D133D4" w14:paraId="203F0155" w14:textId="77777777" w:rsidTr="000E221D">
        <w:trPr>
          <w:cantSplit/>
        </w:trPr>
        <w:tc>
          <w:tcPr>
            <w:tcW w:w="1560" w:type="dxa"/>
            <w:vMerge/>
          </w:tcPr>
          <w:p w14:paraId="7FFAE41C" w14:textId="77777777" w:rsidR="00D133D4" w:rsidRDefault="00D133D4" w:rsidP="00DC07C7">
            <w:pPr>
              <w:rPr>
                <w:sz w:val="22"/>
              </w:rPr>
            </w:pPr>
          </w:p>
        </w:tc>
        <w:tc>
          <w:tcPr>
            <w:tcW w:w="1412" w:type="dxa"/>
            <w:shd w:val="clear" w:color="auto" w:fill="BFBFBF" w:themeFill="background1" w:themeFillShade="BF"/>
          </w:tcPr>
          <w:p w14:paraId="570E0FD0" w14:textId="77777777" w:rsidR="00D133D4" w:rsidRDefault="00D133D4" w:rsidP="00DC07C7">
            <w:pPr>
              <w:jc w:val="center"/>
              <w:rPr>
                <w:b/>
                <w:sz w:val="20"/>
              </w:rPr>
            </w:pPr>
            <w:r>
              <w:rPr>
                <w:b/>
                <w:sz w:val="20"/>
              </w:rPr>
              <w:t>0-1 h</w:t>
            </w:r>
          </w:p>
        </w:tc>
        <w:tc>
          <w:tcPr>
            <w:tcW w:w="1540" w:type="dxa"/>
            <w:shd w:val="clear" w:color="auto" w:fill="BFBFBF" w:themeFill="background1" w:themeFillShade="BF"/>
          </w:tcPr>
          <w:p w14:paraId="51819253" w14:textId="77777777" w:rsidR="00D133D4" w:rsidRDefault="00D133D4" w:rsidP="00DC07C7">
            <w:pPr>
              <w:jc w:val="center"/>
              <w:rPr>
                <w:b/>
                <w:sz w:val="20"/>
              </w:rPr>
            </w:pPr>
            <w:r>
              <w:rPr>
                <w:b/>
                <w:sz w:val="20"/>
              </w:rPr>
              <w:t>1-2 h</w:t>
            </w:r>
          </w:p>
        </w:tc>
        <w:tc>
          <w:tcPr>
            <w:tcW w:w="1540" w:type="dxa"/>
            <w:shd w:val="clear" w:color="auto" w:fill="BFBFBF" w:themeFill="background1" w:themeFillShade="BF"/>
          </w:tcPr>
          <w:p w14:paraId="72D76C57" w14:textId="77777777" w:rsidR="00D133D4" w:rsidRDefault="00D133D4" w:rsidP="00DC07C7">
            <w:pPr>
              <w:jc w:val="center"/>
              <w:rPr>
                <w:b/>
                <w:sz w:val="20"/>
              </w:rPr>
            </w:pPr>
            <w:r>
              <w:rPr>
                <w:b/>
                <w:sz w:val="20"/>
              </w:rPr>
              <w:t>2-3 h</w:t>
            </w:r>
          </w:p>
        </w:tc>
        <w:tc>
          <w:tcPr>
            <w:tcW w:w="1540" w:type="dxa"/>
            <w:vMerge/>
          </w:tcPr>
          <w:p w14:paraId="4D643EEA" w14:textId="77777777" w:rsidR="00D133D4" w:rsidRDefault="00D133D4" w:rsidP="00DC07C7">
            <w:pPr>
              <w:jc w:val="center"/>
              <w:rPr>
                <w:sz w:val="22"/>
              </w:rPr>
            </w:pPr>
          </w:p>
        </w:tc>
        <w:tc>
          <w:tcPr>
            <w:tcW w:w="1480" w:type="dxa"/>
            <w:vMerge/>
          </w:tcPr>
          <w:p w14:paraId="19CE73D9" w14:textId="77777777" w:rsidR="00D133D4" w:rsidRDefault="00D133D4" w:rsidP="00DC07C7">
            <w:pPr>
              <w:jc w:val="center"/>
              <w:rPr>
                <w:sz w:val="22"/>
              </w:rPr>
            </w:pPr>
          </w:p>
        </w:tc>
      </w:tr>
      <w:tr w:rsidR="00D133D4" w14:paraId="290E9CAF" w14:textId="77777777" w:rsidTr="00DC07C7">
        <w:tc>
          <w:tcPr>
            <w:tcW w:w="1560" w:type="dxa"/>
          </w:tcPr>
          <w:p w14:paraId="2C22E7E1" w14:textId="77777777" w:rsidR="00D133D4" w:rsidRDefault="00D133D4" w:rsidP="00DC07C7">
            <w:pPr>
              <w:rPr>
                <w:sz w:val="20"/>
              </w:rPr>
            </w:pPr>
            <w:r>
              <w:rPr>
                <w:sz w:val="20"/>
              </w:rPr>
              <w:t>PQ (control)</w:t>
            </w:r>
          </w:p>
        </w:tc>
        <w:tc>
          <w:tcPr>
            <w:tcW w:w="1412" w:type="dxa"/>
          </w:tcPr>
          <w:p w14:paraId="52267FF3" w14:textId="77777777" w:rsidR="00D133D4" w:rsidRDefault="00D133D4" w:rsidP="00DC07C7">
            <w:pPr>
              <w:jc w:val="center"/>
              <w:rPr>
                <w:sz w:val="20"/>
              </w:rPr>
            </w:pPr>
            <w:r>
              <w:rPr>
                <w:sz w:val="20"/>
              </w:rPr>
              <w:t xml:space="preserve">4.50 </w:t>
            </w:r>
            <w:r>
              <w:rPr>
                <w:sz w:val="20"/>
                <w:u w:val="single"/>
              </w:rPr>
              <w:t>+</w:t>
            </w:r>
            <w:r>
              <w:rPr>
                <w:sz w:val="20"/>
              </w:rPr>
              <w:t xml:space="preserve"> 1.06</w:t>
            </w:r>
          </w:p>
        </w:tc>
        <w:tc>
          <w:tcPr>
            <w:tcW w:w="1540" w:type="dxa"/>
          </w:tcPr>
          <w:p w14:paraId="2A07659F" w14:textId="77777777" w:rsidR="00D133D4" w:rsidRDefault="00D133D4" w:rsidP="00DC07C7">
            <w:pPr>
              <w:jc w:val="center"/>
              <w:rPr>
                <w:sz w:val="20"/>
              </w:rPr>
            </w:pPr>
            <w:r>
              <w:rPr>
                <w:sz w:val="20"/>
              </w:rPr>
              <w:t xml:space="preserve">2.03 </w:t>
            </w:r>
            <w:r>
              <w:rPr>
                <w:sz w:val="20"/>
                <w:u w:val="single"/>
              </w:rPr>
              <w:t>+</w:t>
            </w:r>
            <w:r>
              <w:rPr>
                <w:sz w:val="20"/>
              </w:rPr>
              <w:t xml:space="preserve"> 0.38</w:t>
            </w:r>
          </w:p>
        </w:tc>
        <w:tc>
          <w:tcPr>
            <w:tcW w:w="1540" w:type="dxa"/>
          </w:tcPr>
          <w:p w14:paraId="78D23E27" w14:textId="77777777" w:rsidR="00D133D4" w:rsidRDefault="00D133D4" w:rsidP="00DC07C7">
            <w:pPr>
              <w:jc w:val="center"/>
              <w:rPr>
                <w:sz w:val="20"/>
              </w:rPr>
            </w:pPr>
            <w:r>
              <w:rPr>
                <w:sz w:val="20"/>
              </w:rPr>
              <w:t xml:space="preserve">0.74 </w:t>
            </w:r>
            <w:r>
              <w:rPr>
                <w:sz w:val="20"/>
                <w:u w:val="single"/>
              </w:rPr>
              <w:t>+</w:t>
            </w:r>
            <w:r>
              <w:rPr>
                <w:sz w:val="20"/>
              </w:rPr>
              <w:t xml:space="preserve"> 0.13</w:t>
            </w:r>
          </w:p>
        </w:tc>
        <w:tc>
          <w:tcPr>
            <w:tcW w:w="1540" w:type="dxa"/>
          </w:tcPr>
          <w:p w14:paraId="34A7639E" w14:textId="77777777" w:rsidR="00D133D4" w:rsidRDefault="00D133D4" w:rsidP="00DC07C7">
            <w:pPr>
              <w:jc w:val="center"/>
              <w:rPr>
                <w:sz w:val="20"/>
              </w:rPr>
            </w:pPr>
            <w:r>
              <w:rPr>
                <w:sz w:val="20"/>
              </w:rPr>
              <w:t xml:space="preserve">8.04 </w:t>
            </w:r>
            <w:r>
              <w:rPr>
                <w:sz w:val="20"/>
                <w:u w:val="single"/>
              </w:rPr>
              <w:t>+</w:t>
            </w:r>
            <w:r>
              <w:rPr>
                <w:sz w:val="20"/>
              </w:rPr>
              <w:t xml:space="preserve"> 2.41</w:t>
            </w:r>
          </w:p>
        </w:tc>
        <w:tc>
          <w:tcPr>
            <w:tcW w:w="1480" w:type="dxa"/>
          </w:tcPr>
          <w:p w14:paraId="14A56B35" w14:textId="77777777" w:rsidR="00D133D4" w:rsidRDefault="00D133D4" w:rsidP="00DC07C7">
            <w:pPr>
              <w:jc w:val="center"/>
              <w:rPr>
                <w:sz w:val="20"/>
              </w:rPr>
            </w:pPr>
            <w:r>
              <w:rPr>
                <w:sz w:val="20"/>
              </w:rPr>
              <w:t xml:space="preserve">0.085 </w:t>
            </w:r>
            <w:r>
              <w:rPr>
                <w:sz w:val="20"/>
                <w:u w:val="single"/>
              </w:rPr>
              <w:t>+</w:t>
            </w:r>
            <w:r>
              <w:rPr>
                <w:sz w:val="20"/>
              </w:rPr>
              <w:t xml:space="preserve"> 0.023</w:t>
            </w:r>
          </w:p>
        </w:tc>
      </w:tr>
      <w:tr w:rsidR="00D133D4" w14:paraId="26AE8003" w14:textId="77777777" w:rsidTr="00DC07C7">
        <w:tc>
          <w:tcPr>
            <w:tcW w:w="1560" w:type="dxa"/>
            <w:vAlign w:val="center"/>
          </w:tcPr>
          <w:p w14:paraId="309DA38B" w14:textId="77777777" w:rsidR="00D133D4" w:rsidRDefault="00D133D4" w:rsidP="00DC07C7">
            <w:pPr>
              <w:rPr>
                <w:sz w:val="20"/>
              </w:rPr>
            </w:pPr>
            <w:r>
              <w:rPr>
                <w:sz w:val="20"/>
              </w:rPr>
              <w:t xml:space="preserve">PQ + </w:t>
            </w:r>
            <w:r>
              <w:rPr>
                <w:sz w:val="16"/>
              </w:rPr>
              <w:t>L</w:t>
            </w:r>
            <w:r>
              <w:rPr>
                <w:sz w:val="20"/>
              </w:rPr>
              <w:t>-valine</w:t>
            </w:r>
          </w:p>
        </w:tc>
        <w:tc>
          <w:tcPr>
            <w:tcW w:w="1412" w:type="dxa"/>
            <w:vAlign w:val="center"/>
          </w:tcPr>
          <w:p w14:paraId="2A97C74A" w14:textId="77777777" w:rsidR="00D133D4" w:rsidRDefault="00D133D4" w:rsidP="00DC07C7">
            <w:pPr>
              <w:jc w:val="center"/>
              <w:rPr>
                <w:sz w:val="20"/>
              </w:rPr>
            </w:pPr>
            <w:r>
              <w:rPr>
                <w:sz w:val="20"/>
              </w:rPr>
              <w:t xml:space="preserve">1.32 </w:t>
            </w:r>
            <w:r>
              <w:rPr>
                <w:sz w:val="20"/>
                <w:u w:val="single"/>
              </w:rPr>
              <w:t>+</w:t>
            </w:r>
            <w:r>
              <w:rPr>
                <w:sz w:val="20"/>
              </w:rPr>
              <w:t xml:space="preserve"> 0.29**</w:t>
            </w:r>
          </w:p>
        </w:tc>
        <w:tc>
          <w:tcPr>
            <w:tcW w:w="1540" w:type="dxa"/>
            <w:vAlign w:val="center"/>
          </w:tcPr>
          <w:p w14:paraId="1BC539C7" w14:textId="77777777" w:rsidR="00D133D4" w:rsidRDefault="00D133D4" w:rsidP="00DC07C7">
            <w:pPr>
              <w:jc w:val="center"/>
              <w:rPr>
                <w:sz w:val="20"/>
              </w:rPr>
            </w:pPr>
            <w:r>
              <w:rPr>
                <w:sz w:val="20"/>
              </w:rPr>
              <w:t xml:space="preserve">0.71 </w:t>
            </w:r>
            <w:r>
              <w:rPr>
                <w:sz w:val="20"/>
                <w:u w:val="single"/>
              </w:rPr>
              <w:t>+</w:t>
            </w:r>
            <w:r>
              <w:rPr>
                <w:sz w:val="20"/>
              </w:rPr>
              <w:t xml:space="preserve"> 0.13*</w:t>
            </w:r>
            <w:r>
              <w:rPr>
                <w:rFonts w:ascii="Lucida Sans Unicode" w:hAnsi="Lucida Sans Unicode"/>
                <w:sz w:val="20"/>
                <w:vertAlign w:val="superscript"/>
              </w:rPr>
              <w:t>††</w:t>
            </w:r>
          </w:p>
        </w:tc>
        <w:tc>
          <w:tcPr>
            <w:tcW w:w="1540" w:type="dxa"/>
            <w:vAlign w:val="center"/>
          </w:tcPr>
          <w:p w14:paraId="78463D3D" w14:textId="77777777" w:rsidR="00D133D4" w:rsidRDefault="00D133D4" w:rsidP="00DC07C7">
            <w:pPr>
              <w:jc w:val="center"/>
              <w:rPr>
                <w:sz w:val="20"/>
              </w:rPr>
            </w:pPr>
            <w:r>
              <w:rPr>
                <w:sz w:val="20"/>
              </w:rPr>
              <w:t xml:space="preserve">0.06 </w:t>
            </w:r>
            <w:r>
              <w:rPr>
                <w:sz w:val="20"/>
                <w:u w:val="single"/>
              </w:rPr>
              <w:t>+</w:t>
            </w:r>
            <w:r>
              <w:rPr>
                <w:sz w:val="20"/>
              </w:rPr>
              <w:t xml:space="preserve"> 0.23</w:t>
            </w:r>
          </w:p>
        </w:tc>
        <w:tc>
          <w:tcPr>
            <w:tcW w:w="1540" w:type="dxa"/>
            <w:vAlign w:val="center"/>
          </w:tcPr>
          <w:p w14:paraId="39A844F9" w14:textId="77777777" w:rsidR="00D133D4" w:rsidRDefault="00D133D4" w:rsidP="00DC07C7">
            <w:pPr>
              <w:jc w:val="center"/>
              <w:rPr>
                <w:sz w:val="20"/>
              </w:rPr>
            </w:pPr>
            <w:r>
              <w:rPr>
                <w:sz w:val="20"/>
              </w:rPr>
              <w:t xml:space="preserve">11.74 </w:t>
            </w:r>
            <w:r>
              <w:rPr>
                <w:sz w:val="20"/>
                <w:u w:val="single"/>
              </w:rPr>
              <w:t>+</w:t>
            </w:r>
            <w:r>
              <w:rPr>
                <w:sz w:val="20"/>
              </w:rPr>
              <w:t xml:space="preserve"> 2.80</w:t>
            </w:r>
          </w:p>
        </w:tc>
        <w:tc>
          <w:tcPr>
            <w:tcW w:w="1480" w:type="dxa"/>
            <w:vAlign w:val="center"/>
          </w:tcPr>
          <w:p w14:paraId="076AC905" w14:textId="77777777" w:rsidR="00D133D4" w:rsidRDefault="00D133D4" w:rsidP="00DC07C7">
            <w:pPr>
              <w:jc w:val="center"/>
              <w:rPr>
                <w:sz w:val="20"/>
              </w:rPr>
            </w:pPr>
            <w:r>
              <w:rPr>
                <w:sz w:val="20"/>
              </w:rPr>
              <w:t xml:space="preserve">0.032 </w:t>
            </w:r>
            <w:r>
              <w:rPr>
                <w:sz w:val="20"/>
                <w:u w:val="single"/>
              </w:rPr>
              <w:t>+</w:t>
            </w:r>
            <w:r>
              <w:rPr>
                <w:sz w:val="20"/>
              </w:rPr>
              <w:t xml:space="preserve"> 0.006</w:t>
            </w:r>
            <w:r>
              <w:rPr>
                <w:rFonts w:ascii="Lucida Sans Unicode" w:hAnsi="Lucida Sans Unicode"/>
                <w:sz w:val="20"/>
                <w:vertAlign w:val="superscript"/>
              </w:rPr>
              <w:t>†</w:t>
            </w:r>
          </w:p>
        </w:tc>
      </w:tr>
      <w:tr w:rsidR="00D133D4" w14:paraId="392DC3A3" w14:textId="77777777" w:rsidTr="00DC07C7">
        <w:tc>
          <w:tcPr>
            <w:tcW w:w="1560" w:type="dxa"/>
          </w:tcPr>
          <w:p w14:paraId="0F71B99A" w14:textId="77777777" w:rsidR="00D133D4" w:rsidRDefault="00D133D4" w:rsidP="00DC07C7">
            <w:pPr>
              <w:rPr>
                <w:sz w:val="20"/>
              </w:rPr>
            </w:pPr>
            <w:r>
              <w:rPr>
                <w:sz w:val="20"/>
              </w:rPr>
              <w:t xml:space="preserve">PQ + </w:t>
            </w:r>
            <w:r>
              <w:rPr>
                <w:sz w:val="16"/>
              </w:rPr>
              <w:t>L</w:t>
            </w:r>
            <w:r>
              <w:rPr>
                <w:sz w:val="20"/>
              </w:rPr>
              <w:t>-lysine</w:t>
            </w:r>
          </w:p>
        </w:tc>
        <w:tc>
          <w:tcPr>
            <w:tcW w:w="1412" w:type="dxa"/>
          </w:tcPr>
          <w:p w14:paraId="18E9F980" w14:textId="77777777" w:rsidR="00D133D4" w:rsidRDefault="00D133D4" w:rsidP="00DC07C7">
            <w:pPr>
              <w:jc w:val="center"/>
              <w:rPr>
                <w:sz w:val="20"/>
              </w:rPr>
            </w:pPr>
            <w:r>
              <w:rPr>
                <w:sz w:val="20"/>
              </w:rPr>
              <w:t xml:space="preserve">3.47 </w:t>
            </w:r>
            <w:r>
              <w:rPr>
                <w:sz w:val="20"/>
                <w:u w:val="single"/>
              </w:rPr>
              <w:t>+</w:t>
            </w:r>
            <w:r>
              <w:rPr>
                <w:sz w:val="20"/>
              </w:rPr>
              <w:t xml:space="preserve"> 0.09</w:t>
            </w:r>
          </w:p>
        </w:tc>
        <w:tc>
          <w:tcPr>
            <w:tcW w:w="1540" w:type="dxa"/>
          </w:tcPr>
          <w:p w14:paraId="631571F3" w14:textId="77777777" w:rsidR="00D133D4" w:rsidRDefault="00D133D4" w:rsidP="00DC07C7">
            <w:pPr>
              <w:jc w:val="center"/>
              <w:rPr>
                <w:sz w:val="20"/>
              </w:rPr>
            </w:pPr>
            <w:r>
              <w:rPr>
                <w:sz w:val="20"/>
              </w:rPr>
              <w:t xml:space="preserve">1.90 </w:t>
            </w:r>
            <w:r>
              <w:rPr>
                <w:sz w:val="20"/>
                <w:u w:val="single"/>
              </w:rPr>
              <w:t>+</w:t>
            </w:r>
            <w:r>
              <w:rPr>
                <w:sz w:val="20"/>
              </w:rPr>
              <w:t xml:space="preserve"> 0.26</w:t>
            </w:r>
          </w:p>
        </w:tc>
        <w:tc>
          <w:tcPr>
            <w:tcW w:w="1540" w:type="dxa"/>
          </w:tcPr>
          <w:p w14:paraId="48C157EF" w14:textId="77777777" w:rsidR="00D133D4" w:rsidRDefault="00D133D4" w:rsidP="00DC07C7">
            <w:pPr>
              <w:jc w:val="center"/>
              <w:rPr>
                <w:sz w:val="20"/>
              </w:rPr>
            </w:pPr>
            <w:r>
              <w:rPr>
                <w:sz w:val="20"/>
              </w:rPr>
              <w:t xml:space="preserve">0.84 </w:t>
            </w:r>
            <w:r>
              <w:rPr>
                <w:sz w:val="20"/>
                <w:u w:val="single"/>
              </w:rPr>
              <w:t>+</w:t>
            </w:r>
            <w:r>
              <w:rPr>
                <w:sz w:val="20"/>
              </w:rPr>
              <w:t xml:space="preserve"> 0.26</w:t>
            </w:r>
          </w:p>
        </w:tc>
        <w:tc>
          <w:tcPr>
            <w:tcW w:w="1540" w:type="dxa"/>
          </w:tcPr>
          <w:p w14:paraId="3C5751CD" w14:textId="77777777" w:rsidR="00D133D4" w:rsidRDefault="00D133D4" w:rsidP="00DC07C7">
            <w:pPr>
              <w:jc w:val="center"/>
              <w:rPr>
                <w:sz w:val="20"/>
              </w:rPr>
            </w:pPr>
            <w:r>
              <w:rPr>
                <w:sz w:val="20"/>
              </w:rPr>
              <w:t xml:space="preserve">7.59 </w:t>
            </w:r>
            <w:r>
              <w:rPr>
                <w:sz w:val="20"/>
                <w:u w:val="single"/>
              </w:rPr>
              <w:t>+</w:t>
            </w:r>
            <w:r>
              <w:rPr>
                <w:sz w:val="20"/>
              </w:rPr>
              <w:t xml:space="preserve"> 1.74</w:t>
            </w:r>
          </w:p>
        </w:tc>
        <w:tc>
          <w:tcPr>
            <w:tcW w:w="1480" w:type="dxa"/>
          </w:tcPr>
          <w:p w14:paraId="7CEA077A" w14:textId="77777777" w:rsidR="00D133D4" w:rsidRDefault="00D133D4" w:rsidP="00DC07C7">
            <w:pPr>
              <w:jc w:val="center"/>
              <w:rPr>
                <w:sz w:val="20"/>
              </w:rPr>
            </w:pPr>
            <w:r>
              <w:rPr>
                <w:sz w:val="20"/>
              </w:rPr>
              <w:t xml:space="preserve">0.100 </w:t>
            </w:r>
            <w:r>
              <w:rPr>
                <w:sz w:val="20"/>
                <w:u w:val="single"/>
              </w:rPr>
              <w:t>+</w:t>
            </w:r>
            <w:r>
              <w:rPr>
                <w:sz w:val="20"/>
              </w:rPr>
              <w:t xml:space="preserve"> 0.028</w:t>
            </w:r>
          </w:p>
        </w:tc>
      </w:tr>
    </w:tbl>
    <w:p w14:paraId="2BB728D8" w14:textId="77777777" w:rsidR="00D133D4" w:rsidRDefault="00D133D4" w:rsidP="00D133D4">
      <w:pPr>
        <w:rPr>
          <w:sz w:val="20"/>
        </w:rPr>
      </w:pPr>
      <w:r>
        <w:rPr>
          <w:sz w:val="20"/>
        </w:rPr>
        <w:t xml:space="preserve">Data are expressed as means </w:t>
      </w:r>
      <w:r>
        <w:rPr>
          <w:sz w:val="20"/>
          <w:u w:val="single"/>
        </w:rPr>
        <w:t>+</w:t>
      </w:r>
      <w:r>
        <w:rPr>
          <w:sz w:val="20"/>
        </w:rPr>
        <w:t xml:space="preserve"> 1 SEM (n=8); PQ = paraquat; * p&lt;0.05; ** p&lt;0.01; † p&lt;0.05 (</w:t>
      </w:r>
      <w:r>
        <w:rPr>
          <w:sz w:val="16"/>
        </w:rPr>
        <w:t>L</w:t>
      </w:r>
      <w:r>
        <w:rPr>
          <w:sz w:val="20"/>
        </w:rPr>
        <w:t>-lysine); †† p&lt;0.01 (</w:t>
      </w:r>
      <w:r>
        <w:rPr>
          <w:sz w:val="16"/>
        </w:rPr>
        <w:t>L</w:t>
      </w:r>
      <w:r>
        <w:rPr>
          <w:sz w:val="20"/>
        </w:rPr>
        <w:t>-lysine).</w:t>
      </w:r>
    </w:p>
    <w:p w14:paraId="2CA6BE23" w14:textId="77777777" w:rsidR="00D133D4" w:rsidRDefault="00D133D4" w:rsidP="00D133D4">
      <w:pPr>
        <w:rPr>
          <w:sz w:val="20"/>
        </w:rPr>
      </w:pPr>
    </w:p>
    <w:p w14:paraId="13D90C20" w14:textId="77777777" w:rsidR="00D133D4" w:rsidRDefault="00D133D4" w:rsidP="00D133D4">
      <w:r>
        <w:t xml:space="preserve">Paraquat (172.5 </w:t>
      </w:r>
      <w:r>
        <w:rPr>
          <w:u w:val="single"/>
        </w:rPr>
        <w:t>+</w:t>
      </w:r>
      <w:r>
        <w:t xml:space="preserve"> 53.9 pmol) and MPP</w:t>
      </w:r>
      <w:r>
        <w:rPr>
          <w:vertAlign w:val="superscript"/>
        </w:rPr>
        <w:t>+</w:t>
      </w:r>
      <w:r>
        <w:t xml:space="preserve"> (23.1 </w:t>
      </w:r>
      <w:r>
        <w:rPr>
          <w:u w:val="single"/>
        </w:rPr>
        <w:t>+</w:t>
      </w:r>
      <w:r>
        <w:t xml:space="preserve"> 8.2 pmol) were detected in the ipsi-lateral but not the contra-lateral striata following direct administration of each compound (50 and 10 </w:t>
      </w:r>
      <w:r>
        <w:sym w:font="Symbol" w:char="F06D"/>
      </w:r>
      <w:r>
        <w:t>M, respectively) into the striatum via the microdialysis probe. Paraquat uptake was significantly inhibited (p&lt;0.02) when Na</w:t>
      </w:r>
      <w:r>
        <w:rPr>
          <w:vertAlign w:val="superscript"/>
        </w:rPr>
        <w:t>+</w:t>
      </w:r>
      <w:r>
        <w:t xml:space="preserve">-free Ringer’s solution was used (76.3 </w:t>
      </w:r>
      <w:r>
        <w:rPr>
          <w:u w:val="single"/>
        </w:rPr>
        <w:t>+</w:t>
      </w:r>
      <w:r>
        <w:t xml:space="preserve"> 6.8 pmol). These findings suggested that the uptake of paraquat by striatal cells was Na</w:t>
      </w:r>
      <w:r>
        <w:rPr>
          <w:vertAlign w:val="superscript"/>
        </w:rPr>
        <w:t>+</w:t>
      </w:r>
      <w:r>
        <w:t xml:space="preserve">-dependent. Putrescine (50 </w:t>
      </w:r>
      <w:r>
        <w:sym w:font="Symbol" w:char="F06D"/>
      </w:r>
      <w:r>
        <w:t xml:space="preserve">M) failed to affect the striatal uptake of paraquat (169.1 </w:t>
      </w:r>
      <w:r>
        <w:rPr>
          <w:u w:val="single"/>
        </w:rPr>
        <w:t>+</w:t>
      </w:r>
      <w:r>
        <w:t xml:space="preserve"> 60.5 pmol) which suggested that the polyamine transporter was not involved in the uptake of paraquat by striatal cells.</w:t>
      </w:r>
    </w:p>
    <w:p w14:paraId="08B2DF13" w14:textId="77777777" w:rsidR="00D133D4" w:rsidRDefault="00D133D4" w:rsidP="002B2CFC">
      <w:pPr>
        <w:rPr>
          <w:szCs w:val="24"/>
          <w:lang w:val="en-US" w:eastAsia="en-US"/>
        </w:rPr>
      </w:pPr>
    </w:p>
    <w:p w14:paraId="51249F43" w14:textId="77777777" w:rsidR="008A0A0B" w:rsidRDefault="008A0A0B" w:rsidP="008A0A0B">
      <w:pPr>
        <w:pStyle w:val="BodyText"/>
      </w:pPr>
      <w:r w:rsidRPr="000E275D">
        <w:rPr>
          <w:i w:val="0"/>
        </w:rPr>
        <w:t>Nagao M, Takatori T, Wu B, Terazawa K, Gotouda H, Akabane H, Inoue K &amp; Shimizu M (1991) Immunohistochemical localisation of paraquat in lung and brain.</w:t>
      </w:r>
      <w:r>
        <w:t xml:space="preserve"> Med Sci Law 31 (1): 61-64.</w:t>
      </w:r>
    </w:p>
    <w:p w14:paraId="04FEB27F" w14:textId="77777777" w:rsidR="008A0A0B" w:rsidRDefault="008A0A0B" w:rsidP="008A0A0B"/>
    <w:p w14:paraId="3A126DDB" w14:textId="77777777" w:rsidR="008A0A0B" w:rsidRDefault="008A0A0B" w:rsidP="008A0A0B">
      <w:r>
        <w:t xml:space="preserve">Male SD rats (200-250 g body weight; sample size, age and source unspecified) were given a single iv injection of paraquat dichloride (unspecified batch no., purity &amp; dose volume; Aldrich Co, USA, purity unspecified) in saline at 0 or 5 mg/kg bw (equivalent to 3.6 mg/kg bw paraquat cation). Rats were sacrificed at 3, 12 and 24 h, and at 3, 7 and 10 days post-dose. Lung and brain tissues were immunohistochemically examined for paraquat using a polyclonal </w:t>
      </w:r>
      <w:r>
        <w:sym w:font="Symbol" w:char="F061"/>
      </w:r>
      <w:r>
        <w:t>-</w:t>
      </w:r>
      <w:r>
        <w:lastRenderedPageBreak/>
        <w:t>paraquat antibody followed by biotin-streptavidin-peroxidase staining. Lung and brain tissues were also histologically examined following haematoxylin-eosin, and trichrome staining (to examine collagen generation in the lung).</w:t>
      </w:r>
    </w:p>
    <w:p w14:paraId="700D3B7B" w14:textId="77777777" w:rsidR="008A0A0B" w:rsidRDefault="008A0A0B" w:rsidP="008A0A0B"/>
    <w:p w14:paraId="46AFBE1E" w14:textId="77777777" w:rsidR="008A0A0B" w:rsidRDefault="008A0A0B" w:rsidP="008A0A0B">
      <w:pPr>
        <w:tabs>
          <w:tab w:val="left" w:pos="4962"/>
        </w:tabs>
      </w:pPr>
      <w:r>
        <w:t xml:space="preserve">Paraquat-treated rats exhibited a number of histopathological lung abnormalities consistent with paraquat toxicity including inflammatory cell infiltration, deposition of collagen fibres in interstitial spaces and thickening of the alveolar septum. No histopathological brain abnormalities were detected in any paraquat-treated rats. In the lungs of all treated rats, paraquat was localised to blood vessel walls, histiocytes and bronchiolar epithelial cells, irrespective of the time of sacrifice. The localisation of paraquat to bronchiolar epithelial cells appeared to be associated with secretion of paraquat into the bronchiole. In brain slices from treated rats, paraquat was detected in capillary walls and glial cells, but not in nerve cells. These positive reactions were completely inhibited when antisera were absorbed with sufficient paraquat before use. No positive findings were observed in lung and brain tissue obtained from control animals. </w:t>
      </w:r>
    </w:p>
    <w:p w14:paraId="713EDA93" w14:textId="3369B7A4" w:rsidR="002B2CFC" w:rsidRPr="002B2CFC" w:rsidRDefault="002B2CFC" w:rsidP="009E40A8">
      <w:pPr>
        <w:rPr>
          <w:szCs w:val="24"/>
          <w:lang w:val="en-US" w:eastAsia="en-US"/>
        </w:rPr>
      </w:pPr>
    </w:p>
    <w:p w14:paraId="13542D52" w14:textId="77777777" w:rsidR="002B2CFC" w:rsidRPr="002B2CFC" w:rsidRDefault="00650D71" w:rsidP="006E0A02">
      <w:pPr>
        <w:pStyle w:val="Heading2"/>
        <w:rPr>
          <w:lang w:eastAsia="en-US"/>
        </w:rPr>
      </w:pPr>
      <w:bookmarkStart w:id="80" w:name="_Toc275178990"/>
      <w:bookmarkStart w:id="81" w:name="_Toc459108306"/>
      <w:r>
        <w:rPr>
          <w:lang w:eastAsia="en-US"/>
        </w:rPr>
        <w:t>Studies on</w:t>
      </w:r>
      <w:r w:rsidR="00BC101B">
        <w:rPr>
          <w:lang w:eastAsia="en-US"/>
        </w:rPr>
        <w:t xml:space="preserve"> p</w:t>
      </w:r>
      <w:r w:rsidR="002B2CFC" w:rsidRPr="002B2CFC">
        <w:rPr>
          <w:lang w:eastAsia="en-US"/>
        </w:rPr>
        <w:t>araquat-induced neurodegenerative effect</w:t>
      </w:r>
      <w:bookmarkEnd w:id="80"/>
      <w:r>
        <w:rPr>
          <w:lang w:eastAsia="en-US"/>
        </w:rPr>
        <w:t>s</w:t>
      </w:r>
      <w:bookmarkEnd w:id="81"/>
    </w:p>
    <w:p w14:paraId="1F5B5644" w14:textId="77777777" w:rsidR="002B2CFC" w:rsidRPr="002B2CFC" w:rsidRDefault="002B2CFC" w:rsidP="003E4CEF">
      <w:pPr>
        <w:rPr>
          <w:szCs w:val="24"/>
          <w:lang w:val="en-US" w:eastAsia="en-US"/>
        </w:rPr>
      </w:pPr>
      <w:r w:rsidRPr="002B2CFC">
        <w:rPr>
          <w:szCs w:val="24"/>
          <w:lang w:val="en-US" w:eastAsia="en-US"/>
        </w:rPr>
        <w:t xml:space="preserve">The studies of Naylor </w:t>
      </w:r>
      <w:r w:rsidRPr="002B2CFC">
        <w:rPr>
          <w:i/>
          <w:szCs w:val="24"/>
          <w:lang w:val="en-US" w:eastAsia="en-US"/>
        </w:rPr>
        <w:t>et al</w:t>
      </w:r>
      <w:r w:rsidRPr="002B2CFC">
        <w:rPr>
          <w:szCs w:val="24"/>
          <w:lang w:val="en-US" w:eastAsia="en-US"/>
        </w:rPr>
        <w:t xml:space="preserve"> (1995), Widdowson </w:t>
      </w:r>
      <w:r w:rsidRPr="002B2CFC">
        <w:rPr>
          <w:i/>
          <w:szCs w:val="24"/>
          <w:lang w:val="en-US" w:eastAsia="en-US"/>
        </w:rPr>
        <w:t>et al</w:t>
      </w:r>
      <w:r w:rsidRPr="002B2CFC">
        <w:rPr>
          <w:szCs w:val="24"/>
          <w:lang w:val="en-US" w:eastAsia="en-US"/>
        </w:rPr>
        <w:t xml:space="preserve"> (1996b) discussed above did not detect any signs of neuronal damage in rats following subcutaneous administration of paraquat. Widdowson </w:t>
      </w:r>
      <w:r w:rsidRPr="002B2CFC">
        <w:rPr>
          <w:i/>
          <w:szCs w:val="24"/>
          <w:lang w:val="en-US" w:eastAsia="en-US"/>
        </w:rPr>
        <w:t>et al</w:t>
      </w:r>
      <w:r w:rsidRPr="002B2CFC">
        <w:rPr>
          <w:szCs w:val="24"/>
          <w:lang w:val="en-US" w:eastAsia="en-US"/>
        </w:rPr>
        <w:t xml:space="preserve"> (1996b), also did not find any evidence that multiple oral dosing with paraquat can lead to changes in locomotor activity or grip strength, nor was there any neuropathology or any changes in neurochemistry. These authors reported the use of detailed histopathological studies in examining for neuronal cell damage</w:t>
      </w:r>
      <w:r w:rsidR="007328A5">
        <w:rPr>
          <w:szCs w:val="24"/>
          <w:lang w:val="en-US" w:eastAsia="en-US"/>
        </w:rPr>
        <w:t>. Brammer (2006)</w:t>
      </w:r>
      <w:r w:rsidRPr="002B2CFC">
        <w:rPr>
          <w:szCs w:val="24"/>
          <w:lang w:val="en-US" w:eastAsia="en-US"/>
        </w:rPr>
        <w:t xml:space="preserve"> </w:t>
      </w:r>
      <w:r w:rsidR="007328A5">
        <w:rPr>
          <w:szCs w:val="24"/>
          <w:lang w:val="en-US" w:eastAsia="en-US"/>
        </w:rPr>
        <w:t xml:space="preserve">investigated the acute neurotoxicity following a single oral dose of up to </w:t>
      </w:r>
      <w:r w:rsidR="00AC32F4">
        <w:rPr>
          <w:szCs w:val="24"/>
          <w:lang w:val="en-US" w:eastAsia="en-US"/>
        </w:rPr>
        <w:t>84</w:t>
      </w:r>
      <w:r w:rsidR="007328A5">
        <w:rPr>
          <w:szCs w:val="24"/>
          <w:lang w:val="en-US" w:eastAsia="en-US"/>
        </w:rPr>
        <w:t xml:space="preserve"> mg</w:t>
      </w:r>
      <w:r w:rsidR="00AC32F4">
        <w:rPr>
          <w:szCs w:val="24"/>
          <w:lang w:val="en-US" w:eastAsia="en-US"/>
        </w:rPr>
        <w:t xml:space="preserve"> paraquat ion</w:t>
      </w:r>
      <w:r w:rsidR="007328A5">
        <w:rPr>
          <w:szCs w:val="24"/>
          <w:lang w:val="en-US" w:eastAsia="en-US"/>
        </w:rPr>
        <w:t>/kg bw in rats and found no clear treatment related clinical signs or neuropathology (histopathology of the brain was not conducted).</w:t>
      </w:r>
    </w:p>
    <w:p w14:paraId="0E094061" w14:textId="77777777" w:rsidR="002B2CFC" w:rsidRPr="002B2CFC" w:rsidRDefault="002B2CFC" w:rsidP="009E40A8">
      <w:pPr>
        <w:rPr>
          <w:szCs w:val="24"/>
          <w:lang w:val="en-US" w:eastAsia="en-US"/>
        </w:rPr>
      </w:pPr>
    </w:p>
    <w:p w14:paraId="13F77C44" w14:textId="77777777" w:rsidR="002B2CFC" w:rsidRDefault="002B2CFC" w:rsidP="009E40A8">
      <w:pPr>
        <w:rPr>
          <w:szCs w:val="24"/>
          <w:lang w:val="en-US" w:eastAsia="en-US"/>
        </w:rPr>
      </w:pPr>
      <w:r w:rsidRPr="002B2CFC">
        <w:rPr>
          <w:szCs w:val="24"/>
          <w:lang w:val="en-US" w:eastAsia="en-US"/>
        </w:rPr>
        <w:t xml:space="preserve">Chivers (2006) did not find any evidence of neurotoxicity in a standard guideline study when rats were administered paraquat in the diet, </w:t>
      </w:r>
      <w:r w:rsidR="00794F11" w:rsidRPr="002B2CFC">
        <w:rPr>
          <w:szCs w:val="24"/>
          <w:lang w:val="en-US" w:eastAsia="en-US"/>
        </w:rPr>
        <w:t>although</w:t>
      </w:r>
      <w:r w:rsidRPr="002B2CFC">
        <w:rPr>
          <w:szCs w:val="24"/>
          <w:lang w:val="en-US" w:eastAsia="en-US"/>
        </w:rPr>
        <w:t xml:space="preserve"> the SN pc was not specifically examined. Beck (2012, a,c) did not find any evidence of damage to the brains of mice receiving up to </w:t>
      </w:r>
      <w:r w:rsidR="00893658">
        <w:rPr>
          <w:szCs w:val="24"/>
          <w:lang w:val="en-US" w:eastAsia="en-US"/>
        </w:rPr>
        <w:t>18.1</w:t>
      </w:r>
      <w:r w:rsidRPr="002B2CFC">
        <w:rPr>
          <w:szCs w:val="24"/>
          <w:lang w:val="en-US" w:eastAsia="en-US"/>
        </w:rPr>
        <w:t xml:space="preserve"> mg</w:t>
      </w:r>
      <w:r w:rsidR="00893658">
        <w:rPr>
          <w:szCs w:val="24"/>
          <w:lang w:val="en-US" w:eastAsia="en-US"/>
        </w:rPr>
        <w:t xml:space="preserve"> paraquat ion</w:t>
      </w:r>
      <w:r w:rsidRPr="002B2CFC">
        <w:rPr>
          <w:szCs w:val="24"/>
          <w:lang w:val="en-US" w:eastAsia="en-US"/>
        </w:rPr>
        <w:t xml:space="preserve">/kg bw/dose for up to 3 weekly doses by intraperitoneal injection, despite very specific testing for damage to these neurons (specialised staining, stereology and </w:t>
      </w:r>
      <w:r w:rsidR="00794F11" w:rsidRPr="002B2CFC">
        <w:rPr>
          <w:szCs w:val="24"/>
          <w:lang w:val="en-US" w:eastAsia="en-US"/>
        </w:rPr>
        <w:t>neurochemistry</w:t>
      </w:r>
      <w:r w:rsidRPr="002B2CFC">
        <w:rPr>
          <w:szCs w:val="24"/>
          <w:lang w:val="en-US" w:eastAsia="en-US"/>
        </w:rPr>
        <w:t>). In a later study, Beck (2013) administered up to 50 ppm paraquat</w:t>
      </w:r>
      <w:r w:rsidR="00893658">
        <w:rPr>
          <w:szCs w:val="24"/>
          <w:lang w:val="en-US" w:eastAsia="en-US"/>
        </w:rPr>
        <w:t xml:space="preserve"> (equivalent to 10.2 (males), 15.6 (females) mg paraquat cation/kg bw/d)</w:t>
      </w:r>
      <w:r w:rsidRPr="002B2CFC">
        <w:rPr>
          <w:szCs w:val="24"/>
          <w:lang w:val="en-US" w:eastAsia="en-US"/>
        </w:rPr>
        <w:t xml:space="preserve"> in the diet for up to 90 days and did not detect any effect on the dopaminergic neurons, again using specific testing methodology. Both Beck studies were supported by a positive control group (ip MPTP) which demonstrated the validity of the study design</w:t>
      </w:r>
      <w:r w:rsidR="004646FD">
        <w:rPr>
          <w:szCs w:val="24"/>
          <w:lang w:val="en-US" w:eastAsia="en-US"/>
        </w:rPr>
        <w:t xml:space="preserve"> and are presented below.</w:t>
      </w:r>
    </w:p>
    <w:p w14:paraId="18670AEE" w14:textId="77777777" w:rsidR="00775D39" w:rsidRDefault="00775D39" w:rsidP="009E40A8">
      <w:pPr>
        <w:rPr>
          <w:szCs w:val="24"/>
          <w:lang w:val="en-US" w:eastAsia="en-US"/>
        </w:rPr>
      </w:pPr>
    </w:p>
    <w:p w14:paraId="441B1837" w14:textId="77777777" w:rsidR="009D0D8F" w:rsidRDefault="009D0D8F" w:rsidP="009E40A8">
      <w:pPr>
        <w:rPr>
          <w:szCs w:val="24"/>
          <w:lang w:val="en-US" w:eastAsia="en-US"/>
        </w:rPr>
      </w:pPr>
      <w:r>
        <w:rPr>
          <w:szCs w:val="24"/>
          <w:lang w:val="en-US" w:eastAsia="en-US"/>
        </w:rPr>
        <w:t>The following studies were considered pivotal in the evaluation of the neurotoxicity potential of paraquat in mice. On this basis, a higher level of methodological and reporting detail has been included relative to other studies in the report.</w:t>
      </w:r>
    </w:p>
    <w:p w14:paraId="5E7CC1F5" w14:textId="77777777" w:rsidR="00C3356A" w:rsidRDefault="00C3356A" w:rsidP="004646FD">
      <w:pPr>
        <w:rPr>
          <w:szCs w:val="24"/>
          <w:lang w:val="en-US" w:eastAsia="en-US"/>
        </w:rPr>
      </w:pPr>
    </w:p>
    <w:p w14:paraId="7329B4E2" w14:textId="77777777" w:rsidR="0005512A" w:rsidRPr="0056108B" w:rsidRDefault="0005512A" w:rsidP="0005512A">
      <w:pPr>
        <w:keepNext/>
        <w:keepLines/>
        <w:spacing w:before="120" w:after="120"/>
        <w:rPr>
          <w:b/>
          <w:szCs w:val="24"/>
        </w:rPr>
      </w:pPr>
      <w:r w:rsidRPr="002B2CFC">
        <w:rPr>
          <w:b/>
          <w:szCs w:val="24"/>
        </w:rPr>
        <w:lastRenderedPageBreak/>
        <w:t xml:space="preserve">Beck MJ (2012a) A multi-time and multi-dose pathology study using paraquat dichloride in mice. Study No./Report No. WIL-639093. Task No.: TK0053121. </w:t>
      </w:r>
      <w:r w:rsidRPr="003E4CEF">
        <w:rPr>
          <w:b/>
          <w:szCs w:val="24"/>
        </w:rPr>
        <w:t>Unpublished</w:t>
      </w:r>
      <w:r>
        <w:rPr>
          <w:b/>
          <w:szCs w:val="24"/>
        </w:rPr>
        <w:t>.</w:t>
      </w:r>
      <w:r w:rsidRPr="003E4CEF">
        <w:rPr>
          <w:b/>
          <w:szCs w:val="24"/>
        </w:rPr>
        <w:t xml:space="preserve"> Report date: January 10, 2012</w:t>
      </w:r>
    </w:p>
    <w:p w14:paraId="220D3CFC" w14:textId="77777777" w:rsidR="0005512A" w:rsidRPr="0056108B" w:rsidRDefault="0005512A" w:rsidP="0005512A">
      <w:pPr>
        <w:keepNext/>
        <w:keepLines/>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668"/>
        <w:gridCol w:w="5307"/>
      </w:tblGrid>
      <w:tr w:rsidR="0005512A" w:rsidRPr="001B5DD8" w14:paraId="405C38E1" w14:textId="77777777" w:rsidTr="0005512A">
        <w:trPr>
          <w:cantSplit/>
          <w:jc w:val="center"/>
        </w:trPr>
        <w:tc>
          <w:tcPr>
            <w:tcW w:w="1668" w:type="dxa"/>
          </w:tcPr>
          <w:p w14:paraId="70E96530" w14:textId="77777777" w:rsidR="0005512A" w:rsidRPr="003E4CEF" w:rsidRDefault="0005512A" w:rsidP="0005512A">
            <w:pPr>
              <w:keepNext/>
              <w:keepLines/>
              <w:rPr>
                <w:sz w:val="20"/>
              </w:rPr>
            </w:pPr>
            <w:r w:rsidRPr="003E4CEF">
              <w:rPr>
                <w:sz w:val="20"/>
              </w:rPr>
              <w:t>Test Compound:</w:t>
            </w:r>
          </w:p>
        </w:tc>
        <w:tc>
          <w:tcPr>
            <w:tcW w:w="5307" w:type="dxa"/>
          </w:tcPr>
          <w:p w14:paraId="44DBD3E1" w14:textId="77777777" w:rsidR="0005512A" w:rsidRPr="0056108B" w:rsidRDefault="0005512A" w:rsidP="0005512A">
            <w:pPr>
              <w:keepNext/>
              <w:keepLines/>
              <w:rPr>
                <w:sz w:val="20"/>
              </w:rPr>
            </w:pPr>
            <w:r w:rsidRPr="003E4CEF">
              <w:rPr>
                <w:sz w:val="20"/>
              </w:rPr>
              <w:t>Paraquat dichloride (purity: 99.9%)</w:t>
            </w:r>
          </w:p>
        </w:tc>
      </w:tr>
      <w:tr w:rsidR="0005512A" w:rsidRPr="001B5DD8" w14:paraId="435B374D" w14:textId="77777777" w:rsidTr="0005512A">
        <w:trPr>
          <w:cantSplit/>
          <w:jc w:val="center"/>
        </w:trPr>
        <w:tc>
          <w:tcPr>
            <w:tcW w:w="1668" w:type="dxa"/>
          </w:tcPr>
          <w:p w14:paraId="2CFED6EC" w14:textId="77777777" w:rsidR="0005512A" w:rsidRPr="001B5DD8" w:rsidRDefault="0005512A" w:rsidP="0005512A">
            <w:pPr>
              <w:keepNext/>
              <w:keepLines/>
              <w:rPr>
                <w:sz w:val="20"/>
              </w:rPr>
            </w:pPr>
            <w:r w:rsidRPr="001B5DD8">
              <w:rPr>
                <w:sz w:val="20"/>
              </w:rPr>
              <w:t>Batch:</w:t>
            </w:r>
          </w:p>
        </w:tc>
        <w:tc>
          <w:tcPr>
            <w:tcW w:w="5307" w:type="dxa"/>
          </w:tcPr>
          <w:p w14:paraId="4787E4A4" w14:textId="77777777" w:rsidR="0005512A" w:rsidRPr="0056108B" w:rsidRDefault="0005512A" w:rsidP="0005512A">
            <w:pPr>
              <w:keepNext/>
              <w:keepLines/>
              <w:rPr>
                <w:sz w:val="20"/>
              </w:rPr>
            </w:pPr>
            <w:r w:rsidRPr="001B5DD8">
              <w:rPr>
                <w:sz w:val="20"/>
              </w:rPr>
              <w:t>ASJ10083-03 [WIL ID No. 09013F]</w:t>
            </w:r>
          </w:p>
        </w:tc>
      </w:tr>
      <w:tr w:rsidR="0005512A" w:rsidRPr="001B5DD8" w14:paraId="2403CF52" w14:textId="77777777" w:rsidTr="0005512A">
        <w:trPr>
          <w:cantSplit/>
          <w:jc w:val="center"/>
        </w:trPr>
        <w:tc>
          <w:tcPr>
            <w:tcW w:w="1668" w:type="dxa"/>
          </w:tcPr>
          <w:p w14:paraId="1D656901" w14:textId="77777777" w:rsidR="0005512A" w:rsidRPr="001B5DD8" w:rsidRDefault="0005512A" w:rsidP="0005512A">
            <w:pPr>
              <w:keepNext/>
              <w:keepLines/>
              <w:rPr>
                <w:sz w:val="20"/>
              </w:rPr>
            </w:pPr>
            <w:r w:rsidRPr="001B5DD8">
              <w:rPr>
                <w:sz w:val="20"/>
              </w:rPr>
              <w:t>Test Species:</w:t>
            </w:r>
          </w:p>
        </w:tc>
        <w:tc>
          <w:tcPr>
            <w:tcW w:w="5307" w:type="dxa"/>
          </w:tcPr>
          <w:p w14:paraId="567A11A5" w14:textId="77777777" w:rsidR="0005512A" w:rsidRPr="0056108B" w:rsidRDefault="0005512A" w:rsidP="0005512A">
            <w:pPr>
              <w:keepNext/>
              <w:keepLines/>
              <w:rPr>
                <w:sz w:val="20"/>
              </w:rPr>
            </w:pPr>
            <w:r w:rsidRPr="001B5DD8">
              <w:rPr>
                <w:sz w:val="20"/>
              </w:rPr>
              <w:t xml:space="preserve">Male C57BL/6J mice, 35/group, </w:t>
            </w:r>
            <w:r w:rsidRPr="0056108B">
              <w:rPr>
                <w:sz w:val="20"/>
              </w:rPr>
              <w:t xml:space="preserve"> </w:t>
            </w:r>
            <w:r w:rsidRPr="003E4CEF">
              <w:rPr>
                <w:sz w:val="20"/>
              </w:rPr>
              <w:t>age: approximately 9 weeks</w:t>
            </w:r>
            <w:r w:rsidRPr="0056108B">
              <w:rPr>
                <w:sz w:val="20"/>
              </w:rPr>
              <w:t xml:space="preserve">, </w:t>
            </w:r>
            <w:r w:rsidRPr="003E4CEF">
              <w:rPr>
                <w:sz w:val="20"/>
              </w:rPr>
              <w:t>bw: 18.2-25.1 g; source: The Jackson Laboratory, Bar Harbor, ME, USA</w:t>
            </w:r>
          </w:p>
        </w:tc>
      </w:tr>
      <w:tr w:rsidR="0005512A" w:rsidRPr="001B5DD8" w14:paraId="3D8906D8" w14:textId="77777777" w:rsidTr="0005512A">
        <w:trPr>
          <w:cantSplit/>
          <w:jc w:val="center"/>
        </w:trPr>
        <w:tc>
          <w:tcPr>
            <w:tcW w:w="1668" w:type="dxa"/>
          </w:tcPr>
          <w:p w14:paraId="4135313D" w14:textId="77777777" w:rsidR="0005512A" w:rsidRPr="001B5DD8" w:rsidRDefault="0005512A" w:rsidP="0005512A">
            <w:pPr>
              <w:keepNext/>
              <w:keepLines/>
              <w:rPr>
                <w:sz w:val="20"/>
              </w:rPr>
            </w:pPr>
            <w:r w:rsidRPr="001B5DD8">
              <w:rPr>
                <w:sz w:val="20"/>
              </w:rPr>
              <w:t>Study Duration:</w:t>
            </w:r>
          </w:p>
        </w:tc>
        <w:tc>
          <w:tcPr>
            <w:tcW w:w="5307" w:type="dxa"/>
          </w:tcPr>
          <w:p w14:paraId="30AED0B2" w14:textId="77777777" w:rsidR="0005512A" w:rsidRPr="0056108B" w:rsidRDefault="0005512A" w:rsidP="0005512A">
            <w:pPr>
              <w:keepNext/>
              <w:keepLines/>
              <w:rPr>
                <w:sz w:val="20"/>
              </w:rPr>
            </w:pPr>
            <w:r w:rsidRPr="001B5DD8">
              <w:rPr>
                <w:sz w:val="20"/>
              </w:rPr>
              <w:t>November 16, 2010- May 11, 2011</w:t>
            </w:r>
          </w:p>
        </w:tc>
      </w:tr>
      <w:tr w:rsidR="0005512A" w:rsidRPr="002B2CFC" w14:paraId="55D4A80F" w14:textId="77777777" w:rsidTr="00C34954">
        <w:trPr>
          <w:cantSplit/>
          <w:trHeight w:val="2216"/>
          <w:jc w:val="center"/>
        </w:trPr>
        <w:tc>
          <w:tcPr>
            <w:tcW w:w="1668" w:type="dxa"/>
          </w:tcPr>
          <w:p w14:paraId="4CD85F90" w14:textId="77777777" w:rsidR="0005512A" w:rsidRPr="002B2CFC" w:rsidRDefault="0005512A" w:rsidP="0005512A">
            <w:pPr>
              <w:keepNext/>
              <w:keepLines/>
              <w:rPr>
                <w:sz w:val="20"/>
              </w:rPr>
            </w:pPr>
            <w:r w:rsidRPr="002B2CFC">
              <w:rPr>
                <w:sz w:val="20"/>
              </w:rPr>
              <w:t>Laboratories:</w:t>
            </w:r>
          </w:p>
          <w:p w14:paraId="23D70203" w14:textId="77777777" w:rsidR="0005512A" w:rsidRPr="002B2CFC" w:rsidRDefault="0005512A" w:rsidP="0005512A">
            <w:pPr>
              <w:keepNext/>
              <w:keepLines/>
              <w:rPr>
                <w:sz w:val="20"/>
              </w:rPr>
            </w:pPr>
          </w:p>
        </w:tc>
        <w:tc>
          <w:tcPr>
            <w:tcW w:w="5307" w:type="dxa"/>
          </w:tcPr>
          <w:p w14:paraId="0A74F9BF" w14:textId="77777777" w:rsidR="00436573" w:rsidRDefault="0005512A" w:rsidP="00C34954">
            <w:pPr>
              <w:keepNext/>
              <w:keepLines/>
              <w:numPr>
                <w:ilvl w:val="0"/>
                <w:numId w:val="3"/>
              </w:numPr>
              <w:rPr>
                <w:sz w:val="20"/>
              </w:rPr>
            </w:pPr>
            <w:r w:rsidRPr="002B2CFC">
              <w:rPr>
                <w:sz w:val="20"/>
              </w:rPr>
              <w:t>WIL Research Laboratories, LLC, 1047 George Road, Ashland, OH 44805-8946 USA (performing laboratory)</w:t>
            </w:r>
          </w:p>
          <w:p w14:paraId="449DC0E5" w14:textId="77777777" w:rsidR="00436573" w:rsidRDefault="0005512A" w:rsidP="00C34954">
            <w:pPr>
              <w:keepNext/>
              <w:keepLines/>
              <w:numPr>
                <w:ilvl w:val="0"/>
                <w:numId w:val="3"/>
              </w:numPr>
              <w:rPr>
                <w:sz w:val="20"/>
              </w:rPr>
            </w:pPr>
            <w:r w:rsidRPr="002B2CFC">
              <w:rPr>
                <w:sz w:val="20"/>
              </w:rPr>
              <w:t>Experimental Pathology Laboratories (EPL), Inc. PO Box 169, Sterling, VA 20166-2194</w:t>
            </w:r>
          </w:p>
          <w:p w14:paraId="72FDE6FB" w14:textId="77777777" w:rsidR="00436573" w:rsidRDefault="0005512A" w:rsidP="00C34954">
            <w:pPr>
              <w:keepNext/>
              <w:keepLines/>
              <w:numPr>
                <w:ilvl w:val="0"/>
                <w:numId w:val="3"/>
              </w:numPr>
              <w:rPr>
                <w:sz w:val="20"/>
              </w:rPr>
            </w:pPr>
            <w:r w:rsidRPr="002B2CFC">
              <w:rPr>
                <w:sz w:val="20"/>
              </w:rPr>
              <w:t>Neuroscience Associates, Inc 10915 Lake Ridge Drive, Knoxville, TN 37934 USA</w:t>
            </w:r>
          </w:p>
          <w:p w14:paraId="11932A91" w14:textId="77777777" w:rsidR="00436573" w:rsidRDefault="0005512A" w:rsidP="00C34954">
            <w:pPr>
              <w:keepNext/>
              <w:keepLines/>
              <w:numPr>
                <w:ilvl w:val="0"/>
                <w:numId w:val="3"/>
              </w:numPr>
              <w:rPr>
                <w:sz w:val="20"/>
              </w:rPr>
            </w:pPr>
            <w:r w:rsidRPr="002B2CFC">
              <w:rPr>
                <w:sz w:val="20"/>
              </w:rPr>
              <w:t>Tox Path Specialists, LLC 20140 Scholar Drive, Lab 109, Hagerstown, MD 21742 USA (neuropathology)</w:t>
            </w:r>
          </w:p>
        </w:tc>
      </w:tr>
      <w:tr w:rsidR="0005512A" w:rsidRPr="002B2CFC" w14:paraId="4CE64E76" w14:textId="77777777" w:rsidTr="0005512A">
        <w:trPr>
          <w:cantSplit/>
          <w:jc w:val="center"/>
        </w:trPr>
        <w:tc>
          <w:tcPr>
            <w:tcW w:w="1668" w:type="dxa"/>
          </w:tcPr>
          <w:p w14:paraId="5A4027CE" w14:textId="77777777" w:rsidR="0005512A" w:rsidRPr="002B2CFC" w:rsidRDefault="0005512A" w:rsidP="0005512A">
            <w:pPr>
              <w:keepNext/>
              <w:keepLines/>
              <w:rPr>
                <w:sz w:val="20"/>
              </w:rPr>
            </w:pPr>
            <w:r w:rsidRPr="002B2CFC">
              <w:rPr>
                <w:sz w:val="20"/>
              </w:rPr>
              <w:t>GLP &amp; QA:</w:t>
            </w:r>
          </w:p>
        </w:tc>
        <w:tc>
          <w:tcPr>
            <w:tcW w:w="5307" w:type="dxa"/>
          </w:tcPr>
          <w:p w14:paraId="6A43FA4D" w14:textId="77777777" w:rsidR="0005512A" w:rsidRPr="002B2CFC" w:rsidRDefault="0005512A" w:rsidP="0005512A">
            <w:pPr>
              <w:keepNext/>
              <w:keepLines/>
              <w:rPr>
                <w:sz w:val="20"/>
              </w:rPr>
            </w:pPr>
            <w:r w:rsidRPr="002B2CFC">
              <w:rPr>
                <w:sz w:val="20"/>
              </w:rPr>
              <w:t>Yes</w:t>
            </w:r>
          </w:p>
        </w:tc>
      </w:tr>
      <w:tr w:rsidR="0005512A" w:rsidRPr="002B2CFC" w14:paraId="0839DB60" w14:textId="77777777" w:rsidTr="0005512A">
        <w:trPr>
          <w:cantSplit/>
          <w:jc w:val="center"/>
        </w:trPr>
        <w:tc>
          <w:tcPr>
            <w:tcW w:w="1668" w:type="dxa"/>
          </w:tcPr>
          <w:p w14:paraId="3A5CF3B0" w14:textId="77777777" w:rsidR="0005512A" w:rsidRPr="002B2CFC" w:rsidRDefault="0005512A" w:rsidP="0005512A">
            <w:pPr>
              <w:keepNext/>
              <w:keepLines/>
              <w:rPr>
                <w:sz w:val="20"/>
              </w:rPr>
            </w:pPr>
            <w:r w:rsidRPr="002B2CFC">
              <w:rPr>
                <w:sz w:val="20"/>
              </w:rPr>
              <w:t>Guidelines:</w:t>
            </w:r>
          </w:p>
        </w:tc>
        <w:tc>
          <w:tcPr>
            <w:tcW w:w="5307" w:type="dxa"/>
          </w:tcPr>
          <w:p w14:paraId="1AFD7338" w14:textId="77777777" w:rsidR="0005512A" w:rsidRPr="002B2CFC" w:rsidRDefault="0005512A" w:rsidP="0005512A">
            <w:pPr>
              <w:keepNext/>
              <w:keepLines/>
              <w:rPr>
                <w:sz w:val="20"/>
              </w:rPr>
            </w:pPr>
            <w:r w:rsidRPr="002B2CFC">
              <w:rPr>
                <w:sz w:val="20"/>
              </w:rPr>
              <w:t>Not applicable</w:t>
            </w:r>
          </w:p>
        </w:tc>
      </w:tr>
    </w:tbl>
    <w:p w14:paraId="2EA1B5E9" w14:textId="77777777" w:rsidR="0005512A" w:rsidRPr="002B2CFC" w:rsidRDefault="0005512A" w:rsidP="0005512A">
      <w:pPr>
        <w:spacing w:before="120" w:after="120"/>
        <w:rPr>
          <w:szCs w:val="24"/>
        </w:rPr>
      </w:pPr>
      <w:r w:rsidRPr="002B2CFC">
        <w:rPr>
          <w:szCs w:val="24"/>
        </w:rPr>
        <w:t xml:space="preserve">Supplementary reports </w:t>
      </w:r>
      <w:r>
        <w:rPr>
          <w:szCs w:val="24"/>
        </w:rPr>
        <w:t xml:space="preserve">which were </w:t>
      </w:r>
      <w:r w:rsidRPr="002B2CFC">
        <w:rPr>
          <w:szCs w:val="24"/>
        </w:rPr>
        <w:t xml:space="preserve">included in </w:t>
      </w:r>
      <w:r w:rsidRPr="0029604D">
        <w:rPr>
          <w:szCs w:val="24"/>
        </w:rPr>
        <w:t>the appendices of this</w:t>
      </w:r>
      <w:r>
        <w:rPr>
          <w:szCs w:val="24"/>
        </w:rPr>
        <w:t xml:space="preserve"> study (Beck, 2012a)</w:t>
      </w:r>
      <w:r w:rsidRPr="002B2CFC">
        <w:rPr>
          <w:szCs w:val="24"/>
        </w:rPr>
        <w:t>:</w:t>
      </w:r>
    </w:p>
    <w:p w14:paraId="0CCC82CA" w14:textId="77777777" w:rsidR="0005512A" w:rsidRPr="002B2CFC" w:rsidRDefault="0005512A" w:rsidP="0005512A">
      <w:pPr>
        <w:spacing w:before="120" w:after="120"/>
        <w:rPr>
          <w:szCs w:val="24"/>
          <w:u w:val="single"/>
        </w:rPr>
      </w:pPr>
      <w:r w:rsidRPr="002B2CFC">
        <w:rPr>
          <w:szCs w:val="24"/>
          <w:u w:val="single"/>
        </w:rPr>
        <w:t>Neuropathology:</w:t>
      </w:r>
    </w:p>
    <w:p w14:paraId="1CC23C60" w14:textId="77777777" w:rsidR="0005512A" w:rsidRPr="002B2CFC" w:rsidRDefault="0005512A" w:rsidP="0005512A">
      <w:pPr>
        <w:spacing w:before="120" w:after="120"/>
        <w:rPr>
          <w:b/>
          <w:i/>
          <w:szCs w:val="24"/>
        </w:rPr>
      </w:pPr>
      <w:r w:rsidRPr="002B2CFC">
        <w:rPr>
          <w:b/>
          <w:szCs w:val="24"/>
        </w:rPr>
        <w:t xml:space="preserve">Butt MT (2011) Pathology report from: </w:t>
      </w:r>
      <w:r w:rsidRPr="002B2CFC">
        <w:rPr>
          <w:b/>
          <w:i/>
          <w:szCs w:val="24"/>
        </w:rPr>
        <w:t>a multi-time and multi-dose pathology study using paraquat dichloride in mice.</w:t>
      </w:r>
      <w:r w:rsidRPr="002B2CFC">
        <w:rPr>
          <w:b/>
          <w:szCs w:val="24"/>
        </w:rPr>
        <w:t xml:space="preserve"> Study No./Report No. WIL-639093. Task No.: TK0053121. Unpublished, December 8, 2011</w:t>
      </w:r>
    </w:p>
    <w:p w14:paraId="6293032B" w14:textId="77777777" w:rsidR="0005512A" w:rsidRPr="002B2CFC" w:rsidRDefault="0005512A" w:rsidP="0005512A">
      <w:pPr>
        <w:spacing w:before="120" w:after="120"/>
        <w:rPr>
          <w:szCs w:val="24"/>
          <w:u w:val="single"/>
        </w:rPr>
      </w:pPr>
      <w:r w:rsidRPr="002B2CFC">
        <w:rPr>
          <w:szCs w:val="24"/>
          <w:u w:val="single"/>
        </w:rPr>
        <w:t>Analysis of dosing formulations:</w:t>
      </w:r>
    </w:p>
    <w:p w14:paraId="3CED6FB9" w14:textId="77777777" w:rsidR="0005512A" w:rsidRPr="002B2CFC" w:rsidRDefault="0005512A" w:rsidP="0005512A">
      <w:pPr>
        <w:spacing w:before="120" w:after="120"/>
        <w:rPr>
          <w:b/>
          <w:szCs w:val="24"/>
        </w:rPr>
      </w:pPr>
      <w:r w:rsidRPr="002B2CFC">
        <w:rPr>
          <w:b/>
          <w:szCs w:val="24"/>
        </w:rPr>
        <w:t>Beck MJ (2012b) A</w:t>
      </w:r>
      <w:r w:rsidRPr="002B2CFC">
        <w:rPr>
          <w:b/>
          <w:i/>
          <w:szCs w:val="24"/>
        </w:rPr>
        <w:t xml:space="preserve"> multi-time and multi-dose pathology study using paraquat dichloride in mice.</w:t>
      </w:r>
      <w:r w:rsidRPr="002B2CFC">
        <w:rPr>
          <w:b/>
          <w:szCs w:val="24"/>
        </w:rPr>
        <w:t xml:space="preserve"> Analyses of dosing formulations. Supplemental report. Study No./Report No. WIL-639093. Task No.: TK0053121. Unpublished, Report date: January 10, 2012</w:t>
      </w:r>
    </w:p>
    <w:p w14:paraId="7BE3E3A5" w14:textId="77777777" w:rsidR="0005512A" w:rsidRPr="002B2CFC" w:rsidRDefault="0005512A" w:rsidP="0005512A">
      <w:pPr>
        <w:spacing w:after="200" w:line="276" w:lineRule="auto"/>
        <w:rPr>
          <w:rFonts w:eastAsiaTheme="minorHAnsi" w:cstheme="minorBidi"/>
          <w:szCs w:val="22"/>
          <w:lang w:eastAsia="en-US"/>
        </w:rPr>
      </w:pPr>
      <w:r w:rsidRPr="002B2CFC">
        <w:rPr>
          <w:rFonts w:eastAsiaTheme="minorHAnsi" w:cstheme="minorBidi"/>
          <w:szCs w:val="22"/>
          <w:lang w:eastAsia="en-US"/>
        </w:rPr>
        <w:t>NB. The findings of these specialist reports are incorporated into this study (Beck, 2012a).</w:t>
      </w:r>
    </w:p>
    <w:p w14:paraId="70A1302B" w14:textId="77777777" w:rsidR="0005512A" w:rsidRPr="0056108B" w:rsidRDefault="0005512A" w:rsidP="0005512A">
      <w:pPr>
        <w:spacing w:before="120" w:after="120"/>
        <w:rPr>
          <w:szCs w:val="24"/>
        </w:rPr>
      </w:pPr>
    </w:p>
    <w:p w14:paraId="38605065" w14:textId="77777777" w:rsidR="0005512A" w:rsidRPr="00C34954" w:rsidRDefault="00897462" w:rsidP="0005512A">
      <w:pPr>
        <w:keepNext/>
        <w:spacing w:before="120" w:after="120"/>
        <w:rPr>
          <w:b/>
          <w:szCs w:val="24"/>
        </w:rPr>
      </w:pPr>
      <w:r w:rsidRPr="00C34954">
        <w:rPr>
          <w:b/>
          <w:szCs w:val="24"/>
        </w:rPr>
        <w:t>Method</w:t>
      </w:r>
    </w:p>
    <w:p w14:paraId="61F8F706" w14:textId="77777777" w:rsidR="0005512A" w:rsidRDefault="0005512A" w:rsidP="0005512A">
      <w:pPr>
        <w:spacing w:after="200"/>
        <w:rPr>
          <w:szCs w:val="24"/>
        </w:rPr>
      </w:pPr>
      <w:r w:rsidRPr="002B2CFC">
        <w:rPr>
          <w:szCs w:val="24"/>
        </w:rPr>
        <w:t xml:space="preserve">Male C57BL/6J mice (35/group) were administered paraquat dichloride at 10, 15 or 25 mg/kg </w:t>
      </w:r>
      <w:r w:rsidRPr="003F10F2">
        <w:rPr>
          <w:szCs w:val="24"/>
        </w:rPr>
        <w:t>bw/dose</w:t>
      </w:r>
      <w:r>
        <w:rPr>
          <w:szCs w:val="24"/>
        </w:rPr>
        <w:t xml:space="preserve"> </w:t>
      </w:r>
      <w:r w:rsidRPr="003F10F2">
        <w:rPr>
          <w:szCs w:val="24"/>
        </w:rPr>
        <w:t>(equivalent to 7.2, 10.9, 18.1 paraquat ion) as 1, 2 or 3 once-weekly intraperitoneal</w:t>
      </w:r>
      <w:r w:rsidRPr="002B2CFC">
        <w:rPr>
          <w:szCs w:val="24"/>
        </w:rPr>
        <w:t xml:space="preserve"> injections to establish the time course of potential pathology in the brain. One set of mice were administered 10, 15 or 25 mg paraquat/kg bw/dose once (study day 14), another set were injected twice (study days 7 and 14) and another set were injected 3 times (study days 0, 7 and 14). The vehicle control group also received 3 injections (days 0, 7 and 14).</w:t>
      </w:r>
    </w:p>
    <w:p w14:paraId="27299432" w14:textId="04263273" w:rsidR="0005512A" w:rsidRPr="002B2CFC" w:rsidRDefault="0005512A" w:rsidP="0005512A">
      <w:pPr>
        <w:spacing w:after="200"/>
        <w:rPr>
          <w:szCs w:val="24"/>
        </w:rPr>
      </w:pPr>
      <w:r w:rsidRPr="002B2CFC">
        <w:rPr>
          <w:szCs w:val="24"/>
        </w:rPr>
        <w:t>Mice treated with MPTP hydrochloride (4 × ip injections, 10 mg/kg bw/dose at approximately 2-h intervals on a day 14) were positive controls.</w:t>
      </w:r>
      <w:r>
        <w:rPr>
          <w:szCs w:val="24"/>
        </w:rPr>
        <w:t xml:space="preserve"> </w:t>
      </w:r>
      <w:r w:rsidR="00FA1CEB">
        <w:rPr>
          <w:szCs w:val="24"/>
        </w:rPr>
        <w:t xml:space="preserve">The groups are summarised </w:t>
      </w:r>
      <w:r w:rsidR="00FA1CEB" w:rsidRPr="00FA1CEB">
        <w:rPr>
          <w:szCs w:val="24"/>
        </w:rPr>
        <w:t xml:space="preserve">in </w:t>
      </w:r>
      <w:r w:rsidR="00F07346">
        <w:fldChar w:fldCharType="begin"/>
      </w:r>
      <w:r w:rsidR="00F07346">
        <w:instrText xml:space="preserve"> REF _Ref421026163 \h  \* MERGEFORMAT </w:instrText>
      </w:r>
      <w:r w:rsidR="00F07346">
        <w:fldChar w:fldCharType="separate"/>
      </w:r>
      <w:r w:rsidR="000E54B2" w:rsidRPr="000E54B2">
        <w:rPr>
          <w:rFonts w:eastAsiaTheme="minorHAnsi" w:cstheme="minorBidi"/>
          <w:bCs/>
          <w:szCs w:val="24"/>
          <w:lang w:eastAsia="en-US"/>
        </w:rPr>
        <w:t xml:space="preserve">Table </w:t>
      </w:r>
      <w:r w:rsidR="000E54B2" w:rsidRPr="000E54B2">
        <w:rPr>
          <w:rFonts w:eastAsiaTheme="minorHAnsi" w:cstheme="minorBidi"/>
          <w:bCs/>
          <w:noProof/>
          <w:szCs w:val="24"/>
          <w:lang w:eastAsia="en-US"/>
        </w:rPr>
        <w:t>11</w:t>
      </w:r>
      <w:r w:rsidR="00F07346">
        <w:fldChar w:fldCharType="end"/>
      </w:r>
      <w:r w:rsidR="00EB102B">
        <w:t xml:space="preserve"> </w:t>
      </w:r>
      <w:r w:rsidR="003A31EB">
        <w:fldChar w:fldCharType="begin"/>
      </w:r>
      <w:r w:rsidR="003A31EB">
        <w:instrText xml:space="preserve"> REF _Ref459028392 \p </w:instrText>
      </w:r>
      <w:r w:rsidR="003A31EB">
        <w:fldChar w:fldCharType="separate"/>
      </w:r>
      <w:r w:rsidR="000E54B2">
        <w:t>below</w:t>
      </w:r>
      <w:r w:rsidR="003A31EB">
        <w:fldChar w:fldCharType="end"/>
      </w:r>
      <w:r w:rsidR="00FA1CEB" w:rsidRPr="00FA1CEB">
        <w:rPr>
          <w:szCs w:val="24"/>
        </w:rPr>
        <w:t>.</w:t>
      </w:r>
    </w:p>
    <w:p w14:paraId="0127150A" w14:textId="77777777" w:rsidR="0005512A" w:rsidRPr="00C33BE1" w:rsidRDefault="0005512A" w:rsidP="0005512A">
      <w:pPr>
        <w:spacing w:after="120" w:line="276" w:lineRule="auto"/>
        <w:rPr>
          <w:sz w:val="20"/>
        </w:rPr>
      </w:pPr>
      <w:bookmarkStart w:id="82" w:name="_Ref421026163"/>
      <w:bookmarkStart w:id="83" w:name="_Ref459028392"/>
      <w:r w:rsidRPr="00C33BE1">
        <w:rPr>
          <w:rFonts w:eastAsiaTheme="minorHAnsi" w:cstheme="minorBidi"/>
          <w:b/>
          <w:bCs/>
          <w:sz w:val="20"/>
          <w:lang w:eastAsia="en-US"/>
        </w:rPr>
        <w:lastRenderedPageBreak/>
        <w:t xml:space="preserve">Table </w:t>
      </w:r>
      <w:r w:rsidR="00897462" w:rsidRPr="00C33BE1">
        <w:rPr>
          <w:rFonts w:eastAsiaTheme="minorHAnsi" w:cstheme="minorBidi"/>
          <w:b/>
          <w:bCs/>
          <w:sz w:val="20"/>
          <w:lang w:eastAsia="en-US"/>
        </w:rPr>
        <w:fldChar w:fldCharType="begin"/>
      </w:r>
      <w:r w:rsidRPr="00C33BE1">
        <w:rPr>
          <w:rFonts w:eastAsiaTheme="minorHAnsi" w:cstheme="minorBidi"/>
          <w:b/>
          <w:bCs/>
          <w:sz w:val="20"/>
          <w:lang w:eastAsia="en-US"/>
        </w:rPr>
        <w:instrText xml:space="preserve"> SEQ Table \* ARABIC </w:instrText>
      </w:r>
      <w:r w:rsidR="00897462" w:rsidRPr="00C33BE1">
        <w:rPr>
          <w:rFonts w:eastAsiaTheme="minorHAnsi" w:cstheme="minorBidi"/>
          <w:b/>
          <w:bCs/>
          <w:sz w:val="20"/>
          <w:lang w:eastAsia="en-US"/>
        </w:rPr>
        <w:fldChar w:fldCharType="separate"/>
      </w:r>
      <w:r w:rsidR="000E54B2">
        <w:rPr>
          <w:rFonts w:eastAsiaTheme="minorHAnsi" w:cstheme="minorBidi"/>
          <w:b/>
          <w:bCs/>
          <w:noProof/>
          <w:sz w:val="20"/>
          <w:lang w:eastAsia="en-US"/>
        </w:rPr>
        <w:t>11</w:t>
      </w:r>
      <w:r w:rsidR="00897462" w:rsidRPr="00C33BE1">
        <w:rPr>
          <w:rFonts w:eastAsiaTheme="minorHAnsi" w:cstheme="minorBidi"/>
          <w:b/>
          <w:bCs/>
          <w:sz w:val="20"/>
          <w:lang w:eastAsia="en-US"/>
        </w:rPr>
        <w:fldChar w:fldCharType="end"/>
      </w:r>
      <w:bookmarkEnd w:id="82"/>
      <w:r w:rsidRPr="00C33BE1">
        <w:rPr>
          <w:rFonts w:eastAsiaTheme="minorHAnsi" w:cstheme="minorBidi"/>
          <w:b/>
          <w:bCs/>
          <w:sz w:val="20"/>
          <w:lang w:eastAsia="en-US"/>
        </w:rPr>
        <w:t>. Summary of study group arrangements</w:t>
      </w:r>
      <w:bookmarkEnd w:id="83"/>
    </w:p>
    <w:tbl>
      <w:tblPr>
        <w:tblStyle w:val="TableGrid1"/>
        <w:tblW w:w="7970" w:type="dxa"/>
        <w:tblLook w:val="04A0" w:firstRow="1" w:lastRow="0" w:firstColumn="1" w:lastColumn="0" w:noHBand="0" w:noVBand="1"/>
      </w:tblPr>
      <w:tblGrid>
        <w:gridCol w:w="1790"/>
        <w:gridCol w:w="1075"/>
        <w:gridCol w:w="1303"/>
        <w:gridCol w:w="1279"/>
        <w:gridCol w:w="1390"/>
        <w:gridCol w:w="1133"/>
      </w:tblGrid>
      <w:tr w:rsidR="0005512A" w:rsidRPr="002B2CFC" w14:paraId="5EBE6DD6" w14:textId="77777777" w:rsidTr="0005512A">
        <w:tc>
          <w:tcPr>
            <w:tcW w:w="1790" w:type="dxa"/>
            <w:shd w:val="clear" w:color="auto" w:fill="BFBFBF" w:themeFill="background1" w:themeFillShade="BF"/>
            <w:vAlign w:val="center"/>
          </w:tcPr>
          <w:p w14:paraId="535ED010" w14:textId="77777777" w:rsidR="0005512A" w:rsidRPr="002B2CFC" w:rsidRDefault="0005512A" w:rsidP="0005512A">
            <w:pPr>
              <w:jc w:val="center"/>
              <w:rPr>
                <w:b/>
                <w:sz w:val="20"/>
              </w:rPr>
            </w:pPr>
            <w:r w:rsidRPr="002B2CFC">
              <w:rPr>
                <w:b/>
                <w:sz w:val="20"/>
              </w:rPr>
              <w:t>Treatment</w:t>
            </w:r>
          </w:p>
        </w:tc>
        <w:tc>
          <w:tcPr>
            <w:tcW w:w="1075" w:type="dxa"/>
            <w:shd w:val="clear" w:color="auto" w:fill="BFBFBF" w:themeFill="background1" w:themeFillShade="BF"/>
            <w:vAlign w:val="center"/>
          </w:tcPr>
          <w:p w14:paraId="7760CED3" w14:textId="77777777" w:rsidR="0005512A" w:rsidRPr="002B2CFC" w:rsidRDefault="0005512A" w:rsidP="0005512A">
            <w:pPr>
              <w:jc w:val="center"/>
              <w:rPr>
                <w:b/>
                <w:sz w:val="20"/>
              </w:rPr>
            </w:pPr>
            <w:r w:rsidRPr="002B2CFC">
              <w:rPr>
                <w:b/>
                <w:sz w:val="20"/>
              </w:rPr>
              <w:t>Group (n=35)</w:t>
            </w:r>
          </w:p>
        </w:tc>
        <w:tc>
          <w:tcPr>
            <w:tcW w:w="1303" w:type="dxa"/>
            <w:shd w:val="clear" w:color="auto" w:fill="BFBFBF" w:themeFill="background1" w:themeFillShade="BF"/>
            <w:vAlign w:val="center"/>
          </w:tcPr>
          <w:p w14:paraId="57EB783A" w14:textId="77777777" w:rsidR="0005512A" w:rsidRPr="002B2CFC" w:rsidRDefault="0005512A" w:rsidP="0005512A">
            <w:pPr>
              <w:jc w:val="center"/>
              <w:rPr>
                <w:b/>
                <w:sz w:val="20"/>
              </w:rPr>
            </w:pPr>
            <w:r w:rsidRPr="002B2CFC">
              <w:rPr>
                <w:b/>
                <w:sz w:val="20"/>
              </w:rPr>
              <w:t>Dose level (mg/kg bw/dose)</w:t>
            </w:r>
          </w:p>
        </w:tc>
        <w:tc>
          <w:tcPr>
            <w:tcW w:w="1279" w:type="dxa"/>
            <w:shd w:val="clear" w:color="auto" w:fill="BFBFBF" w:themeFill="background1" w:themeFillShade="BF"/>
            <w:vAlign w:val="center"/>
          </w:tcPr>
          <w:p w14:paraId="7F702168" w14:textId="77777777" w:rsidR="0005512A" w:rsidRPr="002B2CFC" w:rsidRDefault="0005512A" w:rsidP="0005512A">
            <w:pPr>
              <w:jc w:val="center"/>
              <w:rPr>
                <w:b/>
                <w:sz w:val="20"/>
              </w:rPr>
            </w:pPr>
            <w:r w:rsidRPr="002B2CFC">
              <w:rPr>
                <w:b/>
                <w:sz w:val="20"/>
              </w:rPr>
              <w:t>Dose volume (mL/kg bw)</w:t>
            </w:r>
          </w:p>
        </w:tc>
        <w:tc>
          <w:tcPr>
            <w:tcW w:w="1390" w:type="dxa"/>
            <w:shd w:val="clear" w:color="auto" w:fill="BFBFBF" w:themeFill="background1" w:themeFillShade="BF"/>
            <w:vAlign w:val="center"/>
          </w:tcPr>
          <w:p w14:paraId="0BBE98E8" w14:textId="77777777" w:rsidR="0005512A" w:rsidRPr="002B2CFC" w:rsidRDefault="0005512A" w:rsidP="0005512A">
            <w:pPr>
              <w:jc w:val="center"/>
              <w:rPr>
                <w:b/>
                <w:sz w:val="20"/>
              </w:rPr>
            </w:pPr>
            <w:r w:rsidRPr="002B2CFC">
              <w:rPr>
                <w:b/>
                <w:sz w:val="20"/>
              </w:rPr>
              <w:t>Total number of doses</w:t>
            </w:r>
          </w:p>
        </w:tc>
        <w:tc>
          <w:tcPr>
            <w:tcW w:w="1133" w:type="dxa"/>
            <w:shd w:val="clear" w:color="auto" w:fill="BFBFBF" w:themeFill="background1" w:themeFillShade="BF"/>
          </w:tcPr>
          <w:p w14:paraId="29FCB527" w14:textId="77777777" w:rsidR="0005512A" w:rsidRPr="002B2CFC" w:rsidRDefault="0005512A" w:rsidP="0005512A">
            <w:pPr>
              <w:jc w:val="center"/>
              <w:rPr>
                <w:b/>
                <w:sz w:val="20"/>
              </w:rPr>
            </w:pPr>
            <w:r w:rsidRPr="002B2CFC">
              <w:rPr>
                <w:b/>
                <w:sz w:val="20"/>
              </w:rPr>
              <w:t>Study day(s) of treatment</w:t>
            </w:r>
          </w:p>
        </w:tc>
      </w:tr>
      <w:tr w:rsidR="0005512A" w:rsidRPr="002B2CFC" w14:paraId="6E6658F7" w14:textId="77777777" w:rsidTr="0005512A">
        <w:trPr>
          <w:trHeight w:val="425"/>
        </w:trPr>
        <w:tc>
          <w:tcPr>
            <w:tcW w:w="1790" w:type="dxa"/>
            <w:shd w:val="clear" w:color="auto" w:fill="D9D9D9" w:themeFill="background1" w:themeFillShade="D9"/>
            <w:vAlign w:val="center"/>
          </w:tcPr>
          <w:p w14:paraId="4A888E52" w14:textId="77777777" w:rsidR="0005512A" w:rsidRPr="002B2CFC" w:rsidRDefault="0005512A" w:rsidP="0005512A">
            <w:pPr>
              <w:jc w:val="center"/>
              <w:rPr>
                <w:sz w:val="20"/>
              </w:rPr>
            </w:pPr>
            <w:r w:rsidRPr="002B2CFC">
              <w:rPr>
                <w:sz w:val="20"/>
              </w:rPr>
              <w:t>Vehicle control</w:t>
            </w:r>
          </w:p>
        </w:tc>
        <w:tc>
          <w:tcPr>
            <w:tcW w:w="1075" w:type="dxa"/>
            <w:tcBorders>
              <w:bottom w:val="single" w:sz="12" w:space="0" w:color="auto"/>
            </w:tcBorders>
            <w:shd w:val="clear" w:color="auto" w:fill="D9D9D9" w:themeFill="background1" w:themeFillShade="D9"/>
            <w:vAlign w:val="center"/>
          </w:tcPr>
          <w:p w14:paraId="73C8C8FC" w14:textId="77777777" w:rsidR="0005512A" w:rsidRPr="002B2CFC" w:rsidRDefault="0005512A" w:rsidP="0005512A">
            <w:pPr>
              <w:jc w:val="center"/>
              <w:rPr>
                <w:sz w:val="20"/>
              </w:rPr>
            </w:pPr>
            <w:r w:rsidRPr="002B2CFC">
              <w:rPr>
                <w:sz w:val="20"/>
              </w:rPr>
              <w:t>1</w:t>
            </w:r>
          </w:p>
        </w:tc>
        <w:tc>
          <w:tcPr>
            <w:tcW w:w="1303" w:type="dxa"/>
            <w:tcBorders>
              <w:bottom w:val="single" w:sz="12" w:space="0" w:color="auto"/>
            </w:tcBorders>
            <w:shd w:val="clear" w:color="auto" w:fill="D9D9D9" w:themeFill="background1" w:themeFillShade="D9"/>
            <w:vAlign w:val="center"/>
          </w:tcPr>
          <w:p w14:paraId="78D36CA5" w14:textId="77777777" w:rsidR="0005512A" w:rsidRPr="002B2CFC" w:rsidRDefault="0005512A" w:rsidP="0005512A">
            <w:pPr>
              <w:jc w:val="center"/>
              <w:rPr>
                <w:sz w:val="20"/>
              </w:rPr>
            </w:pPr>
            <w:r w:rsidRPr="002B2CFC">
              <w:rPr>
                <w:sz w:val="20"/>
              </w:rPr>
              <w:t>0</w:t>
            </w:r>
          </w:p>
        </w:tc>
        <w:tc>
          <w:tcPr>
            <w:tcW w:w="1279" w:type="dxa"/>
            <w:tcBorders>
              <w:bottom w:val="single" w:sz="12" w:space="0" w:color="auto"/>
            </w:tcBorders>
            <w:shd w:val="clear" w:color="auto" w:fill="D9D9D9" w:themeFill="background1" w:themeFillShade="D9"/>
            <w:vAlign w:val="center"/>
          </w:tcPr>
          <w:p w14:paraId="61FBF4F1" w14:textId="77777777" w:rsidR="0005512A" w:rsidRPr="002B2CFC" w:rsidRDefault="0005512A" w:rsidP="0005512A">
            <w:pPr>
              <w:jc w:val="center"/>
              <w:rPr>
                <w:sz w:val="20"/>
              </w:rPr>
            </w:pPr>
            <w:r w:rsidRPr="002B2CFC">
              <w:rPr>
                <w:sz w:val="20"/>
              </w:rPr>
              <w:t>0</w:t>
            </w:r>
          </w:p>
        </w:tc>
        <w:tc>
          <w:tcPr>
            <w:tcW w:w="1390" w:type="dxa"/>
            <w:tcBorders>
              <w:bottom w:val="single" w:sz="12" w:space="0" w:color="auto"/>
            </w:tcBorders>
            <w:shd w:val="clear" w:color="auto" w:fill="D9D9D9" w:themeFill="background1" w:themeFillShade="D9"/>
            <w:vAlign w:val="center"/>
          </w:tcPr>
          <w:p w14:paraId="19F0BD43" w14:textId="77777777" w:rsidR="0005512A" w:rsidRPr="002B2CFC" w:rsidRDefault="0005512A" w:rsidP="0005512A">
            <w:pPr>
              <w:jc w:val="center"/>
              <w:rPr>
                <w:sz w:val="20"/>
              </w:rPr>
            </w:pPr>
            <w:r w:rsidRPr="002B2CFC">
              <w:rPr>
                <w:sz w:val="20"/>
              </w:rPr>
              <w:t>3</w:t>
            </w:r>
          </w:p>
        </w:tc>
        <w:tc>
          <w:tcPr>
            <w:tcW w:w="1133" w:type="dxa"/>
            <w:tcBorders>
              <w:bottom w:val="single" w:sz="12" w:space="0" w:color="auto"/>
            </w:tcBorders>
            <w:shd w:val="clear" w:color="auto" w:fill="D9D9D9" w:themeFill="background1" w:themeFillShade="D9"/>
            <w:vAlign w:val="center"/>
          </w:tcPr>
          <w:p w14:paraId="4399628B" w14:textId="77777777" w:rsidR="0005512A" w:rsidRPr="002B2CFC" w:rsidRDefault="0005512A" w:rsidP="0005512A">
            <w:pPr>
              <w:jc w:val="center"/>
              <w:rPr>
                <w:sz w:val="20"/>
              </w:rPr>
            </w:pPr>
            <w:r w:rsidRPr="002B2CFC">
              <w:rPr>
                <w:sz w:val="20"/>
              </w:rPr>
              <w:t>0, 7, 14</w:t>
            </w:r>
          </w:p>
        </w:tc>
      </w:tr>
      <w:tr w:rsidR="0005512A" w:rsidRPr="002B2CFC" w14:paraId="013E9B78" w14:textId="77777777" w:rsidTr="0005512A">
        <w:tc>
          <w:tcPr>
            <w:tcW w:w="1790" w:type="dxa"/>
            <w:vMerge w:val="restart"/>
            <w:vAlign w:val="center"/>
          </w:tcPr>
          <w:p w14:paraId="67700034" w14:textId="77777777" w:rsidR="0005512A" w:rsidRPr="002B2CFC" w:rsidRDefault="0005512A" w:rsidP="0005512A">
            <w:pPr>
              <w:jc w:val="center"/>
              <w:rPr>
                <w:sz w:val="20"/>
              </w:rPr>
            </w:pPr>
            <w:r w:rsidRPr="002B2CFC">
              <w:rPr>
                <w:sz w:val="20"/>
              </w:rPr>
              <w:t>Paraquat dichloride</w:t>
            </w:r>
          </w:p>
        </w:tc>
        <w:tc>
          <w:tcPr>
            <w:tcW w:w="1075" w:type="dxa"/>
            <w:tcBorders>
              <w:top w:val="single" w:sz="12" w:space="0" w:color="auto"/>
            </w:tcBorders>
            <w:vAlign w:val="center"/>
          </w:tcPr>
          <w:p w14:paraId="4EC4AA20" w14:textId="77777777" w:rsidR="0005512A" w:rsidRPr="002B2CFC" w:rsidRDefault="0005512A" w:rsidP="0005512A">
            <w:pPr>
              <w:jc w:val="center"/>
              <w:rPr>
                <w:sz w:val="20"/>
              </w:rPr>
            </w:pPr>
            <w:r w:rsidRPr="002B2CFC">
              <w:rPr>
                <w:sz w:val="20"/>
              </w:rPr>
              <w:t>2</w:t>
            </w:r>
          </w:p>
        </w:tc>
        <w:tc>
          <w:tcPr>
            <w:tcW w:w="1303" w:type="dxa"/>
            <w:tcBorders>
              <w:top w:val="single" w:sz="12" w:space="0" w:color="auto"/>
            </w:tcBorders>
            <w:vAlign w:val="center"/>
          </w:tcPr>
          <w:p w14:paraId="69BF624B" w14:textId="77777777" w:rsidR="0005512A" w:rsidRPr="002B2CFC" w:rsidRDefault="0005512A" w:rsidP="0005512A">
            <w:pPr>
              <w:jc w:val="center"/>
              <w:rPr>
                <w:sz w:val="20"/>
              </w:rPr>
            </w:pPr>
            <w:r w:rsidRPr="002B2CFC">
              <w:rPr>
                <w:sz w:val="20"/>
              </w:rPr>
              <w:t>10</w:t>
            </w:r>
          </w:p>
        </w:tc>
        <w:tc>
          <w:tcPr>
            <w:tcW w:w="1279" w:type="dxa"/>
            <w:tcBorders>
              <w:top w:val="single" w:sz="12" w:space="0" w:color="auto"/>
            </w:tcBorders>
            <w:vAlign w:val="center"/>
          </w:tcPr>
          <w:p w14:paraId="6E2ABAD3" w14:textId="77777777" w:rsidR="0005512A" w:rsidRPr="002B2CFC" w:rsidRDefault="0005512A" w:rsidP="0005512A">
            <w:pPr>
              <w:jc w:val="center"/>
              <w:rPr>
                <w:sz w:val="20"/>
              </w:rPr>
            </w:pPr>
            <w:r w:rsidRPr="002B2CFC">
              <w:rPr>
                <w:sz w:val="20"/>
              </w:rPr>
              <w:t>1</w:t>
            </w:r>
          </w:p>
        </w:tc>
        <w:tc>
          <w:tcPr>
            <w:tcW w:w="1390" w:type="dxa"/>
            <w:tcBorders>
              <w:top w:val="single" w:sz="12" w:space="0" w:color="auto"/>
            </w:tcBorders>
            <w:vAlign w:val="center"/>
          </w:tcPr>
          <w:p w14:paraId="784E19D9" w14:textId="77777777" w:rsidR="0005512A" w:rsidRPr="002B2CFC" w:rsidRDefault="0005512A" w:rsidP="0005512A">
            <w:pPr>
              <w:jc w:val="center"/>
              <w:rPr>
                <w:sz w:val="20"/>
              </w:rPr>
            </w:pPr>
            <w:r w:rsidRPr="002B2CFC">
              <w:rPr>
                <w:sz w:val="20"/>
              </w:rPr>
              <w:t>1</w:t>
            </w:r>
          </w:p>
        </w:tc>
        <w:tc>
          <w:tcPr>
            <w:tcW w:w="1133" w:type="dxa"/>
            <w:vMerge w:val="restart"/>
            <w:tcBorders>
              <w:top w:val="single" w:sz="12" w:space="0" w:color="auto"/>
              <w:bottom w:val="single" w:sz="12" w:space="0" w:color="auto"/>
            </w:tcBorders>
            <w:vAlign w:val="center"/>
          </w:tcPr>
          <w:p w14:paraId="67429AEE" w14:textId="77777777" w:rsidR="0005512A" w:rsidRPr="002B2CFC" w:rsidRDefault="0005512A" w:rsidP="0005512A">
            <w:pPr>
              <w:jc w:val="center"/>
              <w:rPr>
                <w:sz w:val="20"/>
              </w:rPr>
            </w:pPr>
            <w:r w:rsidRPr="002B2CFC">
              <w:rPr>
                <w:sz w:val="20"/>
              </w:rPr>
              <w:t>14</w:t>
            </w:r>
          </w:p>
        </w:tc>
      </w:tr>
      <w:tr w:rsidR="0005512A" w:rsidRPr="002B2CFC" w14:paraId="1A91660A" w14:textId="77777777" w:rsidTr="0005512A">
        <w:tc>
          <w:tcPr>
            <w:tcW w:w="1790" w:type="dxa"/>
            <w:vMerge/>
            <w:vAlign w:val="center"/>
          </w:tcPr>
          <w:p w14:paraId="59DEF97F" w14:textId="77777777" w:rsidR="0005512A" w:rsidRPr="002B2CFC" w:rsidRDefault="0005512A" w:rsidP="0005512A">
            <w:pPr>
              <w:jc w:val="center"/>
              <w:rPr>
                <w:sz w:val="20"/>
              </w:rPr>
            </w:pPr>
          </w:p>
        </w:tc>
        <w:tc>
          <w:tcPr>
            <w:tcW w:w="1075" w:type="dxa"/>
            <w:vAlign w:val="center"/>
          </w:tcPr>
          <w:p w14:paraId="5A16721A" w14:textId="77777777" w:rsidR="0005512A" w:rsidRPr="002B2CFC" w:rsidRDefault="0005512A" w:rsidP="0005512A">
            <w:pPr>
              <w:jc w:val="center"/>
              <w:rPr>
                <w:sz w:val="20"/>
              </w:rPr>
            </w:pPr>
            <w:r w:rsidRPr="002B2CFC">
              <w:rPr>
                <w:sz w:val="20"/>
              </w:rPr>
              <w:t>3</w:t>
            </w:r>
          </w:p>
        </w:tc>
        <w:tc>
          <w:tcPr>
            <w:tcW w:w="1303" w:type="dxa"/>
            <w:vAlign w:val="center"/>
          </w:tcPr>
          <w:p w14:paraId="2A242324" w14:textId="77777777" w:rsidR="0005512A" w:rsidRPr="002B2CFC" w:rsidRDefault="0005512A" w:rsidP="0005512A">
            <w:pPr>
              <w:jc w:val="center"/>
              <w:rPr>
                <w:sz w:val="20"/>
              </w:rPr>
            </w:pPr>
            <w:r w:rsidRPr="002B2CFC">
              <w:rPr>
                <w:sz w:val="20"/>
              </w:rPr>
              <w:t>15</w:t>
            </w:r>
          </w:p>
        </w:tc>
        <w:tc>
          <w:tcPr>
            <w:tcW w:w="1279" w:type="dxa"/>
            <w:vAlign w:val="center"/>
          </w:tcPr>
          <w:p w14:paraId="4764F1CC" w14:textId="77777777" w:rsidR="0005512A" w:rsidRPr="002B2CFC" w:rsidRDefault="0005512A" w:rsidP="0005512A">
            <w:pPr>
              <w:jc w:val="center"/>
              <w:rPr>
                <w:sz w:val="20"/>
              </w:rPr>
            </w:pPr>
            <w:r w:rsidRPr="002B2CFC">
              <w:rPr>
                <w:sz w:val="20"/>
              </w:rPr>
              <w:t>1.5</w:t>
            </w:r>
          </w:p>
        </w:tc>
        <w:tc>
          <w:tcPr>
            <w:tcW w:w="1390" w:type="dxa"/>
            <w:vAlign w:val="center"/>
          </w:tcPr>
          <w:p w14:paraId="069CF129" w14:textId="77777777" w:rsidR="0005512A" w:rsidRPr="002B2CFC" w:rsidRDefault="0005512A" w:rsidP="0005512A">
            <w:pPr>
              <w:jc w:val="center"/>
              <w:rPr>
                <w:sz w:val="20"/>
              </w:rPr>
            </w:pPr>
            <w:r w:rsidRPr="002B2CFC">
              <w:rPr>
                <w:sz w:val="20"/>
              </w:rPr>
              <w:t>1</w:t>
            </w:r>
          </w:p>
        </w:tc>
        <w:tc>
          <w:tcPr>
            <w:tcW w:w="1133" w:type="dxa"/>
            <w:vMerge/>
            <w:tcBorders>
              <w:bottom w:val="single" w:sz="12" w:space="0" w:color="auto"/>
            </w:tcBorders>
            <w:vAlign w:val="center"/>
          </w:tcPr>
          <w:p w14:paraId="4DDC6166" w14:textId="77777777" w:rsidR="0005512A" w:rsidRPr="002B2CFC" w:rsidRDefault="0005512A" w:rsidP="0005512A">
            <w:pPr>
              <w:jc w:val="center"/>
              <w:rPr>
                <w:sz w:val="20"/>
              </w:rPr>
            </w:pPr>
          </w:p>
        </w:tc>
      </w:tr>
      <w:tr w:rsidR="0005512A" w:rsidRPr="002B2CFC" w14:paraId="0EFA19E4" w14:textId="77777777" w:rsidTr="0005512A">
        <w:tc>
          <w:tcPr>
            <w:tcW w:w="1790" w:type="dxa"/>
            <w:vMerge/>
            <w:vAlign w:val="center"/>
          </w:tcPr>
          <w:p w14:paraId="57045B42" w14:textId="77777777" w:rsidR="0005512A" w:rsidRPr="002B2CFC" w:rsidRDefault="0005512A" w:rsidP="0005512A">
            <w:pPr>
              <w:jc w:val="center"/>
              <w:rPr>
                <w:sz w:val="20"/>
              </w:rPr>
            </w:pPr>
          </w:p>
        </w:tc>
        <w:tc>
          <w:tcPr>
            <w:tcW w:w="1075" w:type="dxa"/>
            <w:tcBorders>
              <w:bottom w:val="single" w:sz="12" w:space="0" w:color="auto"/>
            </w:tcBorders>
            <w:vAlign w:val="center"/>
          </w:tcPr>
          <w:p w14:paraId="5D2DD3B5" w14:textId="77777777" w:rsidR="0005512A" w:rsidRPr="002B2CFC" w:rsidRDefault="0005512A" w:rsidP="0005512A">
            <w:pPr>
              <w:jc w:val="center"/>
              <w:rPr>
                <w:sz w:val="20"/>
              </w:rPr>
            </w:pPr>
            <w:r w:rsidRPr="002B2CFC">
              <w:rPr>
                <w:sz w:val="20"/>
              </w:rPr>
              <w:t>4</w:t>
            </w:r>
          </w:p>
        </w:tc>
        <w:tc>
          <w:tcPr>
            <w:tcW w:w="1303" w:type="dxa"/>
            <w:tcBorders>
              <w:bottom w:val="single" w:sz="12" w:space="0" w:color="auto"/>
            </w:tcBorders>
            <w:vAlign w:val="center"/>
          </w:tcPr>
          <w:p w14:paraId="421FB3B3" w14:textId="77777777" w:rsidR="0005512A" w:rsidRPr="002B2CFC" w:rsidRDefault="0005512A" w:rsidP="0005512A">
            <w:pPr>
              <w:jc w:val="center"/>
              <w:rPr>
                <w:sz w:val="20"/>
              </w:rPr>
            </w:pPr>
            <w:r w:rsidRPr="002B2CFC">
              <w:rPr>
                <w:sz w:val="20"/>
              </w:rPr>
              <w:t>25</w:t>
            </w:r>
          </w:p>
        </w:tc>
        <w:tc>
          <w:tcPr>
            <w:tcW w:w="1279" w:type="dxa"/>
            <w:tcBorders>
              <w:bottom w:val="single" w:sz="12" w:space="0" w:color="auto"/>
            </w:tcBorders>
            <w:vAlign w:val="center"/>
          </w:tcPr>
          <w:p w14:paraId="553DB7E9" w14:textId="77777777" w:rsidR="0005512A" w:rsidRPr="002B2CFC" w:rsidRDefault="0005512A" w:rsidP="0005512A">
            <w:pPr>
              <w:jc w:val="center"/>
              <w:rPr>
                <w:sz w:val="20"/>
              </w:rPr>
            </w:pPr>
            <w:r w:rsidRPr="002B2CFC">
              <w:rPr>
                <w:sz w:val="20"/>
              </w:rPr>
              <w:t>2.5</w:t>
            </w:r>
          </w:p>
        </w:tc>
        <w:tc>
          <w:tcPr>
            <w:tcW w:w="1390" w:type="dxa"/>
            <w:tcBorders>
              <w:bottom w:val="single" w:sz="12" w:space="0" w:color="auto"/>
            </w:tcBorders>
            <w:vAlign w:val="center"/>
          </w:tcPr>
          <w:p w14:paraId="3BC55656" w14:textId="77777777" w:rsidR="0005512A" w:rsidRPr="002B2CFC" w:rsidRDefault="0005512A" w:rsidP="0005512A">
            <w:pPr>
              <w:jc w:val="center"/>
              <w:rPr>
                <w:sz w:val="20"/>
              </w:rPr>
            </w:pPr>
            <w:r w:rsidRPr="002B2CFC">
              <w:rPr>
                <w:sz w:val="20"/>
              </w:rPr>
              <w:t>1</w:t>
            </w:r>
          </w:p>
        </w:tc>
        <w:tc>
          <w:tcPr>
            <w:tcW w:w="1133" w:type="dxa"/>
            <w:vMerge/>
            <w:tcBorders>
              <w:bottom w:val="single" w:sz="12" w:space="0" w:color="auto"/>
            </w:tcBorders>
            <w:vAlign w:val="center"/>
          </w:tcPr>
          <w:p w14:paraId="1C8E0247" w14:textId="77777777" w:rsidR="0005512A" w:rsidRPr="002B2CFC" w:rsidRDefault="0005512A" w:rsidP="0005512A">
            <w:pPr>
              <w:jc w:val="center"/>
              <w:rPr>
                <w:sz w:val="20"/>
              </w:rPr>
            </w:pPr>
          </w:p>
        </w:tc>
      </w:tr>
      <w:tr w:rsidR="0005512A" w:rsidRPr="002B2CFC" w14:paraId="18E54B52" w14:textId="77777777" w:rsidTr="0005512A">
        <w:tc>
          <w:tcPr>
            <w:tcW w:w="1790" w:type="dxa"/>
            <w:vMerge/>
            <w:vAlign w:val="center"/>
          </w:tcPr>
          <w:p w14:paraId="2BBFE6DE" w14:textId="77777777" w:rsidR="0005512A" w:rsidRPr="002B2CFC" w:rsidRDefault="0005512A" w:rsidP="0005512A">
            <w:pPr>
              <w:jc w:val="center"/>
              <w:rPr>
                <w:sz w:val="20"/>
              </w:rPr>
            </w:pPr>
          </w:p>
        </w:tc>
        <w:tc>
          <w:tcPr>
            <w:tcW w:w="1075" w:type="dxa"/>
            <w:tcBorders>
              <w:top w:val="single" w:sz="12" w:space="0" w:color="auto"/>
            </w:tcBorders>
            <w:vAlign w:val="center"/>
          </w:tcPr>
          <w:p w14:paraId="7C089E79" w14:textId="77777777" w:rsidR="0005512A" w:rsidRPr="002B2CFC" w:rsidRDefault="0005512A" w:rsidP="0005512A">
            <w:pPr>
              <w:jc w:val="center"/>
              <w:rPr>
                <w:sz w:val="20"/>
              </w:rPr>
            </w:pPr>
            <w:r w:rsidRPr="002B2CFC">
              <w:rPr>
                <w:sz w:val="20"/>
              </w:rPr>
              <w:t>5</w:t>
            </w:r>
          </w:p>
        </w:tc>
        <w:tc>
          <w:tcPr>
            <w:tcW w:w="1303" w:type="dxa"/>
            <w:tcBorders>
              <w:top w:val="single" w:sz="12" w:space="0" w:color="auto"/>
            </w:tcBorders>
            <w:vAlign w:val="center"/>
          </w:tcPr>
          <w:p w14:paraId="71B48143" w14:textId="77777777" w:rsidR="0005512A" w:rsidRPr="002B2CFC" w:rsidRDefault="0005512A" w:rsidP="0005512A">
            <w:pPr>
              <w:jc w:val="center"/>
              <w:rPr>
                <w:sz w:val="20"/>
              </w:rPr>
            </w:pPr>
            <w:r w:rsidRPr="002B2CFC">
              <w:rPr>
                <w:sz w:val="20"/>
              </w:rPr>
              <w:t>10</w:t>
            </w:r>
          </w:p>
        </w:tc>
        <w:tc>
          <w:tcPr>
            <w:tcW w:w="1279" w:type="dxa"/>
            <w:tcBorders>
              <w:top w:val="single" w:sz="12" w:space="0" w:color="auto"/>
            </w:tcBorders>
            <w:vAlign w:val="center"/>
          </w:tcPr>
          <w:p w14:paraId="34CFEA8A" w14:textId="77777777" w:rsidR="0005512A" w:rsidRPr="002B2CFC" w:rsidRDefault="0005512A" w:rsidP="0005512A">
            <w:pPr>
              <w:jc w:val="center"/>
              <w:rPr>
                <w:sz w:val="20"/>
              </w:rPr>
            </w:pPr>
            <w:r w:rsidRPr="002B2CFC">
              <w:rPr>
                <w:sz w:val="20"/>
              </w:rPr>
              <w:t>1</w:t>
            </w:r>
          </w:p>
        </w:tc>
        <w:tc>
          <w:tcPr>
            <w:tcW w:w="1390" w:type="dxa"/>
            <w:tcBorders>
              <w:top w:val="single" w:sz="12" w:space="0" w:color="auto"/>
            </w:tcBorders>
            <w:vAlign w:val="center"/>
          </w:tcPr>
          <w:p w14:paraId="27658C12" w14:textId="77777777" w:rsidR="0005512A" w:rsidRPr="002B2CFC" w:rsidRDefault="0005512A" w:rsidP="0005512A">
            <w:pPr>
              <w:jc w:val="center"/>
              <w:rPr>
                <w:sz w:val="20"/>
              </w:rPr>
            </w:pPr>
            <w:r w:rsidRPr="002B2CFC">
              <w:rPr>
                <w:sz w:val="20"/>
              </w:rPr>
              <w:t>2</w:t>
            </w:r>
          </w:p>
        </w:tc>
        <w:tc>
          <w:tcPr>
            <w:tcW w:w="1133" w:type="dxa"/>
            <w:vMerge w:val="restart"/>
            <w:tcBorders>
              <w:top w:val="single" w:sz="12" w:space="0" w:color="auto"/>
            </w:tcBorders>
            <w:vAlign w:val="center"/>
          </w:tcPr>
          <w:p w14:paraId="7DBB6381" w14:textId="77777777" w:rsidR="0005512A" w:rsidRPr="002B2CFC" w:rsidRDefault="0005512A" w:rsidP="0005512A">
            <w:pPr>
              <w:jc w:val="center"/>
              <w:rPr>
                <w:sz w:val="20"/>
              </w:rPr>
            </w:pPr>
            <w:r w:rsidRPr="002B2CFC">
              <w:rPr>
                <w:sz w:val="20"/>
              </w:rPr>
              <w:t>7, 14</w:t>
            </w:r>
          </w:p>
        </w:tc>
      </w:tr>
      <w:tr w:rsidR="0005512A" w:rsidRPr="002B2CFC" w14:paraId="787CF8EC" w14:textId="77777777" w:rsidTr="0005512A">
        <w:tc>
          <w:tcPr>
            <w:tcW w:w="1790" w:type="dxa"/>
            <w:vMerge/>
            <w:vAlign w:val="center"/>
          </w:tcPr>
          <w:p w14:paraId="2F873B38" w14:textId="77777777" w:rsidR="0005512A" w:rsidRPr="002B2CFC" w:rsidRDefault="0005512A" w:rsidP="0005512A">
            <w:pPr>
              <w:jc w:val="center"/>
              <w:rPr>
                <w:sz w:val="20"/>
              </w:rPr>
            </w:pPr>
          </w:p>
        </w:tc>
        <w:tc>
          <w:tcPr>
            <w:tcW w:w="1075" w:type="dxa"/>
            <w:vAlign w:val="center"/>
          </w:tcPr>
          <w:p w14:paraId="71F7902F" w14:textId="77777777" w:rsidR="0005512A" w:rsidRPr="002B2CFC" w:rsidRDefault="0005512A" w:rsidP="0005512A">
            <w:pPr>
              <w:jc w:val="center"/>
              <w:rPr>
                <w:sz w:val="20"/>
              </w:rPr>
            </w:pPr>
            <w:r w:rsidRPr="002B2CFC">
              <w:rPr>
                <w:sz w:val="20"/>
              </w:rPr>
              <w:t>6</w:t>
            </w:r>
          </w:p>
        </w:tc>
        <w:tc>
          <w:tcPr>
            <w:tcW w:w="1303" w:type="dxa"/>
            <w:vAlign w:val="center"/>
          </w:tcPr>
          <w:p w14:paraId="416347CC" w14:textId="77777777" w:rsidR="0005512A" w:rsidRPr="002B2CFC" w:rsidRDefault="0005512A" w:rsidP="0005512A">
            <w:pPr>
              <w:jc w:val="center"/>
              <w:rPr>
                <w:sz w:val="20"/>
              </w:rPr>
            </w:pPr>
            <w:r w:rsidRPr="002B2CFC">
              <w:rPr>
                <w:sz w:val="20"/>
              </w:rPr>
              <w:t>15</w:t>
            </w:r>
          </w:p>
        </w:tc>
        <w:tc>
          <w:tcPr>
            <w:tcW w:w="1279" w:type="dxa"/>
            <w:vAlign w:val="center"/>
          </w:tcPr>
          <w:p w14:paraId="18C6262B" w14:textId="77777777" w:rsidR="0005512A" w:rsidRPr="002B2CFC" w:rsidRDefault="0005512A" w:rsidP="0005512A">
            <w:pPr>
              <w:jc w:val="center"/>
              <w:rPr>
                <w:sz w:val="20"/>
              </w:rPr>
            </w:pPr>
            <w:r w:rsidRPr="002B2CFC">
              <w:rPr>
                <w:sz w:val="20"/>
              </w:rPr>
              <w:t>1.5</w:t>
            </w:r>
          </w:p>
        </w:tc>
        <w:tc>
          <w:tcPr>
            <w:tcW w:w="1390" w:type="dxa"/>
            <w:vAlign w:val="center"/>
          </w:tcPr>
          <w:p w14:paraId="04B2F6EC" w14:textId="77777777" w:rsidR="0005512A" w:rsidRPr="002B2CFC" w:rsidRDefault="0005512A" w:rsidP="0005512A">
            <w:pPr>
              <w:jc w:val="center"/>
              <w:rPr>
                <w:sz w:val="20"/>
              </w:rPr>
            </w:pPr>
            <w:r w:rsidRPr="002B2CFC">
              <w:rPr>
                <w:sz w:val="20"/>
              </w:rPr>
              <w:t>2</w:t>
            </w:r>
          </w:p>
        </w:tc>
        <w:tc>
          <w:tcPr>
            <w:tcW w:w="1133" w:type="dxa"/>
            <w:vMerge/>
            <w:vAlign w:val="center"/>
          </w:tcPr>
          <w:p w14:paraId="60B77128" w14:textId="77777777" w:rsidR="0005512A" w:rsidRPr="002B2CFC" w:rsidRDefault="0005512A" w:rsidP="0005512A">
            <w:pPr>
              <w:jc w:val="center"/>
              <w:rPr>
                <w:sz w:val="20"/>
              </w:rPr>
            </w:pPr>
          </w:p>
        </w:tc>
      </w:tr>
      <w:tr w:rsidR="0005512A" w:rsidRPr="002B2CFC" w14:paraId="0379B669" w14:textId="77777777" w:rsidTr="0005512A">
        <w:tc>
          <w:tcPr>
            <w:tcW w:w="1790" w:type="dxa"/>
            <w:vMerge/>
            <w:vAlign w:val="center"/>
          </w:tcPr>
          <w:p w14:paraId="6D667D6D" w14:textId="77777777" w:rsidR="0005512A" w:rsidRPr="002B2CFC" w:rsidRDefault="0005512A" w:rsidP="0005512A">
            <w:pPr>
              <w:jc w:val="center"/>
              <w:rPr>
                <w:sz w:val="20"/>
              </w:rPr>
            </w:pPr>
          </w:p>
        </w:tc>
        <w:tc>
          <w:tcPr>
            <w:tcW w:w="1075" w:type="dxa"/>
            <w:tcBorders>
              <w:bottom w:val="single" w:sz="12" w:space="0" w:color="auto"/>
            </w:tcBorders>
            <w:vAlign w:val="center"/>
          </w:tcPr>
          <w:p w14:paraId="0FE6BD01" w14:textId="77777777" w:rsidR="0005512A" w:rsidRPr="002B2CFC" w:rsidRDefault="0005512A" w:rsidP="0005512A">
            <w:pPr>
              <w:jc w:val="center"/>
              <w:rPr>
                <w:sz w:val="20"/>
              </w:rPr>
            </w:pPr>
            <w:r w:rsidRPr="002B2CFC">
              <w:rPr>
                <w:sz w:val="20"/>
              </w:rPr>
              <w:t>7</w:t>
            </w:r>
          </w:p>
        </w:tc>
        <w:tc>
          <w:tcPr>
            <w:tcW w:w="1303" w:type="dxa"/>
            <w:tcBorders>
              <w:bottom w:val="single" w:sz="12" w:space="0" w:color="auto"/>
            </w:tcBorders>
            <w:vAlign w:val="center"/>
          </w:tcPr>
          <w:p w14:paraId="21ED9353" w14:textId="77777777" w:rsidR="0005512A" w:rsidRPr="002B2CFC" w:rsidRDefault="0005512A" w:rsidP="0005512A">
            <w:pPr>
              <w:jc w:val="center"/>
              <w:rPr>
                <w:sz w:val="20"/>
              </w:rPr>
            </w:pPr>
            <w:r w:rsidRPr="002B2CFC">
              <w:rPr>
                <w:sz w:val="20"/>
              </w:rPr>
              <w:t>25</w:t>
            </w:r>
          </w:p>
        </w:tc>
        <w:tc>
          <w:tcPr>
            <w:tcW w:w="1279" w:type="dxa"/>
            <w:tcBorders>
              <w:bottom w:val="single" w:sz="12" w:space="0" w:color="auto"/>
            </w:tcBorders>
            <w:vAlign w:val="center"/>
          </w:tcPr>
          <w:p w14:paraId="3239A754" w14:textId="77777777" w:rsidR="0005512A" w:rsidRPr="002B2CFC" w:rsidRDefault="0005512A" w:rsidP="0005512A">
            <w:pPr>
              <w:jc w:val="center"/>
              <w:rPr>
                <w:sz w:val="20"/>
              </w:rPr>
            </w:pPr>
            <w:r w:rsidRPr="002B2CFC">
              <w:rPr>
                <w:sz w:val="20"/>
              </w:rPr>
              <w:t>2.5</w:t>
            </w:r>
          </w:p>
        </w:tc>
        <w:tc>
          <w:tcPr>
            <w:tcW w:w="1390" w:type="dxa"/>
            <w:tcBorders>
              <w:bottom w:val="single" w:sz="12" w:space="0" w:color="auto"/>
            </w:tcBorders>
            <w:vAlign w:val="center"/>
          </w:tcPr>
          <w:p w14:paraId="68D502A0" w14:textId="77777777" w:rsidR="0005512A" w:rsidRPr="002B2CFC" w:rsidRDefault="0005512A" w:rsidP="0005512A">
            <w:pPr>
              <w:jc w:val="center"/>
              <w:rPr>
                <w:sz w:val="20"/>
              </w:rPr>
            </w:pPr>
            <w:r w:rsidRPr="002B2CFC">
              <w:rPr>
                <w:sz w:val="20"/>
              </w:rPr>
              <w:t>2</w:t>
            </w:r>
          </w:p>
        </w:tc>
        <w:tc>
          <w:tcPr>
            <w:tcW w:w="1133" w:type="dxa"/>
            <w:vMerge/>
            <w:tcBorders>
              <w:bottom w:val="single" w:sz="12" w:space="0" w:color="auto"/>
            </w:tcBorders>
            <w:vAlign w:val="center"/>
          </w:tcPr>
          <w:p w14:paraId="4ED2AE68" w14:textId="77777777" w:rsidR="0005512A" w:rsidRPr="002B2CFC" w:rsidRDefault="0005512A" w:rsidP="0005512A">
            <w:pPr>
              <w:jc w:val="center"/>
              <w:rPr>
                <w:sz w:val="20"/>
              </w:rPr>
            </w:pPr>
          </w:p>
        </w:tc>
      </w:tr>
      <w:tr w:rsidR="0005512A" w:rsidRPr="002B2CFC" w14:paraId="27DEFA98" w14:textId="77777777" w:rsidTr="0005512A">
        <w:tc>
          <w:tcPr>
            <w:tcW w:w="1790" w:type="dxa"/>
            <w:vMerge/>
            <w:vAlign w:val="center"/>
          </w:tcPr>
          <w:p w14:paraId="6F577976" w14:textId="77777777" w:rsidR="0005512A" w:rsidRPr="002B2CFC" w:rsidRDefault="0005512A" w:rsidP="0005512A">
            <w:pPr>
              <w:jc w:val="center"/>
              <w:rPr>
                <w:sz w:val="20"/>
              </w:rPr>
            </w:pPr>
          </w:p>
        </w:tc>
        <w:tc>
          <w:tcPr>
            <w:tcW w:w="1075" w:type="dxa"/>
            <w:tcBorders>
              <w:top w:val="single" w:sz="12" w:space="0" w:color="auto"/>
            </w:tcBorders>
            <w:vAlign w:val="center"/>
          </w:tcPr>
          <w:p w14:paraId="09DBA13A" w14:textId="77777777" w:rsidR="0005512A" w:rsidRPr="002B2CFC" w:rsidRDefault="0005512A" w:rsidP="0005512A">
            <w:pPr>
              <w:jc w:val="center"/>
              <w:rPr>
                <w:sz w:val="20"/>
              </w:rPr>
            </w:pPr>
            <w:r w:rsidRPr="002B2CFC">
              <w:rPr>
                <w:sz w:val="20"/>
              </w:rPr>
              <w:t>8</w:t>
            </w:r>
          </w:p>
        </w:tc>
        <w:tc>
          <w:tcPr>
            <w:tcW w:w="1303" w:type="dxa"/>
            <w:tcBorders>
              <w:top w:val="single" w:sz="12" w:space="0" w:color="auto"/>
            </w:tcBorders>
            <w:vAlign w:val="center"/>
          </w:tcPr>
          <w:p w14:paraId="49C4DD33" w14:textId="77777777" w:rsidR="0005512A" w:rsidRPr="002B2CFC" w:rsidRDefault="0005512A" w:rsidP="0005512A">
            <w:pPr>
              <w:jc w:val="center"/>
              <w:rPr>
                <w:sz w:val="20"/>
              </w:rPr>
            </w:pPr>
            <w:r w:rsidRPr="002B2CFC">
              <w:rPr>
                <w:sz w:val="20"/>
              </w:rPr>
              <w:t>10</w:t>
            </w:r>
          </w:p>
        </w:tc>
        <w:tc>
          <w:tcPr>
            <w:tcW w:w="1279" w:type="dxa"/>
            <w:tcBorders>
              <w:top w:val="single" w:sz="12" w:space="0" w:color="auto"/>
            </w:tcBorders>
            <w:vAlign w:val="center"/>
          </w:tcPr>
          <w:p w14:paraId="2066D109" w14:textId="77777777" w:rsidR="0005512A" w:rsidRPr="002B2CFC" w:rsidRDefault="0005512A" w:rsidP="0005512A">
            <w:pPr>
              <w:jc w:val="center"/>
              <w:rPr>
                <w:sz w:val="20"/>
              </w:rPr>
            </w:pPr>
            <w:r w:rsidRPr="002B2CFC">
              <w:rPr>
                <w:sz w:val="20"/>
              </w:rPr>
              <w:t>1</w:t>
            </w:r>
          </w:p>
        </w:tc>
        <w:tc>
          <w:tcPr>
            <w:tcW w:w="1390" w:type="dxa"/>
            <w:tcBorders>
              <w:top w:val="single" w:sz="12" w:space="0" w:color="auto"/>
            </w:tcBorders>
            <w:vAlign w:val="center"/>
          </w:tcPr>
          <w:p w14:paraId="236E0224" w14:textId="77777777" w:rsidR="0005512A" w:rsidRPr="002B2CFC" w:rsidRDefault="0005512A" w:rsidP="0005512A">
            <w:pPr>
              <w:jc w:val="center"/>
              <w:rPr>
                <w:sz w:val="20"/>
              </w:rPr>
            </w:pPr>
            <w:r w:rsidRPr="002B2CFC">
              <w:rPr>
                <w:sz w:val="20"/>
              </w:rPr>
              <w:t>3</w:t>
            </w:r>
          </w:p>
        </w:tc>
        <w:tc>
          <w:tcPr>
            <w:tcW w:w="1133" w:type="dxa"/>
            <w:vMerge w:val="restart"/>
            <w:tcBorders>
              <w:top w:val="single" w:sz="12" w:space="0" w:color="auto"/>
              <w:bottom w:val="single" w:sz="12" w:space="0" w:color="auto"/>
            </w:tcBorders>
            <w:vAlign w:val="center"/>
          </w:tcPr>
          <w:p w14:paraId="4E54D793" w14:textId="77777777" w:rsidR="0005512A" w:rsidRPr="002B2CFC" w:rsidRDefault="0005512A" w:rsidP="0005512A">
            <w:pPr>
              <w:jc w:val="center"/>
              <w:rPr>
                <w:sz w:val="20"/>
              </w:rPr>
            </w:pPr>
            <w:r w:rsidRPr="002B2CFC">
              <w:rPr>
                <w:sz w:val="20"/>
              </w:rPr>
              <w:t>0, 7, 14</w:t>
            </w:r>
          </w:p>
        </w:tc>
      </w:tr>
      <w:tr w:rsidR="0005512A" w:rsidRPr="002B2CFC" w14:paraId="08B92443" w14:textId="77777777" w:rsidTr="0005512A">
        <w:tc>
          <w:tcPr>
            <w:tcW w:w="1790" w:type="dxa"/>
            <w:vMerge/>
            <w:vAlign w:val="center"/>
          </w:tcPr>
          <w:p w14:paraId="30406B0B" w14:textId="77777777" w:rsidR="0005512A" w:rsidRPr="002B2CFC" w:rsidRDefault="0005512A" w:rsidP="0005512A">
            <w:pPr>
              <w:jc w:val="center"/>
              <w:rPr>
                <w:sz w:val="20"/>
              </w:rPr>
            </w:pPr>
          </w:p>
        </w:tc>
        <w:tc>
          <w:tcPr>
            <w:tcW w:w="1075" w:type="dxa"/>
            <w:vAlign w:val="center"/>
          </w:tcPr>
          <w:p w14:paraId="325745F6" w14:textId="77777777" w:rsidR="0005512A" w:rsidRPr="002B2CFC" w:rsidRDefault="0005512A" w:rsidP="0005512A">
            <w:pPr>
              <w:jc w:val="center"/>
              <w:rPr>
                <w:sz w:val="20"/>
              </w:rPr>
            </w:pPr>
            <w:r w:rsidRPr="002B2CFC">
              <w:rPr>
                <w:sz w:val="20"/>
              </w:rPr>
              <w:t>9</w:t>
            </w:r>
          </w:p>
        </w:tc>
        <w:tc>
          <w:tcPr>
            <w:tcW w:w="1303" w:type="dxa"/>
            <w:vAlign w:val="center"/>
          </w:tcPr>
          <w:p w14:paraId="5923B459" w14:textId="77777777" w:rsidR="0005512A" w:rsidRPr="002B2CFC" w:rsidRDefault="0005512A" w:rsidP="0005512A">
            <w:pPr>
              <w:jc w:val="center"/>
              <w:rPr>
                <w:sz w:val="20"/>
              </w:rPr>
            </w:pPr>
            <w:r w:rsidRPr="002B2CFC">
              <w:rPr>
                <w:sz w:val="20"/>
              </w:rPr>
              <w:t>15</w:t>
            </w:r>
          </w:p>
        </w:tc>
        <w:tc>
          <w:tcPr>
            <w:tcW w:w="1279" w:type="dxa"/>
            <w:vAlign w:val="center"/>
          </w:tcPr>
          <w:p w14:paraId="49CAAD32" w14:textId="77777777" w:rsidR="0005512A" w:rsidRPr="002B2CFC" w:rsidRDefault="0005512A" w:rsidP="0005512A">
            <w:pPr>
              <w:jc w:val="center"/>
              <w:rPr>
                <w:sz w:val="20"/>
              </w:rPr>
            </w:pPr>
            <w:r w:rsidRPr="002B2CFC">
              <w:rPr>
                <w:sz w:val="20"/>
              </w:rPr>
              <w:t>1.5</w:t>
            </w:r>
          </w:p>
        </w:tc>
        <w:tc>
          <w:tcPr>
            <w:tcW w:w="1390" w:type="dxa"/>
            <w:vAlign w:val="center"/>
          </w:tcPr>
          <w:p w14:paraId="7F634275" w14:textId="77777777" w:rsidR="0005512A" w:rsidRPr="002B2CFC" w:rsidRDefault="0005512A" w:rsidP="0005512A">
            <w:pPr>
              <w:jc w:val="center"/>
              <w:rPr>
                <w:sz w:val="20"/>
              </w:rPr>
            </w:pPr>
            <w:r w:rsidRPr="002B2CFC">
              <w:rPr>
                <w:sz w:val="20"/>
              </w:rPr>
              <w:t>3</w:t>
            </w:r>
          </w:p>
        </w:tc>
        <w:tc>
          <w:tcPr>
            <w:tcW w:w="1133" w:type="dxa"/>
            <w:vMerge/>
            <w:tcBorders>
              <w:bottom w:val="single" w:sz="12" w:space="0" w:color="auto"/>
            </w:tcBorders>
            <w:vAlign w:val="center"/>
          </w:tcPr>
          <w:p w14:paraId="1DF986E8" w14:textId="77777777" w:rsidR="0005512A" w:rsidRPr="002B2CFC" w:rsidRDefault="0005512A" w:rsidP="0005512A">
            <w:pPr>
              <w:jc w:val="center"/>
              <w:rPr>
                <w:sz w:val="20"/>
              </w:rPr>
            </w:pPr>
          </w:p>
        </w:tc>
      </w:tr>
      <w:tr w:rsidR="0005512A" w:rsidRPr="002B2CFC" w14:paraId="498DB8DC" w14:textId="77777777" w:rsidTr="0005512A">
        <w:tc>
          <w:tcPr>
            <w:tcW w:w="1790" w:type="dxa"/>
            <w:vMerge/>
            <w:vAlign w:val="center"/>
          </w:tcPr>
          <w:p w14:paraId="41B0D7BC" w14:textId="77777777" w:rsidR="0005512A" w:rsidRPr="002B2CFC" w:rsidRDefault="0005512A" w:rsidP="0005512A">
            <w:pPr>
              <w:jc w:val="center"/>
              <w:rPr>
                <w:sz w:val="20"/>
              </w:rPr>
            </w:pPr>
          </w:p>
        </w:tc>
        <w:tc>
          <w:tcPr>
            <w:tcW w:w="1075" w:type="dxa"/>
            <w:tcBorders>
              <w:bottom w:val="single" w:sz="12" w:space="0" w:color="auto"/>
            </w:tcBorders>
            <w:vAlign w:val="center"/>
          </w:tcPr>
          <w:p w14:paraId="38512662" w14:textId="77777777" w:rsidR="0005512A" w:rsidRPr="002B2CFC" w:rsidRDefault="0005512A" w:rsidP="0005512A">
            <w:pPr>
              <w:jc w:val="center"/>
              <w:rPr>
                <w:sz w:val="20"/>
              </w:rPr>
            </w:pPr>
            <w:r w:rsidRPr="002B2CFC">
              <w:rPr>
                <w:sz w:val="20"/>
              </w:rPr>
              <w:t>10</w:t>
            </w:r>
          </w:p>
        </w:tc>
        <w:tc>
          <w:tcPr>
            <w:tcW w:w="1303" w:type="dxa"/>
            <w:tcBorders>
              <w:bottom w:val="single" w:sz="12" w:space="0" w:color="auto"/>
            </w:tcBorders>
            <w:vAlign w:val="center"/>
          </w:tcPr>
          <w:p w14:paraId="1C3A4456" w14:textId="77777777" w:rsidR="0005512A" w:rsidRPr="002B2CFC" w:rsidRDefault="0005512A" w:rsidP="0005512A">
            <w:pPr>
              <w:jc w:val="center"/>
              <w:rPr>
                <w:sz w:val="20"/>
              </w:rPr>
            </w:pPr>
            <w:r w:rsidRPr="002B2CFC">
              <w:rPr>
                <w:sz w:val="20"/>
              </w:rPr>
              <w:t>25</w:t>
            </w:r>
          </w:p>
        </w:tc>
        <w:tc>
          <w:tcPr>
            <w:tcW w:w="1279" w:type="dxa"/>
            <w:tcBorders>
              <w:bottom w:val="single" w:sz="12" w:space="0" w:color="auto"/>
            </w:tcBorders>
            <w:vAlign w:val="center"/>
          </w:tcPr>
          <w:p w14:paraId="025C5CB4" w14:textId="77777777" w:rsidR="0005512A" w:rsidRPr="002B2CFC" w:rsidRDefault="0005512A" w:rsidP="0005512A">
            <w:pPr>
              <w:jc w:val="center"/>
              <w:rPr>
                <w:sz w:val="20"/>
              </w:rPr>
            </w:pPr>
            <w:r w:rsidRPr="002B2CFC">
              <w:rPr>
                <w:sz w:val="20"/>
              </w:rPr>
              <w:t>2.5</w:t>
            </w:r>
          </w:p>
        </w:tc>
        <w:tc>
          <w:tcPr>
            <w:tcW w:w="1390" w:type="dxa"/>
            <w:tcBorders>
              <w:bottom w:val="single" w:sz="12" w:space="0" w:color="auto"/>
            </w:tcBorders>
            <w:vAlign w:val="center"/>
          </w:tcPr>
          <w:p w14:paraId="2C5D277B" w14:textId="77777777" w:rsidR="0005512A" w:rsidRPr="002B2CFC" w:rsidRDefault="0005512A" w:rsidP="0005512A">
            <w:pPr>
              <w:jc w:val="center"/>
              <w:rPr>
                <w:sz w:val="20"/>
              </w:rPr>
            </w:pPr>
            <w:r w:rsidRPr="002B2CFC">
              <w:rPr>
                <w:sz w:val="20"/>
              </w:rPr>
              <w:t>3</w:t>
            </w:r>
          </w:p>
        </w:tc>
        <w:tc>
          <w:tcPr>
            <w:tcW w:w="1133" w:type="dxa"/>
            <w:vMerge/>
            <w:tcBorders>
              <w:bottom w:val="single" w:sz="12" w:space="0" w:color="auto"/>
            </w:tcBorders>
            <w:vAlign w:val="center"/>
          </w:tcPr>
          <w:p w14:paraId="0CC0551C" w14:textId="77777777" w:rsidR="0005512A" w:rsidRPr="002B2CFC" w:rsidRDefault="0005512A" w:rsidP="0005512A">
            <w:pPr>
              <w:jc w:val="center"/>
              <w:rPr>
                <w:sz w:val="20"/>
              </w:rPr>
            </w:pPr>
          </w:p>
        </w:tc>
      </w:tr>
      <w:tr w:rsidR="0005512A" w:rsidRPr="002B2CFC" w14:paraId="189A692D" w14:textId="77777777" w:rsidTr="0005512A">
        <w:trPr>
          <w:trHeight w:val="377"/>
        </w:trPr>
        <w:tc>
          <w:tcPr>
            <w:tcW w:w="1790" w:type="dxa"/>
            <w:shd w:val="clear" w:color="auto" w:fill="D9D9D9" w:themeFill="background1" w:themeFillShade="D9"/>
            <w:vAlign w:val="center"/>
          </w:tcPr>
          <w:p w14:paraId="5CF9B7C5" w14:textId="77777777" w:rsidR="0005512A" w:rsidRPr="002B2CFC" w:rsidRDefault="0005512A" w:rsidP="0005512A">
            <w:pPr>
              <w:jc w:val="center"/>
              <w:rPr>
                <w:sz w:val="20"/>
              </w:rPr>
            </w:pPr>
            <w:r w:rsidRPr="002B2CFC">
              <w:rPr>
                <w:sz w:val="20"/>
              </w:rPr>
              <w:t>MPTP HCl</w:t>
            </w:r>
          </w:p>
        </w:tc>
        <w:tc>
          <w:tcPr>
            <w:tcW w:w="1075" w:type="dxa"/>
            <w:tcBorders>
              <w:top w:val="single" w:sz="12" w:space="0" w:color="auto"/>
            </w:tcBorders>
            <w:shd w:val="clear" w:color="auto" w:fill="D9D9D9" w:themeFill="background1" w:themeFillShade="D9"/>
            <w:vAlign w:val="center"/>
          </w:tcPr>
          <w:p w14:paraId="730BF753" w14:textId="77777777" w:rsidR="0005512A" w:rsidRPr="002B2CFC" w:rsidRDefault="0005512A" w:rsidP="0005512A">
            <w:pPr>
              <w:jc w:val="center"/>
              <w:rPr>
                <w:sz w:val="20"/>
              </w:rPr>
            </w:pPr>
            <w:r w:rsidRPr="002B2CFC">
              <w:rPr>
                <w:sz w:val="20"/>
              </w:rPr>
              <w:t>11</w:t>
            </w:r>
          </w:p>
        </w:tc>
        <w:tc>
          <w:tcPr>
            <w:tcW w:w="1303" w:type="dxa"/>
            <w:tcBorders>
              <w:top w:val="single" w:sz="12" w:space="0" w:color="auto"/>
            </w:tcBorders>
            <w:shd w:val="clear" w:color="auto" w:fill="D9D9D9" w:themeFill="background1" w:themeFillShade="D9"/>
            <w:vAlign w:val="center"/>
          </w:tcPr>
          <w:p w14:paraId="2D1C2789" w14:textId="77777777" w:rsidR="0005512A" w:rsidRPr="002B2CFC" w:rsidRDefault="0005512A" w:rsidP="0005512A">
            <w:pPr>
              <w:jc w:val="center"/>
              <w:rPr>
                <w:sz w:val="20"/>
              </w:rPr>
            </w:pPr>
            <w:r w:rsidRPr="002B2CFC">
              <w:rPr>
                <w:sz w:val="20"/>
              </w:rPr>
              <w:t>10</w:t>
            </w:r>
          </w:p>
        </w:tc>
        <w:tc>
          <w:tcPr>
            <w:tcW w:w="1279" w:type="dxa"/>
            <w:tcBorders>
              <w:top w:val="single" w:sz="12" w:space="0" w:color="auto"/>
            </w:tcBorders>
            <w:shd w:val="clear" w:color="auto" w:fill="D9D9D9" w:themeFill="background1" w:themeFillShade="D9"/>
            <w:vAlign w:val="center"/>
          </w:tcPr>
          <w:p w14:paraId="2C257A54" w14:textId="77777777" w:rsidR="0005512A" w:rsidRPr="002B2CFC" w:rsidRDefault="0005512A" w:rsidP="0005512A">
            <w:pPr>
              <w:jc w:val="center"/>
              <w:rPr>
                <w:sz w:val="20"/>
              </w:rPr>
            </w:pPr>
            <w:r w:rsidRPr="002B2CFC">
              <w:rPr>
                <w:sz w:val="20"/>
              </w:rPr>
              <w:t>4</w:t>
            </w:r>
          </w:p>
        </w:tc>
        <w:tc>
          <w:tcPr>
            <w:tcW w:w="1390" w:type="dxa"/>
            <w:tcBorders>
              <w:top w:val="single" w:sz="12" w:space="0" w:color="auto"/>
            </w:tcBorders>
            <w:shd w:val="clear" w:color="auto" w:fill="D9D9D9" w:themeFill="background1" w:themeFillShade="D9"/>
            <w:vAlign w:val="center"/>
          </w:tcPr>
          <w:p w14:paraId="34D2ADE6" w14:textId="77777777" w:rsidR="0005512A" w:rsidRPr="002B2CFC" w:rsidRDefault="0005512A" w:rsidP="0005512A">
            <w:pPr>
              <w:jc w:val="center"/>
              <w:rPr>
                <w:sz w:val="20"/>
              </w:rPr>
            </w:pPr>
            <w:r w:rsidRPr="002B2CFC">
              <w:rPr>
                <w:sz w:val="20"/>
              </w:rPr>
              <w:t>4</w:t>
            </w:r>
          </w:p>
        </w:tc>
        <w:tc>
          <w:tcPr>
            <w:tcW w:w="1133" w:type="dxa"/>
            <w:tcBorders>
              <w:top w:val="single" w:sz="12" w:space="0" w:color="auto"/>
            </w:tcBorders>
            <w:shd w:val="clear" w:color="auto" w:fill="D9D9D9" w:themeFill="background1" w:themeFillShade="D9"/>
            <w:vAlign w:val="center"/>
          </w:tcPr>
          <w:p w14:paraId="1166320A" w14:textId="77777777" w:rsidR="0005512A" w:rsidRPr="002B2CFC" w:rsidRDefault="0005512A" w:rsidP="0005512A">
            <w:pPr>
              <w:jc w:val="center"/>
              <w:rPr>
                <w:sz w:val="20"/>
              </w:rPr>
            </w:pPr>
            <w:r w:rsidRPr="002B2CFC">
              <w:rPr>
                <w:sz w:val="20"/>
              </w:rPr>
              <w:t>14</w:t>
            </w:r>
          </w:p>
        </w:tc>
      </w:tr>
    </w:tbl>
    <w:p w14:paraId="76C19805" w14:textId="77777777" w:rsidR="0005512A" w:rsidRPr="002B2CFC" w:rsidRDefault="0005512A" w:rsidP="0005512A">
      <w:pPr>
        <w:spacing w:after="200" w:line="276" w:lineRule="auto"/>
        <w:rPr>
          <w:szCs w:val="24"/>
        </w:rPr>
      </w:pPr>
    </w:p>
    <w:p w14:paraId="7BF1EC40" w14:textId="77777777" w:rsidR="0005512A" w:rsidRPr="0056108B" w:rsidRDefault="0005512A" w:rsidP="0005512A">
      <w:pPr>
        <w:spacing w:after="200"/>
        <w:rPr>
          <w:rFonts w:eastAsiaTheme="minorHAnsi" w:cstheme="minorBidi"/>
          <w:szCs w:val="22"/>
          <w:lang w:eastAsia="en-US"/>
        </w:rPr>
      </w:pPr>
      <w:r w:rsidRPr="002B2CFC">
        <w:rPr>
          <w:rFonts w:eastAsiaTheme="minorHAnsi" w:cstheme="minorBidi"/>
          <w:szCs w:val="22"/>
          <w:lang w:eastAsia="en-US"/>
        </w:rPr>
        <w:t xml:space="preserve">Mice were quarantined for approximately 3-5 weeks prior to study commencement and housed individually in standard laboratory conditions </w:t>
      </w:r>
      <w:r w:rsidRPr="002B2CFC">
        <w:rPr>
          <w:szCs w:val="24"/>
        </w:rPr>
        <w:t xml:space="preserve">(21.3º -21.5ºC; relative humidity 41.9%-49.3%; 12 h light/dark photoperiod; minimum 10 fresh air changes/h). </w:t>
      </w:r>
      <w:r w:rsidRPr="002B2CFC">
        <w:rPr>
          <w:rFonts w:eastAsiaTheme="minorHAnsi" w:cstheme="minorBidi"/>
          <w:szCs w:val="22"/>
          <w:lang w:eastAsia="en-US"/>
        </w:rPr>
        <w:t xml:space="preserve">Feed and water were </w:t>
      </w:r>
      <w:r>
        <w:rPr>
          <w:rFonts w:eastAsiaTheme="minorHAnsi" w:cstheme="minorBidi"/>
          <w:szCs w:val="22"/>
          <w:lang w:eastAsia="en-US"/>
        </w:rPr>
        <w:t>available</w:t>
      </w:r>
      <w:r w:rsidRPr="002B2CFC">
        <w:rPr>
          <w:rFonts w:eastAsiaTheme="minorHAnsi" w:cstheme="minorBidi"/>
          <w:szCs w:val="22"/>
          <w:lang w:eastAsia="en-US"/>
        </w:rPr>
        <w:t xml:space="preserve"> </w:t>
      </w:r>
      <w:r w:rsidRPr="002B2CFC">
        <w:rPr>
          <w:rFonts w:eastAsiaTheme="minorHAnsi" w:cstheme="minorBidi"/>
          <w:i/>
          <w:szCs w:val="22"/>
          <w:lang w:eastAsia="en-US"/>
        </w:rPr>
        <w:t>ad libitum</w:t>
      </w:r>
      <w:r w:rsidRPr="002B2CFC">
        <w:rPr>
          <w:rFonts w:eastAsiaTheme="minorHAnsi" w:cstheme="minorBidi"/>
          <w:szCs w:val="22"/>
          <w:lang w:eastAsia="en-US"/>
        </w:rPr>
        <w:t xml:space="preserve">. </w:t>
      </w:r>
      <w:r>
        <w:rPr>
          <w:rFonts w:eastAsiaTheme="minorHAnsi" w:cstheme="minorBidi"/>
          <w:szCs w:val="22"/>
          <w:lang w:eastAsia="en-US"/>
        </w:rPr>
        <w:t xml:space="preserve">Dosing formulations were analysed and </w:t>
      </w:r>
      <w:r w:rsidRPr="002B2CFC">
        <w:rPr>
          <w:rFonts w:eastAsiaTheme="minorHAnsi" w:cstheme="minorBidi"/>
          <w:szCs w:val="22"/>
          <w:lang w:eastAsia="en-US"/>
        </w:rPr>
        <w:t>found to be within the WIL Research SOP range (90-110% of target) and presented as a separate report</w:t>
      </w:r>
      <w:r w:rsidRPr="002B2CFC">
        <w:rPr>
          <w:szCs w:val="24"/>
        </w:rPr>
        <w:t xml:space="preserve"> (Beck, 2012b).</w:t>
      </w:r>
    </w:p>
    <w:p w14:paraId="0B015DF2" w14:textId="77777777" w:rsidR="0005512A" w:rsidRPr="002B2CFC" w:rsidRDefault="0005512A" w:rsidP="0005512A">
      <w:pPr>
        <w:spacing w:after="200"/>
        <w:rPr>
          <w:rFonts w:eastAsiaTheme="minorHAnsi" w:cstheme="minorBidi"/>
          <w:szCs w:val="22"/>
          <w:lang w:eastAsia="en-US"/>
        </w:rPr>
      </w:pPr>
      <w:r w:rsidRPr="002B2CFC">
        <w:rPr>
          <w:szCs w:val="24"/>
        </w:rPr>
        <w:t>All animals were observed twice daily for mortality</w:t>
      </w:r>
      <w:r>
        <w:rPr>
          <w:szCs w:val="24"/>
        </w:rPr>
        <w:t>/</w:t>
      </w:r>
      <w:r w:rsidRPr="002B2CFC">
        <w:rPr>
          <w:szCs w:val="24"/>
        </w:rPr>
        <w:t xml:space="preserve">moribundity and clinical observations were made weekly from study day 0. Additional observations were made approximately 1 h following dosing. Body weights and food consumption were recorded weekly, from 2 weeks prior to commencement of treatment, as well as on study days 0, 1, 2, 7, 8, 9, 14, 15, 16, 18 and 21. </w:t>
      </w:r>
      <w:r w:rsidRPr="002B2CFC">
        <w:rPr>
          <w:rFonts w:eastAsiaTheme="minorHAnsi" w:cstheme="minorBidi"/>
          <w:szCs w:val="22"/>
          <w:lang w:eastAsia="en-US"/>
        </w:rPr>
        <w:t>Food intake was calculated as g/animal/day.</w:t>
      </w:r>
    </w:p>
    <w:p w14:paraId="4E7DC8C8" w14:textId="77777777" w:rsidR="0005512A" w:rsidRPr="002B2CFC" w:rsidRDefault="0005512A" w:rsidP="0005512A">
      <w:pPr>
        <w:spacing w:after="200"/>
        <w:rPr>
          <w:szCs w:val="24"/>
        </w:rPr>
      </w:pPr>
      <w:r w:rsidRPr="002B2CFC">
        <w:rPr>
          <w:szCs w:val="24"/>
        </w:rPr>
        <w:t xml:space="preserve">A complete necropsy was performed on all animals found dead or sacrificed </w:t>
      </w:r>
      <w:r w:rsidRPr="002B2CFC">
        <w:rPr>
          <w:i/>
          <w:szCs w:val="24"/>
        </w:rPr>
        <w:t>in extremis</w:t>
      </w:r>
      <w:r w:rsidRPr="002B2CFC">
        <w:rPr>
          <w:szCs w:val="24"/>
        </w:rPr>
        <w:t xml:space="preserve">. Scheduled euthanasia was carried out on 5 mice/group (where possible) at 4, 8, 16, 24, 48, 96 or 168 h on study day 14. </w:t>
      </w:r>
      <w:r>
        <w:rPr>
          <w:szCs w:val="24"/>
        </w:rPr>
        <w:t xml:space="preserve">Anaesthesia by ip injection (sodium pentobarbital) and </w:t>
      </w:r>
      <w:r>
        <w:rPr>
          <w:i/>
          <w:szCs w:val="24"/>
        </w:rPr>
        <w:t xml:space="preserve">in situ </w:t>
      </w:r>
      <w:r>
        <w:rPr>
          <w:szCs w:val="24"/>
        </w:rPr>
        <w:t>perfusion were then undertaken</w:t>
      </w:r>
      <w:r w:rsidRPr="002B2CFC">
        <w:rPr>
          <w:szCs w:val="24"/>
        </w:rPr>
        <w:t>.</w:t>
      </w:r>
    </w:p>
    <w:p w14:paraId="4A8C7F84" w14:textId="77777777" w:rsidR="0005512A" w:rsidRPr="002B2CFC" w:rsidRDefault="0005512A" w:rsidP="0005512A">
      <w:pPr>
        <w:spacing w:after="200"/>
        <w:rPr>
          <w:szCs w:val="24"/>
        </w:rPr>
      </w:pPr>
      <w:r w:rsidRPr="002B2CFC">
        <w:rPr>
          <w:szCs w:val="24"/>
        </w:rPr>
        <w:t>Following perfusion, the head was removed, skinned and placed into paraformaldehyde. The brain (and olfactory bulbs) w</w:t>
      </w:r>
      <w:r w:rsidR="00FA1CEB">
        <w:rPr>
          <w:szCs w:val="24"/>
        </w:rPr>
        <w:t>ere</w:t>
      </w:r>
      <w:r w:rsidRPr="002B2CFC">
        <w:rPr>
          <w:szCs w:val="24"/>
        </w:rPr>
        <w:t xml:space="preserve"> removed, weighed and measured. Lungs and kidneys of all mice perfused at 168 hours following the last dose were preserved </w:t>
      </w:r>
      <w:r>
        <w:rPr>
          <w:szCs w:val="24"/>
        </w:rPr>
        <w:t>and retained</w:t>
      </w:r>
      <w:r w:rsidRPr="002B2CFC">
        <w:rPr>
          <w:szCs w:val="24"/>
        </w:rPr>
        <w:t xml:space="preserve"> for possible histopathological examination.</w:t>
      </w:r>
      <w:r>
        <w:rPr>
          <w:szCs w:val="24"/>
        </w:rPr>
        <w:t xml:space="preserve"> </w:t>
      </w:r>
      <w:r w:rsidRPr="002B2CFC">
        <w:rPr>
          <w:szCs w:val="24"/>
        </w:rPr>
        <w:t xml:space="preserve">Intact brains </w:t>
      </w:r>
      <w:r>
        <w:rPr>
          <w:szCs w:val="24"/>
        </w:rPr>
        <w:t>were sent to</w:t>
      </w:r>
      <w:r w:rsidRPr="002B2CFC">
        <w:rPr>
          <w:szCs w:val="24"/>
        </w:rPr>
        <w:t xml:space="preserve"> Experimental Pathology Laboratories, Inc (EPL)</w:t>
      </w:r>
      <w:r>
        <w:rPr>
          <w:szCs w:val="24"/>
        </w:rPr>
        <w:t xml:space="preserve"> where the brains were separated into hemispheres, the left being retained at EPL and the right side sent to </w:t>
      </w:r>
      <w:r w:rsidRPr="002B2CFC">
        <w:rPr>
          <w:szCs w:val="24"/>
        </w:rPr>
        <w:t xml:space="preserve">Neuroscience Associates, Inc. </w:t>
      </w:r>
    </w:p>
    <w:p w14:paraId="50BF3443" w14:textId="2EF8C109" w:rsidR="005F2D39" w:rsidRDefault="0005512A" w:rsidP="00786BD1">
      <w:pPr>
        <w:spacing w:after="200"/>
        <w:rPr>
          <w:rFonts w:eastAsiaTheme="minorHAnsi" w:cstheme="minorBidi"/>
          <w:szCs w:val="22"/>
        </w:rPr>
      </w:pPr>
      <w:r w:rsidRPr="002B2CFC">
        <w:rPr>
          <w:szCs w:val="24"/>
        </w:rPr>
        <w:t>At Neuroscience Associates, Inc., brains were trimmed, multiembedded and the area of the</w:t>
      </w:r>
      <w:r w:rsidRPr="002B2CFC">
        <w:rPr>
          <w:rFonts w:eastAsiaTheme="minorHAnsi" w:cstheme="minorBidi"/>
          <w:szCs w:val="22"/>
        </w:rPr>
        <w:t xml:space="preserve"> striatum (caudate/putamen area; basal nuclei) through the </w:t>
      </w:r>
      <w:r w:rsidR="00FA1CEB">
        <w:rPr>
          <w:rFonts w:eastAsiaTheme="minorHAnsi" w:cstheme="minorBidi"/>
          <w:szCs w:val="22"/>
        </w:rPr>
        <w:t>SN</w:t>
      </w:r>
      <w:r w:rsidRPr="002B2CFC">
        <w:rPr>
          <w:rFonts w:eastAsiaTheme="minorHAnsi" w:cstheme="minorBidi"/>
          <w:szCs w:val="22"/>
        </w:rPr>
        <w:t xml:space="preserve"> frozen sectioned at 30 </w:t>
      </w:r>
      <w:r w:rsidRPr="002B2CFC">
        <w:rPr>
          <w:rFonts w:eastAsiaTheme="minorHAnsi"/>
          <w:szCs w:val="22"/>
        </w:rPr>
        <w:t>µ</w:t>
      </w:r>
      <w:r w:rsidRPr="002B2CFC">
        <w:rPr>
          <w:rFonts w:eastAsiaTheme="minorHAnsi" w:cstheme="minorBidi"/>
          <w:szCs w:val="22"/>
        </w:rPr>
        <w:t>m in the coronal plane. Every 12</w:t>
      </w:r>
      <w:r w:rsidRPr="002B2CFC">
        <w:rPr>
          <w:rFonts w:eastAsiaTheme="minorHAnsi" w:cstheme="minorBidi"/>
          <w:szCs w:val="22"/>
          <w:vertAlign w:val="superscript"/>
        </w:rPr>
        <w:t>th</w:t>
      </w:r>
      <w:r w:rsidRPr="002B2CFC">
        <w:rPr>
          <w:rFonts w:eastAsiaTheme="minorHAnsi" w:cstheme="minorBidi"/>
          <w:szCs w:val="22"/>
        </w:rPr>
        <w:t xml:space="preserve"> section was stained with one of </w:t>
      </w:r>
      <w:r w:rsidR="005809A4">
        <w:rPr>
          <w:rFonts w:eastAsiaTheme="minorHAnsi" w:cstheme="minorBidi"/>
          <w:szCs w:val="22"/>
        </w:rPr>
        <w:t>the</w:t>
      </w:r>
      <w:r w:rsidR="009B6B5B">
        <w:rPr>
          <w:rFonts w:eastAsiaTheme="minorHAnsi" w:cstheme="minorBidi"/>
          <w:szCs w:val="22"/>
        </w:rPr>
        <w:t xml:space="preserve"> </w:t>
      </w:r>
      <w:r w:rsidRPr="002B2CFC">
        <w:rPr>
          <w:rFonts w:eastAsiaTheme="minorHAnsi" w:cstheme="minorBidi"/>
          <w:szCs w:val="22"/>
        </w:rPr>
        <w:t xml:space="preserve">stains described </w:t>
      </w:r>
      <w:r w:rsidR="005F2D39" w:rsidRPr="009B6B5B">
        <w:rPr>
          <w:rFonts w:eastAsiaTheme="minorHAnsi" w:cstheme="minorBidi"/>
          <w:szCs w:val="24"/>
        </w:rPr>
        <w:t xml:space="preserve">in </w:t>
      </w:r>
      <w:r w:rsidR="00F07346">
        <w:fldChar w:fldCharType="begin"/>
      </w:r>
      <w:r w:rsidR="00F07346">
        <w:instrText xml:space="preserve"> REF _Ref421608459 \h  \* MERGEFORMAT </w:instrText>
      </w:r>
      <w:r w:rsidR="00F07346">
        <w:fldChar w:fldCharType="separate"/>
      </w:r>
      <w:r w:rsidR="000E54B2" w:rsidRPr="000E54B2">
        <w:rPr>
          <w:bCs/>
          <w:szCs w:val="24"/>
          <w:lang w:val="en-US" w:eastAsia="en-US"/>
        </w:rPr>
        <w:t xml:space="preserve">Table </w:t>
      </w:r>
      <w:r w:rsidR="000E54B2" w:rsidRPr="000E54B2">
        <w:rPr>
          <w:bCs/>
          <w:noProof/>
          <w:szCs w:val="24"/>
          <w:lang w:val="en-US" w:eastAsia="en-US"/>
        </w:rPr>
        <w:t>12</w:t>
      </w:r>
      <w:r w:rsidR="00F07346">
        <w:fldChar w:fldCharType="end"/>
      </w:r>
      <w:r w:rsidR="009B6B5B">
        <w:rPr>
          <w:rFonts w:eastAsiaTheme="minorHAnsi" w:cstheme="minorBidi"/>
          <w:szCs w:val="24"/>
        </w:rPr>
        <w:t xml:space="preserve"> </w:t>
      </w:r>
      <w:r w:rsidR="00EB102B">
        <w:rPr>
          <w:rFonts w:eastAsiaTheme="minorHAnsi" w:cstheme="minorBidi"/>
          <w:szCs w:val="22"/>
        </w:rPr>
        <w:fldChar w:fldCharType="begin"/>
      </w:r>
      <w:r w:rsidR="00EB102B">
        <w:rPr>
          <w:rFonts w:eastAsiaTheme="minorHAnsi" w:cstheme="minorBidi"/>
          <w:szCs w:val="24"/>
        </w:rPr>
        <w:instrText xml:space="preserve"> REF _Ref459028409 \p </w:instrText>
      </w:r>
      <w:r w:rsidR="00EB102B">
        <w:rPr>
          <w:rFonts w:eastAsiaTheme="minorHAnsi" w:cstheme="minorBidi"/>
          <w:szCs w:val="22"/>
        </w:rPr>
        <w:fldChar w:fldCharType="separate"/>
      </w:r>
      <w:r w:rsidR="000E54B2">
        <w:rPr>
          <w:rFonts w:eastAsiaTheme="minorHAnsi" w:cstheme="minorBidi"/>
          <w:szCs w:val="24"/>
        </w:rPr>
        <w:t>below</w:t>
      </w:r>
      <w:r w:rsidR="00EB102B">
        <w:rPr>
          <w:rFonts w:eastAsiaTheme="minorHAnsi" w:cstheme="minorBidi"/>
          <w:szCs w:val="22"/>
        </w:rPr>
        <w:fldChar w:fldCharType="end"/>
      </w:r>
      <w:r w:rsidRPr="002B2CFC">
        <w:rPr>
          <w:rFonts w:eastAsiaTheme="minorHAnsi" w:cstheme="minorBidi"/>
          <w:szCs w:val="22"/>
        </w:rPr>
        <w:t xml:space="preserve"> (note: TUNEL staining was performed in conjunction with Caspase 3 staining on a subpopulation of slides from the </w:t>
      </w:r>
      <w:r w:rsidR="00736114">
        <w:rPr>
          <w:rFonts w:eastAsiaTheme="minorHAnsi" w:cstheme="minorBidi"/>
          <w:szCs w:val="22"/>
        </w:rPr>
        <w:t>SN</w:t>
      </w:r>
      <w:r w:rsidRPr="002B2CFC">
        <w:rPr>
          <w:rFonts w:eastAsiaTheme="minorHAnsi" w:cstheme="minorBidi"/>
          <w:szCs w:val="22"/>
        </w:rPr>
        <w:t>)</w:t>
      </w:r>
      <w:r w:rsidR="005809A4">
        <w:rPr>
          <w:rFonts w:eastAsiaTheme="minorHAnsi" w:cstheme="minorBidi"/>
          <w:szCs w:val="22"/>
        </w:rPr>
        <w:t>.</w:t>
      </w:r>
    </w:p>
    <w:p w14:paraId="5244D5AA" w14:textId="77777777" w:rsidR="00436573" w:rsidRDefault="005F2D39" w:rsidP="00B935F1">
      <w:pPr>
        <w:keepNext/>
        <w:spacing w:after="120"/>
        <w:rPr>
          <w:b/>
          <w:bCs/>
          <w:sz w:val="20"/>
          <w:lang w:val="en-US" w:eastAsia="en-US"/>
        </w:rPr>
      </w:pPr>
      <w:bookmarkStart w:id="84" w:name="_Ref421608459"/>
      <w:bookmarkStart w:id="85" w:name="_Ref459028409"/>
      <w:r w:rsidRPr="005809A4">
        <w:rPr>
          <w:b/>
          <w:bCs/>
          <w:sz w:val="20"/>
          <w:lang w:val="en-US" w:eastAsia="en-US"/>
        </w:rPr>
        <w:lastRenderedPageBreak/>
        <w:t xml:space="preserve">Table </w:t>
      </w:r>
      <w:r w:rsidR="00897462" w:rsidRPr="005809A4">
        <w:rPr>
          <w:b/>
          <w:bCs/>
          <w:sz w:val="20"/>
          <w:lang w:val="en-US" w:eastAsia="en-US"/>
        </w:rPr>
        <w:fldChar w:fldCharType="begin"/>
      </w:r>
      <w:r w:rsidRPr="005809A4">
        <w:rPr>
          <w:b/>
          <w:bCs/>
          <w:sz w:val="20"/>
          <w:lang w:val="en-US" w:eastAsia="en-US"/>
        </w:rPr>
        <w:instrText xml:space="preserve"> SEQ Table \* ARABIC </w:instrText>
      </w:r>
      <w:r w:rsidR="00897462" w:rsidRPr="005809A4">
        <w:rPr>
          <w:b/>
          <w:bCs/>
          <w:sz w:val="20"/>
          <w:lang w:val="en-US" w:eastAsia="en-US"/>
        </w:rPr>
        <w:fldChar w:fldCharType="separate"/>
      </w:r>
      <w:r w:rsidR="000E54B2">
        <w:rPr>
          <w:b/>
          <w:bCs/>
          <w:noProof/>
          <w:sz w:val="20"/>
          <w:lang w:val="en-US" w:eastAsia="en-US"/>
        </w:rPr>
        <w:t>12</w:t>
      </w:r>
      <w:r w:rsidR="00897462" w:rsidRPr="005809A4">
        <w:rPr>
          <w:b/>
          <w:bCs/>
          <w:sz w:val="20"/>
          <w:lang w:val="en-US" w:eastAsia="en-US"/>
        </w:rPr>
        <w:fldChar w:fldCharType="end"/>
      </w:r>
      <w:bookmarkEnd w:id="84"/>
      <w:r w:rsidRPr="005809A4">
        <w:rPr>
          <w:b/>
          <w:bCs/>
          <w:sz w:val="20"/>
          <w:lang w:val="en-US" w:eastAsia="en-US"/>
        </w:rPr>
        <w:t>. Stains used for neuropathology examination, including purpose (detail from Butt, 2012)</w:t>
      </w:r>
      <w:bookmarkEnd w:id="85"/>
    </w:p>
    <w:tbl>
      <w:tblPr>
        <w:tblStyle w:val="TableGrid"/>
        <w:tblW w:w="0" w:type="auto"/>
        <w:tblLook w:val="04A0" w:firstRow="1" w:lastRow="0" w:firstColumn="1" w:lastColumn="0" w:noHBand="0" w:noVBand="1"/>
      </w:tblPr>
      <w:tblGrid>
        <w:gridCol w:w="1939"/>
        <w:gridCol w:w="7078"/>
      </w:tblGrid>
      <w:tr w:rsidR="005F2D39" w:rsidRPr="001F281A" w14:paraId="49AD108A" w14:textId="77777777" w:rsidTr="00E043AC">
        <w:tc>
          <w:tcPr>
            <w:tcW w:w="1951" w:type="dxa"/>
            <w:vAlign w:val="center"/>
          </w:tcPr>
          <w:p w14:paraId="35C5C71B" w14:textId="77777777" w:rsidR="005F2D39" w:rsidRPr="008E42B1" w:rsidRDefault="005F2D39" w:rsidP="00E043AC">
            <w:pPr>
              <w:jc w:val="left"/>
              <w:rPr>
                <w:b/>
                <w:sz w:val="20"/>
                <w:lang w:val="en-US" w:eastAsia="en-US"/>
              </w:rPr>
            </w:pPr>
            <w:r w:rsidRPr="008E42B1">
              <w:rPr>
                <w:b/>
                <w:sz w:val="20"/>
                <w:lang w:val="en-US" w:eastAsia="en-US"/>
              </w:rPr>
              <w:t>Amino Cupric Silver</w:t>
            </w:r>
          </w:p>
          <w:p w14:paraId="7F74234F" w14:textId="77777777" w:rsidR="005F2D39" w:rsidRPr="008E42B1" w:rsidRDefault="005F2D39" w:rsidP="00E043AC">
            <w:pPr>
              <w:jc w:val="left"/>
              <w:rPr>
                <w:b/>
                <w:sz w:val="20"/>
                <w:lang w:val="en-US" w:eastAsia="en-US"/>
              </w:rPr>
            </w:pPr>
            <w:r w:rsidRPr="008E42B1">
              <w:rPr>
                <w:b/>
                <w:sz w:val="20"/>
                <w:lang w:val="en-US" w:eastAsia="en-US"/>
              </w:rPr>
              <w:t>(AmCuAg)</w:t>
            </w:r>
          </w:p>
        </w:tc>
        <w:tc>
          <w:tcPr>
            <w:tcW w:w="7291" w:type="dxa"/>
          </w:tcPr>
          <w:p w14:paraId="257B7900" w14:textId="77777777" w:rsidR="005F2D39" w:rsidRPr="008E42B1" w:rsidRDefault="005F2D39" w:rsidP="00E043AC">
            <w:pPr>
              <w:rPr>
                <w:sz w:val="20"/>
                <w:lang w:val="en-US" w:eastAsia="en-US"/>
              </w:rPr>
            </w:pPr>
            <w:r w:rsidRPr="008E42B1">
              <w:rPr>
                <w:sz w:val="20"/>
                <w:lang w:val="en-US" w:eastAsia="en-US"/>
              </w:rPr>
              <w:t xml:space="preserve">Identifies necrotic/disintegrating neurons, neuronal processes (axons/dendrites and synaptic terminals). </w:t>
            </w:r>
          </w:p>
          <w:p w14:paraId="0CDDACAD" w14:textId="77777777" w:rsidR="005F2D39" w:rsidRPr="008E42B1" w:rsidRDefault="005F2D39" w:rsidP="00E043AC">
            <w:pPr>
              <w:rPr>
                <w:sz w:val="20"/>
                <w:lang w:val="en-US" w:eastAsia="en-US"/>
              </w:rPr>
            </w:pPr>
            <w:r w:rsidRPr="008E42B1">
              <w:rPr>
                <w:sz w:val="20"/>
                <w:lang w:val="en-US" w:eastAsia="en-US"/>
              </w:rPr>
              <w:t>Possible artifactual staining, staining of erythrocytes not removed during perfusion. Will non-selectively stain some normal neurons and processes (not as intensively as those undergoing necrosis/disintegration).</w:t>
            </w:r>
          </w:p>
          <w:p w14:paraId="2F361AC0" w14:textId="77777777" w:rsidR="005F2D39" w:rsidRPr="008E42B1" w:rsidRDefault="005F2D39" w:rsidP="00E043AC">
            <w:pPr>
              <w:rPr>
                <w:sz w:val="20"/>
                <w:lang w:val="en-US" w:eastAsia="en-US"/>
              </w:rPr>
            </w:pPr>
            <w:r w:rsidRPr="008E42B1">
              <w:rPr>
                <w:b/>
                <w:sz w:val="20"/>
                <w:lang w:val="en-US" w:eastAsia="en-US"/>
              </w:rPr>
              <w:t>Increased staining indicates neuronal cell necrosis.</w:t>
            </w:r>
          </w:p>
        </w:tc>
      </w:tr>
      <w:tr w:rsidR="005F2D39" w:rsidRPr="001F281A" w14:paraId="33CD6347" w14:textId="77777777" w:rsidTr="00E043AC">
        <w:tc>
          <w:tcPr>
            <w:tcW w:w="1951" w:type="dxa"/>
            <w:vAlign w:val="center"/>
          </w:tcPr>
          <w:p w14:paraId="0F606157" w14:textId="77777777" w:rsidR="005F2D39" w:rsidRPr="008E42B1" w:rsidRDefault="005F2D39" w:rsidP="00E043AC">
            <w:pPr>
              <w:jc w:val="left"/>
              <w:rPr>
                <w:b/>
                <w:sz w:val="20"/>
                <w:lang w:val="en-US" w:eastAsia="en-US"/>
              </w:rPr>
            </w:pPr>
            <w:r w:rsidRPr="008E42B1">
              <w:rPr>
                <w:b/>
                <w:sz w:val="20"/>
                <w:lang w:val="en-US" w:eastAsia="en-US"/>
              </w:rPr>
              <w:t>Tyrosine hydroxylase</w:t>
            </w:r>
          </w:p>
          <w:p w14:paraId="7F830CF6" w14:textId="77777777" w:rsidR="005F2D39" w:rsidRPr="008E42B1" w:rsidRDefault="005F2D39" w:rsidP="00E043AC">
            <w:pPr>
              <w:jc w:val="left"/>
              <w:rPr>
                <w:b/>
                <w:sz w:val="20"/>
                <w:lang w:val="en-US" w:eastAsia="en-US"/>
              </w:rPr>
            </w:pPr>
            <w:r w:rsidRPr="008E42B1">
              <w:rPr>
                <w:b/>
                <w:sz w:val="20"/>
                <w:lang w:val="en-US" w:eastAsia="en-US"/>
              </w:rPr>
              <w:t>(TH)</w:t>
            </w:r>
          </w:p>
        </w:tc>
        <w:tc>
          <w:tcPr>
            <w:tcW w:w="7291" w:type="dxa"/>
          </w:tcPr>
          <w:p w14:paraId="619528B5" w14:textId="77777777" w:rsidR="005F2D39" w:rsidRPr="008E42B1" w:rsidRDefault="005F2D39" w:rsidP="00E043AC">
            <w:pPr>
              <w:rPr>
                <w:sz w:val="20"/>
                <w:lang w:val="en-US" w:eastAsia="en-US"/>
              </w:rPr>
            </w:pPr>
            <w:r w:rsidRPr="008E42B1">
              <w:rPr>
                <w:sz w:val="20"/>
                <w:lang w:val="en-US" w:eastAsia="en-US"/>
              </w:rPr>
              <w:t xml:space="preserve">Identifies dopaminergic neurons and processes (tyrosine hydroxylase is a key enzyme in the production of </w:t>
            </w:r>
            <w:r>
              <w:rPr>
                <w:sz w:val="20"/>
                <w:lang w:val="en-US" w:eastAsia="en-US"/>
              </w:rPr>
              <w:t>DA</w:t>
            </w:r>
            <w:r w:rsidRPr="008E42B1">
              <w:rPr>
                <w:sz w:val="20"/>
                <w:lang w:val="en-US" w:eastAsia="en-US"/>
              </w:rPr>
              <w:t>).</w:t>
            </w:r>
          </w:p>
          <w:p w14:paraId="3247A4F6" w14:textId="77777777" w:rsidR="005F2D39" w:rsidRPr="008E42B1" w:rsidRDefault="005F2D39" w:rsidP="00E043AC">
            <w:pPr>
              <w:rPr>
                <w:sz w:val="20"/>
                <w:lang w:val="en-US" w:eastAsia="en-US"/>
              </w:rPr>
            </w:pPr>
            <w:r w:rsidRPr="008E42B1">
              <w:rPr>
                <w:sz w:val="20"/>
                <w:lang w:val="en-US" w:eastAsia="en-US"/>
              </w:rPr>
              <w:t xml:space="preserve">Neurons of the SN pc region stain selectively and consistently with this stain. In addition, projections from these neurons onto neurons in the striatum also stain consistently. </w:t>
            </w:r>
          </w:p>
          <w:p w14:paraId="019038DA" w14:textId="77777777" w:rsidR="005F2D39" w:rsidRPr="008E42B1" w:rsidRDefault="005F2D39" w:rsidP="00E043AC">
            <w:pPr>
              <w:rPr>
                <w:b/>
                <w:sz w:val="20"/>
                <w:lang w:val="en-US" w:eastAsia="en-US"/>
              </w:rPr>
            </w:pPr>
            <w:r w:rsidRPr="008E42B1">
              <w:rPr>
                <w:b/>
                <w:sz w:val="20"/>
                <w:lang w:val="en-US" w:eastAsia="en-US"/>
              </w:rPr>
              <w:t>Decreased staining in SN pc indicates loss of dopaminergic neurons (verified by AmCuAg) or loss of tyrosine expression in neuronal population.</w:t>
            </w:r>
          </w:p>
          <w:p w14:paraId="14E1C19D" w14:textId="77777777" w:rsidR="005F2D39" w:rsidRPr="008E42B1" w:rsidRDefault="005F2D39" w:rsidP="00E043AC">
            <w:pPr>
              <w:rPr>
                <w:b/>
                <w:sz w:val="20"/>
                <w:lang w:val="en-US" w:eastAsia="en-US"/>
              </w:rPr>
            </w:pPr>
            <w:r w:rsidRPr="008E42B1">
              <w:rPr>
                <w:b/>
                <w:sz w:val="20"/>
                <w:lang w:val="en-US" w:eastAsia="en-US"/>
              </w:rPr>
              <w:t>Decreased staining in striatum indicates loss (absolute or functional) of dopaminergic neurons as expressed by a decreased amount of TH in the synaptic terminals in the striatum.</w:t>
            </w:r>
          </w:p>
        </w:tc>
      </w:tr>
      <w:tr w:rsidR="005F2D39" w:rsidRPr="001F281A" w14:paraId="4DF331C5" w14:textId="77777777" w:rsidTr="00E043AC">
        <w:tc>
          <w:tcPr>
            <w:tcW w:w="1951" w:type="dxa"/>
            <w:vAlign w:val="center"/>
          </w:tcPr>
          <w:p w14:paraId="69666575" w14:textId="77777777" w:rsidR="005F2D39" w:rsidRPr="008E42B1" w:rsidRDefault="005F2D39" w:rsidP="00E043AC">
            <w:pPr>
              <w:jc w:val="left"/>
              <w:rPr>
                <w:b/>
                <w:sz w:val="20"/>
                <w:lang w:val="en-US" w:eastAsia="en-US"/>
              </w:rPr>
            </w:pPr>
            <w:r w:rsidRPr="008E42B1">
              <w:rPr>
                <w:b/>
                <w:sz w:val="20"/>
                <w:lang w:val="en-US" w:eastAsia="en-US"/>
              </w:rPr>
              <w:t>Glial Fibrillary Acidic Protein (GFAP)</w:t>
            </w:r>
          </w:p>
        </w:tc>
        <w:tc>
          <w:tcPr>
            <w:tcW w:w="7291" w:type="dxa"/>
          </w:tcPr>
          <w:p w14:paraId="184F26B7" w14:textId="77777777" w:rsidR="005F2D39" w:rsidRPr="008E42B1" w:rsidRDefault="005F2D39" w:rsidP="00E043AC">
            <w:pPr>
              <w:rPr>
                <w:sz w:val="20"/>
                <w:lang w:val="en-US" w:eastAsia="en-US"/>
              </w:rPr>
            </w:pPr>
            <w:r w:rsidRPr="008E42B1">
              <w:rPr>
                <w:sz w:val="20"/>
                <w:lang w:val="en-US" w:eastAsia="en-US"/>
              </w:rPr>
              <w:t>Selectively stains an intermediate filament that in the brain is mostly unique to astrocytes. Demonstrates an astrocyte response (indicative of parenchymal damage in all regions of the brain, but especially SN and striatum). CNS damage from different causes may result in an astrocytes response.</w:t>
            </w:r>
          </w:p>
          <w:p w14:paraId="2F8CF72C" w14:textId="77777777" w:rsidR="005F2D39" w:rsidRPr="008E42B1" w:rsidRDefault="005F2D39" w:rsidP="00E043AC">
            <w:pPr>
              <w:rPr>
                <w:b/>
                <w:sz w:val="20"/>
                <w:lang w:val="en-US" w:eastAsia="en-US"/>
              </w:rPr>
            </w:pPr>
            <w:r w:rsidRPr="008E42B1">
              <w:rPr>
                <w:b/>
                <w:sz w:val="20"/>
                <w:lang w:val="en-US" w:eastAsia="en-US"/>
              </w:rPr>
              <w:t>Increased staining indicates an astrocytic response.</w:t>
            </w:r>
          </w:p>
        </w:tc>
      </w:tr>
      <w:tr w:rsidR="005F2D39" w:rsidRPr="001F281A" w14:paraId="512EA82B" w14:textId="77777777" w:rsidTr="00E043AC">
        <w:tc>
          <w:tcPr>
            <w:tcW w:w="1951" w:type="dxa"/>
            <w:vAlign w:val="center"/>
          </w:tcPr>
          <w:p w14:paraId="05C923CB" w14:textId="77777777" w:rsidR="005F2D39" w:rsidRPr="008E42B1" w:rsidRDefault="005F2D39" w:rsidP="00E043AC">
            <w:pPr>
              <w:jc w:val="left"/>
              <w:rPr>
                <w:b/>
                <w:sz w:val="20"/>
                <w:lang w:val="en-US" w:eastAsia="en-US"/>
              </w:rPr>
            </w:pPr>
            <w:r w:rsidRPr="008E42B1">
              <w:rPr>
                <w:b/>
                <w:sz w:val="20"/>
                <w:lang w:val="en-US" w:eastAsia="en-US"/>
              </w:rPr>
              <w:t xml:space="preserve">Ionised Calcium Binding Adaptor Molecule1 </w:t>
            </w:r>
          </w:p>
          <w:p w14:paraId="106ED254" w14:textId="77777777" w:rsidR="005F2D39" w:rsidRPr="008E42B1" w:rsidRDefault="005F2D39" w:rsidP="00E043AC">
            <w:pPr>
              <w:jc w:val="left"/>
              <w:rPr>
                <w:b/>
                <w:sz w:val="20"/>
                <w:lang w:val="en-US" w:eastAsia="en-US"/>
              </w:rPr>
            </w:pPr>
            <w:r w:rsidRPr="008E42B1">
              <w:rPr>
                <w:b/>
                <w:sz w:val="20"/>
                <w:lang w:val="en-US" w:eastAsia="en-US"/>
              </w:rPr>
              <w:t>(IBA-1)</w:t>
            </w:r>
          </w:p>
        </w:tc>
        <w:tc>
          <w:tcPr>
            <w:tcW w:w="7291" w:type="dxa"/>
          </w:tcPr>
          <w:p w14:paraId="0687A11C" w14:textId="77777777" w:rsidR="005F2D39" w:rsidRPr="008E42B1" w:rsidRDefault="005F2D39" w:rsidP="00E043AC">
            <w:pPr>
              <w:rPr>
                <w:sz w:val="20"/>
                <w:lang w:val="en-US" w:eastAsia="en-US"/>
              </w:rPr>
            </w:pPr>
            <w:r w:rsidRPr="008E42B1">
              <w:rPr>
                <w:sz w:val="20"/>
                <w:lang w:val="en-US" w:eastAsia="en-US"/>
              </w:rPr>
              <w:t>Indicates the presence of IBA-1 which is is a protein specific for cells of the mononuclear phagocyte system (MPS), includes macrophages and microglial cells. This protein is expressed when these cells are activated, eg. cellular damage and inflammation.</w:t>
            </w:r>
          </w:p>
          <w:p w14:paraId="1C3C5251" w14:textId="77777777" w:rsidR="005F2D39" w:rsidRPr="008E42B1" w:rsidRDefault="005F2D39" w:rsidP="00E043AC">
            <w:pPr>
              <w:rPr>
                <w:sz w:val="20"/>
                <w:lang w:val="en-US" w:eastAsia="en-US"/>
              </w:rPr>
            </w:pPr>
            <w:r w:rsidRPr="008E42B1">
              <w:rPr>
                <w:b/>
                <w:sz w:val="20"/>
                <w:lang w:val="en-US" w:eastAsia="en-US"/>
              </w:rPr>
              <w:t>Increased staining indicates microglial activation.</w:t>
            </w:r>
          </w:p>
        </w:tc>
      </w:tr>
      <w:tr w:rsidR="005F2D39" w:rsidRPr="001F281A" w14:paraId="65743714" w14:textId="77777777" w:rsidTr="00E043AC">
        <w:tc>
          <w:tcPr>
            <w:tcW w:w="1951" w:type="dxa"/>
            <w:vAlign w:val="center"/>
          </w:tcPr>
          <w:p w14:paraId="05F6630D" w14:textId="77777777" w:rsidR="005F2D39" w:rsidRPr="008E42B1" w:rsidRDefault="005F2D39" w:rsidP="00E043AC">
            <w:pPr>
              <w:jc w:val="left"/>
              <w:rPr>
                <w:b/>
                <w:sz w:val="20"/>
                <w:lang w:val="en-US" w:eastAsia="en-US"/>
              </w:rPr>
            </w:pPr>
            <w:r w:rsidRPr="008E42B1">
              <w:rPr>
                <w:b/>
                <w:sz w:val="20"/>
                <w:lang w:val="en-US" w:eastAsia="en-US"/>
              </w:rPr>
              <w:t>Caspase-3</w:t>
            </w:r>
          </w:p>
        </w:tc>
        <w:tc>
          <w:tcPr>
            <w:tcW w:w="7291" w:type="dxa"/>
          </w:tcPr>
          <w:p w14:paraId="58428CA3" w14:textId="77777777" w:rsidR="005F2D39" w:rsidRPr="008E42B1" w:rsidRDefault="005F2D39" w:rsidP="00E043AC">
            <w:pPr>
              <w:rPr>
                <w:sz w:val="20"/>
                <w:lang w:val="en-US" w:eastAsia="en-US"/>
              </w:rPr>
            </w:pPr>
            <w:r w:rsidRPr="008E42B1">
              <w:rPr>
                <w:sz w:val="20"/>
                <w:lang w:val="en-US" w:eastAsia="en-US"/>
              </w:rPr>
              <w:t>Caspase-3 is involved in cell apoptosis. This stain can detect possible apoptotic cells and/or if apoptosis was involved in any necrosis detected by AmCuAg stain.</w:t>
            </w:r>
          </w:p>
          <w:p w14:paraId="0C1A3BC9" w14:textId="77777777" w:rsidR="005F2D39" w:rsidRPr="008E42B1" w:rsidRDefault="005F2D39" w:rsidP="00E043AC">
            <w:pPr>
              <w:rPr>
                <w:sz w:val="20"/>
                <w:lang w:val="en-US" w:eastAsia="en-US"/>
              </w:rPr>
            </w:pPr>
            <w:r w:rsidRPr="008E42B1">
              <w:rPr>
                <w:b/>
                <w:sz w:val="20"/>
                <w:lang w:val="en-US" w:eastAsia="en-US"/>
              </w:rPr>
              <w:t>Increased staining indicates apoptosis.</w:t>
            </w:r>
          </w:p>
        </w:tc>
      </w:tr>
      <w:tr w:rsidR="005F2D39" w:rsidRPr="001F281A" w14:paraId="1DE18796" w14:textId="77777777" w:rsidTr="00E043AC">
        <w:tc>
          <w:tcPr>
            <w:tcW w:w="1951" w:type="dxa"/>
            <w:vAlign w:val="center"/>
          </w:tcPr>
          <w:p w14:paraId="3671E8C9" w14:textId="77777777" w:rsidR="005F2D39" w:rsidRPr="008E42B1" w:rsidRDefault="005F2D39" w:rsidP="00E043AC">
            <w:pPr>
              <w:jc w:val="left"/>
              <w:rPr>
                <w:b/>
                <w:sz w:val="20"/>
                <w:lang w:val="en-US" w:eastAsia="en-US"/>
              </w:rPr>
            </w:pPr>
            <w:r w:rsidRPr="008E42B1">
              <w:rPr>
                <w:b/>
                <w:sz w:val="20"/>
                <w:lang w:val="en-US" w:eastAsia="en-US"/>
              </w:rPr>
              <w:t>Terminal deoxynucleotidyl transferase dUTP nick end labelling (TUNEL)</w:t>
            </w:r>
          </w:p>
          <w:p w14:paraId="4AFC3DC9" w14:textId="77777777" w:rsidR="005F2D39" w:rsidRPr="008E42B1" w:rsidRDefault="005F2D39" w:rsidP="00E043AC">
            <w:pPr>
              <w:jc w:val="left"/>
              <w:rPr>
                <w:b/>
                <w:sz w:val="20"/>
                <w:lang w:val="en-US" w:eastAsia="en-US"/>
              </w:rPr>
            </w:pPr>
            <w:r w:rsidRPr="008E42B1">
              <w:rPr>
                <w:b/>
                <w:sz w:val="20"/>
                <w:lang w:val="en-US" w:eastAsia="en-US"/>
              </w:rPr>
              <w:t>or MicroApoTag</w:t>
            </w:r>
          </w:p>
        </w:tc>
        <w:tc>
          <w:tcPr>
            <w:tcW w:w="7291" w:type="dxa"/>
          </w:tcPr>
          <w:p w14:paraId="49DB2EE5" w14:textId="77777777" w:rsidR="005F2D39" w:rsidRPr="008E42B1" w:rsidRDefault="005F2D39" w:rsidP="00E043AC">
            <w:pPr>
              <w:rPr>
                <w:sz w:val="20"/>
                <w:lang w:val="en-US" w:eastAsia="en-US"/>
              </w:rPr>
            </w:pPr>
            <w:r w:rsidRPr="008E42B1">
              <w:rPr>
                <w:sz w:val="20"/>
                <w:lang w:val="en-US" w:eastAsia="en-US"/>
              </w:rPr>
              <w:t xml:space="preserve">Detects DNA fragmentation from cellular apoptosis. </w:t>
            </w:r>
            <w:r w:rsidR="009B6B5B">
              <w:rPr>
                <w:sz w:val="20"/>
                <w:lang w:val="en-US" w:eastAsia="en-US"/>
              </w:rPr>
              <w:t>A</w:t>
            </w:r>
            <w:r w:rsidRPr="008E42B1">
              <w:rPr>
                <w:sz w:val="20"/>
                <w:lang w:val="en-US" w:eastAsia="en-US"/>
              </w:rPr>
              <w:t>poptosis should also label with TUNEL and Caspase-3, hence the stains support each other .</w:t>
            </w:r>
          </w:p>
          <w:p w14:paraId="78A2F016" w14:textId="77777777" w:rsidR="005F2D39" w:rsidRPr="008E42B1" w:rsidRDefault="005F2D39" w:rsidP="00E043AC">
            <w:pPr>
              <w:rPr>
                <w:b/>
                <w:sz w:val="20"/>
                <w:lang w:val="en-US" w:eastAsia="en-US"/>
              </w:rPr>
            </w:pPr>
            <w:r w:rsidRPr="008E42B1">
              <w:rPr>
                <w:b/>
                <w:sz w:val="20"/>
                <w:lang w:val="en-US" w:eastAsia="en-US"/>
              </w:rPr>
              <w:t>Increased staining indicates cell death due to apoptosis.</w:t>
            </w:r>
          </w:p>
        </w:tc>
      </w:tr>
      <w:tr w:rsidR="005F2D39" w:rsidRPr="001F281A" w14:paraId="0074C18E" w14:textId="77777777" w:rsidTr="00E043AC">
        <w:tc>
          <w:tcPr>
            <w:tcW w:w="1951" w:type="dxa"/>
            <w:vAlign w:val="center"/>
          </w:tcPr>
          <w:p w14:paraId="701B4840" w14:textId="77777777" w:rsidR="005F2D39" w:rsidRPr="008E42B1" w:rsidRDefault="005F2D39" w:rsidP="00E043AC">
            <w:pPr>
              <w:jc w:val="left"/>
              <w:rPr>
                <w:b/>
                <w:sz w:val="20"/>
                <w:lang w:val="en-US" w:eastAsia="en-US"/>
              </w:rPr>
            </w:pPr>
            <w:r w:rsidRPr="008E42B1">
              <w:rPr>
                <w:b/>
                <w:sz w:val="20"/>
                <w:lang w:val="en-US" w:eastAsia="en-US"/>
              </w:rPr>
              <w:t>Thionine</w:t>
            </w:r>
          </w:p>
        </w:tc>
        <w:tc>
          <w:tcPr>
            <w:tcW w:w="7291" w:type="dxa"/>
          </w:tcPr>
          <w:p w14:paraId="61AFB962" w14:textId="77777777" w:rsidR="005F2D39" w:rsidRPr="008E42B1" w:rsidRDefault="005F2D39" w:rsidP="00E043AC">
            <w:pPr>
              <w:rPr>
                <w:sz w:val="20"/>
                <w:lang w:val="en-US" w:eastAsia="en-US"/>
              </w:rPr>
            </w:pPr>
            <w:r w:rsidRPr="008E42B1">
              <w:rPr>
                <w:sz w:val="20"/>
                <w:lang w:val="en-US" w:eastAsia="en-US"/>
              </w:rPr>
              <w:t>A general morphology stain to identify cell nuclei. Suited for thick frozen sections.</w:t>
            </w:r>
          </w:p>
          <w:p w14:paraId="2D67C170" w14:textId="77777777" w:rsidR="005F2D39" w:rsidRPr="008E42B1" w:rsidRDefault="005F2D39" w:rsidP="00E043AC">
            <w:pPr>
              <w:rPr>
                <w:b/>
                <w:sz w:val="20"/>
                <w:lang w:val="en-US" w:eastAsia="en-US"/>
              </w:rPr>
            </w:pPr>
            <w:r w:rsidRPr="008E42B1">
              <w:rPr>
                <w:b/>
                <w:sz w:val="20"/>
                <w:lang w:val="en-US" w:eastAsia="en-US"/>
              </w:rPr>
              <w:t>General morphology stain.</w:t>
            </w:r>
          </w:p>
        </w:tc>
      </w:tr>
    </w:tbl>
    <w:p w14:paraId="1A320C3A" w14:textId="77777777" w:rsidR="0005512A" w:rsidRPr="002B2CFC" w:rsidRDefault="0005512A" w:rsidP="0005512A">
      <w:pPr>
        <w:spacing w:after="200" w:line="276" w:lineRule="auto"/>
        <w:contextualSpacing/>
        <w:rPr>
          <w:rFonts w:eastAsiaTheme="minorHAnsi" w:cstheme="minorBidi"/>
          <w:szCs w:val="22"/>
        </w:rPr>
      </w:pPr>
    </w:p>
    <w:p w14:paraId="0D0BC3EC" w14:textId="77777777" w:rsidR="0005512A" w:rsidRPr="002B2CFC" w:rsidRDefault="0005512A" w:rsidP="0005512A">
      <w:pPr>
        <w:spacing w:after="200"/>
        <w:rPr>
          <w:szCs w:val="24"/>
        </w:rPr>
      </w:pPr>
      <w:r w:rsidRPr="002B2CFC">
        <w:rPr>
          <w:rFonts w:eastAsiaTheme="minorHAnsi" w:cstheme="minorBidi"/>
          <w:szCs w:val="22"/>
        </w:rPr>
        <w:t xml:space="preserve">The slides were prepared by Neuroscience Associates, Inc. and sent to Tox Path Specialists for interpretation. </w:t>
      </w:r>
      <w:r w:rsidRPr="002B2CFC">
        <w:rPr>
          <w:szCs w:val="24"/>
        </w:rPr>
        <w:t>Results were subject to statistical analysis.</w:t>
      </w:r>
    </w:p>
    <w:p w14:paraId="1767F237" w14:textId="77777777" w:rsidR="0005512A" w:rsidRPr="002B2CFC" w:rsidRDefault="0005512A" w:rsidP="0005512A">
      <w:pPr>
        <w:spacing w:after="200"/>
        <w:rPr>
          <w:rFonts w:eastAsiaTheme="minorHAnsi" w:cstheme="minorBidi"/>
          <w:szCs w:val="22"/>
          <w:lang w:eastAsia="en-US"/>
        </w:rPr>
      </w:pPr>
      <w:r w:rsidRPr="002B2CFC">
        <w:rPr>
          <w:rFonts w:eastAsiaTheme="minorHAnsi" w:cstheme="minorBidi"/>
          <w:szCs w:val="22"/>
          <w:lang w:eastAsia="en-US"/>
        </w:rPr>
        <w:t>This was a non-Guideline study, although the ‘in-life’ portions of the study were well conducted and in keeping with OECD Guidelines (TG 424). The study was then deviated to specifically assess the parts of the brain of interest, as per OECD Guidance Document for Neurotoxicity Testing (No. 20).</w:t>
      </w:r>
    </w:p>
    <w:p w14:paraId="09C3F007" w14:textId="77777777" w:rsidR="0005512A" w:rsidRPr="002B2CFC" w:rsidRDefault="0005512A" w:rsidP="0005512A">
      <w:pPr>
        <w:spacing w:after="200"/>
        <w:rPr>
          <w:rFonts w:eastAsiaTheme="minorHAnsi" w:cstheme="minorBidi"/>
          <w:b/>
          <w:szCs w:val="22"/>
        </w:rPr>
      </w:pPr>
      <w:r w:rsidRPr="002B2CFC">
        <w:rPr>
          <w:rFonts w:eastAsiaTheme="minorHAnsi" w:cstheme="minorBidi"/>
          <w:b/>
          <w:szCs w:val="22"/>
        </w:rPr>
        <w:t>Results</w:t>
      </w:r>
    </w:p>
    <w:p w14:paraId="3CDBF5AD" w14:textId="77777777" w:rsidR="0005512A" w:rsidRPr="002B2CFC" w:rsidRDefault="0005512A" w:rsidP="0005512A">
      <w:pPr>
        <w:spacing w:after="200"/>
        <w:rPr>
          <w:rFonts w:eastAsiaTheme="minorHAnsi" w:cstheme="minorBidi"/>
          <w:i/>
          <w:szCs w:val="22"/>
        </w:rPr>
      </w:pPr>
      <w:r w:rsidRPr="002B2CFC">
        <w:rPr>
          <w:rFonts w:eastAsiaTheme="minorHAnsi" w:cstheme="minorBidi"/>
          <w:i/>
          <w:szCs w:val="22"/>
        </w:rPr>
        <w:t>Clinical signs, mortality and moribundity</w:t>
      </w:r>
      <w:r w:rsidR="005A10DF">
        <w:rPr>
          <w:rFonts w:eastAsiaTheme="minorHAnsi" w:cstheme="minorBidi"/>
          <w:i/>
          <w:szCs w:val="22"/>
        </w:rPr>
        <w:t>:</w:t>
      </w:r>
      <w:r w:rsidR="009B6B5B">
        <w:rPr>
          <w:rFonts w:eastAsiaTheme="minorHAnsi" w:cstheme="minorBidi"/>
          <w:i/>
          <w:szCs w:val="22"/>
        </w:rPr>
        <w:t xml:space="preserve"> </w:t>
      </w:r>
      <w:r w:rsidRPr="002B2CFC">
        <w:rPr>
          <w:szCs w:val="24"/>
        </w:rPr>
        <w:t>Two mice treated with paraquat (group</w:t>
      </w:r>
      <w:r>
        <w:rPr>
          <w:szCs w:val="24"/>
        </w:rPr>
        <w:t>s</w:t>
      </w:r>
      <w:r w:rsidRPr="002B2CFC">
        <w:rPr>
          <w:szCs w:val="24"/>
        </w:rPr>
        <w:t xml:space="preserve"> </w:t>
      </w:r>
      <w:r>
        <w:rPr>
          <w:szCs w:val="24"/>
        </w:rPr>
        <w:t>7 and 10</w:t>
      </w:r>
      <w:r w:rsidRPr="002B2CFC">
        <w:rPr>
          <w:szCs w:val="24"/>
        </w:rPr>
        <w:t xml:space="preserve">) were euthanised </w:t>
      </w:r>
      <w:r w:rsidRPr="002B2CFC">
        <w:rPr>
          <w:i/>
          <w:szCs w:val="24"/>
        </w:rPr>
        <w:t>in extremis</w:t>
      </w:r>
      <w:r w:rsidRPr="002B2CFC">
        <w:rPr>
          <w:szCs w:val="24"/>
        </w:rPr>
        <w:t xml:space="preserve"> on study days 4 and 12 respectively (ie 4 and 5 days following the first dose, respectively). The group 7 mouse exhibited hunched posture, hypoactivity and a cool body on the day of euthanasia, and the group 10 mouse showed no clinical signs. The</w:t>
      </w:r>
      <w:r>
        <w:rPr>
          <w:szCs w:val="24"/>
        </w:rPr>
        <w:t xml:space="preserve"> </w:t>
      </w:r>
      <w:r>
        <w:rPr>
          <w:szCs w:val="24"/>
        </w:rPr>
        <w:lastRenderedPageBreak/>
        <w:t>euthanised</w:t>
      </w:r>
      <w:r w:rsidRPr="002B2CFC">
        <w:rPr>
          <w:szCs w:val="24"/>
        </w:rPr>
        <w:t xml:space="preserve"> mice had severe body weight loss (up to 25%) and/or reduced food consumption (≤ 0.2 g/ day). All other mice survived to scheduled necropsy.</w:t>
      </w:r>
    </w:p>
    <w:p w14:paraId="5D6CC7B9" w14:textId="77777777" w:rsidR="0005512A" w:rsidRPr="002B2CFC" w:rsidRDefault="0005512A" w:rsidP="0005512A">
      <w:pPr>
        <w:spacing w:after="200"/>
        <w:rPr>
          <w:rFonts w:eastAsiaTheme="minorHAnsi" w:cstheme="minorBidi"/>
          <w:szCs w:val="22"/>
        </w:rPr>
      </w:pPr>
      <w:r w:rsidRPr="002B2CFC">
        <w:rPr>
          <w:rFonts w:eastAsiaTheme="minorHAnsi" w:cstheme="minorBidi"/>
          <w:szCs w:val="22"/>
        </w:rPr>
        <w:t>No clinical signs were noted in any other mice</w:t>
      </w:r>
      <w:r>
        <w:rPr>
          <w:rFonts w:eastAsiaTheme="minorHAnsi" w:cstheme="minorBidi"/>
          <w:szCs w:val="22"/>
        </w:rPr>
        <w:t>, with the exception of one mouse</w:t>
      </w:r>
      <w:r w:rsidRPr="002B2CFC">
        <w:rPr>
          <w:rFonts w:eastAsiaTheme="minorHAnsi" w:cstheme="minorBidi"/>
          <w:szCs w:val="22"/>
        </w:rPr>
        <w:t xml:space="preserve"> (group 4, single 25 mg/kg bw/dose</w:t>
      </w:r>
      <w:r>
        <w:rPr>
          <w:rFonts w:eastAsiaTheme="minorHAnsi" w:cstheme="minorBidi"/>
          <w:szCs w:val="22"/>
        </w:rPr>
        <w:t>) which exhibited hypoactivity a</w:t>
      </w:r>
      <w:r w:rsidRPr="002B2CFC">
        <w:rPr>
          <w:rFonts w:eastAsiaTheme="minorHAnsi" w:cstheme="minorBidi"/>
          <w:szCs w:val="22"/>
        </w:rPr>
        <w:t>t the 1 h post-dose examination</w:t>
      </w:r>
      <w:r>
        <w:rPr>
          <w:rFonts w:eastAsiaTheme="minorHAnsi" w:cstheme="minorBidi"/>
          <w:szCs w:val="22"/>
        </w:rPr>
        <w:t xml:space="preserve"> on day 14 only</w:t>
      </w:r>
      <w:r w:rsidRPr="002B2CFC">
        <w:rPr>
          <w:rFonts w:eastAsiaTheme="minorHAnsi" w:cstheme="minorBidi"/>
          <w:szCs w:val="22"/>
        </w:rPr>
        <w:t>.</w:t>
      </w:r>
    </w:p>
    <w:p w14:paraId="3136EC82" w14:textId="77777777" w:rsidR="0005512A" w:rsidRPr="002B2CFC" w:rsidRDefault="0005512A" w:rsidP="0005512A">
      <w:pPr>
        <w:spacing w:after="200"/>
        <w:rPr>
          <w:rFonts w:eastAsiaTheme="minorHAnsi" w:cstheme="minorBidi"/>
          <w:szCs w:val="22"/>
        </w:rPr>
      </w:pPr>
      <w:r w:rsidRPr="002B2CFC">
        <w:rPr>
          <w:rFonts w:eastAsiaTheme="minorHAnsi" w:cstheme="minorBidi"/>
          <w:szCs w:val="22"/>
        </w:rPr>
        <w:t>Positive control mice (MPTP) did not exhibit any treatment related clinical signs at any of the weekly examinations</w:t>
      </w:r>
      <w:r w:rsidR="00FA1CEB">
        <w:rPr>
          <w:rFonts w:eastAsiaTheme="minorHAnsi" w:cstheme="minorBidi"/>
          <w:szCs w:val="22"/>
        </w:rPr>
        <w:t>. However hypoactivity was noted an hour after dosing, increasing in incidence with subsequent injections (1, 4, 9 and 19 mice following the first, second, third and fourth injections, respectively)</w:t>
      </w:r>
      <w:r w:rsidRPr="002B2CFC">
        <w:rPr>
          <w:rFonts w:eastAsiaTheme="minorHAnsi" w:cstheme="minorBidi"/>
          <w:szCs w:val="22"/>
        </w:rPr>
        <w:t xml:space="preserve">. </w:t>
      </w:r>
      <w:r w:rsidR="00FA1CEB">
        <w:rPr>
          <w:rFonts w:eastAsiaTheme="minorHAnsi" w:cstheme="minorBidi"/>
          <w:szCs w:val="22"/>
        </w:rPr>
        <w:t>Also an hour post-dosing, r</w:t>
      </w:r>
      <w:r w:rsidRPr="002B2CFC">
        <w:rPr>
          <w:rFonts w:eastAsiaTheme="minorHAnsi" w:cstheme="minorBidi"/>
          <w:szCs w:val="22"/>
        </w:rPr>
        <w:t>ocking, lurching or swaying when walking was noted following the second, third and fourth</w:t>
      </w:r>
      <w:r w:rsidR="00FA1CEB">
        <w:rPr>
          <w:rFonts w:eastAsiaTheme="minorHAnsi" w:cstheme="minorBidi"/>
          <w:szCs w:val="22"/>
        </w:rPr>
        <w:t xml:space="preserve"> administration</w:t>
      </w:r>
      <w:r w:rsidRPr="002B2CFC">
        <w:rPr>
          <w:rFonts w:eastAsiaTheme="minorHAnsi" w:cstheme="minorBidi"/>
          <w:szCs w:val="22"/>
        </w:rPr>
        <w:t xml:space="preserve"> (at an incidence of 1, 1 and 2 mice, respectively). Single occurrences of tremors and hunched posture were seen an hour after the fourth dose. </w:t>
      </w:r>
      <w:r>
        <w:rPr>
          <w:rFonts w:eastAsiaTheme="minorHAnsi" w:cstheme="minorBidi"/>
          <w:szCs w:val="22"/>
        </w:rPr>
        <w:t>Half-closed eyelids</w:t>
      </w:r>
      <w:r w:rsidRPr="002B2CFC">
        <w:rPr>
          <w:rFonts w:eastAsiaTheme="minorHAnsi" w:cstheme="minorBidi"/>
          <w:szCs w:val="22"/>
        </w:rPr>
        <w:t xml:space="preserve"> w</w:t>
      </w:r>
      <w:r>
        <w:rPr>
          <w:rFonts w:eastAsiaTheme="minorHAnsi" w:cstheme="minorBidi"/>
          <w:szCs w:val="22"/>
        </w:rPr>
        <w:t>ere</w:t>
      </w:r>
      <w:r w:rsidRPr="002B2CFC">
        <w:rPr>
          <w:rFonts w:eastAsiaTheme="minorHAnsi" w:cstheme="minorBidi"/>
          <w:szCs w:val="22"/>
        </w:rPr>
        <w:t xml:space="preserve"> noted 1 h after the 3</w:t>
      </w:r>
      <w:r w:rsidRPr="002B2CFC">
        <w:rPr>
          <w:rFonts w:eastAsiaTheme="minorHAnsi" w:cstheme="minorBidi"/>
          <w:szCs w:val="22"/>
          <w:vertAlign w:val="superscript"/>
        </w:rPr>
        <w:t>rd</w:t>
      </w:r>
      <w:r w:rsidRPr="002B2CFC">
        <w:rPr>
          <w:rFonts w:eastAsiaTheme="minorHAnsi" w:cstheme="minorBidi"/>
          <w:szCs w:val="22"/>
        </w:rPr>
        <w:t xml:space="preserve"> and 4</w:t>
      </w:r>
      <w:r w:rsidRPr="002B2CFC">
        <w:rPr>
          <w:rFonts w:eastAsiaTheme="minorHAnsi" w:cstheme="minorBidi"/>
          <w:szCs w:val="22"/>
          <w:vertAlign w:val="superscript"/>
        </w:rPr>
        <w:t>th</w:t>
      </w:r>
      <w:r w:rsidRPr="002B2CFC">
        <w:rPr>
          <w:rFonts w:eastAsiaTheme="minorHAnsi" w:cstheme="minorBidi"/>
          <w:szCs w:val="22"/>
        </w:rPr>
        <w:t xml:space="preserve"> dosing in </w:t>
      </w:r>
      <w:r>
        <w:rPr>
          <w:rFonts w:eastAsiaTheme="minorHAnsi" w:cstheme="minorBidi"/>
          <w:szCs w:val="22"/>
        </w:rPr>
        <w:t>two</w:t>
      </w:r>
      <w:r w:rsidRPr="002B2CFC">
        <w:rPr>
          <w:rFonts w:eastAsiaTheme="minorHAnsi" w:cstheme="minorBidi"/>
          <w:szCs w:val="22"/>
        </w:rPr>
        <w:t xml:space="preserve"> animals.</w:t>
      </w:r>
    </w:p>
    <w:p w14:paraId="231C0B13" w14:textId="1CF18D20" w:rsidR="0005512A" w:rsidRPr="002B2CFC" w:rsidRDefault="0005512A" w:rsidP="0005512A">
      <w:pPr>
        <w:spacing w:after="200"/>
        <w:rPr>
          <w:rFonts w:eastAsiaTheme="minorHAnsi" w:cstheme="minorBidi"/>
          <w:szCs w:val="22"/>
        </w:rPr>
      </w:pPr>
      <w:r w:rsidRPr="002B2CFC">
        <w:rPr>
          <w:rFonts w:eastAsiaTheme="minorHAnsi" w:cstheme="minorBidi"/>
          <w:i/>
          <w:szCs w:val="22"/>
        </w:rPr>
        <w:t>Body weight and food consumption</w:t>
      </w:r>
      <w:r w:rsidR="005A10DF">
        <w:rPr>
          <w:rFonts w:eastAsiaTheme="minorHAnsi" w:cstheme="minorBidi"/>
          <w:i/>
          <w:szCs w:val="22"/>
        </w:rPr>
        <w:t>:</w:t>
      </w:r>
      <w:r w:rsidR="00202FD4">
        <w:rPr>
          <w:rFonts w:eastAsiaTheme="minorHAnsi" w:cstheme="minorBidi"/>
          <w:i/>
          <w:szCs w:val="22"/>
        </w:rPr>
        <w:t xml:space="preserve"> </w:t>
      </w:r>
      <w:r>
        <w:rPr>
          <w:rFonts w:eastAsiaTheme="minorHAnsi" w:cstheme="minorBidi"/>
          <w:szCs w:val="22"/>
        </w:rPr>
        <w:t>B</w:t>
      </w:r>
      <w:r w:rsidRPr="002B2CFC">
        <w:rPr>
          <w:rFonts w:eastAsiaTheme="minorHAnsi" w:cstheme="minorBidi"/>
          <w:szCs w:val="22"/>
        </w:rPr>
        <w:t xml:space="preserve">ody weight losses were noted in </w:t>
      </w:r>
      <w:r>
        <w:rPr>
          <w:rFonts w:eastAsiaTheme="minorHAnsi" w:cstheme="minorBidi"/>
          <w:szCs w:val="22"/>
        </w:rPr>
        <w:t xml:space="preserve">all </w:t>
      </w:r>
      <w:r w:rsidRPr="002B2CFC">
        <w:rPr>
          <w:rFonts w:eastAsiaTheme="minorHAnsi" w:cstheme="minorBidi"/>
          <w:szCs w:val="22"/>
        </w:rPr>
        <w:t>paraquat treated groups</w:t>
      </w:r>
      <w:r w:rsidRPr="006965D0">
        <w:rPr>
          <w:rFonts w:eastAsiaTheme="minorHAnsi" w:cstheme="minorBidi"/>
          <w:szCs w:val="24"/>
        </w:rPr>
        <w:t>. In most instances, injection with ip paraquat resulted in a body weight loss the</w:t>
      </w:r>
      <w:r w:rsidRPr="002B2CFC">
        <w:rPr>
          <w:rFonts w:eastAsiaTheme="minorHAnsi" w:cstheme="minorBidi"/>
          <w:szCs w:val="22"/>
        </w:rPr>
        <w:t xml:space="preserve"> following day. This loss was statistically significant for all 25 mg/kg bw/dose administrations (up to 12.7% </w:t>
      </w:r>
      <w:r w:rsidR="00202FD4">
        <w:rPr>
          <w:rFonts w:eastAsiaTheme="minorHAnsi" w:cstheme="minorBidi"/>
          <w:szCs w:val="22"/>
        </w:rPr>
        <w:t>lower</w:t>
      </w:r>
      <w:r>
        <w:rPr>
          <w:rFonts w:eastAsiaTheme="minorHAnsi" w:cstheme="minorBidi"/>
          <w:szCs w:val="22"/>
        </w:rPr>
        <w:t xml:space="preserve"> </w:t>
      </w:r>
      <w:r w:rsidRPr="002B2CFC">
        <w:rPr>
          <w:rFonts w:eastAsiaTheme="minorHAnsi" w:cstheme="minorBidi"/>
          <w:szCs w:val="22"/>
        </w:rPr>
        <w:t xml:space="preserve">than controls), half of the 15 mg/kg bw/dose administrations (up to 5.9% </w:t>
      </w:r>
      <w:r w:rsidR="00202FD4">
        <w:rPr>
          <w:rFonts w:eastAsiaTheme="minorHAnsi" w:cstheme="minorBidi"/>
          <w:szCs w:val="22"/>
        </w:rPr>
        <w:t>lower</w:t>
      </w:r>
      <w:r w:rsidRPr="002B2CFC">
        <w:rPr>
          <w:rFonts w:eastAsiaTheme="minorHAnsi" w:cstheme="minorBidi"/>
          <w:szCs w:val="22"/>
        </w:rPr>
        <w:t xml:space="preserve"> than controls), and only once for the 10 mg/kg bw/dose (up to 4.1% </w:t>
      </w:r>
      <w:r w:rsidR="00202FD4">
        <w:rPr>
          <w:rFonts w:eastAsiaTheme="minorHAnsi" w:cstheme="minorBidi"/>
          <w:szCs w:val="22"/>
        </w:rPr>
        <w:t>lower</w:t>
      </w:r>
      <w:r w:rsidRPr="002B2CFC">
        <w:rPr>
          <w:rFonts w:eastAsiaTheme="minorHAnsi" w:cstheme="minorBidi"/>
          <w:szCs w:val="22"/>
        </w:rPr>
        <w:t xml:space="preserve"> than controls). Increasing number of injections of paraquat increased the severity of the weight loss. Weight change over the study period day 0 to 14 was dose-relatedly reduced for mice receiving 2 or 3 injections of paraquat, however was statistically significantly reduced </w:t>
      </w:r>
      <w:r>
        <w:rPr>
          <w:rFonts w:eastAsiaTheme="minorHAnsi" w:cstheme="minorBidi"/>
          <w:szCs w:val="22"/>
        </w:rPr>
        <w:t>only for the mice which received 3 doses at</w:t>
      </w:r>
      <w:r w:rsidR="00C63C9E">
        <w:rPr>
          <w:rFonts w:eastAsiaTheme="minorHAnsi" w:cstheme="minorBidi"/>
          <w:szCs w:val="22"/>
        </w:rPr>
        <w:t xml:space="preserve"> </w:t>
      </w:r>
      <w:r w:rsidRPr="002B2CFC">
        <w:rPr>
          <w:rFonts w:eastAsiaTheme="minorHAnsi" w:cstheme="minorBidi"/>
          <w:szCs w:val="22"/>
        </w:rPr>
        <w:t xml:space="preserve">15 and 25 mg/kg bw. Overall weight change (from study day 0-21) was dose relatedly reduced for the mice receiving 3 injections of paraquat (1.3, 0.6 and 0.4 g for 10, 15 and 25 mg/kg bw/dose respectively) although the weight gained by the lowest dosed group was greater than the vehicle control group (0.7 g). Groups receiving one or two injections of paraquat did not show a dose-relationship in </w:t>
      </w:r>
      <w:r w:rsidR="00C63C9E">
        <w:rPr>
          <w:rFonts w:eastAsiaTheme="minorHAnsi" w:cstheme="minorBidi"/>
          <w:szCs w:val="22"/>
        </w:rPr>
        <w:t xml:space="preserve">the overall </w:t>
      </w:r>
      <w:r w:rsidRPr="002B2CFC">
        <w:rPr>
          <w:rFonts w:eastAsiaTheme="minorHAnsi" w:cstheme="minorBidi"/>
          <w:szCs w:val="22"/>
        </w:rPr>
        <w:t xml:space="preserve">day 0-21 weight gain. These results were not subject to statistical analysis. </w:t>
      </w:r>
      <w:r>
        <w:rPr>
          <w:rFonts w:eastAsiaTheme="minorHAnsi" w:cstheme="minorBidi"/>
          <w:szCs w:val="22"/>
        </w:rPr>
        <w:t>Overall, administration of paraquat dichloride by ip injection resulted in a treatment related reduction in body weight gain, or actual body weight loss at all doses tested. The severity was greater with increased dose and with increased frequency of dosing.</w:t>
      </w:r>
    </w:p>
    <w:p w14:paraId="4578C70F" w14:textId="669CCB3F" w:rsidR="0005512A" w:rsidRPr="00786BD1" w:rsidRDefault="0005512A" w:rsidP="0005512A">
      <w:pPr>
        <w:spacing w:after="200"/>
        <w:rPr>
          <w:rFonts w:eastAsiaTheme="minorHAnsi" w:cstheme="minorBidi"/>
          <w:b/>
          <w:bCs/>
          <w:sz w:val="20"/>
          <w:szCs w:val="18"/>
          <w:lang w:eastAsia="en-US"/>
        </w:rPr>
      </w:pPr>
      <w:r w:rsidRPr="002B2CFC">
        <w:rPr>
          <w:rFonts w:eastAsiaTheme="minorHAnsi" w:cstheme="minorBidi"/>
          <w:szCs w:val="22"/>
        </w:rPr>
        <w:t>The positive control group showed a slight reduction in body weight following treatment (day 15</w:t>
      </w:r>
      <w:r w:rsidR="00A623AA">
        <w:rPr>
          <w:rFonts w:eastAsiaTheme="minorHAnsi" w:cstheme="minorBidi"/>
          <w:szCs w:val="22"/>
        </w:rPr>
        <w:t>,</w:t>
      </w:r>
      <w:r w:rsidRPr="002B2CFC">
        <w:rPr>
          <w:rFonts w:eastAsiaTheme="minorHAnsi" w:cstheme="minorBidi"/>
          <w:szCs w:val="22"/>
        </w:rPr>
        <w:t xml:space="preserve"> -3.5% from controls) followed by a statistically significant gain of 6.2 % greater than controls on day 18. Other fluctuations in body weight for paraquat-treated groups and MPTP-treated groups are considered sporadic due to the small magnitude of the change/ the direction of the change/ occurrence prior to dosing and/or lack of a dose relationship.</w:t>
      </w:r>
      <w:r w:rsidR="000A1828">
        <w:rPr>
          <w:rFonts w:eastAsiaTheme="minorHAnsi" w:cstheme="minorBidi"/>
          <w:szCs w:val="22"/>
        </w:rPr>
        <w:t xml:space="preserve"> </w:t>
      </w:r>
      <w:r w:rsidRPr="002B2CFC">
        <w:rPr>
          <w:rFonts w:eastAsiaTheme="minorHAnsi" w:cstheme="minorBidi"/>
          <w:szCs w:val="22"/>
        </w:rPr>
        <w:t xml:space="preserve">Food consumption was dose-relatedly reduced for mice receiving 15 or 25 mg/kg bw paraquat and is considered treatment-related. Food intake was less than controls following the first dose administration, </w:t>
      </w:r>
      <w:r>
        <w:rPr>
          <w:rFonts w:eastAsiaTheme="minorHAnsi" w:cstheme="minorBidi"/>
          <w:szCs w:val="22"/>
        </w:rPr>
        <w:t>correlating with</w:t>
      </w:r>
      <w:r w:rsidRPr="002B2CFC">
        <w:rPr>
          <w:rFonts w:eastAsiaTheme="minorHAnsi" w:cstheme="minorBidi"/>
          <w:szCs w:val="22"/>
        </w:rPr>
        <w:t xml:space="preserve"> reduced body weight gain. These differences were generally statistically significant (with the exception of group 3, one injection of 15 mg/kg bw). Reduced food consumption persisted to the second day after administration for the 25 mg/kg bw/ dose groups (groups 4, 7 and 10), in most cases this difference was statistically significant.</w:t>
      </w:r>
    </w:p>
    <w:p w14:paraId="4579553A" w14:textId="77777777" w:rsidR="0005512A" w:rsidRPr="002B2CFC" w:rsidRDefault="0005512A" w:rsidP="0005512A">
      <w:pPr>
        <w:spacing w:after="200"/>
        <w:rPr>
          <w:rFonts w:eastAsiaTheme="minorHAnsi" w:cstheme="minorBidi"/>
          <w:sz w:val="20"/>
          <w:szCs w:val="22"/>
        </w:rPr>
      </w:pPr>
      <w:r w:rsidRPr="002B2CFC">
        <w:rPr>
          <w:rFonts w:eastAsiaTheme="minorHAnsi" w:cstheme="minorBidi"/>
          <w:szCs w:val="22"/>
        </w:rPr>
        <w:t xml:space="preserve">Groups receiving 10 mg/kg bw/dose paraquat did not exhibit any effects on food consumption. </w:t>
      </w:r>
      <w:r w:rsidR="007B280E">
        <w:rPr>
          <w:rFonts w:eastAsiaTheme="minorHAnsi" w:cstheme="minorBidi"/>
          <w:szCs w:val="22"/>
        </w:rPr>
        <w:t>The positive control group (</w:t>
      </w:r>
      <w:r w:rsidRPr="002B2CFC">
        <w:rPr>
          <w:rFonts w:eastAsiaTheme="minorHAnsi" w:cstheme="minorBidi"/>
          <w:szCs w:val="22"/>
        </w:rPr>
        <w:t>Group 11</w:t>
      </w:r>
      <w:r w:rsidR="007B280E">
        <w:rPr>
          <w:rFonts w:eastAsiaTheme="minorHAnsi" w:cstheme="minorBidi"/>
          <w:szCs w:val="22"/>
        </w:rPr>
        <w:t xml:space="preserve">) </w:t>
      </w:r>
      <w:r w:rsidRPr="002B2CFC">
        <w:rPr>
          <w:rFonts w:eastAsiaTheme="minorHAnsi" w:cstheme="minorBidi"/>
          <w:szCs w:val="22"/>
        </w:rPr>
        <w:t>had statistically significant lower mean food consumption on days 14-15</w:t>
      </w:r>
      <w:r>
        <w:rPr>
          <w:rFonts w:eastAsiaTheme="minorHAnsi" w:cstheme="minorBidi"/>
          <w:szCs w:val="22"/>
        </w:rPr>
        <w:t xml:space="preserve"> only</w:t>
      </w:r>
      <w:r w:rsidRPr="002B2CFC">
        <w:rPr>
          <w:rFonts w:eastAsiaTheme="minorHAnsi" w:cstheme="minorBidi"/>
          <w:szCs w:val="22"/>
        </w:rPr>
        <w:t xml:space="preserve">. </w:t>
      </w:r>
    </w:p>
    <w:p w14:paraId="5AC7768C" w14:textId="77777777" w:rsidR="0005512A" w:rsidRPr="002B2CFC" w:rsidRDefault="0005512A" w:rsidP="0005512A">
      <w:pPr>
        <w:spacing w:after="200"/>
        <w:rPr>
          <w:rFonts w:eastAsiaTheme="minorHAnsi" w:cstheme="minorBidi"/>
          <w:szCs w:val="22"/>
        </w:rPr>
      </w:pPr>
      <w:r w:rsidRPr="002B2CFC">
        <w:rPr>
          <w:rFonts w:eastAsiaTheme="minorHAnsi" w:cstheme="minorBidi"/>
          <w:i/>
          <w:szCs w:val="22"/>
        </w:rPr>
        <w:lastRenderedPageBreak/>
        <w:t>Necropsy, macroscopic findings and brain weights</w:t>
      </w:r>
      <w:r w:rsidR="005A10DF">
        <w:rPr>
          <w:rFonts w:eastAsiaTheme="minorHAnsi" w:cstheme="minorBidi"/>
          <w:i/>
          <w:szCs w:val="22"/>
        </w:rPr>
        <w:t>:</w:t>
      </w:r>
      <w:r w:rsidRPr="002B2CFC">
        <w:rPr>
          <w:rFonts w:eastAsiaTheme="minorHAnsi" w:cstheme="minorBidi"/>
          <w:szCs w:val="22"/>
        </w:rPr>
        <w:t xml:space="preserve">The two males sacrificed </w:t>
      </w:r>
      <w:r w:rsidRPr="002B2CFC">
        <w:rPr>
          <w:rFonts w:eastAsiaTheme="minorHAnsi" w:cstheme="minorBidi"/>
          <w:i/>
          <w:szCs w:val="22"/>
        </w:rPr>
        <w:t>in extremis</w:t>
      </w:r>
      <w:r w:rsidRPr="002B2CFC">
        <w:rPr>
          <w:rFonts w:eastAsiaTheme="minorHAnsi" w:cstheme="minorBidi"/>
          <w:szCs w:val="22"/>
        </w:rPr>
        <w:t xml:space="preserve"> on days 4 and 12 (25 mg/kg bw/dose, 3</w:t>
      </w:r>
      <w:r w:rsidRPr="002B2CFC">
        <w:rPr>
          <w:rFonts w:eastAsiaTheme="minorHAnsi"/>
          <w:szCs w:val="22"/>
        </w:rPr>
        <w:t>×</w:t>
      </w:r>
      <w:r w:rsidRPr="002B2CFC">
        <w:rPr>
          <w:rFonts w:eastAsiaTheme="minorHAnsi" w:cstheme="minorBidi"/>
          <w:szCs w:val="22"/>
        </w:rPr>
        <w:t xml:space="preserve"> and 2</w:t>
      </w:r>
      <w:r w:rsidRPr="002B2CFC">
        <w:rPr>
          <w:rFonts w:eastAsiaTheme="minorHAnsi"/>
          <w:szCs w:val="22"/>
        </w:rPr>
        <w:t>×</w:t>
      </w:r>
      <w:r w:rsidRPr="002B2CFC">
        <w:rPr>
          <w:rFonts w:eastAsiaTheme="minorHAnsi" w:cstheme="minorBidi"/>
          <w:szCs w:val="22"/>
        </w:rPr>
        <w:t xml:space="preserve"> respectively) showed no </w:t>
      </w:r>
      <w:r>
        <w:rPr>
          <w:rFonts w:eastAsiaTheme="minorHAnsi" w:cstheme="minorBidi"/>
          <w:szCs w:val="22"/>
        </w:rPr>
        <w:t>gross</w:t>
      </w:r>
      <w:r w:rsidRPr="002B2CFC">
        <w:rPr>
          <w:rFonts w:eastAsiaTheme="minorHAnsi" w:cstheme="minorBidi"/>
          <w:szCs w:val="22"/>
        </w:rPr>
        <w:t xml:space="preserve"> abnormalities at necropsy. Further detailed pathology examination was limited to the brain. The cause of death is unknown, but </w:t>
      </w:r>
      <w:r>
        <w:rPr>
          <w:rFonts w:eastAsiaTheme="minorHAnsi" w:cstheme="minorBidi"/>
          <w:szCs w:val="22"/>
        </w:rPr>
        <w:t xml:space="preserve">it </w:t>
      </w:r>
      <w:r w:rsidRPr="002B2CFC">
        <w:rPr>
          <w:rFonts w:eastAsiaTheme="minorHAnsi" w:cstheme="minorBidi"/>
          <w:szCs w:val="22"/>
        </w:rPr>
        <w:t>cannot be ruled out as treatment related</w:t>
      </w:r>
      <w:r>
        <w:rPr>
          <w:rFonts w:eastAsiaTheme="minorHAnsi" w:cstheme="minorBidi"/>
          <w:szCs w:val="22"/>
        </w:rPr>
        <w:t xml:space="preserve"> as the deaths occurred at the highest dose</w:t>
      </w:r>
      <w:r w:rsidRPr="002B2CFC">
        <w:rPr>
          <w:rFonts w:eastAsiaTheme="minorHAnsi" w:cstheme="minorBidi"/>
          <w:szCs w:val="22"/>
        </w:rPr>
        <w:t xml:space="preserve">. </w:t>
      </w:r>
      <w:r>
        <w:rPr>
          <w:rFonts w:eastAsiaTheme="minorHAnsi" w:cstheme="minorBidi"/>
          <w:szCs w:val="22"/>
        </w:rPr>
        <w:t>At the scheduled necropsy, g</w:t>
      </w:r>
      <w:r w:rsidRPr="002B2CFC">
        <w:rPr>
          <w:rFonts w:eastAsiaTheme="minorHAnsi" w:cstheme="minorBidi"/>
          <w:szCs w:val="22"/>
        </w:rPr>
        <w:t xml:space="preserve">ross observations </w:t>
      </w:r>
      <w:r>
        <w:rPr>
          <w:rFonts w:eastAsiaTheme="minorHAnsi" w:cstheme="minorBidi"/>
          <w:szCs w:val="22"/>
        </w:rPr>
        <w:t xml:space="preserve">of </w:t>
      </w:r>
      <w:r w:rsidRPr="002B2CFC">
        <w:rPr>
          <w:rFonts w:eastAsiaTheme="minorHAnsi" w:cstheme="minorBidi"/>
          <w:szCs w:val="22"/>
        </w:rPr>
        <w:t xml:space="preserve">“red” or “depressed” areas in the cerebral hemisphere or cerebellum </w:t>
      </w:r>
      <w:r>
        <w:rPr>
          <w:rFonts w:eastAsiaTheme="minorHAnsi" w:cstheme="minorBidi"/>
          <w:szCs w:val="22"/>
        </w:rPr>
        <w:t>were noted for</w:t>
      </w:r>
      <w:r w:rsidRPr="002B2CFC">
        <w:rPr>
          <w:rFonts w:eastAsiaTheme="minorHAnsi" w:cstheme="minorBidi"/>
          <w:szCs w:val="22"/>
        </w:rPr>
        <w:t xml:space="preserve"> several animals across all groups (including controls) and did not correlate to any microscopic findings. These are accepted to be artefacts of </w:t>
      </w:r>
      <w:r>
        <w:rPr>
          <w:rFonts w:eastAsiaTheme="minorHAnsi" w:cstheme="minorBidi"/>
          <w:szCs w:val="22"/>
        </w:rPr>
        <w:t>processing</w:t>
      </w:r>
      <w:r w:rsidRPr="002B2CFC">
        <w:rPr>
          <w:rFonts w:eastAsiaTheme="minorHAnsi" w:cstheme="minorBidi"/>
          <w:szCs w:val="22"/>
        </w:rPr>
        <w:t>.</w:t>
      </w:r>
    </w:p>
    <w:p w14:paraId="311BC8F4" w14:textId="77777777" w:rsidR="0005512A" w:rsidRDefault="0005512A" w:rsidP="0005512A">
      <w:pPr>
        <w:spacing w:after="200"/>
        <w:rPr>
          <w:rFonts w:eastAsiaTheme="minorHAnsi" w:cstheme="minorBidi"/>
          <w:szCs w:val="22"/>
        </w:rPr>
      </w:pPr>
      <w:r w:rsidRPr="002B2CFC">
        <w:rPr>
          <w:rFonts w:eastAsiaTheme="minorHAnsi" w:cstheme="minorBidi"/>
          <w:szCs w:val="22"/>
        </w:rPr>
        <w:t>Brain weights and measurements were similar to control group values for both paraquat and MPTP–treated groups.</w:t>
      </w:r>
    </w:p>
    <w:p w14:paraId="413DF986" w14:textId="237A5DCA" w:rsidR="00786BD1" w:rsidRDefault="00786BD1" w:rsidP="00786BD1">
      <w:pPr>
        <w:pStyle w:val="Caption"/>
        <w:spacing w:after="120"/>
        <w:rPr>
          <w:rFonts w:eastAsiaTheme="minorHAnsi" w:cstheme="minorBidi"/>
          <w:szCs w:val="22"/>
        </w:rPr>
      </w:pPr>
      <w:r>
        <w:t xml:space="preserve">Table </w:t>
      </w:r>
      <w:r>
        <w:fldChar w:fldCharType="begin"/>
      </w:r>
      <w:r>
        <w:instrText xml:space="preserve"> SEQ Table \* ARABIC </w:instrText>
      </w:r>
      <w:r>
        <w:fldChar w:fldCharType="separate"/>
      </w:r>
      <w:r w:rsidR="000E54B2">
        <w:rPr>
          <w:noProof/>
        </w:rPr>
        <w:t>13</w:t>
      </w:r>
      <w:r>
        <w:fldChar w:fldCharType="end"/>
      </w:r>
      <w:r>
        <w:t xml:space="preserve"> - Summary of results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87"/>
        <w:gridCol w:w="1043"/>
        <w:gridCol w:w="2263"/>
        <w:gridCol w:w="1957"/>
        <w:gridCol w:w="2667"/>
      </w:tblGrid>
      <w:tr w:rsidR="00786BD1" w:rsidRPr="002B2CFC" w14:paraId="6E8A2B2C" w14:textId="77777777" w:rsidTr="00965E16">
        <w:trPr>
          <w:cantSplit/>
        </w:trPr>
        <w:tc>
          <w:tcPr>
            <w:tcW w:w="602" w:type="pct"/>
            <w:tcBorders>
              <w:top w:val="single" w:sz="4" w:space="0" w:color="auto"/>
              <w:left w:val="single" w:sz="4" w:space="0" w:color="auto"/>
              <w:bottom w:val="single" w:sz="4" w:space="0" w:color="auto"/>
              <w:right w:val="single" w:sz="4" w:space="0" w:color="auto"/>
            </w:tcBorders>
            <w:shd w:val="clear" w:color="auto" w:fill="BFBFBF"/>
          </w:tcPr>
          <w:p w14:paraId="5A664050" w14:textId="77777777" w:rsidR="00786BD1" w:rsidRPr="002B2CFC" w:rsidRDefault="00786BD1" w:rsidP="00965E16">
            <w:pPr>
              <w:keepNext/>
              <w:keepLines/>
              <w:rPr>
                <w:b/>
                <w:bCs/>
                <w:sz w:val="20"/>
              </w:rPr>
            </w:pPr>
            <w:r w:rsidRPr="002B2CFC">
              <w:rPr>
                <w:b/>
                <w:bCs/>
                <w:sz w:val="20"/>
              </w:rPr>
              <w:t>Dosing method</w:t>
            </w:r>
          </w:p>
        </w:tc>
        <w:tc>
          <w:tcPr>
            <w:tcW w:w="578" w:type="pct"/>
            <w:tcBorders>
              <w:top w:val="single" w:sz="4" w:space="0" w:color="auto"/>
              <w:left w:val="single" w:sz="4" w:space="0" w:color="auto"/>
              <w:bottom w:val="single" w:sz="4" w:space="0" w:color="auto"/>
              <w:right w:val="single" w:sz="4" w:space="0" w:color="auto"/>
            </w:tcBorders>
            <w:shd w:val="clear" w:color="auto" w:fill="BFBFBF"/>
          </w:tcPr>
          <w:p w14:paraId="1FBE3147" w14:textId="77777777" w:rsidR="00786BD1" w:rsidRPr="002B2CFC" w:rsidRDefault="00786BD1" w:rsidP="00965E16">
            <w:pPr>
              <w:keepNext/>
              <w:keepLines/>
              <w:rPr>
                <w:b/>
                <w:bCs/>
                <w:sz w:val="20"/>
              </w:rPr>
            </w:pPr>
            <w:r w:rsidRPr="002B2CFC">
              <w:rPr>
                <w:b/>
                <w:bCs/>
                <w:sz w:val="20"/>
              </w:rPr>
              <w:t>Vehicle</w:t>
            </w:r>
          </w:p>
        </w:tc>
        <w:tc>
          <w:tcPr>
            <w:tcW w:w="1255" w:type="pct"/>
            <w:tcBorders>
              <w:top w:val="single" w:sz="4" w:space="0" w:color="auto"/>
              <w:left w:val="single" w:sz="4" w:space="0" w:color="auto"/>
              <w:bottom w:val="single" w:sz="4" w:space="0" w:color="auto"/>
              <w:right w:val="single" w:sz="4" w:space="0" w:color="auto"/>
            </w:tcBorders>
            <w:shd w:val="clear" w:color="auto" w:fill="BFBFBF"/>
          </w:tcPr>
          <w:p w14:paraId="5E754011" w14:textId="77777777" w:rsidR="00786BD1" w:rsidRPr="002B2CFC" w:rsidRDefault="00786BD1" w:rsidP="00965E16">
            <w:pPr>
              <w:keepNext/>
              <w:keepLines/>
              <w:rPr>
                <w:b/>
                <w:bCs/>
                <w:sz w:val="20"/>
              </w:rPr>
            </w:pPr>
            <w:r w:rsidRPr="002B2CFC">
              <w:rPr>
                <w:b/>
                <w:bCs/>
                <w:sz w:val="20"/>
              </w:rPr>
              <w:t>Dosing / observation</w:t>
            </w:r>
          </w:p>
          <w:p w14:paraId="5327ACC2" w14:textId="77777777" w:rsidR="00786BD1" w:rsidRPr="002B2CFC" w:rsidRDefault="00786BD1" w:rsidP="00965E16">
            <w:pPr>
              <w:keepNext/>
              <w:keepLines/>
              <w:rPr>
                <w:b/>
                <w:bCs/>
                <w:sz w:val="20"/>
              </w:rPr>
            </w:pPr>
            <w:r w:rsidRPr="002B2CFC">
              <w:rPr>
                <w:b/>
                <w:bCs/>
                <w:sz w:val="20"/>
              </w:rPr>
              <w:t>period</w:t>
            </w:r>
          </w:p>
        </w:tc>
        <w:tc>
          <w:tcPr>
            <w:tcW w:w="1085" w:type="pct"/>
            <w:tcBorders>
              <w:top w:val="single" w:sz="4" w:space="0" w:color="auto"/>
              <w:left w:val="single" w:sz="4" w:space="0" w:color="auto"/>
              <w:bottom w:val="single" w:sz="4" w:space="0" w:color="auto"/>
              <w:right w:val="single" w:sz="4" w:space="0" w:color="auto"/>
            </w:tcBorders>
            <w:shd w:val="clear" w:color="auto" w:fill="BFBFBF"/>
          </w:tcPr>
          <w:p w14:paraId="341B6D7D" w14:textId="77777777" w:rsidR="00786BD1" w:rsidRPr="002B2CFC" w:rsidRDefault="00786BD1" w:rsidP="00965E16">
            <w:pPr>
              <w:keepNext/>
              <w:keepLines/>
              <w:rPr>
                <w:b/>
                <w:bCs/>
                <w:sz w:val="20"/>
              </w:rPr>
            </w:pPr>
            <w:r w:rsidRPr="002B2CFC">
              <w:rPr>
                <w:b/>
                <w:bCs/>
                <w:sz w:val="20"/>
              </w:rPr>
              <w:t xml:space="preserve">Doses tested </w:t>
            </w:r>
            <w:r w:rsidRPr="002B2CFC">
              <w:rPr>
                <w:b/>
                <w:sz w:val="20"/>
              </w:rPr>
              <w:t>*</w:t>
            </w:r>
          </w:p>
          <w:p w14:paraId="1B44142D" w14:textId="77777777" w:rsidR="00786BD1" w:rsidRPr="002B2CFC" w:rsidRDefault="00786BD1" w:rsidP="00965E16">
            <w:pPr>
              <w:keepNext/>
              <w:keepLines/>
              <w:rPr>
                <w:b/>
                <w:bCs/>
                <w:sz w:val="20"/>
              </w:rPr>
            </w:pPr>
            <w:r w:rsidRPr="002B2CFC">
              <w:rPr>
                <w:b/>
                <w:bCs/>
                <w:sz w:val="20"/>
              </w:rPr>
              <w:t>(mg/kg bw/dose)</w:t>
            </w:r>
          </w:p>
        </w:tc>
        <w:tc>
          <w:tcPr>
            <w:tcW w:w="1479" w:type="pct"/>
            <w:tcBorders>
              <w:top w:val="single" w:sz="4" w:space="0" w:color="auto"/>
              <w:left w:val="single" w:sz="4" w:space="0" w:color="auto"/>
              <w:bottom w:val="single" w:sz="4" w:space="0" w:color="auto"/>
              <w:right w:val="single" w:sz="4" w:space="0" w:color="auto"/>
            </w:tcBorders>
            <w:shd w:val="clear" w:color="auto" w:fill="BFBFBF"/>
          </w:tcPr>
          <w:p w14:paraId="1DC6CBEE" w14:textId="77777777" w:rsidR="00786BD1" w:rsidRPr="002B2CFC" w:rsidRDefault="00786BD1" w:rsidP="00965E16">
            <w:pPr>
              <w:keepNext/>
              <w:keepLines/>
              <w:rPr>
                <w:b/>
                <w:bCs/>
                <w:sz w:val="20"/>
              </w:rPr>
            </w:pPr>
            <w:r w:rsidRPr="002B2CFC">
              <w:rPr>
                <w:b/>
                <w:bCs/>
                <w:sz w:val="20"/>
              </w:rPr>
              <w:t>Results</w:t>
            </w:r>
          </w:p>
        </w:tc>
      </w:tr>
      <w:tr w:rsidR="00786BD1" w:rsidRPr="002B2CFC" w14:paraId="7F5E7ED0" w14:textId="77777777" w:rsidTr="00965E16">
        <w:trPr>
          <w:cantSplit/>
        </w:trPr>
        <w:tc>
          <w:tcPr>
            <w:tcW w:w="602" w:type="pct"/>
            <w:tcBorders>
              <w:top w:val="single" w:sz="4" w:space="0" w:color="auto"/>
              <w:left w:val="single" w:sz="4" w:space="0" w:color="auto"/>
              <w:bottom w:val="single" w:sz="4" w:space="0" w:color="auto"/>
              <w:right w:val="single" w:sz="4" w:space="0" w:color="auto"/>
            </w:tcBorders>
            <w:vAlign w:val="center"/>
          </w:tcPr>
          <w:p w14:paraId="45A71C4A" w14:textId="77777777" w:rsidR="00786BD1" w:rsidRPr="002B2CFC" w:rsidRDefault="00786BD1" w:rsidP="00965E16">
            <w:pPr>
              <w:keepNext/>
              <w:keepLines/>
              <w:rPr>
                <w:sz w:val="20"/>
              </w:rPr>
            </w:pPr>
            <w:r w:rsidRPr="002B2CFC">
              <w:rPr>
                <w:sz w:val="20"/>
              </w:rPr>
              <w:t>ip injection</w:t>
            </w:r>
          </w:p>
        </w:tc>
        <w:tc>
          <w:tcPr>
            <w:tcW w:w="578" w:type="pct"/>
            <w:vMerge w:val="restart"/>
            <w:tcBorders>
              <w:top w:val="single" w:sz="4" w:space="0" w:color="auto"/>
              <w:left w:val="single" w:sz="4" w:space="0" w:color="auto"/>
              <w:right w:val="single" w:sz="4" w:space="0" w:color="auto"/>
            </w:tcBorders>
            <w:vAlign w:val="center"/>
          </w:tcPr>
          <w:p w14:paraId="36F50C8A" w14:textId="77777777" w:rsidR="00786BD1" w:rsidRPr="002B2CFC" w:rsidRDefault="00786BD1" w:rsidP="00965E16">
            <w:pPr>
              <w:keepNext/>
              <w:keepLines/>
              <w:jc w:val="center"/>
              <w:rPr>
                <w:sz w:val="20"/>
              </w:rPr>
            </w:pPr>
            <w:r w:rsidRPr="002B2CFC">
              <w:rPr>
                <w:sz w:val="20"/>
              </w:rPr>
              <w:t>0.9% sodium chloride for injection</w:t>
            </w:r>
          </w:p>
        </w:tc>
        <w:tc>
          <w:tcPr>
            <w:tcW w:w="1255" w:type="pct"/>
            <w:tcBorders>
              <w:top w:val="single" w:sz="4" w:space="0" w:color="auto"/>
              <w:left w:val="single" w:sz="4" w:space="0" w:color="auto"/>
              <w:bottom w:val="single" w:sz="4" w:space="0" w:color="auto"/>
              <w:right w:val="single" w:sz="4" w:space="0" w:color="auto"/>
            </w:tcBorders>
          </w:tcPr>
          <w:p w14:paraId="71EED2CF" w14:textId="77777777" w:rsidR="00786BD1" w:rsidRPr="002B2CFC" w:rsidRDefault="00786BD1" w:rsidP="00965E16">
            <w:pPr>
              <w:keepNext/>
              <w:keepLines/>
              <w:rPr>
                <w:sz w:val="20"/>
              </w:rPr>
            </w:pPr>
            <w:r w:rsidRPr="002B2CFC">
              <w:rPr>
                <w:sz w:val="20"/>
              </w:rPr>
              <w:t>1-3 injections a week apart:</w:t>
            </w:r>
          </w:p>
          <w:p w14:paraId="721A56BE" w14:textId="77777777" w:rsidR="00786BD1" w:rsidRPr="002B2CFC" w:rsidRDefault="00786BD1" w:rsidP="00965E16">
            <w:pPr>
              <w:keepNext/>
              <w:keepLines/>
              <w:rPr>
                <w:sz w:val="20"/>
              </w:rPr>
            </w:pPr>
          </w:p>
          <w:p w14:paraId="777EA77D" w14:textId="77777777" w:rsidR="00786BD1" w:rsidRPr="002B2CFC" w:rsidRDefault="00786BD1" w:rsidP="00965E16">
            <w:pPr>
              <w:keepNext/>
              <w:keepLines/>
              <w:rPr>
                <w:sz w:val="20"/>
              </w:rPr>
            </w:pPr>
            <w:r w:rsidRPr="002B2CFC">
              <w:rPr>
                <w:sz w:val="20"/>
              </w:rPr>
              <w:t>3× injection of 0, 10, 15 or 25 (study days 0, 7 and 14) or</w:t>
            </w:r>
          </w:p>
          <w:p w14:paraId="50EC58FA" w14:textId="77777777" w:rsidR="00786BD1" w:rsidRPr="002B2CFC" w:rsidRDefault="00786BD1" w:rsidP="00965E16">
            <w:pPr>
              <w:keepNext/>
              <w:keepLines/>
              <w:rPr>
                <w:sz w:val="20"/>
              </w:rPr>
            </w:pPr>
            <w:r w:rsidRPr="002B2CFC">
              <w:rPr>
                <w:sz w:val="20"/>
              </w:rPr>
              <w:t xml:space="preserve">2× injection of 10, 15 or 25 (study days 7 and 14) or </w:t>
            </w:r>
          </w:p>
          <w:p w14:paraId="161E3E52" w14:textId="77777777" w:rsidR="00786BD1" w:rsidRPr="002B2CFC" w:rsidRDefault="00786BD1" w:rsidP="00965E16">
            <w:pPr>
              <w:keepNext/>
              <w:keepLines/>
              <w:rPr>
                <w:sz w:val="20"/>
              </w:rPr>
            </w:pPr>
            <w:r w:rsidRPr="002B2CFC">
              <w:rPr>
                <w:sz w:val="20"/>
              </w:rPr>
              <w:t>1× injection of 10, 15 or 25 (study day 14)</w:t>
            </w:r>
          </w:p>
        </w:tc>
        <w:tc>
          <w:tcPr>
            <w:tcW w:w="1085" w:type="pct"/>
            <w:tcBorders>
              <w:top w:val="single" w:sz="4" w:space="0" w:color="auto"/>
              <w:left w:val="single" w:sz="4" w:space="0" w:color="auto"/>
              <w:bottom w:val="single" w:sz="4" w:space="0" w:color="auto"/>
              <w:right w:val="single" w:sz="4" w:space="0" w:color="auto"/>
            </w:tcBorders>
            <w:vAlign w:val="center"/>
          </w:tcPr>
          <w:p w14:paraId="21499EEA" w14:textId="77777777" w:rsidR="00786BD1" w:rsidRDefault="00786BD1" w:rsidP="00965E16">
            <w:pPr>
              <w:keepNext/>
              <w:keepLines/>
              <w:jc w:val="center"/>
              <w:rPr>
                <w:sz w:val="20"/>
              </w:rPr>
            </w:pPr>
            <w:r w:rsidRPr="002B2CFC">
              <w:rPr>
                <w:sz w:val="20"/>
              </w:rPr>
              <w:t>0, 10, 15, 25</w:t>
            </w:r>
          </w:p>
          <w:p w14:paraId="206249A8" w14:textId="77777777" w:rsidR="00786BD1" w:rsidRDefault="00786BD1" w:rsidP="00965E16">
            <w:pPr>
              <w:keepNext/>
              <w:keepLines/>
              <w:jc w:val="center"/>
              <w:rPr>
                <w:sz w:val="20"/>
              </w:rPr>
            </w:pPr>
          </w:p>
          <w:p w14:paraId="75B072EB" w14:textId="77777777" w:rsidR="00786BD1" w:rsidRPr="002B2CFC" w:rsidRDefault="00786BD1" w:rsidP="00965E16">
            <w:pPr>
              <w:keepNext/>
              <w:keepLines/>
              <w:jc w:val="center"/>
              <w:rPr>
                <w:sz w:val="20"/>
              </w:rPr>
            </w:pPr>
            <w:r>
              <w:rPr>
                <w:sz w:val="20"/>
              </w:rPr>
              <w:t>(equivalent to 0, 7.2, 10.9, 18.1 paraquat ion)</w:t>
            </w:r>
          </w:p>
        </w:tc>
        <w:tc>
          <w:tcPr>
            <w:tcW w:w="1479" w:type="pct"/>
            <w:tcBorders>
              <w:top w:val="single" w:sz="4" w:space="0" w:color="auto"/>
              <w:left w:val="single" w:sz="4" w:space="0" w:color="auto"/>
              <w:bottom w:val="single" w:sz="4" w:space="0" w:color="auto"/>
              <w:right w:val="single" w:sz="4" w:space="0" w:color="auto"/>
            </w:tcBorders>
          </w:tcPr>
          <w:p w14:paraId="0D3586C1" w14:textId="77777777" w:rsidR="00786BD1" w:rsidRPr="002B2CFC" w:rsidRDefault="00786BD1" w:rsidP="00965E16">
            <w:pPr>
              <w:keepNext/>
              <w:keepLines/>
              <w:rPr>
                <w:sz w:val="20"/>
              </w:rPr>
            </w:pPr>
            <w:r w:rsidRPr="002B2CFC">
              <w:rPr>
                <w:sz w:val="20"/>
                <w:u w:val="single"/>
              </w:rPr>
              <w:t>25 mg/kg bw/dose (×2 or × 3):</w:t>
            </w:r>
            <w:r w:rsidRPr="002B2CFC">
              <w:rPr>
                <w:sz w:val="20"/>
              </w:rPr>
              <w:t xml:space="preserve"> mortality.</w:t>
            </w:r>
          </w:p>
          <w:p w14:paraId="597F4472" w14:textId="77777777" w:rsidR="00786BD1" w:rsidRPr="002B2CFC" w:rsidRDefault="00786BD1" w:rsidP="00965E16">
            <w:pPr>
              <w:keepNext/>
              <w:keepLines/>
              <w:rPr>
                <w:sz w:val="20"/>
              </w:rPr>
            </w:pPr>
            <w:r w:rsidRPr="002B2CFC">
              <w:rPr>
                <w:sz w:val="20"/>
                <w:u w:val="single"/>
              </w:rPr>
              <w:t>10, 15 and 25 mg/kg bw/dose</w:t>
            </w:r>
            <w:r w:rsidRPr="002B2CFC">
              <w:rPr>
                <w:sz w:val="20"/>
              </w:rPr>
              <w:t>: reduced body weight gain/body weight loss.</w:t>
            </w:r>
          </w:p>
          <w:p w14:paraId="0271BB4F" w14:textId="77777777" w:rsidR="00786BD1" w:rsidRPr="002B2CFC" w:rsidRDefault="00786BD1" w:rsidP="00965E16">
            <w:pPr>
              <w:keepNext/>
              <w:keepLines/>
              <w:rPr>
                <w:sz w:val="20"/>
              </w:rPr>
            </w:pPr>
          </w:p>
          <w:p w14:paraId="602B7CC5" w14:textId="77777777" w:rsidR="00786BD1" w:rsidRPr="002B2CFC" w:rsidRDefault="00786BD1" w:rsidP="00965E16">
            <w:pPr>
              <w:keepNext/>
              <w:keepLines/>
              <w:rPr>
                <w:sz w:val="20"/>
              </w:rPr>
            </w:pPr>
            <w:r w:rsidRPr="002B2CFC">
              <w:rPr>
                <w:sz w:val="20"/>
              </w:rPr>
              <w:t>No neurological effects.</w:t>
            </w:r>
          </w:p>
        </w:tc>
      </w:tr>
      <w:tr w:rsidR="00786BD1" w:rsidRPr="002B2CFC" w14:paraId="56927770" w14:textId="77777777" w:rsidTr="00965E16">
        <w:trPr>
          <w:cantSplit/>
        </w:trPr>
        <w:tc>
          <w:tcPr>
            <w:tcW w:w="602" w:type="pct"/>
            <w:tcBorders>
              <w:top w:val="single" w:sz="4" w:space="0" w:color="auto"/>
              <w:left w:val="single" w:sz="4" w:space="0" w:color="auto"/>
              <w:bottom w:val="single" w:sz="4" w:space="0" w:color="auto"/>
              <w:right w:val="single" w:sz="4" w:space="0" w:color="auto"/>
            </w:tcBorders>
            <w:vAlign w:val="center"/>
          </w:tcPr>
          <w:p w14:paraId="6733DBF5" w14:textId="77777777" w:rsidR="00786BD1" w:rsidRPr="002B2CFC" w:rsidRDefault="00786BD1" w:rsidP="00965E16">
            <w:pPr>
              <w:keepNext/>
              <w:keepLines/>
              <w:rPr>
                <w:sz w:val="20"/>
                <w:u w:val="single"/>
              </w:rPr>
            </w:pPr>
            <w:r w:rsidRPr="002B2CFC">
              <w:rPr>
                <w:sz w:val="20"/>
                <w:u w:val="single"/>
              </w:rPr>
              <w:t>Positive control:</w:t>
            </w:r>
          </w:p>
          <w:p w14:paraId="4B8A4382" w14:textId="77777777" w:rsidR="00786BD1" w:rsidRPr="002B2CFC" w:rsidRDefault="00786BD1" w:rsidP="00965E16">
            <w:pPr>
              <w:keepNext/>
              <w:keepLines/>
              <w:rPr>
                <w:sz w:val="20"/>
              </w:rPr>
            </w:pPr>
            <w:r w:rsidRPr="002B2CFC">
              <w:rPr>
                <w:sz w:val="20"/>
              </w:rPr>
              <w:t>ip injection</w:t>
            </w:r>
          </w:p>
        </w:tc>
        <w:tc>
          <w:tcPr>
            <w:tcW w:w="578" w:type="pct"/>
            <w:vMerge/>
            <w:tcBorders>
              <w:left w:val="single" w:sz="4" w:space="0" w:color="auto"/>
              <w:bottom w:val="single" w:sz="4" w:space="0" w:color="auto"/>
              <w:right w:val="single" w:sz="4" w:space="0" w:color="auto"/>
            </w:tcBorders>
          </w:tcPr>
          <w:p w14:paraId="124CB596" w14:textId="77777777" w:rsidR="00786BD1" w:rsidRPr="002B2CFC" w:rsidRDefault="00786BD1" w:rsidP="00965E16">
            <w:pPr>
              <w:keepNext/>
              <w:keepLines/>
              <w:rPr>
                <w:sz w:val="20"/>
              </w:rPr>
            </w:pPr>
          </w:p>
        </w:tc>
        <w:tc>
          <w:tcPr>
            <w:tcW w:w="1255" w:type="pct"/>
            <w:tcBorders>
              <w:top w:val="single" w:sz="4" w:space="0" w:color="auto"/>
              <w:left w:val="single" w:sz="4" w:space="0" w:color="auto"/>
              <w:bottom w:val="single" w:sz="4" w:space="0" w:color="auto"/>
              <w:right w:val="single" w:sz="4" w:space="0" w:color="auto"/>
            </w:tcBorders>
            <w:vAlign w:val="center"/>
          </w:tcPr>
          <w:p w14:paraId="23DEE96D" w14:textId="77777777" w:rsidR="00786BD1" w:rsidRPr="002B2CFC" w:rsidRDefault="00786BD1" w:rsidP="00965E16">
            <w:pPr>
              <w:keepNext/>
              <w:keepLines/>
              <w:rPr>
                <w:sz w:val="20"/>
              </w:rPr>
            </w:pPr>
            <w:r w:rsidRPr="002B2CFC">
              <w:rPr>
                <w:sz w:val="20"/>
              </w:rPr>
              <w:t>4 injections, approx. 2 hours apart (study day 14 only)</w:t>
            </w:r>
          </w:p>
        </w:tc>
        <w:tc>
          <w:tcPr>
            <w:tcW w:w="1085" w:type="pct"/>
            <w:tcBorders>
              <w:top w:val="single" w:sz="4" w:space="0" w:color="auto"/>
              <w:left w:val="single" w:sz="4" w:space="0" w:color="auto"/>
              <w:bottom w:val="single" w:sz="4" w:space="0" w:color="auto"/>
              <w:right w:val="single" w:sz="4" w:space="0" w:color="auto"/>
            </w:tcBorders>
          </w:tcPr>
          <w:p w14:paraId="39ADBB56" w14:textId="77777777" w:rsidR="00786BD1" w:rsidRPr="002B2CFC" w:rsidRDefault="00786BD1" w:rsidP="00965E16">
            <w:pPr>
              <w:keepNext/>
              <w:keepLines/>
              <w:rPr>
                <w:sz w:val="20"/>
              </w:rPr>
            </w:pPr>
            <w:r w:rsidRPr="002B2CFC">
              <w:rPr>
                <w:sz w:val="20"/>
              </w:rPr>
              <w:t>10 mg (free base) /kg/dose [4 mg/mL]) MPTP HCl</w:t>
            </w:r>
          </w:p>
        </w:tc>
        <w:tc>
          <w:tcPr>
            <w:tcW w:w="1479" w:type="pct"/>
            <w:tcBorders>
              <w:top w:val="single" w:sz="4" w:space="0" w:color="auto"/>
              <w:left w:val="single" w:sz="4" w:space="0" w:color="auto"/>
              <w:bottom w:val="single" w:sz="4" w:space="0" w:color="auto"/>
              <w:right w:val="single" w:sz="4" w:space="0" w:color="auto"/>
            </w:tcBorders>
          </w:tcPr>
          <w:p w14:paraId="58F8A9AF" w14:textId="77777777" w:rsidR="00786BD1" w:rsidRPr="002B2CFC" w:rsidRDefault="00786BD1" w:rsidP="00965E16">
            <w:pPr>
              <w:keepNext/>
              <w:keepLines/>
              <w:rPr>
                <w:sz w:val="20"/>
              </w:rPr>
            </w:pPr>
            <w:r w:rsidRPr="002B2CFC">
              <w:rPr>
                <w:sz w:val="20"/>
              </w:rPr>
              <w:t>Evidence of effects in the brain: cell death in the SN pc and striatum, loss of TH</w:t>
            </w:r>
            <w:r w:rsidRPr="003A6822">
              <w:rPr>
                <w:sz w:val="20"/>
                <w:vertAlign w:val="superscript"/>
              </w:rPr>
              <w:t>+</w:t>
            </w:r>
            <w:r w:rsidRPr="002B2CFC">
              <w:rPr>
                <w:sz w:val="20"/>
              </w:rPr>
              <w:t xml:space="preserve"> neurons, increased in size/number astrocytes, and microglial cells.</w:t>
            </w:r>
          </w:p>
        </w:tc>
      </w:tr>
    </w:tbl>
    <w:p w14:paraId="4BFCEDDC" w14:textId="77777777" w:rsidR="00786BD1" w:rsidRPr="002B2CFC" w:rsidRDefault="00786BD1" w:rsidP="000652CE">
      <w:pPr>
        <w:rPr>
          <w:sz w:val="20"/>
          <w:szCs w:val="24"/>
        </w:rPr>
      </w:pPr>
      <w:r w:rsidRPr="002B2CFC">
        <w:rPr>
          <w:sz w:val="20"/>
          <w:szCs w:val="24"/>
        </w:rPr>
        <w:t xml:space="preserve">* Paraquat dichloride dose was based on the dichloride salt, </w:t>
      </w:r>
      <w:r>
        <w:rPr>
          <w:sz w:val="20"/>
          <w:szCs w:val="24"/>
        </w:rPr>
        <w:t>the paraquat ion content was obtained by dividing by 1.38</w:t>
      </w:r>
      <w:r w:rsidRPr="002B2CFC">
        <w:rPr>
          <w:sz w:val="20"/>
          <w:szCs w:val="24"/>
        </w:rPr>
        <w:t>. MPTP dose was corrected using a factor of 1.21 based on the free base of MPTP.</w:t>
      </w:r>
    </w:p>
    <w:p w14:paraId="6BE56525" w14:textId="77777777" w:rsidR="00786BD1" w:rsidRPr="002B2CFC" w:rsidRDefault="00786BD1" w:rsidP="000652CE">
      <w:pPr>
        <w:rPr>
          <w:rFonts w:eastAsiaTheme="minorHAnsi" w:cstheme="minorBidi"/>
          <w:szCs w:val="22"/>
        </w:rPr>
      </w:pPr>
    </w:p>
    <w:p w14:paraId="11F9084B" w14:textId="77777777" w:rsidR="0005512A" w:rsidRPr="002B2CFC" w:rsidRDefault="0005512A" w:rsidP="0005512A">
      <w:pPr>
        <w:spacing w:after="200"/>
        <w:rPr>
          <w:rFonts w:eastAsiaTheme="minorHAnsi" w:cstheme="minorBidi"/>
          <w:szCs w:val="22"/>
          <w:u w:val="single"/>
        </w:rPr>
      </w:pPr>
      <w:r w:rsidRPr="002B2CFC">
        <w:rPr>
          <w:rFonts w:eastAsiaTheme="minorHAnsi" w:cstheme="minorBidi"/>
          <w:szCs w:val="22"/>
          <w:u w:val="single"/>
        </w:rPr>
        <w:t>Neuropathology</w:t>
      </w:r>
    </w:p>
    <w:p w14:paraId="19BFDBF2" w14:textId="3D61C884" w:rsidR="0005512A" w:rsidRPr="002B2CFC" w:rsidRDefault="0005512A" w:rsidP="0005512A">
      <w:pPr>
        <w:spacing w:after="200"/>
        <w:rPr>
          <w:rFonts w:eastAsiaTheme="minorHAnsi" w:cstheme="minorBidi"/>
          <w:i/>
          <w:szCs w:val="22"/>
        </w:rPr>
      </w:pPr>
      <w:r w:rsidRPr="002B2CFC">
        <w:rPr>
          <w:rFonts w:eastAsiaTheme="minorHAnsi" w:cstheme="minorBidi"/>
          <w:i/>
          <w:szCs w:val="22"/>
        </w:rPr>
        <w:t xml:space="preserve">Microscopic </w:t>
      </w:r>
      <w:r w:rsidRPr="00BC101B">
        <w:rPr>
          <w:rFonts w:eastAsiaTheme="minorHAnsi" w:cstheme="minorBidi"/>
          <w:i/>
          <w:szCs w:val="24"/>
        </w:rPr>
        <w:t>findings</w:t>
      </w:r>
      <w:r w:rsidR="00EB102B">
        <w:rPr>
          <w:rFonts w:eastAsiaTheme="minorHAnsi" w:cstheme="minorBidi"/>
          <w:i/>
          <w:szCs w:val="24"/>
        </w:rPr>
        <w:t>:</w:t>
      </w:r>
    </w:p>
    <w:p w14:paraId="70659D51" w14:textId="77777777" w:rsidR="0005512A" w:rsidRPr="002B2CFC" w:rsidRDefault="0005512A" w:rsidP="0005512A">
      <w:pPr>
        <w:spacing w:after="200"/>
        <w:rPr>
          <w:rFonts w:eastAsiaTheme="minorHAnsi" w:cstheme="minorBidi"/>
          <w:szCs w:val="22"/>
        </w:rPr>
      </w:pPr>
      <w:r w:rsidRPr="002B2CFC">
        <w:rPr>
          <w:rFonts w:eastAsiaTheme="minorHAnsi" w:cstheme="minorBidi"/>
          <w:i/>
          <w:szCs w:val="22"/>
        </w:rPr>
        <w:t xml:space="preserve">AmCuAg Stain: </w:t>
      </w:r>
      <w:r>
        <w:rPr>
          <w:rFonts w:eastAsiaTheme="minorHAnsi" w:cstheme="minorBidi"/>
          <w:szCs w:val="22"/>
        </w:rPr>
        <w:t>Brain sections from groups treated with paraquat did not show any positive findings with this stain</w:t>
      </w:r>
      <w:r w:rsidRPr="002B2CFC" w:rsidDel="00945C61">
        <w:rPr>
          <w:rFonts w:eastAsiaTheme="minorHAnsi" w:cstheme="minorBidi"/>
          <w:szCs w:val="22"/>
        </w:rPr>
        <w:t xml:space="preserve"> </w:t>
      </w:r>
      <w:r w:rsidRPr="002B2CFC">
        <w:rPr>
          <w:rFonts w:eastAsiaTheme="minorHAnsi" w:cstheme="minorBidi"/>
          <w:szCs w:val="22"/>
        </w:rPr>
        <w:t>, although in a few animals there was some evidence of staining in the optic tracts. This was considered unrelated to treatment.</w:t>
      </w:r>
      <w:r>
        <w:rPr>
          <w:rFonts w:eastAsiaTheme="minorHAnsi" w:cstheme="minorBidi"/>
          <w:szCs w:val="22"/>
        </w:rPr>
        <w:t xml:space="preserve"> </w:t>
      </w:r>
      <w:r w:rsidRPr="002B2CFC">
        <w:rPr>
          <w:rFonts w:eastAsiaTheme="minorHAnsi" w:cstheme="minorBidi"/>
          <w:szCs w:val="22"/>
        </w:rPr>
        <w:t>Positive control mice showed variable staining of neurons in the SN pc, which peaked</w:t>
      </w:r>
      <w:r>
        <w:rPr>
          <w:rFonts w:eastAsiaTheme="minorHAnsi" w:cstheme="minorBidi"/>
          <w:szCs w:val="22"/>
        </w:rPr>
        <w:t xml:space="preserve"> and then </w:t>
      </w:r>
      <w:r w:rsidRPr="002B2CFC">
        <w:rPr>
          <w:rFonts w:eastAsiaTheme="minorHAnsi" w:cstheme="minorBidi"/>
          <w:szCs w:val="22"/>
        </w:rPr>
        <w:t>plateaued between 16 to 48 hours post-exposure. This staining indicates cell death. Staining was also common in the striatum, particularly in the terminals, with all 5 mice affected at the 24 h timepoint, although the most severe effects were noted at 48 h. This indicates synaptic terminal disintegration.</w:t>
      </w:r>
    </w:p>
    <w:p w14:paraId="0551146E" w14:textId="77777777" w:rsidR="0005512A" w:rsidRPr="002B2CFC" w:rsidRDefault="0005512A" w:rsidP="0005512A">
      <w:pPr>
        <w:spacing w:after="200"/>
        <w:rPr>
          <w:rFonts w:eastAsiaTheme="minorHAnsi" w:cstheme="minorBidi"/>
          <w:szCs w:val="22"/>
        </w:rPr>
      </w:pPr>
      <w:r w:rsidRPr="002B2CFC">
        <w:rPr>
          <w:rFonts w:eastAsiaTheme="minorHAnsi" w:cstheme="minorBidi"/>
          <w:i/>
          <w:szCs w:val="22"/>
        </w:rPr>
        <w:t xml:space="preserve">TH stain: </w:t>
      </w:r>
      <w:r>
        <w:rPr>
          <w:rFonts w:eastAsiaTheme="minorHAnsi" w:cstheme="minorBidi"/>
          <w:szCs w:val="22"/>
        </w:rPr>
        <w:t>Several</w:t>
      </w:r>
      <w:r w:rsidRPr="002B2CFC">
        <w:rPr>
          <w:rFonts w:eastAsiaTheme="minorHAnsi" w:cstheme="minorBidi"/>
          <w:szCs w:val="22"/>
        </w:rPr>
        <w:t xml:space="preserve"> findings in individual mice treated with paraquat </w:t>
      </w:r>
      <w:r>
        <w:rPr>
          <w:rFonts w:eastAsiaTheme="minorHAnsi" w:cstheme="minorBidi"/>
          <w:szCs w:val="22"/>
        </w:rPr>
        <w:t xml:space="preserve">lacked a dose response and </w:t>
      </w:r>
      <w:r w:rsidRPr="002B2CFC">
        <w:rPr>
          <w:rFonts w:eastAsiaTheme="minorHAnsi" w:cstheme="minorBidi"/>
          <w:szCs w:val="22"/>
        </w:rPr>
        <w:t>were not considered treatment related</w:t>
      </w:r>
      <w:r>
        <w:rPr>
          <w:rFonts w:eastAsiaTheme="minorHAnsi" w:cstheme="minorBidi"/>
          <w:szCs w:val="22"/>
        </w:rPr>
        <w:t xml:space="preserve">.  In addition, a few of these results were potentially not true positives, as the study author stated that reading of low severity effects were more prone to false positives. </w:t>
      </w:r>
      <w:r w:rsidRPr="002B2CFC">
        <w:rPr>
          <w:rFonts w:eastAsiaTheme="minorHAnsi" w:cstheme="minorBidi"/>
          <w:szCs w:val="22"/>
        </w:rPr>
        <w:t>In positive control animals there was a decrease in TH staining of neurons in the striatum and SN pc, in</w:t>
      </w:r>
      <w:r>
        <w:rPr>
          <w:rFonts w:eastAsiaTheme="minorHAnsi" w:cstheme="minorBidi"/>
          <w:szCs w:val="22"/>
        </w:rPr>
        <w:t xml:space="preserve">dicating </w:t>
      </w:r>
      <w:r w:rsidRPr="002B2CFC">
        <w:rPr>
          <w:rFonts w:eastAsiaTheme="minorHAnsi" w:cstheme="minorBidi"/>
          <w:szCs w:val="22"/>
        </w:rPr>
        <w:t>a loss of TH</w:t>
      </w:r>
      <w:r w:rsidR="001875D7">
        <w:rPr>
          <w:rFonts w:eastAsiaTheme="minorHAnsi" w:cstheme="minorBidi"/>
          <w:szCs w:val="22"/>
        </w:rPr>
        <w:t>+</w:t>
      </w:r>
      <w:r w:rsidRPr="002B2CFC">
        <w:rPr>
          <w:rFonts w:eastAsiaTheme="minorHAnsi" w:cstheme="minorBidi"/>
          <w:szCs w:val="22"/>
        </w:rPr>
        <w:t xml:space="preserve">neurons. </w:t>
      </w:r>
    </w:p>
    <w:p w14:paraId="128977EF" w14:textId="77777777" w:rsidR="0005512A" w:rsidRPr="002B2CFC" w:rsidRDefault="0005512A" w:rsidP="0005512A">
      <w:pPr>
        <w:spacing w:after="200"/>
        <w:rPr>
          <w:rFonts w:eastAsiaTheme="minorHAnsi" w:cstheme="minorBidi"/>
          <w:szCs w:val="22"/>
        </w:rPr>
      </w:pPr>
      <w:r w:rsidRPr="002B2CFC">
        <w:rPr>
          <w:rFonts w:eastAsiaTheme="minorHAnsi" w:cstheme="minorBidi"/>
          <w:i/>
          <w:szCs w:val="22"/>
        </w:rPr>
        <w:lastRenderedPageBreak/>
        <w:t xml:space="preserve">GFAP stain: </w:t>
      </w:r>
      <w:r>
        <w:rPr>
          <w:rFonts w:eastAsiaTheme="minorHAnsi" w:cstheme="minorBidi"/>
          <w:szCs w:val="22"/>
        </w:rPr>
        <w:t>Brain sections from groups treated with paraquat did not show any positive findings with this stain</w:t>
      </w:r>
      <w:r w:rsidRPr="002B2CFC">
        <w:rPr>
          <w:rFonts w:eastAsiaTheme="minorHAnsi" w:cstheme="minorBidi"/>
          <w:szCs w:val="22"/>
        </w:rPr>
        <w:t xml:space="preserve">. In the positive control group there were findings (increase in size or number of astrocytes) in the striatum and </w:t>
      </w:r>
      <w:r w:rsidR="00A623AA">
        <w:rPr>
          <w:rFonts w:eastAsiaTheme="minorHAnsi" w:cstheme="minorBidi"/>
          <w:szCs w:val="22"/>
        </w:rPr>
        <w:t>SN</w:t>
      </w:r>
      <w:r w:rsidRPr="002B2CFC">
        <w:rPr>
          <w:rFonts w:eastAsiaTheme="minorHAnsi" w:cstheme="minorBidi"/>
          <w:szCs w:val="22"/>
        </w:rPr>
        <w:t xml:space="preserve">, being more consistent in the former. In the </w:t>
      </w:r>
      <w:r w:rsidR="00A623AA">
        <w:rPr>
          <w:rFonts w:eastAsiaTheme="minorHAnsi" w:cstheme="minorBidi"/>
          <w:szCs w:val="22"/>
        </w:rPr>
        <w:t>SN</w:t>
      </w:r>
      <w:r w:rsidRPr="002B2CFC">
        <w:rPr>
          <w:rFonts w:eastAsiaTheme="minorHAnsi" w:cstheme="minorBidi"/>
          <w:szCs w:val="22"/>
        </w:rPr>
        <w:t>, the GFAP reaction was noted from 48-96 hours post-exposure</w:t>
      </w:r>
      <w:r w:rsidR="00A623AA">
        <w:rPr>
          <w:rFonts w:eastAsiaTheme="minorHAnsi" w:cstheme="minorBidi"/>
          <w:szCs w:val="22"/>
        </w:rPr>
        <w:t>,</w:t>
      </w:r>
      <w:r w:rsidRPr="002B2CFC">
        <w:rPr>
          <w:rFonts w:eastAsiaTheme="minorHAnsi" w:cstheme="minorBidi"/>
          <w:szCs w:val="22"/>
        </w:rPr>
        <w:t xml:space="preserve"> whereas in the striatum the reaction was noted </w:t>
      </w:r>
      <w:r>
        <w:rPr>
          <w:rFonts w:eastAsiaTheme="minorHAnsi" w:cstheme="minorBidi"/>
          <w:szCs w:val="22"/>
        </w:rPr>
        <w:t xml:space="preserve">earlier </w:t>
      </w:r>
      <w:r w:rsidR="002E6ABD">
        <w:rPr>
          <w:rFonts w:eastAsiaTheme="minorHAnsi" w:cstheme="minorBidi"/>
          <w:szCs w:val="22"/>
        </w:rPr>
        <w:t>and</w:t>
      </w:r>
      <w:r>
        <w:rPr>
          <w:rFonts w:eastAsiaTheme="minorHAnsi" w:cstheme="minorBidi"/>
          <w:szCs w:val="22"/>
        </w:rPr>
        <w:t xml:space="preserve"> persisting</w:t>
      </w:r>
      <w:r w:rsidRPr="002B2CFC">
        <w:rPr>
          <w:rFonts w:eastAsiaTheme="minorHAnsi" w:cstheme="minorBidi"/>
          <w:szCs w:val="22"/>
        </w:rPr>
        <w:t xml:space="preserve"> until the last sacrifice point (168 h).</w:t>
      </w:r>
    </w:p>
    <w:p w14:paraId="3ECAD99A" w14:textId="77777777" w:rsidR="0005512A" w:rsidRPr="002B2CFC" w:rsidRDefault="0005512A" w:rsidP="0005512A">
      <w:pPr>
        <w:spacing w:after="200"/>
        <w:rPr>
          <w:rFonts w:eastAsiaTheme="minorHAnsi" w:cstheme="minorBidi"/>
          <w:szCs w:val="22"/>
        </w:rPr>
      </w:pPr>
      <w:r w:rsidRPr="002B2CFC">
        <w:rPr>
          <w:rFonts w:eastAsiaTheme="minorHAnsi" w:cstheme="minorBidi"/>
          <w:i/>
          <w:szCs w:val="22"/>
        </w:rPr>
        <w:t xml:space="preserve">IBA-1 stain: </w:t>
      </w:r>
      <w:r>
        <w:rPr>
          <w:rFonts w:eastAsiaTheme="minorHAnsi" w:cstheme="minorBidi"/>
          <w:szCs w:val="22"/>
        </w:rPr>
        <w:t>Brain sections from groups treated with paraquat did not show any positive findings with this stain</w:t>
      </w:r>
      <w:r w:rsidRPr="002B2CFC">
        <w:rPr>
          <w:rFonts w:eastAsiaTheme="minorHAnsi" w:cstheme="minorBidi"/>
          <w:szCs w:val="22"/>
        </w:rPr>
        <w:t>. Positive results were noted in positive control animals, indicating an increase in size and/or number of microglial cells.</w:t>
      </w:r>
      <w:r>
        <w:rPr>
          <w:rFonts w:eastAsiaTheme="minorHAnsi" w:cstheme="minorBidi"/>
          <w:szCs w:val="22"/>
        </w:rPr>
        <w:t xml:space="preserve">  </w:t>
      </w:r>
    </w:p>
    <w:p w14:paraId="070AB141" w14:textId="77777777" w:rsidR="0005512A" w:rsidRPr="002B2CFC" w:rsidRDefault="0005512A" w:rsidP="0005512A">
      <w:pPr>
        <w:spacing w:after="200"/>
        <w:rPr>
          <w:rFonts w:eastAsiaTheme="minorHAnsi" w:cstheme="minorBidi"/>
          <w:szCs w:val="22"/>
        </w:rPr>
      </w:pPr>
      <w:r w:rsidRPr="002B2CFC">
        <w:rPr>
          <w:rFonts w:eastAsiaTheme="minorHAnsi" w:cstheme="minorBidi"/>
          <w:i/>
          <w:szCs w:val="22"/>
        </w:rPr>
        <w:t xml:space="preserve">Caspase-3 stain: </w:t>
      </w:r>
      <w:r>
        <w:rPr>
          <w:rFonts w:eastAsiaTheme="minorHAnsi" w:cstheme="minorBidi"/>
          <w:szCs w:val="22"/>
        </w:rPr>
        <w:t xml:space="preserve">Brain sections from groups treated with paraquat did not show any positive findings with this stain. </w:t>
      </w:r>
      <w:r w:rsidRPr="002B2CFC" w:rsidDel="00945C61">
        <w:rPr>
          <w:rFonts w:eastAsiaTheme="minorHAnsi" w:cstheme="minorBidi"/>
          <w:szCs w:val="22"/>
        </w:rPr>
        <w:t xml:space="preserve"> </w:t>
      </w:r>
      <w:r w:rsidRPr="002B2CFC">
        <w:rPr>
          <w:rFonts w:eastAsiaTheme="minorHAnsi" w:cstheme="minorBidi"/>
          <w:szCs w:val="22"/>
        </w:rPr>
        <w:t>Only a single  finding was noted for this stain (at 96 h post-exposure) in the positive control group. This was not considered treatment related</w:t>
      </w:r>
      <w:r>
        <w:rPr>
          <w:rFonts w:eastAsiaTheme="minorHAnsi" w:cstheme="minorBidi"/>
          <w:szCs w:val="22"/>
        </w:rPr>
        <w:t xml:space="preserve"> as the TUNEL stain did not demonstrate any effects</w:t>
      </w:r>
      <w:r w:rsidR="002E5975">
        <w:rPr>
          <w:rFonts w:eastAsiaTheme="minorHAnsi" w:cstheme="minorBidi"/>
          <w:szCs w:val="22"/>
        </w:rPr>
        <w:t>, suggestive that the</w:t>
      </w:r>
      <w:r>
        <w:rPr>
          <w:rFonts w:eastAsiaTheme="minorHAnsi" w:cstheme="minorBidi"/>
          <w:szCs w:val="22"/>
        </w:rPr>
        <w:t xml:space="preserve"> Capsase-3-stain finding may have been a false positive</w:t>
      </w:r>
      <w:r w:rsidRPr="002B2CFC">
        <w:rPr>
          <w:rFonts w:eastAsiaTheme="minorHAnsi" w:cstheme="minorBidi"/>
          <w:szCs w:val="22"/>
        </w:rPr>
        <w:t xml:space="preserve">. The lack of findings with Caspase-3 indicated that apoptosis is not </w:t>
      </w:r>
      <w:r>
        <w:rPr>
          <w:rFonts w:eastAsiaTheme="minorHAnsi" w:cstheme="minorBidi"/>
          <w:szCs w:val="22"/>
        </w:rPr>
        <w:t xml:space="preserve">involved in </w:t>
      </w:r>
      <w:r w:rsidRPr="002B2CFC">
        <w:rPr>
          <w:rFonts w:eastAsiaTheme="minorHAnsi" w:cstheme="minorBidi"/>
          <w:szCs w:val="22"/>
        </w:rPr>
        <w:t>neuron death.</w:t>
      </w:r>
    </w:p>
    <w:p w14:paraId="403EC8F4" w14:textId="77777777" w:rsidR="0005512A" w:rsidRDefault="0005512A" w:rsidP="0005512A">
      <w:pPr>
        <w:spacing w:after="200"/>
        <w:rPr>
          <w:rFonts w:eastAsiaTheme="minorHAnsi" w:cstheme="minorBidi"/>
          <w:szCs w:val="22"/>
        </w:rPr>
      </w:pPr>
      <w:r w:rsidRPr="002B2CFC">
        <w:rPr>
          <w:rFonts w:eastAsiaTheme="minorHAnsi" w:cstheme="minorBidi"/>
          <w:i/>
          <w:szCs w:val="22"/>
        </w:rPr>
        <w:t xml:space="preserve">TUNEL and thionine stains: </w:t>
      </w:r>
      <w:r w:rsidRPr="002B2CFC">
        <w:rPr>
          <w:rFonts w:eastAsiaTheme="minorHAnsi" w:cstheme="minorBidi"/>
          <w:szCs w:val="22"/>
        </w:rPr>
        <w:t xml:space="preserve">There were no positive findings with these two stains in </w:t>
      </w:r>
      <w:r w:rsidR="008039E3">
        <w:rPr>
          <w:rFonts w:eastAsiaTheme="minorHAnsi" w:cstheme="minorBidi"/>
          <w:szCs w:val="22"/>
        </w:rPr>
        <w:t>either</w:t>
      </w:r>
      <w:r w:rsidRPr="002B2CFC">
        <w:rPr>
          <w:rFonts w:eastAsiaTheme="minorHAnsi" w:cstheme="minorBidi"/>
          <w:szCs w:val="22"/>
        </w:rPr>
        <w:t xml:space="preserve"> paraquat-treated groups </w:t>
      </w:r>
      <w:r w:rsidR="008039E3">
        <w:rPr>
          <w:rFonts w:eastAsiaTheme="minorHAnsi" w:cstheme="minorBidi"/>
          <w:szCs w:val="22"/>
        </w:rPr>
        <w:t>or</w:t>
      </w:r>
      <w:r w:rsidRPr="002B2CFC">
        <w:rPr>
          <w:rFonts w:eastAsiaTheme="minorHAnsi" w:cstheme="minorBidi"/>
          <w:szCs w:val="22"/>
        </w:rPr>
        <w:t xml:space="preserve"> positive control animals. This indicates that apoptosis was not </w:t>
      </w:r>
      <w:r>
        <w:rPr>
          <w:rFonts w:eastAsiaTheme="minorHAnsi" w:cstheme="minorBidi"/>
          <w:szCs w:val="22"/>
        </w:rPr>
        <w:t>involved in</w:t>
      </w:r>
      <w:r w:rsidRPr="002B2CFC">
        <w:rPr>
          <w:rFonts w:eastAsiaTheme="minorHAnsi" w:cstheme="minorBidi"/>
          <w:szCs w:val="22"/>
        </w:rPr>
        <w:t xml:space="preserve"> neuron death (TUNEL)</w:t>
      </w:r>
      <w:r>
        <w:rPr>
          <w:rFonts w:eastAsiaTheme="minorHAnsi" w:cstheme="minorBidi"/>
          <w:szCs w:val="22"/>
        </w:rPr>
        <w:t>.</w:t>
      </w:r>
      <w:r w:rsidRPr="002B2CFC">
        <w:rPr>
          <w:rFonts w:eastAsiaTheme="minorHAnsi" w:cstheme="minorBidi"/>
          <w:szCs w:val="22"/>
        </w:rPr>
        <w:t xml:space="preserve"> </w:t>
      </w:r>
    </w:p>
    <w:p w14:paraId="43B01746" w14:textId="77777777" w:rsidR="0005512A" w:rsidRPr="00C111A1" w:rsidRDefault="0005512A" w:rsidP="000652CE">
      <w:pPr>
        <w:keepNext/>
        <w:keepLines/>
        <w:spacing w:after="120" w:line="276" w:lineRule="auto"/>
        <w:ind w:left="357"/>
        <w:rPr>
          <w:rFonts w:eastAsiaTheme="minorHAnsi" w:cstheme="minorBidi"/>
          <w:b/>
          <w:bCs/>
          <w:sz w:val="20"/>
          <w:lang w:eastAsia="en-US"/>
        </w:rPr>
      </w:pPr>
      <w:bookmarkStart w:id="86" w:name="_Ref410209419"/>
      <w:bookmarkStart w:id="87" w:name="_Ref410209411"/>
      <w:r w:rsidRPr="00C111A1">
        <w:rPr>
          <w:rFonts w:eastAsiaTheme="minorHAnsi" w:cstheme="minorBidi"/>
          <w:b/>
          <w:bCs/>
          <w:sz w:val="20"/>
          <w:lang w:eastAsia="en-US"/>
        </w:rPr>
        <w:lastRenderedPageBreak/>
        <w:t xml:space="preserve">Table </w:t>
      </w:r>
      <w:r w:rsidR="00897462" w:rsidRPr="00C111A1">
        <w:rPr>
          <w:rFonts w:eastAsiaTheme="minorHAnsi" w:cstheme="minorBidi"/>
          <w:b/>
          <w:bCs/>
          <w:sz w:val="20"/>
          <w:lang w:eastAsia="en-US"/>
        </w:rPr>
        <w:fldChar w:fldCharType="begin"/>
      </w:r>
      <w:r w:rsidRPr="00C111A1">
        <w:rPr>
          <w:rFonts w:eastAsiaTheme="minorHAnsi" w:cstheme="minorBidi"/>
          <w:b/>
          <w:bCs/>
          <w:sz w:val="20"/>
          <w:lang w:eastAsia="en-US"/>
        </w:rPr>
        <w:instrText xml:space="preserve"> SEQ Table \* ARABIC </w:instrText>
      </w:r>
      <w:r w:rsidR="00897462" w:rsidRPr="00C111A1">
        <w:rPr>
          <w:rFonts w:eastAsiaTheme="minorHAnsi" w:cstheme="minorBidi"/>
          <w:b/>
          <w:bCs/>
          <w:sz w:val="20"/>
          <w:lang w:eastAsia="en-US"/>
        </w:rPr>
        <w:fldChar w:fldCharType="separate"/>
      </w:r>
      <w:r w:rsidR="000E54B2">
        <w:rPr>
          <w:rFonts w:eastAsiaTheme="minorHAnsi" w:cstheme="minorBidi"/>
          <w:b/>
          <w:bCs/>
          <w:noProof/>
          <w:sz w:val="20"/>
          <w:lang w:eastAsia="en-US"/>
        </w:rPr>
        <w:t>14</w:t>
      </w:r>
      <w:r w:rsidR="00897462" w:rsidRPr="00C111A1">
        <w:rPr>
          <w:rFonts w:eastAsiaTheme="minorHAnsi" w:cstheme="minorBidi"/>
          <w:b/>
          <w:bCs/>
          <w:sz w:val="20"/>
          <w:lang w:eastAsia="en-US"/>
        </w:rPr>
        <w:fldChar w:fldCharType="end"/>
      </w:r>
      <w:bookmarkEnd w:id="86"/>
      <w:r w:rsidRPr="00C111A1">
        <w:rPr>
          <w:rFonts w:eastAsiaTheme="minorHAnsi" w:cstheme="minorBidi"/>
          <w:b/>
          <w:bCs/>
          <w:sz w:val="20"/>
          <w:lang w:eastAsia="en-US"/>
        </w:rPr>
        <w:t>. Microscopic findings</w:t>
      </w:r>
      <w:bookmarkEnd w:id="87"/>
    </w:p>
    <w:tbl>
      <w:tblPr>
        <w:tblStyle w:val="TableGrid1"/>
        <w:tblW w:w="9039" w:type="dxa"/>
        <w:tblLayout w:type="fixed"/>
        <w:tblCellMar>
          <w:left w:w="28" w:type="dxa"/>
          <w:right w:w="28" w:type="dxa"/>
        </w:tblCellMar>
        <w:tblLook w:val="04A0" w:firstRow="1" w:lastRow="0" w:firstColumn="1" w:lastColumn="0" w:noHBand="0" w:noVBand="1"/>
      </w:tblPr>
      <w:tblGrid>
        <w:gridCol w:w="675"/>
        <w:gridCol w:w="2330"/>
        <w:gridCol w:w="607"/>
        <w:gridCol w:w="608"/>
        <w:gridCol w:w="607"/>
        <w:gridCol w:w="608"/>
        <w:gridCol w:w="607"/>
        <w:gridCol w:w="608"/>
        <w:gridCol w:w="608"/>
        <w:gridCol w:w="1781"/>
      </w:tblGrid>
      <w:tr w:rsidR="0005512A" w:rsidRPr="002B2CFC" w14:paraId="7186A150" w14:textId="77777777" w:rsidTr="0005512A">
        <w:trPr>
          <w:cantSplit/>
          <w:trHeight w:val="720"/>
          <w:tblHeader/>
        </w:trPr>
        <w:tc>
          <w:tcPr>
            <w:tcW w:w="3005" w:type="dxa"/>
            <w:gridSpan w:val="2"/>
            <w:tcBorders>
              <w:right w:val="single" w:sz="12" w:space="0" w:color="auto"/>
            </w:tcBorders>
            <w:shd w:val="clear" w:color="auto" w:fill="BFBFBF" w:themeFill="background1" w:themeFillShade="BF"/>
            <w:vAlign w:val="center"/>
          </w:tcPr>
          <w:p w14:paraId="5579C214" w14:textId="77777777" w:rsidR="0005512A" w:rsidRPr="002B2CFC" w:rsidRDefault="0005512A" w:rsidP="000652CE">
            <w:pPr>
              <w:keepNext/>
              <w:jc w:val="center"/>
              <w:rPr>
                <w:b/>
                <w:sz w:val="20"/>
              </w:rPr>
            </w:pPr>
            <w:r w:rsidRPr="002B2CFC">
              <w:rPr>
                <w:b/>
                <w:sz w:val="20"/>
              </w:rPr>
              <w:t xml:space="preserve">Incidence </w:t>
            </w:r>
          </w:p>
          <w:p w14:paraId="3B175773" w14:textId="77777777" w:rsidR="0005512A" w:rsidRPr="002B2CFC" w:rsidRDefault="0005512A" w:rsidP="000652CE">
            <w:pPr>
              <w:keepNext/>
              <w:jc w:val="center"/>
              <w:rPr>
                <w:b/>
                <w:sz w:val="20"/>
              </w:rPr>
            </w:pPr>
            <w:r w:rsidRPr="002B2CFC">
              <w:rPr>
                <w:b/>
                <w:sz w:val="20"/>
              </w:rPr>
              <w:t>(average severity</w:t>
            </w:r>
            <w:r w:rsidRPr="002B2CFC">
              <w:rPr>
                <w:b/>
                <w:sz w:val="20"/>
                <w:vertAlign w:val="superscript"/>
              </w:rPr>
              <w:t>#</w:t>
            </w:r>
            <w:r w:rsidRPr="002B2CFC">
              <w:rPr>
                <w:b/>
                <w:sz w:val="20"/>
              </w:rPr>
              <w:t>)</w:t>
            </w:r>
          </w:p>
        </w:tc>
        <w:tc>
          <w:tcPr>
            <w:tcW w:w="4253" w:type="dxa"/>
            <w:gridSpan w:val="7"/>
            <w:tcBorders>
              <w:left w:val="single" w:sz="12" w:space="0" w:color="auto"/>
              <w:right w:val="single" w:sz="12" w:space="0" w:color="auto"/>
            </w:tcBorders>
            <w:shd w:val="clear" w:color="auto" w:fill="BFBFBF" w:themeFill="background1" w:themeFillShade="BF"/>
            <w:vAlign w:val="center"/>
          </w:tcPr>
          <w:p w14:paraId="0982BCFC" w14:textId="77777777" w:rsidR="0005512A" w:rsidRPr="002B2CFC" w:rsidRDefault="0005512A" w:rsidP="000652CE">
            <w:pPr>
              <w:keepNext/>
              <w:jc w:val="center"/>
              <w:rPr>
                <w:b/>
                <w:sz w:val="20"/>
              </w:rPr>
            </w:pPr>
            <w:r w:rsidRPr="002B2CFC">
              <w:rPr>
                <w:b/>
                <w:sz w:val="20"/>
              </w:rPr>
              <w:t>MPTP Group 11</w:t>
            </w:r>
          </w:p>
          <w:p w14:paraId="7798B9BA" w14:textId="77777777" w:rsidR="0005512A" w:rsidRPr="002B2CFC" w:rsidRDefault="0005512A" w:rsidP="000652CE">
            <w:pPr>
              <w:keepNext/>
              <w:jc w:val="center"/>
              <w:rPr>
                <w:b/>
                <w:sz w:val="20"/>
              </w:rPr>
            </w:pPr>
            <w:r w:rsidRPr="002B2CFC">
              <w:rPr>
                <w:b/>
                <w:sz w:val="20"/>
              </w:rPr>
              <w:t>(n=5)</w:t>
            </w:r>
          </w:p>
        </w:tc>
        <w:tc>
          <w:tcPr>
            <w:tcW w:w="1781" w:type="dxa"/>
            <w:tcBorders>
              <w:right w:val="single" w:sz="4" w:space="0" w:color="auto"/>
            </w:tcBorders>
            <w:shd w:val="clear" w:color="auto" w:fill="BFBFBF" w:themeFill="background1" w:themeFillShade="BF"/>
            <w:vAlign w:val="center"/>
          </w:tcPr>
          <w:p w14:paraId="391A1EE4" w14:textId="77777777" w:rsidR="0005512A" w:rsidRPr="002B2CFC" w:rsidRDefault="0005512A" w:rsidP="000652CE">
            <w:pPr>
              <w:keepNext/>
              <w:tabs>
                <w:tab w:val="left" w:pos="503"/>
              </w:tabs>
              <w:jc w:val="center"/>
              <w:rPr>
                <w:b/>
                <w:sz w:val="20"/>
              </w:rPr>
            </w:pPr>
            <w:r w:rsidRPr="002B2CFC">
              <w:rPr>
                <w:b/>
                <w:sz w:val="20"/>
              </w:rPr>
              <w:t>Paraquat treated group as marked</w:t>
            </w:r>
          </w:p>
          <w:p w14:paraId="3A1FD04B" w14:textId="77777777" w:rsidR="0005512A" w:rsidRPr="002B2CFC" w:rsidRDefault="0005512A" w:rsidP="000652CE">
            <w:pPr>
              <w:keepNext/>
              <w:tabs>
                <w:tab w:val="left" w:pos="503"/>
              </w:tabs>
              <w:jc w:val="center"/>
              <w:rPr>
                <w:b/>
                <w:sz w:val="20"/>
              </w:rPr>
            </w:pPr>
            <w:r w:rsidRPr="002B2CFC">
              <w:rPr>
                <w:b/>
                <w:sz w:val="20"/>
              </w:rPr>
              <w:t>(n=5)</w:t>
            </w:r>
          </w:p>
        </w:tc>
      </w:tr>
      <w:tr w:rsidR="0005512A" w:rsidRPr="002B2CFC" w14:paraId="744EE30D" w14:textId="77777777" w:rsidTr="0005512A">
        <w:trPr>
          <w:cantSplit/>
          <w:trHeight w:val="976"/>
          <w:tblHeader/>
        </w:trPr>
        <w:tc>
          <w:tcPr>
            <w:tcW w:w="675" w:type="dxa"/>
            <w:shd w:val="clear" w:color="auto" w:fill="BFBFBF" w:themeFill="background1" w:themeFillShade="BF"/>
            <w:vAlign w:val="center"/>
          </w:tcPr>
          <w:p w14:paraId="54E7729F" w14:textId="77777777" w:rsidR="0005512A" w:rsidRPr="002B2CFC" w:rsidRDefault="0005512A" w:rsidP="000652CE">
            <w:pPr>
              <w:keepNext/>
              <w:jc w:val="center"/>
              <w:rPr>
                <w:b/>
                <w:sz w:val="20"/>
              </w:rPr>
            </w:pPr>
            <w:r w:rsidRPr="002B2CFC">
              <w:rPr>
                <w:b/>
                <w:sz w:val="20"/>
              </w:rPr>
              <w:t>Stain</w:t>
            </w:r>
          </w:p>
        </w:tc>
        <w:tc>
          <w:tcPr>
            <w:tcW w:w="2330" w:type="dxa"/>
            <w:tcBorders>
              <w:right w:val="single" w:sz="12" w:space="0" w:color="auto"/>
            </w:tcBorders>
            <w:shd w:val="clear" w:color="auto" w:fill="BFBFBF" w:themeFill="background1" w:themeFillShade="BF"/>
          </w:tcPr>
          <w:p w14:paraId="4E2521A4" w14:textId="77777777" w:rsidR="0005512A" w:rsidRPr="002B2CFC" w:rsidRDefault="0005512A" w:rsidP="000652CE">
            <w:pPr>
              <w:keepNext/>
              <w:rPr>
                <w:b/>
                <w:sz w:val="20"/>
                <w:u w:val="single"/>
              </w:rPr>
            </w:pPr>
            <w:r w:rsidRPr="002B2CFC">
              <w:rPr>
                <w:b/>
                <w:sz w:val="20"/>
                <w:u w:val="single"/>
              </w:rPr>
              <w:t>Post-exposure timepoint (h)►</w:t>
            </w:r>
          </w:p>
          <w:p w14:paraId="01886F4B" w14:textId="77777777" w:rsidR="0005512A" w:rsidRPr="002B2CFC" w:rsidRDefault="0005512A" w:rsidP="000652CE">
            <w:pPr>
              <w:keepNext/>
              <w:rPr>
                <w:b/>
                <w:sz w:val="20"/>
              </w:rPr>
            </w:pPr>
            <w:r w:rsidRPr="002B2CFC">
              <w:rPr>
                <w:b/>
                <w:sz w:val="20"/>
                <w:u w:val="single"/>
              </w:rPr>
              <w:t>▼Area</w:t>
            </w:r>
            <w:r w:rsidRPr="002B2CFC">
              <w:rPr>
                <w:b/>
                <w:sz w:val="20"/>
              </w:rPr>
              <w:t>;</w:t>
            </w:r>
          </w:p>
          <w:p w14:paraId="6A223422" w14:textId="77777777" w:rsidR="0005512A" w:rsidRPr="002B2CFC" w:rsidRDefault="0005512A" w:rsidP="000652CE">
            <w:pPr>
              <w:keepNext/>
              <w:rPr>
                <w:b/>
                <w:sz w:val="20"/>
              </w:rPr>
            </w:pPr>
            <w:r w:rsidRPr="002B2CFC">
              <w:rPr>
                <w:b/>
                <w:sz w:val="20"/>
              </w:rPr>
              <w:t>finding</w:t>
            </w:r>
          </w:p>
        </w:tc>
        <w:tc>
          <w:tcPr>
            <w:tcW w:w="607" w:type="dxa"/>
            <w:tcBorders>
              <w:left w:val="single" w:sz="12" w:space="0" w:color="auto"/>
            </w:tcBorders>
            <w:shd w:val="clear" w:color="auto" w:fill="BFBFBF" w:themeFill="background1" w:themeFillShade="BF"/>
            <w:vAlign w:val="center"/>
          </w:tcPr>
          <w:p w14:paraId="3D36FCC8" w14:textId="77777777" w:rsidR="0005512A" w:rsidRPr="002B2CFC" w:rsidRDefault="0005512A" w:rsidP="000652CE">
            <w:pPr>
              <w:keepNext/>
              <w:jc w:val="center"/>
              <w:rPr>
                <w:b/>
                <w:sz w:val="20"/>
              </w:rPr>
            </w:pPr>
            <w:r w:rsidRPr="002B2CFC">
              <w:rPr>
                <w:b/>
                <w:sz w:val="20"/>
              </w:rPr>
              <w:t>4</w:t>
            </w:r>
          </w:p>
        </w:tc>
        <w:tc>
          <w:tcPr>
            <w:tcW w:w="608" w:type="dxa"/>
            <w:shd w:val="clear" w:color="auto" w:fill="BFBFBF" w:themeFill="background1" w:themeFillShade="BF"/>
            <w:vAlign w:val="center"/>
          </w:tcPr>
          <w:p w14:paraId="018C5057" w14:textId="77777777" w:rsidR="0005512A" w:rsidRPr="002B2CFC" w:rsidRDefault="0005512A" w:rsidP="000652CE">
            <w:pPr>
              <w:keepNext/>
              <w:jc w:val="center"/>
              <w:rPr>
                <w:b/>
                <w:sz w:val="20"/>
              </w:rPr>
            </w:pPr>
            <w:r w:rsidRPr="002B2CFC">
              <w:rPr>
                <w:b/>
                <w:sz w:val="20"/>
              </w:rPr>
              <w:t>8</w:t>
            </w:r>
          </w:p>
        </w:tc>
        <w:tc>
          <w:tcPr>
            <w:tcW w:w="607" w:type="dxa"/>
            <w:shd w:val="clear" w:color="auto" w:fill="BFBFBF" w:themeFill="background1" w:themeFillShade="BF"/>
            <w:vAlign w:val="center"/>
          </w:tcPr>
          <w:p w14:paraId="7EF2B83F" w14:textId="77777777" w:rsidR="0005512A" w:rsidRPr="002B2CFC" w:rsidRDefault="0005512A" w:rsidP="000652CE">
            <w:pPr>
              <w:keepNext/>
              <w:jc w:val="center"/>
              <w:rPr>
                <w:b/>
                <w:sz w:val="20"/>
              </w:rPr>
            </w:pPr>
            <w:r w:rsidRPr="002B2CFC">
              <w:rPr>
                <w:b/>
                <w:sz w:val="20"/>
              </w:rPr>
              <w:t>16</w:t>
            </w:r>
          </w:p>
        </w:tc>
        <w:tc>
          <w:tcPr>
            <w:tcW w:w="608" w:type="dxa"/>
            <w:shd w:val="clear" w:color="auto" w:fill="BFBFBF" w:themeFill="background1" w:themeFillShade="BF"/>
            <w:vAlign w:val="center"/>
          </w:tcPr>
          <w:p w14:paraId="40935441" w14:textId="77777777" w:rsidR="0005512A" w:rsidRPr="002B2CFC" w:rsidRDefault="0005512A" w:rsidP="000652CE">
            <w:pPr>
              <w:keepNext/>
              <w:jc w:val="center"/>
              <w:rPr>
                <w:b/>
                <w:sz w:val="20"/>
              </w:rPr>
            </w:pPr>
            <w:r w:rsidRPr="002B2CFC">
              <w:rPr>
                <w:b/>
                <w:sz w:val="20"/>
              </w:rPr>
              <w:t>24</w:t>
            </w:r>
          </w:p>
        </w:tc>
        <w:tc>
          <w:tcPr>
            <w:tcW w:w="607" w:type="dxa"/>
            <w:shd w:val="clear" w:color="auto" w:fill="BFBFBF" w:themeFill="background1" w:themeFillShade="BF"/>
            <w:vAlign w:val="center"/>
          </w:tcPr>
          <w:p w14:paraId="6F14214B" w14:textId="77777777" w:rsidR="0005512A" w:rsidRPr="002B2CFC" w:rsidRDefault="0005512A" w:rsidP="000652CE">
            <w:pPr>
              <w:keepNext/>
              <w:jc w:val="center"/>
              <w:rPr>
                <w:b/>
                <w:sz w:val="20"/>
              </w:rPr>
            </w:pPr>
            <w:r w:rsidRPr="002B2CFC">
              <w:rPr>
                <w:b/>
                <w:sz w:val="20"/>
              </w:rPr>
              <w:t>48</w:t>
            </w:r>
          </w:p>
        </w:tc>
        <w:tc>
          <w:tcPr>
            <w:tcW w:w="608" w:type="dxa"/>
            <w:shd w:val="clear" w:color="auto" w:fill="BFBFBF" w:themeFill="background1" w:themeFillShade="BF"/>
            <w:vAlign w:val="center"/>
          </w:tcPr>
          <w:p w14:paraId="724E38B9" w14:textId="77777777" w:rsidR="0005512A" w:rsidRPr="002B2CFC" w:rsidRDefault="0005512A" w:rsidP="000652CE">
            <w:pPr>
              <w:keepNext/>
              <w:jc w:val="center"/>
              <w:rPr>
                <w:b/>
                <w:sz w:val="20"/>
              </w:rPr>
            </w:pPr>
            <w:r w:rsidRPr="002B2CFC">
              <w:rPr>
                <w:b/>
                <w:sz w:val="20"/>
              </w:rPr>
              <w:t>96</w:t>
            </w:r>
          </w:p>
        </w:tc>
        <w:tc>
          <w:tcPr>
            <w:tcW w:w="608" w:type="dxa"/>
            <w:tcBorders>
              <w:right w:val="single" w:sz="12" w:space="0" w:color="auto"/>
            </w:tcBorders>
            <w:shd w:val="clear" w:color="auto" w:fill="BFBFBF" w:themeFill="background1" w:themeFillShade="BF"/>
            <w:vAlign w:val="center"/>
          </w:tcPr>
          <w:p w14:paraId="3DE3026D" w14:textId="77777777" w:rsidR="0005512A" w:rsidRPr="002B2CFC" w:rsidRDefault="0005512A" w:rsidP="000652CE">
            <w:pPr>
              <w:keepNext/>
              <w:jc w:val="center"/>
              <w:rPr>
                <w:b/>
                <w:sz w:val="20"/>
              </w:rPr>
            </w:pPr>
            <w:r w:rsidRPr="002B2CFC">
              <w:rPr>
                <w:b/>
                <w:sz w:val="20"/>
              </w:rPr>
              <w:t>168</w:t>
            </w:r>
          </w:p>
        </w:tc>
        <w:tc>
          <w:tcPr>
            <w:tcW w:w="1781" w:type="dxa"/>
            <w:tcBorders>
              <w:right w:val="single" w:sz="4" w:space="0" w:color="auto"/>
            </w:tcBorders>
            <w:shd w:val="clear" w:color="auto" w:fill="BFBFBF" w:themeFill="background1" w:themeFillShade="BF"/>
            <w:vAlign w:val="center"/>
          </w:tcPr>
          <w:p w14:paraId="48E0D4C2" w14:textId="77777777" w:rsidR="0005512A" w:rsidRPr="002B2CFC" w:rsidRDefault="0005512A" w:rsidP="000652CE">
            <w:pPr>
              <w:keepNext/>
              <w:jc w:val="center"/>
              <w:rPr>
                <w:b/>
                <w:sz w:val="20"/>
              </w:rPr>
            </w:pPr>
            <w:r w:rsidRPr="002B2CFC">
              <w:rPr>
                <w:b/>
                <w:sz w:val="20"/>
              </w:rPr>
              <w:t>Variable as marked</w:t>
            </w:r>
          </w:p>
        </w:tc>
      </w:tr>
      <w:tr w:rsidR="0005512A" w:rsidRPr="002B2CFC" w14:paraId="0664BC98" w14:textId="77777777" w:rsidTr="0005512A">
        <w:tc>
          <w:tcPr>
            <w:tcW w:w="675" w:type="dxa"/>
            <w:vMerge w:val="restart"/>
            <w:textDirection w:val="btLr"/>
            <w:vAlign w:val="center"/>
          </w:tcPr>
          <w:p w14:paraId="11695BFE" w14:textId="77777777" w:rsidR="0005512A" w:rsidRPr="002B2CFC" w:rsidRDefault="0005512A" w:rsidP="000652CE">
            <w:pPr>
              <w:keepNext/>
              <w:ind w:right="113"/>
              <w:jc w:val="center"/>
              <w:rPr>
                <w:b/>
                <w:sz w:val="20"/>
              </w:rPr>
            </w:pPr>
            <w:r w:rsidRPr="002B2CFC">
              <w:rPr>
                <w:b/>
                <w:sz w:val="20"/>
              </w:rPr>
              <w:t xml:space="preserve">Amino Cu Ag </w:t>
            </w:r>
          </w:p>
        </w:tc>
        <w:tc>
          <w:tcPr>
            <w:tcW w:w="2330" w:type="dxa"/>
            <w:tcBorders>
              <w:right w:val="single" w:sz="12" w:space="0" w:color="auto"/>
            </w:tcBorders>
          </w:tcPr>
          <w:p w14:paraId="11FAD2E7" w14:textId="77777777" w:rsidR="0005512A" w:rsidRPr="002B2CFC" w:rsidRDefault="0005512A" w:rsidP="000652CE">
            <w:pPr>
              <w:keepNext/>
              <w:rPr>
                <w:sz w:val="20"/>
                <w:u w:val="single"/>
              </w:rPr>
            </w:pPr>
            <w:r w:rsidRPr="002B2CFC">
              <w:rPr>
                <w:sz w:val="20"/>
                <w:u w:val="single"/>
              </w:rPr>
              <w:t>Striatum;</w:t>
            </w:r>
          </w:p>
          <w:p w14:paraId="5E79A129" w14:textId="77777777" w:rsidR="0005512A" w:rsidRPr="002B2CFC" w:rsidRDefault="0005512A" w:rsidP="000652CE">
            <w:pPr>
              <w:keepNext/>
              <w:rPr>
                <w:sz w:val="20"/>
              </w:rPr>
            </w:pPr>
            <w:r w:rsidRPr="002B2CFC">
              <w:rPr>
                <w:sz w:val="20"/>
              </w:rPr>
              <w:t>Terminals, sliver+</w:t>
            </w:r>
          </w:p>
        </w:tc>
        <w:tc>
          <w:tcPr>
            <w:tcW w:w="607" w:type="dxa"/>
            <w:tcBorders>
              <w:left w:val="single" w:sz="12" w:space="0" w:color="auto"/>
            </w:tcBorders>
            <w:vAlign w:val="center"/>
          </w:tcPr>
          <w:p w14:paraId="7B289967" w14:textId="77777777" w:rsidR="0005512A" w:rsidRPr="002B2CFC" w:rsidRDefault="0005512A" w:rsidP="000652CE">
            <w:pPr>
              <w:keepNext/>
              <w:jc w:val="center"/>
              <w:rPr>
                <w:sz w:val="18"/>
                <w:szCs w:val="18"/>
              </w:rPr>
            </w:pPr>
            <w:r w:rsidRPr="002B2CFC">
              <w:rPr>
                <w:sz w:val="18"/>
                <w:szCs w:val="18"/>
              </w:rPr>
              <w:t>3 (1.40)</w:t>
            </w:r>
          </w:p>
        </w:tc>
        <w:tc>
          <w:tcPr>
            <w:tcW w:w="608" w:type="dxa"/>
            <w:vAlign w:val="center"/>
          </w:tcPr>
          <w:p w14:paraId="5F91F9C1" w14:textId="77777777" w:rsidR="0005512A" w:rsidRPr="002B2CFC" w:rsidRDefault="0005512A" w:rsidP="000652CE">
            <w:pPr>
              <w:keepNext/>
              <w:jc w:val="center"/>
              <w:rPr>
                <w:sz w:val="18"/>
                <w:szCs w:val="18"/>
              </w:rPr>
            </w:pPr>
            <w:r w:rsidRPr="002B2CFC">
              <w:rPr>
                <w:sz w:val="18"/>
                <w:szCs w:val="18"/>
              </w:rPr>
              <w:t>3 (1.80)</w:t>
            </w:r>
          </w:p>
        </w:tc>
        <w:tc>
          <w:tcPr>
            <w:tcW w:w="607" w:type="dxa"/>
            <w:vAlign w:val="center"/>
          </w:tcPr>
          <w:p w14:paraId="7E274C55" w14:textId="77777777" w:rsidR="0005512A" w:rsidRPr="002B2CFC" w:rsidRDefault="0005512A" w:rsidP="000652CE">
            <w:pPr>
              <w:keepNext/>
              <w:jc w:val="center"/>
              <w:rPr>
                <w:sz w:val="18"/>
                <w:szCs w:val="18"/>
              </w:rPr>
            </w:pPr>
            <w:r w:rsidRPr="002B2CFC">
              <w:rPr>
                <w:sz w:val="18"/>
                <w:szCs w:val="18"/>
              </w:rPr>
              <w:t>4 (3.00)</w:t>
            </w:r>
          </w:p>
        </w:tc>
        <w:tc>
          <w:tcPr>
            <w:tcW w:w="608" w:type="dxa"/>
            <w:vAlign w:val="center"/>
          </w:tcPr>
          <w:p w14:paraId="44A8564F" w14:textId="77777777" w:rsidR="0005512A" w:rsidRPr="002B2CFC" w:rsidRDefault="0005512A" w:rsidP="000652CE">
            <w:pPr>
              <w:keepNext/>
              <w:jc w:val="center"/>
              <w:rPr>
                <w:sz w:val="18"/>
                <w:szCs w:val="18"/>
              </w:rPr>
            </w:pPr>
            <w:r w:rsidRPr="002B2CFC">
              <w:rPr>
                <w:sz w:val="18"/>
                <w:szCs w:val="18"/>
              </w:rPr>
              <w:t>5 (3.00)</w:t>
            </w:r>
          </w:p>
        </w:tc>
        <w:tc>
          <w:tcPr>
            <w:tcW w:w="607" w:type="dxa"/>
            <w:vAlign w:val="center"/>
          </w:tcPr>
          <w:p w14:paraId="0903F13D" w14:textId="77777777" w:rsidR="0005512A" w:rsidRPr="002B2CFC" w:rsidRDefault="0005512A" w:rsidP="000652CE">
            <w:pPr>
              <w:keepNext/>
              <w:jc w:val="center"/>
              <w:rPr>
                <w:sz w:val="18"/>
                <w:szCs w:val="18"/>
              </w:rPr>
            </w:pPr>
            <w:r w:rsidRPr="002B2CFC">
              <w:rPr>
                <w:sz w:val="18"/>
                <w:szCs w:val="18"/>
              </w:rPr>
              <w:t>4 (3.60)</w:t>
            </w:r>
          </w:p>
        </w:tc>
        <w:tc>
          <w:tcPr>
            <w:tcW w:w="608" w:type="dxa"/>
            <w:vAlign w:val="center"/>
          </w:tcPr>
          <w:p w14:paraId="774A7125" w14:textId="77777777" w:rsidR="0005512A" w:rsidRPr="002B2CFC" w:rsidRDefault="0005512A" w:rsidP="000652CE">
            <w:pPr>
              <w:keepNext/>
              <w:jc w:val="center"/>
              <w:rPr>
                <w:sz w:val="18"/>
                <w:szCs w:val="18"/>
              </w:rPr>
            </w:pPr>
            <w:r w:rsidRPr="002B2CFC">
              <w:rPr>
                <w:sz w:val="18"/>
                <w:szCs w:val="18"/>
              </w:rPr>
              <w:t>2 (1.20)</w:t>
            </w:r>
          </w:p>
        </w:tc>
        <w:tc>
          <w:tcPr>
            <w:tcW w:w="608" w:type="dxa"/>
            <w:tcBorders>
              <w:right w:val="single" w:sz="12" w:space="0" w:color="auto"/>
            </w:tcBorders>
            <w:vAlign w:val="center"/>
          </w:tcPr>
          <w:p w14:paraId="7DE39D49" w14:textId="77777777" w:rsidR="0005512A" w:rsidRPr="002B2CFC" w:rsidRDefault="0005512A" w:rsidP="000652CE">
            <w:pPr>
              <w:keepNext/>
              <w:jc w:val="center"/>
              <w:rPr>
                <w:sz w:val="18"/>
                <w:szCs w:val="18"/>
              </w:rPr>
            </w:pPr>
          </w:p>
        </w:tc>
        <w:tc>
          <w:tcPr>
            <w:tcW w:w="1781" w:type="dxa"/>
            <w:tcBorders>
              <w:right w:val="single" w:sz="4" w:space="0" w:color="auto"/>
            </w:tcBorders>
          </w:tcPr>
          <w:p w14:paraId="2015FBAC" w14:textId="77777777" w:rsidR="0005512A" w:rsidRPr="002B2CFC" w:rsidRDefault="0005512A" w:rsidP="000652CE">
            <w:pPr>
              <w:keepNext/>
              <w:rPr>
                <w:sz w:val="18"/>
                <w:szCs w:val="18"/>
              </w:rPr>
            </w:pPr>
          </w:p>
        </w:tc>
      </w:tr>
      <w:tr w:rsidR="0005512A" w:rsidRPr="002B2CFC" w14:paraId="1E492F50" w14:textId="77777777" w:rsidTr="0005512A">
        <w:tc>
          <w:tcPr>
            <w:tcW w:w="675" w:type="dxa"/>
            <w:vMerge/>
            <w:textDirection w:val="btLr"/>
            <w:vAlign w:val="center"/>
          </w:tcPr>
          <w:p w14:paraId="61A3D527" w14:textId="77777777" w:rsidR="0005512A" w:rsidRPr="002B2CFC" w:rsidRDefault="0005512A" w:rsidP="000652CE">
            <w:pPr>
              <w:keepNext/>
              <w:ind w:right="113"/>
              <w:jc w:val="center"/>
              <w:rPr>
                <w:b/>
                <w:sz w:val="20"/>
              </w:rPr>
            </w:pPr>
          </w:p>
        </w:tc>
        <w:tc>
          <w:tcPr>
            <w:tcW w:w="2330" w:type="dxa"/>
            <w:tcBorders>
              <w:right w:val="single" w:sz="12" w:space="0" w:color="auto"/>
            </w:tcBorders>
          </w:tcPr>
          <w:p w14:paraId="65353360" w14:textId="77777777" w:rsidR="0005512A" w:rsidRPr="002B2CFC" w:rsidRDefault="0005512A" w:rsidP="000652CE">
            <w:pPr>
              <w:keepNext/>
              <w:rPr>
                <w:sz w:val="20"/>
                <w:u w:val="single"/>
              </w:rPr>
            </w:pPr>
            <w:r w:rsidRPr="002B2CFC">
              <w:rPr>
                <w:sz w:val="20"/>
                <w:u w:val="single"/>
              </w:rPr>
              <w:t>Striatum;</w:t>
            </w:r>
          </w:p>
          <w:p w14:paraId="4500CD88" w14:textId="77777777" w:rsidR="0005512A" w:rsidRPr="002B2CFC" w:rsidRDefault="0005512A" w:rsidP="000652CE">
            <w:pPr>
              <w:keepNext/>
              <w:rPr>
                <w:sz w:val="20"/>
              </w:rPr>
            </w:pPr>
            <w:r w:rsidRPr="002B2CFC">
              <w:rPr>
                <w:sz w:val="20"/>
              </w:rPr>
              <w:t>Axons, silver+</w:t>
            </w:r>
          </w:p>
        </w:tc>
        <w:tc>
          <w:tcPr>
            <w:tcW w:w="607" w:type="dxa"/>
            <w:tcBorders>
              <w:left w:val="single" w:sz="12" w:space="0" w:color="auto"/>
            </w:tcBorders>
            <w:vAlign w:val="center"/>
          </w:tcPr>
          <w:p w14:paraId="4AD9A436" w14:textId="77777777" w:rsidR="0005512A" w:rsidRPr="002B2CFC" w:rsidRDefault="0005512A" w:rsidP="000652CE">
            <w:pPr>
              <w:keepNext/>
              <w:jc w:val="center"/>
              <w:rPr>
                <w:sz w:val="18"/>
                <w:szCs w:val="18"/>
              </w:rPr>
            </w:pPr>
          </w:p>
        </w:tc>
        <w:tc>
          <w:tcPr>
            <w:tcW w:w="608" w:type="dxa"/>
            <w:vAlign w:val="center"/>
          </w:tcPr>
          <w:p w14:paraId="1A7D823D" w14:textId="77777777" w:rsidR="0005512A" w:rsidRPr="002B2CFC" w:rsidRDefault="0005512A" w:rsidP="000652CE">
            <w:pPr>
              <w:keepNext/>
              <w:jc w:val="center"/>
              <w:rPr>
                <w:sz w:val="18"/>
                <w:szCs w:val="18"/>
              </w:rPr>
            </w:pPr>
          </w:p>
        </w:tc>
        <w:tc>
          <w:tcPr>
            <w:tcW w:w="607" w:type="dxa"/>
            <w:vAlign w:val="center"/>
          </w:tcPr>
          <w:p w14:paraId="5BFA10BC" w14:textId="77777777" w:rsidR="0005512A" w:rsidRPr="002B2CFC" w:rsidRDefault="0005512A" w:rsidP="000652CE">
            <w:pPr>
              <w:keepNext/>
              <w:jc w:val="center"/>
              <w:rPr>
                <w:sz w:val="18"/>
                <w:szCs w:val="18"/>
              </w:rPr>
            </w:pPr>
          </w:p>
        </w:tc>
        <w:tc>
          <w:tcPr>
            <w:tcW w:w="608" w:type="dxa"/>
            <w:vAlign w:val="center"/>
          </w:tcPr>
          <w:p w14:paraId="2360ED71" w14:textId="77777777" w:rsidR="0005512A" w:rsidRPr="002B2CFC" w:rsidRDefault="0005512A" w:rsidP="000652CE">
            <w:pPr>
              <w:keepNext/>
              <w:jc w:val="center"/>
              <w:rPr>
                <w:sz w:val="18"/>
                <w:szCs w:val="18"/>
              </w:rPr>
            </w:pPr>
          </w:p>
        </w:tc>
        <w:tc>
          <w:tcPr>
            <w:tcW w:w="607" w:type="dxa"/>
            <w:vAlign w:val="center"/>
          </w:tcPr>
          <w:p w14:paraId="5881C62A" w14:textId="77777777" w:rsidR="0005512A" w:rsidRPr="002B2CFC" w:rsidRDefault="0005512A" w:rsidP="000652CE">
            <w:pPr>
              <w:keepNext/>
              <w:jc w:val="center"/>
              <w:rPr>
                <w:sz w:val="18"/>
                <w:szCs w:val="18"/>
              </w:rPr>
            </w:pPr>
            <w:r w:rsidRPr="002B2CFC">
              <w:rPr>
                <w:sz w:val="18"/>
                <w:szCs w:val="18"/>
              </w:rPr>
              <w:t>3 (1.20)</w:t>
            </w:r>
          </w:p>
        </w:tc>
        <w:tc>
          <w:tcPr>
            <w:tcW w:w="608" w:type="dxa"/>
            <w:vAlign w:val="center"/>
          </w:tcPr>
          <w:p w14:paraId="059C295B" w14:textId="77777777" w:rsidR="0005512A" w:rsidRPr="002B2CFC" w:rsidRDefault="0005512A" w:rsidP="000652CE">
            <w:pPr>
              <w:keepNext/>
              <w:jc w:val="center"/>
              <w:rPr>
                <w:sz w:val="18"/>
                <w:szCs w:val="18"/>
              </w:rPr>
            </w:pPr>
            <w:r w:rsidRPr="002B2CFC">
              <w:rPr>
                <w:sz w:val="18"/>
                <w:szCs w:val="18"/>
              </w:rPr>
              <w:t>1 (0.40)</w:t>
            </w:r>
          </w:p>
        </w:tc>
        <w:tc>
          <w:tcPr>
            <w:tcW w:w="608" w:type="dxa"/>
            <w:tcBorders>
              <w:right w:val="single" w:sz="12" w:space="0" w:color="auto"/>
            </w:tcBorders>
            <w:vAlign w:val="center"/>
          </w:tcPr>
          <w:p w14:paraId="52EB3158" w14:textId="77777777" w:rsidR="0005512A" w:rsidRPr="002B2CFC" w:rsidRDefault="0005512A" w:rsidP="000652CE">
            <w:pPr>
              <w:keepNext/>
              <w:jc w:val="center"/>
              <w:rPr>
                <w:sz w:val="18"/>
                <w:szCs w:val="18"/>
              </w:rPr>
            </w:pPr>
          </w:p>
        </w:tc>
        <w:tc>
          <w:tcPr>
            <w:tcW w:w="1781" w:type="dxa"/>
            <w:tcBorders>
              <w:right w:val="single" w:sz="4" w:space="0" w:color="auto"/>
            </w:tcBorders>
          </w:tcPr>
          <w:p w14:paraId="23D0DA08" w14:textId="77777777" w:rsidR="0005512A" w:rsidRPr="002B2CFC" w:rsidRDefault="0005512A" w:rsidP="000652CE">
            <w:pPr>
              <w:keepNext/>
              <w:rPr>
                <w:sz w:val="18"/>
                <w:szCs w:val="18"/>
              </w:rPr>
            </w:pPr>
          </w:p>
        </w:tc>
      </w:tr>
      <w:tr w:rsidR="0005512A" w:rsidRPr="002B2CFC" w14:paraId="09135FB5" w14:textId="77777777" w:rsidTr="0005512A">
        <w:tc>
          <w:tcPr>
            <w:tcW w:w="675" w:type="dxa"/>
            <w:vMerge/>
            <w:textDirection w:val="btLr"/>
            <w:vAlign w:val="center"/>
          </w:tcPr>
          <w:p w14:paraId="78A8D1B2" w14:textId="77777777" w:rsidR="0005512A" w:rsidRPr="002B2CFC" w:rsidRDefault="0005512A" w:rsidP="000652CE">
            <w:pPr>
              <w:keepNext/>
              <w:ind w:right="113"/>
              <w:jc w:val="center"/>
              <w:rPr>
                <w:b/>
                <w:sz w:val="20"/>
              </w:rPr>
            </w:pPr>
          </w:p>
        </w:tc>
        <w:tc>
          <w:tcPr>
            <w:tcW w:w="2330" w:type="dxa"/>
            <w:tcBorders>
              <w:right w:val="single" w:sz="12" w:space="0" w:color="auto"/>
            </w:tcBorders>
          </w:tcPr>
          <w:p w14:paraId="7F819E5C" w14:textId="77777777" w:rsidR="0005512A" w:rsidRPr="002B2CFC" w:rsidRDefault="0005512A" w:rsidP="000652CE">
            <w:pPr>
              <w:keepNext/>
              <w:rPr>
                <w:sz w:val="20"/>
                <w:u w:val="single"/>
              </w:rPr>
            </w:pPr>
            <w:r w:rsidRPr="002B2CFC">
              <w:rPr>
                <w:sz w:val="20"/>
                <w:u w:val="single"/>
              </w:rPr>
              <w:t>Striatum;</w:t>
            </w:r>
          </w:p>
          <w:p w14:paraId="2AA523A3" w14:textId="77777777" w:rsidR="0005512A" w:rsidRPr="002B2CFC" w:rsidRDefault="0005512A" w:rsidP="000652CE">
            <w:pPr>
              <w:keepNext/>
              <w:rPr>
                <w:sz w:val="20"/>
              </w:rPr>
            </w:pPr>
            <w:r w:rsidRPr="002B2CFC">
              <w:rPr>
                <w:sz w:val="20"/>
              </w:rPr>
              <w:t>Neurons, silver+</w:t>
            </w:r>
          </w:p>
        </w:tc>
        <w:tc>
          <w:tcPr>
            <w:tcW w:w="607" w:type="dxa"/>
            <w:tcBorders>
              <w:left w:val="single" w:sz="12" w:space="0" w:color="auto"/>
            </w:tcBorders>
            <w:vAlign w:val="center"/>
          </w:tcPr>
          <w:p w14:paraId="1C54F391" w14:textId="77777777" w:rsidR="0005512A" w:rsidRPr="002B2CFC" w:rsidRDefault="0005512A" w:rsidP="000652CE">
            <w:pPr>
              <w:keepNext/>
              <w:jc w:val="center"/>
              <w:rPr>
                <w:sz w:val="18"/>
                <w:szCs w:val="18"/>
              </w:rPr>
            </w:pPr>
          </w:p>
        </w:tc>
        <w:tc>
          <w:tcPr>
            <w:tcW w:w="608" w:type="dxa"/>
            <w:vAlign w:val="center"/>
          </w:tcPr>
          <w:p w14:paraId="0210C2DE" w14:textId="77777777" w:rsidR="0005512A" w:rsidRPr="002B2CFC" w:rsidRDefault="0005512A" w:rsidP="000652CE">
            <w:pPr>
              <w:keepNext/>
              <w:jc w:val="center"/>
              <w:rPr>
                <w:sz w:val="18"/>
                <w:szCs w:val="18"/>
              </w:rPr>
            </w:pPr>
          </w:p>
        </w:tc>
        <w:tc>
          <w:tcPr>
            <w:tcW w:w="607" w:type="dxa"/>
            <w:vAlign w:val="center"/>
          </w:tcPr>
          <w:p w14:paraId="5810732C" w14:textId="77777777" w:rsidR="0005512A" w:rsidRPr="002B2CFC" w:rsidRDefault="0005512A" w:rsidP="000652CE">
            <w:pPr>
              <w:keepNext/>
              <w:jc w:val="center"/>
              <w:rPr>
                <w:sz w:val="18"/>
                <w:szCs w:val="18"/>
              </w:rPr>
            </w:pPr>
          </w:p>
        </w:tc>
        <w:tc>
          <w:tcPr>
            <w:tcW w:w="608" w:type="dxa"/>
            <w:vAlign w:val="center"/>
          </w:tcPr>
          <w:p w14:paraId="0A1F457E" w14:textId="77777777" w:rsidR="0005512A" w:rsidRPr="002B2CFC" w:rsidRDefault="0005512A" w:rsidP="000652CE">
            <w:pPr>
              <w:keepNext/>
              <w:jc w:val="center"/>
              <w:rPr>
                <w:sz w:val="18"/>
                <w:szCs w:val="18"/>
              </w:rPr>
            </w:pPr>
          </w:p>
        </w:tc>
        <w:tc>
          <w:tcPr>
            <w:tcW w:w="607" w:type="dxa"/>
            <w:vAlign w:val="center"/>
          </w:tcPr>
          <w:p w14:paraId="6CB9A978" w14:textId="77777777" w:rsidR="0005512A" w:rsidRPr="002B2CFC" w:rsidRDefault="0005512A" w:rsidP="000652CE">
            <w:pPr>
              <w:keepNext/>
              <w:jc w:val="center"/>
              <w:rPr>
                <w:sz w:val="18"/>
                <w:szCs w:val="18"/>
              </w:rPr>
            </w:pPr>
            <w:r w:rsidRPr="002B2CFC">
              <w:rPr>
                <w:sz w:val="18"/>
                <w:szCs w:val="18"/>
              </w:rPr>
              <w:t>1 (0.40)</w:t>
            </w:r>
          </w:p>
        </w:tc>
        <w:tc>
          <w:tcPr>
            <w:tcW w:w="608" w:type="dxa"/>
            <w:vAlign w:val="center"/>
          </w:tcPr>
          <w:p w14:paraId="29A7515D" w14:textId="77777777" w:rsidR="0005512A" w:rsidRPr="002B2CFC" w:rsidRDefault="0005512A" w:rsidP="000652CE">
            <w:pPr>
              <w:keepNext/>
              <w:jc w:val="center"/>
              <w:rPr>
                <w:sz w:val="18"/>
                <w:szCs w:val="18"/>
              </w:rPr>
            </w:pPr>
          </w:p>
        </w:tc>
        <w:tc>
          <w:tcPr>
            <w:tcW w:w="608" w:type="dxa"/>
            <w:tcBorders>
              <w:right w:val="single" w:sz="12" w:space="0" w:color="auto"/>
            </w:tcBorders>
            <w:vAlign w:val="center"/>
          </w:tcPr>
          <w:p w14:paraId="12E91E80" w14:textId="77777777" w:rsidR="0005512A" w:rsidRPr="002B2CFC" w:rsidRDefault="0005512A" w:rsidP="000652CE">
            <w:pPr>
              <w:keepNext/>
              <w:jc w:val="center"/>
              <w:rPr>
                <w:sz w:val="18"/>
                <w:szCs w:val="18"/>
              </w:rPr>
            </w:pPr>
          </w:p>
        </w:tc>
        <w:tc>
          <w:tcPr>
            <w:tcW w:w="1781" w:type="dxa"/>
            <w:tcBorders>
              <w:right w:val="single" w:sz="4" w:space="0" w:color="auto"/>
            </w:tcBorders>
          </w:tcPr>
          <w:p w14:paraId="1443D371" w14:textId="77777777" w:rsidR="0005512A" w:rsidRPr="002B2CFC" w:rsidRDefault="0005512A" w:rsidP="000652CE">
            <w:pPr>
              <w:keepNext/>
              <w:rPr>
                <w:sz w:val="18"/>
                <w:szCs w:val="18"/>
              </w:rPr>
            </w:pPr>
          </w:p>
        </w:tc>
      </w:tr>
      <w:tr w:rsidR="0005512A" w:rsidRPr="002B2CFC" w14:paraId="2BE37373" w14:textId="77777777" w:rsidTr="0005512A">
        <w:tc>
          <w:tcPr>
            <w:tcW w:w="675" w:type="dxa"/>
            <w:vMerge/>
            <w:textDirection w:val="btLr"/>
            <w:vAlign w:val="center"/>
          </w:tcPr>
          <w:p w14:paraId="474B6B6F" w14:textId="77777777" w:rsidR="0005512A" w:rsidRPr="002B2CFC" w:rsidRDefault="0005512A" w:rsidP="000652CE">
            <w:pPr>
              <w:keepNext/>
              <w:ind w:right="113"/>
              <w:jc w:val="center"/>
              <w:rPr>
                <w:b/>
                <w:sz w:val="20"/>
              </w:rPr>
            </w:pPr>
          </w:p>
        </w:tc>
        <w:tc>
          <w:tcPr>
            <w:tcW w:w="2330" w:type="dxa"/>
            <w:tcBorders>
              <w:right w:val="single" w:sz="12" w:space="0" w:color="auto"/>
            </w:tcBorders>
          </w:tcPr>
          <w:p w14:paraId="33656282" w14:textId="77777777" w:rsidR="0005512A" w:rsidRPr="002B2CFC" w:rsidRDefault="0005512A" w:rsidP="000652CE">
            <w:pPr>
              <w:keepNext/>
              <w:rPr>
                <w:sz w:val="20"/>
                <w:u w:val="single"/>
              </w:rPr>
            </w:pPr>
            <w:r w:rsidRPr="002B2CFC">
              <w:rPr>
                <w:sz w:val="20"/>
                <w:u w:val="single"/>
              </w:rPr>
              <w:t>S</w:t>
            </w:r>
            <w:r w:rsidR="008039E3">
              <w:rPr>
                <w:sz w:val="20"/>
                <w:u w:val="single"/>
              </w:rPr>
              <w:t>N</w:t>
            </w:r>
            <w:r w:rsidRPr="002B2CFC">
              <w:rPr>
                <w:sz w:val="20"/>
                <w:u w:val="single"/>
              </w:rPr>
              <w:t>;</w:t>
            </w:r>
          </w:p>
          <w:p w14:paraId="5380DF41" w14:textId="77777777" w:rsidR="0005512A" w:rsidRPr="002B2CFC" w:rsidRDefault="0005512A" w:rsidP="000652CE">
            <w:pPr>
              <w:keepNext/>
              <w:rPr>
                <w:sz w:val="20"/>
              </w:rPr>
            </w:pPr>
            <w:r w:rsidRPr="002B2CFC">
              <w:rPr>
                <w:sz w:val="20"/>
              </w:rPr>
              <w:t>Neurons, silver+</w:t>
            </w:r>
          </w:p>
        </w:tc>
        <w:tc>
          <w:tcPr>
            <w:tcW w:w="607" w:type="dxa"/>
            <w:tcBorders>
              <w:left w:val="single" w:sz="12" w:space="0" w:color="auto"/>
            </w:tcBorders>
            <w:vAlign w:val="center"/>
          </w:tcPr>
          <w:p w14:paraId="1201AC23" w14:textId="77777777" w:rsidR="0005512A" w:rsidRPr="002B2CFC" w:rsidRDefault="0005512A" w:rsidP="000652CE">
            <w:pPr>
              <w:keepNext/>
              <w:jc w:val="center"/>
              <w:rPr>
                <w:sz w:val="18"/>
                <w:szCs w:val="18"/>
              </w:rPr>
            </w:pPr>
          </w:p>
        </w:tc>
        <w:tc>
          <w:tcPr>
            <w:tcW w:w="608" w:type="dxa"/>
            <w:vAlign w:val="center"/>
          </w:tcPr>
          <w:p w14:paraId="6535874A" w14:textId="77777777" w:rsidR="0005512A" w:rsidRPr="002B2CFC" w:rsidRDefault="0005512A" w:rsidP="000652CE">
            <w:pPr>
              <w:keepNext/>
              <w:jc w:val="center"/>
              <w:rPr>
                <w:sz w:val="18"/>
                <w:szCs w:val="18"/>
              </w:rPr>
            </w:pPr>
            <w:r w:rsidRPr="002B2CFC">
              <w:rPr>
                <w:sz w:val="18"/>
                <w:szCs w:val="18"/>
              </w:rPr>
              <w:t>1 (0.20)</w:t>
            </w:r>
          </w:p>
        </w:tc>
        <w:tc>
          <w:tcPr>
            <w:tcW w:w="607" w:type="dxa"/>
            <w:vAlign w:val="center"/>
          </w:tcPr>
          <w:p w14:paraId="51941426" w14:textId="77777777" w:rsidR="0005512A" w:rsidRPr="002B2CFC" w:rsidRDefault="0005512A" w:rsidP="000652CE">
            <w:pPr>
              <w:keepNext/>
              <w:jc w:val="center"/>
              <w:rPr>
                <w:sz w:val="18"/>
                <w:szCs w:val="18"/>
              </w:rPr>
            </w:pPr>
            <w:r w:rsidRPr="002B2CFC">
              <w:rPr>
                <w:sz w:val="18"/>
                <w:szCs w:val="18"/>
              </w:rPr>
              <w:t>2 (1.60)</w:t>
            </w:r>
          </w:p>
        </w:tc>
        <w:tc>
          <w:tcPr>
            <w:tcW w:w="608" w:type="dxa"/>
            <w:vAlign w:val="center"/>
          </w:tcPr>
          <w:p w14:paraId="38D5CFB8" w14:textId="77777777" w:rsidR="0005512A" w:rsidRPr="002B2CFC" w:rsidRDefault="0005512A" w:rsidP="000652CE">
            <w:pPr>
              <w:keepNext/>
              <w:jc w:val="center"/>
              <w:rPr>
                <w:sz w:val="18"/>
                <w:szCs w:val="18"/>
              </w:rPr>
            </w:pPr>
            <w:r w:rsidRPr="002B2CFC">
              <w:rPr>
                <w:sz w:val="18"/>
                <w:szCs w:val="18"/>
              </w:rPr>
              <w:t>3 (1.20)</w:t>
            </w:r>
          </w:p>
        </w:tc>
        <w:tc>
          <w:tcPr>
            <w:tcW w:w="607" w:type="dxa"/>
            <w:vAlign w:val="center"/>
          </w:tcPr>
          <w:p w14:paraId="7D8E9E7B" w14:textId="77777777" w:rsidR="0005512A" w:rsidRPr="002B2CFC" w:rsidRDefault="0005512A" w:rsidP="000652CE">
            <w:pPr>
              <w:keepNext/>
              <w:jc w:val="center"/>
              <w:rPr>
                <w:sz w:val="18"/>
                <w:szCs w:val="18"/>
              </w:rPr>
            </w:pPr>
            <w:r w:rsidRPr="002B2CFC">
              <w:rPr>
                <w:sz w:val="18"/>
                <w:szCs w:val="18"/>
              </w:rPr>
              <w:t>2 (1.60)</w:t>
            </w:r>
          </w:p>
        </w:tc>
        <w:tc>
          <w:tcPr>
            <w:tcW w:w="608" w:type="dxa"/>
            <w:vAlign w:val="center"/>
          </w:tcPr>
          <w:p w14:paraId="6362D050" w14:textId="77777777" w:rsidR="0005512A" w:rsidRPr="002B2CFC" w:rsidRDefault="0005512A" w:rsidP="000652CE">
            <w:pPr>
              <w:keepNext/>
              <w:jc w:val="center"/>
              <w:rPr>
                <w:sz w:val="18"/>
                <w:szCs w:val="18"/>
              </w:rPr>
            </w:pPr>
            <w:r w:rsidRPr="002B2CFC">
              <w:rPr>
                <w:sz w:val="18"/>
                <w:szCs w:val="18"/>
              </w:rPr>
              <w:t>1 (0.20)</w:t>
            </w:r>
          </w:p>
        </w:tc>
        <w:tc>
          <w:tcPr>
            <w:tcW w:w="608" w:type="dxa"/>
            <w:tcBorders>
              <w:right w:val="single" w:sz="12" w:space="0" w:color="auto"/>
            </w:tcBorders>
            <w:vAlign w:val="center"/>
          </w:tcPr>
          <w:p w14:paraId="60DE822C" w14:textId="77777777" w:rsidR="0005512A" w:rsidRPr="002B2CFC" w:rsidRDefault="0005512A" w:rsidP="000652CE">
            <w:pPr>
              <w:keepNext/>
              <w:jc w:val="center"/>
              <w:rPr>
                <w:sz w:val="18"/>
                <w:szCs w:val="18"/>
              </w:rPr>
            </w:pPr>
          </w:p>
        </w:tc>
        <w:tc>
          <w:tcPr>
            <w:tcW w:w="1781" w:type="dxa"/>
            <w:tcBorders>
              <w:right w:val="single" w:sz="4" w:space="0" w:color="auto"/>
            </w:tcBorders>
          </w:tcPr>
          <w:p w14:paraId="5334CE84" w14:textId="77777777" w:rsidR="0005512A" w:rsidRPr="002B2CFC" w:rsidRDefault="0005512A" w:rsidP="000652CE">
            <w:pPr>
              <w:keepNext/>
              <w:rPr>
                <w:sz w:val="18"/>
                <w:szCs w:val="18"/>
              </w:rPr>
            </w:pPr>
          </w:p>
        </w:tc>
      </w:tr>
      <w:tr w:rsidR="0005512A" w:rsidRPr="002B2CFC" w14:paraId="65A027AC" w14:textId="77777777" w:rsidTr="0005512A">
        <w:tc>
          <w:tcPr>
            <w:tcW w:w="675" w:type="dxa"/>
            <w:vMerge/>
            <w:textDirection w:val="btLr"/>
            <w:vAlign w:val="center"/>
          </w:tcPr>
          <w:p w14:paraId="4FD0BFEB" w14:textId="77777777" w:rsidR="0005512A" w:rsidRPr="002B2CFC" w:rsidRDefault="0005512A" w:rsidP="000652CE">
            <w:pPr>
              <w:keepNext/>
              <w:ind w:right="113"/>
              <w:jc w:val="center"/>
              <w:rPr>
                <w:b/>
                <w:sz w:val="20"/>
              </w:rPr>
            </w:pPr>
          </w:p>
        </w:tc>
        <w:tc>
          <w:tcPr>
            <w:tcW w:w="2330" w:type="dxa"/>
            <w:tcBorders>
              <w:right w:val="single" w:sz="12" w:space="0" w:color="auto"/>
            </w:tcBorders>
          </w:tcPr>
          <w:p w14:paraId="165F7C9B" w14:textId="77777777" w:rsidR="0005512A" w:rsidRPr="002B2CFC" w:rsidRDefault="0005512A" w:rsidP="000652CE">
            <w:pPr>
              <w:keepNext/>
              <w:rPr>
                <w:sz w:val="20"/>
                <w:u w:val="single"/>
              </w:rPr>
            </w:pPr>
            <w:r w:rsidRPr="002B2CFC">
              <w:rPr>
                <w:sz w:val="20"/>
                <w:u w:val="single"/>
              </w:rPr>
              <w:t>S</w:t>
            </w:r>
            <w:r w:rsidR="008039E3">
              <w:rPr>
                <w:sz w:val="20"/>
                <w:u w:val="single"/>
              </w:rPr>
              <w:t>N</w:t>
            </w:r>
            <w:r w:rsidRPr="002B2CFC">
              <w:rPr>
                <w:sz w:val="20"/>
                <w:u w:val="single"/>
              </w:rPr>
              <w:t>;</w:t>
            </w:r>
          </w:p>
          <w:p w14:paraId="683BFECD" w14:textId="77777777" w:rsidR="0005512A" w:rsidRPr="002B2CFC" w:rsidRDefault="0005512A" w:rsidP="000652CE">
            <w:pPr>
              <w:keepNext/>
              <w:rPr>
                <w:sz w:val="20"/>
              </w:rPr>
            </w:pPr>
            <w:r w:rsidRPr="002B2CFC">
              <w:rPr>
                <w:sz w:val="20"/>
              </w:rPr>
              <w:t>Axons, silver+</w:t>
            </w:r>
          </w:p>
        </w:tc>
        <w:tc>
          <w:tcPr>
            <w:tcW w:w="607" w:type="dxa"/>
            <w:tcBorders>
              <w:left w:val="single" w:sz="12" w:space="0" w:color="auto"/>
            </w:tcBorders>
            <w:vAlign w:val="center"/>
          </w:tcPr>
          <w:p w14:paraId="60AAFD06" w14:textId="77777777" w:rsidR="0005512A" w:rsidRPr="002B2CFC" w:rsidRDefault="0005512A" w:rsidP="000652CE">
            <w:pPr>
              <w:keepNext/>
              <w:jc w:val="center"/>
              <w:rPr>
                <w:sz w:val="18"/>
                <w:szCs w:val="18"/>
              </w:rPr>
            </w:pPr>
          </w:p>
        </w:tc>
        <w:tc>
          <w:tcPr>
            <w:tcW w:w="608" w:type="dxa"/>
            <w:vAlign w:val="center"/>
          </w:tcPr>
          <w:p w14:paraId="1AB9C75E" w14:textId="77777777" w:rsidR="0005512A" w:rsidRPr="002B2CFC" w:rsidRDefault="0005512A" w:rsidP="000652CE">
            <w:pPr>
              <w:keepNext/>
              <w:jc w:val="center"/>
              <w:rPr>
                <w:sz w:val="18"/>
                <w:szCs w:val="18"/>
              </w:rPr>
            </w:pPr>
          </w:p>
        </w:tc>
        <w:tc>
          <w:tcPr>
            <w:tcW w:w="607" w:type="dxa"/>
            <w:vAlign w:val="center"/>
          </w:tcPr>
          <w:p w14:paraId="6422221C" w14:textId="77777777" w:rsidR="0005512A" w:rsidRPr="002B2CFC" w:rsidRDefault="0005512A" w:rsidP="000652CE">
            <w:pPr>
              <w:keepNext/>
              <w:jc w:val="center"/>
              <w:rPr>
                <w:sz w:val="18"/>
                <w:szCs w:val="18"/>
              </w:rPr>
            </w:pPr>
            <w:r w:rsidRPr="002B2CFC">
              <w:rPr>
                <w:sz w:val="18"/>
                <w:szCs w:val="18"/>
              </w:rPr>
              <w:t>2 (1.00)</w:t>
            </w:r>
          </w:p>
        </w:tc>
        <w:tc>
          <w:tcPr>
            <w:tcW w:w="608" w:type="dxa"/>
            <w:vAlign w:val="center"/>
          </w:tcPr>
          <w:p w14:paraId="0C837886" w14:textId="77777777" w:rsidR="0005512A" w:rsidRPr="002B2CFC" w:rsidRDefault="0005512A" w:rsidP="000652CE">
            <w:pPr>
              <w:keepNext/>
              <w:jc w:val="center"/>
              <w:rPr>
                <w:sz w:val="18"/>
                <w:szCs w:val="18"/>
              </w:rPr>
            </w:pPr>
            <w:r w:rsidRPr="002B2CFC">
              <w:rPr>
                <w:sz w:val="18"/>
                <w:szCs w:val="18"/>
              </w:rPr>
              <w:t>3 (0.60)</w:t>
            </w:r>
          </w:p>
        </w:tc>
        <w:tc>
          <w:tcPr>
            <w:tcW w:w="607" w:type="dxa"/>
            <w:vAlign w:val="center"/>
          </w:tcPr>
          <w:p w14:paraId="2AB352D2" w14:textId="77777777" w:rsidR="0005512A" w:rsidRPr="002B2CFC" w:rsidRDefault="0005512A" w:rsidP="000652CE">
            <w:pPr>
              <w:keepNext/>
              <w:jc w:val="center"/>
              <w:rPr>
                <w:sz w:val="18"/>
                <w:szCs w:val="18"/>
              </w:rPr>
            </w:pPr>
            <w:r w:rsidRPr="002B2CFC">
              <w:rPr>
                <w:sz w:val="18"/>
                <w:szCs w:val="18"/>
              </w:rPr>
              <w:t>2 (1.20)</w:t>
            </w:r>
          </w:p>
        </w:tc>
        <w:tc>
          <w:tcPr>
            <w:tcW w:w="608" w:type="dxa"/>
            <w:vAlign w:val="center"/>
          </w:tcPr>
          <w:p w14:paraId="3C7D0739" w14:textId="77777777" w:rsidR="0005512A" w:rsidRPr="002B2CFC" w:rsidRDefault="0005512A" w:rsidP="000652CE">
            <w:pPr>
              <w:keepNext/>
              <w:jc w:val="center"/>
              <w:rPr>
                <w:sz w:val="18"/>
                <w:szCs w:val="18"/>
              </w:rPr>
            </w:pPr>
            <w:r w:rsidRPr="002B2CFC">
              <w:rPr>
                <w:sz w:val="18"/>
                <w:szCs w:val="18"/>
              </w:rPr>
              <w:t>1 (0.20)</w:t>
            </w:r>
          </w:p>
        </w:tc>
        <w:tc>
          <w:tcPr>
            <w:tcW w:w="608" w:type="dxa"/>
            <w:tcBorders>
              <w:right w:val="single" w:sz="12" w:space="0" w:color="auto"/>
            </w:tcBorders>
            <w:vAlign w:val="center"/>
          </w:tcPr>
          <w:p w14:paraId="238AF3BE" w14:textId="77777777" w:rsidR="0005512A" w:rsidRPr="002B2CFC" w:rsidRDefault="0005512A" w:rsidP="000652CE">
            <w:pPr>
              <w:keepNext/>
              <w:jc w:val="center"/>
              <w:rPr>
                <w:sz w:val="18"/>
                <w:szCs w:val="18"/>
              </w:rPr>
            </w:pPr>
          </w:p>
        </w:tc>
        <w:tc>
          <w:tcPr>
            <w:tcW w:w="1781" w:type="dxa"/>
            <w:tcBorders>
              <w:right w:val="single" w:sz="4" w:space="0" w:color="auto"/>
            </w:tcBorders>
          </w:tcPr>
          <w:p w14:paraId="24B5984A" w14:textId="77777777" w:rsidR="0005512A" w:rsidRPr="002B2CFC" w:rsidRDefault="0005512A" w:rsidP="000652CE">
            <w:pPr>
              <w:keepNext/>
              <w:rPr>
                <w:sz w:val="18"/>
                <w:szCs w:val="18"/>
              </w:rPr>
            </w:pPr>
          </w:p>
        </w:tc>
      </w:tr>
      <w:tr w:rsidR="0005512A" w:rsidRPr="002B2CFC" w14:paraId="4FEBA9F1" w14:textId="77777777" w:rsidTr="0005512A">
        <w:tc>
          <w:tcPr>
            <w:tcW w:w="675" w:type="dxa"/>
            <w:vMerge/>
            <w:textDirection w:val="btLr"/>
            <w:vAlign w:val="center"/>
          </w:tcPr>
          <w:p w14:paraId="4C1ED4B0" w14:textId="77777777" w:rsidR="0005512A" w:rsidRPr="002B2CFC" w:rsidRDefault="0005512A" w:rsidP="000652CE">
            <w:pPr>
              <w:keepNext/>
              <w:ind w:right="113"/>
              <w:jc w:val="center"/>
              <w:rPr>
                <w:b/>
                <w:sz w:val="20"/>
              </w:rPr>
            </w:pPr>
          </w:p>
        </w:tc>
        <w:tc>
          <w:tcPr>
            <w:tcW w:w="2330" w:type="dxa"/>
            <w:tcBorders>
              <w:right w:val="single" w:sz="12" w:space="0" w:color="auto"/>
            </w:tcBorders>
          </w:tcPr>
          <w:p w14:paraId="55D250A8" w14:textId="77777777" w:rsidR="0005512A" w:rsidRPr="002B2CFC" w:rsidRDefault="0005512A" w:rsidP="000652CE">
            <w:pPr>
              <w:keepNext/>
              <w:rPr>
                <w:sz w:val="20"/>
                <w:u w:val="single"/>
              </w:rPr>
            </w:pPr>
            <w:r w:rsidRPr="002B2CFC">
              <w:rPr>
                <w:sz w:val="20"/>
                <w:u w:val="single"/>
              </w:rPr>
              <w:t>S</w:t>
            </w:r>
            <w:r w:rsidR="008039E3">
              <w:rPr>
                <w:sz w:val="20"/>
                <w:u w:val="single"/>
              </w:rPr>
              <w:t>N</w:t>
            </w:r>
            <w:r w:rsidRPr="002B2CFC">
              <w:rPr>
                <w:sz w:val="20"/>
                <w:u w:val="single"/>
              </w:rPr>
              <w:t>/VTA;</w:t>
            </w:r>
          </w:p>
          <w:p w14:paraId="006D2C61" w14:textId="77777777" w:rsidR="0005512A" w:rsidRPr="002B2CFC" w:rsidRDefault="0005512A" w:rsidP="000652CE">
            <w:pPr>
              <w:keepNext/>
              <w:rPr>
                <w:sz w:val="20"/>
                <w:u w:val="single"/>
              </w:rPr>
            </w:pPr>
            <w:r w:rsidRPr="002B2CFC">
              <w:rPr>
                <w:sz w:val="20"/>
                <w:u w:val="single"/>
              </w:rPr>
              <w:t>Terminals, silver+</w:t>
            </w:r>
          </w:p>
        </w:tc>
        <w:tc>
          <w:tcPr>
            <w:tcW w:w="607" w:type="dxa"/>
            <w:tcBorders>
              <w:left w:val="single" w:sz="12" w:space="0" w:color="auto"/>
            </w:tcBorders>
            <w:vAlign w:val="center"/>
          </w:tcPr>
          <w:p w14:paraId="774C3590" w14:textId="77777777" w:rsidR="0005512A" w:rsidRPr="002B2CFC" w:rsidRDefault="0005512A" w:rsidP="000652CE">
            <w:pPr>
              <w:keepNext/>
              <w:jc w:val="center"/>
              <w:rPr>
                <w:sz w:val="18"/>
                <w:szCs w:val="18"/>
              </w:rPr>
            </w:pPr>
          </w:p>
        </w:tc>
        <w:tc>
          <w:tcPr>
            <w:tcW w:w="608" w:type="dxa"/>
            <w:vAlign w:val="center"/>
          </w:tcPr>
          <w:p w14:paraId="41AFDB96" w14:textId="77777777" w:rsidR="0005512A" w:rsidRPr="002B2CFC" w:rsidRDefault="0005512A" w:rsidP="000652CE">
            <w:pPr>
              <w:keepNext/>
              <w:jc w:val="center"/>
              <w:rPr>
                <w:sz w:val="18"/>
                <w:szCs w:val="18"/>
              </w:rPr>
            </w:pPr>
          </w:p>
        </w:tc>
        <w:tc>
          <w:tcPr>
            <w:tcW w:w="607" w:type="dxa"/>
            <w:vAlign w:val="center"/>
          </w:tcPr>
          <w:p w14:paraId="1287DBB1" w14:textId="77777777" w:rsidR="0005512A" w:rsidRPr="002B2CFC" w:rsidRDefault="0005512A" w:rsidP="000652CE">
            <w:pPr>
              <w:keepNext/>
              <w:jc w:val="center"/>
              <w:rPr>
                <w:sz w:val="18"/>
                <w:szCs w:val="18"/>
              </w:rPr>
            </w:pPr>
            <w:r w:rsidRPr="002B2CFC">
              <w:rPr>
                <w:sz w:val="18"/>
                <w:szCs w:val="18"/>
              </w:rPr>
              <w:t>1 (0.60)</w:t>
            </w:r>
          </w:p>
        </w:tc>
        <w:tc>
          <w:tcPr>
            <w:tcW w:w="608" w:type="dxa"/>
            <w:vAlign w:val="center"/>
          </w:tcPr>
          <w:p w14:paraId="0103D2BF" w14:textId="77777777" w:rsidR="0005512A" w:rsidRPr="002B2CFC" w:rsidRDefault="0005512A" w:rsidP="000652CE">
            <w:pPr>
              <w:keepNext/>
              <w:jc w:val="center"/>
              <w:rPr>
                <w:sz w:val="18"/>
                <w:szCs w:val="18"/>
              </w:rPr>
            </w:pPr>
          </w:p>
        </w:tc>
        <w:tc>
          <w:tcPr>
            <w:tcW w:w="607" w:type="dxa"/>
            <w:vAlign w:val="center"/>
          </w:tcPr>
          <w:p w14:paraId="0AB89AC5" w14:textId="77777777" w:rsidR="0005512A" w:rsidRPr="002B2CFC" w:rsidRDefault="0005512A" w:rsidP="000652CE">
            <w:pPr>
              <w:keepNext/>
              <w:jc w:val="center"/>
              <w:rPr>
                <w:sz w:val="18"/>
                <w:szCs w:val="18"/>
              </w:rPr>
            </w:pPr>
            <w:r w:rsidRPr="002B2CFC">
              <w:rPr>
                <w:sz w:val="18"/>
                <w:szCs w:val="18"/>
              </w:rPr>
              <w:t>1 (0.60)</w:t>
            </w:r>
          </w:p>
        </w:tc>
        <w:tc>
          <w:tcPr>
            <w:tcW w:w="608" w:type="dxa"/>
            <w:vAlign w:val="center"/>
          </w:tcPr>
          <w:p w14:paraId="67161F94" w14:textId="77777777" w:rsidR="0005512A" w:rsidRPr="002B2CFC" w:rsidRDefault="0005512A" w:rsidP="000652CE">
            <w:pPr>
              <w:keepNext/>
              <w:jc w:val="center"/>
              <w:rPr>
                <w:sz w:val="18"/>
                <w:szCs w:val="18"/>
              </w:rPr>
            </w:pPr>
          </w:p>
        </w:tc>
        <w:tc>
          <w:tcPr>
            <w:tcW w:w="608" w:type="dxa"/>
            <w:tcBorders>
              <w:right w:val="single" w:sz="12" w:space="0" w:color="auto"/>
            </w:tcBorders>
            <w:vAlign w:val="center"/>
          </w:tcPr>
          <w:p w14:paraId="56C655F5" w14:textId="77777777" w:rsidR="0005512A" w:rsidRPr="002B2CFC" w:rsidRDefault="0005512A" w:rsidP="000652CE">
            <w:pPr>
              <w:keepNext/>
              <w:jc w:val="center"/>
              <w:rPr>
                <w:sz w:val="18"/>
                <w:szCs w:val="18"/>
              </w:rPr>
            </w:pPr>
          </w:p>
        </w:tc>
        <w:tc>
          <w:tcPr>
            <w:tcW w:w="1781" w:type="dxa"/>
            <w:tcBorders>
              <w:right w:val="single" w:sz="4" w:space="0" w:color="auto"/>
            </w:tcBorders>
          </w:tcPr>
          <w:p w14:paraId="11DC6A6E" w14:textId="77777777" w:rsidR="0005512A" w:rsidRPr="002B2CFC" w:rsidRDefault="0005512A" w:rsidP="000652CE">
            <w:pPr>
              <w:keepNext/>
              <w:rPr>
                <w:sz w:val="18"/>
                <w:szCs w:val="18"/>
              </w:rPr>
            </w:pPr>
          </w:p>
        </w:tc>
      </w:tr>
      <w:tr w:rsidR="0005512A" w:rsidRPr="002B2CFC" w14:paraId="47474AC5" w14:textId="77777777" w:rsidTr="0005512A">
        <w:tc>
          <w:tcPr>
            <w:tcW w:w="675" w:type="dxa"/>
            <w:vMerge/>
            <w:textDirection w:val="btLr"/>
            <w:vAlign w:val="center"/>
          </w:tcPr>
          <w:p w14:paraId="1EE3744B" w14:textId="77777777" w:rsidR="0005512A" w:rsidRPr="002B2CFC" w:rsidRDefault="0005512A" w:rsidP="000652CE">
            <w:pPr>
              <w:keepNext/>
              <w:ind w:right="113"/>
              <w:jc w:val="center"/>
              <w:rPr>
                <w:b/>
                <w:sz w:val="20"/>
              </w:rPr>
            </w:pPr>
          </w:p>
        </w:tc>
        <w:tc>
          <w:tcPr>
            <w:tcW w:w="2330" w:type="dxa"/>
            <w:tcBorders>
              <w:right w:val="single" w:sz="12" w:space="0" w:color="auto"/>
            </w:tcBorders>
          </w:tcPr>
          <w:p w14:paraId="16F130BF" w14:textId="77777777" w:rsidR="0005512A" w:rsidRPr="002B2CFC" w:rsidRDefault="0005512A" w:rsidP="000652CE">
            <w:pPr>
              <w:keepNext/>
              <w:rPr>
                <w:sz w:val="20"/>
                <w:u w:val="single"/>
              </w:rPr>
            </w:pPr>
            <w:r w:rsidRPr="002B2CFC">
              <w:rPr>
                <w:sz w:val="20"/>
                <w:u w:val="single"/>
              </w:rPr>
              <w:t>Substantia reticulata;</w:t>
            </w:r>
          </w:p>
          <w:p w14:paraId="3DE7DE83" w14:textId="77777777" w:rsidR="0005512A" w:rsidRPr="002B2CFC" w:rsidRDefault="0005512A" w:rsidP="000652CE">
            <w:pPr>
              <w:keepNext/>
              <w:rPr>
                <w:sz w:val="20"/>
              </w:rPr>
            </w:pPr>
            <w:r w:rsidRPr="002B2CFC">
              <w:rPr>
                <w:sz w:val="20"/>
              </w:rPr>
              <w:t>Axons/terminals, silver +</w:t>
            </w:r>
          </w:p>
        </w:tc>
        <w:tc>
          <w:tcPr>
            <w:tcW w:w="607" w:type="dxa"/>
            <w:tcBorders>
              <w:left w:val="single" w:sz="12" w:space="0" w:color="auto"/>
            </w:tcBorders>
            <w:vAlign w:val="center"/>
          </w:tcPr>
          <w:p w14:paraId="03501A3D" w14:textId="77777777" w:rsidR="0005512A" w:rsidRPr="002B2CFC" w:rsidRDefault="0005512A" w:rsidP="000652CE">
            <w:pPr>
              <w:keepNext/>
              <w:jc w:val="center"/>
              <w:rPr>
                <w:sz w:val="18"/>
                <w:szCs w:val="18"/>
              </w:rPr>
            </w:pPr>
          </w:p>
        </w:tc>
        <w:tc>
          <w:tcPr>
            <w:tcW w:w="608" w:type="dxa"/>
            <w:vAlign w:val="center"/>
          </w:tcPr>
          <w:p w14:paraId="330B570D" w14:textId="77777777" w:rsidR="0005512A" w:rsidRPr="002B2CFC" w:rsidRDefault="0005512A" w:rsidP="000652CE">
            <w:pPr>
              <w:keepNext/>
              <w:jc w:val="center"/>
              <w:rPr>
                <w:sz w:val="18"/>
                <w:szCs w:val="18"/>
              </w:rPr>
            </w:pPr>
          </w:p>
        </w:tc>
        <w:tc>
          <w:tcPr>
            <w:tcW w:w="607" w:type="dxa"/>
            <w:vAlign w:val="center"/>
          </w:tcPr>
          <w:p w14:paraId="55174CBD" w14:textId="77777777" w:rsidR="0005512A" w:rsidRPr="002B2CFC" w:rsidRDefault="0005512A" w:rsidP="000652CE">
            <w:pPr>
              <w:keepNext/>
              <w:jc w:val="center"/>
              <w:rPr>
                <w:sz w:val="18"/>
                <w:szCs w:val="18"/>
              </w:rPr>
            </w:pPr>
            <w:r w:rsidRPr="002B2CFC">
              <w:rPr>
                <w:sz w:val="18"/>
                <w:szCs w:val="18"/>
              </w:rPr>
              <w:t>1 (0.40)</w:t>
            </w:r>
          </w:p>
        </w:tc>
        <w:tc>
          <w:tcPr>
            <w:tcW w:w="608" w:type="dxa"/>
            <w:vAlign w:val="center"/>
          </w:tcPr>
          <w:p w14:paraId="79E7D648" w14:textId="77777777" w:rsidR="0005512A" w:rsidRPr="002B2CFC" w:rsidRDefault="0005512A" w:rsidP="000652CE">
            <w:pPr>
              <w:keepNext/>
              <w:jc w:val="center"/>
              <w:rPr>
                <w:sz w:val="18"/>
                <w:szCs w:val="18"/>
              </w:rPr>
            </w:pPr>
          </w:p>
        </w:tc>
        <w:tc>
          <w:tcPr>
            <w:tcW w:w="607" w:type="dxa"/>
            <w:vAlign w:val="center"/>
          </w:tcPr>
          <w:p w14:paraId="4E149060" w14:textId="77777777" w:rsidR="0005512A" w:rsidRPr="002B2CFC" w:rsidRDefault="0005512A" w:rsidP="000652CE">
            <w:pPr>
              <w:keepNext/>
              <w:jc w:val="center"/>
              <w:rPr>
                <w:sz w:val="18"/>
                <w:szCs w:val="18"/>
              </w:rPr>
            </w:pPr>
          </w:p>
        </w:tc>
        <w:tc>
          <w:tcPr>
            <w:tcW w:w="608" w:type="dxa"/>
            <w:vAlign w:val="center"/>
          </w:tcPr>
          <w:p w14:paraId="05F39569" w14:textId="77777777" w:rsidR="0005512A" w:rsidRPr="002B2CFC" w:rsidRDefault="0005512A" w:rsidP="000652CE">
            <w:pPr>
              <w:keepNext/>
              <w:jc w:val="center"/>
              <w:rPr>
                <w:sz w:val="18"/>
                <w:szCs w:val="18"/>
              </w:rPr>
            </w:pPr>
          </w:p>
        </w:tc>
        <w:tc>
          <w:tcPr>
            <w:tcW w:w="608" w:type="dxa"/>
            <w:tcBorders>
              <w:right w:val="single" w:sz="12" w:space="0" w:color="auto"/>
            </w:tcBorders>
            <w:vAlign w:val="center"/>
          </w:tcPr>
          <w:p w14:paraId="6CB78B26" w14:textId="77777777" w:rsidR="0005512A" w:rsidRPr="002B2CFC" w:rsidRDefault="0005512A" w:rsidP="000652CE">
            <w:pPr>
              <w:keepNext/>
              <w:jc w:val="center"/>
              <w:rPr>
                <w:sz w:val="18"/>
                <w:szCs w:val="18"/>
              </w:rPr>
            </w:pPr>
          </w:p>
        </w:tc>
        <w:tc>
          <w:tcPr>
            <w:tcW w:w="1781" w:type="dxa"/>
            <w:tcBorders>
              <w:right w:val="single" w:sz="4" w:space="0" w:color="auto"/>
            </w:tcBorders>
          </w:tcPr>
          <w:p w14:paraId="58621EE0" w14:textId="77777777" w:rsidR="0005512A" w:rsidRPr="002B2CFC" w:rsidRDefault="0005512A" w:rsidP="000652CE">
            <w:pPr>
              <w:keepNext/>
              <w:rPr>
                <w:sz w:val="18"/>
                <w:szCs w:val="18"/>
              </w:rPr>
            </w:pPr>
          </w:p>
        </w:tc>
      </w:tr>
      <w:tr w:rsidR="0005512A" w:rsidRPr="002B2CFC" w14:paraId="6EE89F38" w14:textId="77777777" w:rsidTr="0005512A">
        <w:tc>
          <w:tcPr>
            <w:tcW w:w="675" w:type="dxa"/>
            <w:vMerge/>
            <w:tcBorders>
              <w:bottom w:val="single" w:sz="12" w:space="0" w:color="auto"/>
            </w:tcBorders>
            <w:textDirection w:val="btLr"/>
            <w:vAlign w:val="center"/>
          </w:tcPr>
          <w:p w14:paraId="150C47C7" w14:textId="77777777" w:rsidR="0005512A" w:rsidRPr="002B2CFC" w:rsidRDefault="0005512A" w:rsidP="000652CE">
            <w:pPr>
              <w:keepNext/>
              <w:ind w:right="113"/>
              <w:jc w:val="center"/>
              <w:rPr>
                <w:b/>
                <w:sz w:val="20"/>
              </w:rPr>
            </w:pPr>
          </w:p>
        </w:tc>
        <w:tc>
          <w:tcPr>
            <w:tcW w:w="2330" w:type="dxa"/>
            <w:tcBorders>
              <w:bottom w:val="single" w:sz="12" w:space="0" w:color="auto"/>
              <w:right w:val="single" w:sz="12" w:space="0" w:color="auto"/>
            </w:tcBorders>
          </w:tcPr>
          <w:p w14:paraId="132A5977" w14:textId="77777777" w:rsidR="0005512A" w:rsidRPr="002B2CFC" w:rsidRDefault="0005512A" w:rsidP="000652CE">
            <w:pPr>
              <w:keepNext/>
              <w:rPr>
                <w:sz w:val="20"/>
                <w:u w:val="single"/>
              </w:rPr>
            </w:pPr>
            <w:r w:rsidRPr="002B2CFC">
              <w:rPr>
                <w:sz w:val="20"/>
                <w:u w:val="single"/>
              </w:rPr>
              <w:t>VTA;</w:t>
            </w:r>
          </w:p>
          <w:p w14:paraId="5AB6D83C" w14:textId="77777777" w:rsidR="0005512A" w:rsidRPr="002B2CFC" w:rsidRDefault="0005512A" w:rsidP="000652CE">
            <w:pPr>
              <w:keepNext/>
              <w:rPr>
                <w:sz w:val="20"/>
              </w:rPr>
            </w:pPr>
            <w:r w:rsidRPr="002B2CFC">
              <w:rPr>
                <w:sz w:val="20"/>
              </w:rPr>
              <w:t>Neurons, silver+</w:t>
            </w:r>
          </w:p>
        </w:tc>
        <w:tc>
          <w:tcPr>
            <w:tcW w:w="607" w:type="dxa"/>
            <w:tcBorders>
              <w:left w:val="single" w:sz="12" w:space="0" w:color="auto"/>
              <w:bottom w:val="single" w:sz="12" w:space="0" w:color="auto"/>
            </w:tcBorders>
            <w:vAlign w:val="center"/>
          </w:tcPr>
          <w:p w14:paraId="339263DE" w14:textId="77777777" w:rsidR="0005512A" w:rsidRPr="002B2CFC" w:rsidRDefault="0005512A" w:rsidP="000652CE">
            <w:pPr>
              <w:keepNext/>
              <w:jc w:val="center"/>
              <w:rPr>
                <w:sz w:val="18"/>
                <w:szCs w:val="18"/>
              </w:rPr>
            </w:pPr>
          </w:p>
        </w:tc>
        <w:tc>
          <w:tcPr>
            <w:tcW w:w="608" w:type="dxa"/>
            <w:tcBorders>
              <w:bottom w:val="single" w:sz="12" w:space="0" w:color="auto"/>
            </w:tcBorders>
            <w:vAlign w:val="center"/>
          </w:tcPr>
          <w:p w14:paraId="120E0EF9" w14:textId="77777777" w:rsidR="0005512A" w:rsidRPr="002B2CFC" w:rsidRDefault="0005512A" w:rsidP="000652CE">
            <w:pPr>
              <w:keepNext/>
              <w:jc w:val="center"/>
              <w:rPr>
                <w:sz w:val="18"/>
                <w:szCs w:val="18"/>
              </w:rPr>
            </w:pPr>
          </w:p>
        </w:tc>
        <w:tc>
          <w:tcPr>
            <w:tcW w:w="607" w:type="dxa"/>
            <w:tcBorders>
              <w:bottom w:val="single" w:sz="12" w:space="0" w:color="auto"/>
            </w:tcBorders>
            <w:vAlign w:val="center"/>
          </w:tcPr>
          <w:p w14:paraId="40611955" w14:textId="77777777" w:rsidR="0005512A" w:rsidRPr="002B2CFC" w:rsidRDefault="0005512A" w:rsidP="000652CE">
            <w:pPr>
              <w:keepNext/>
              <w:jc w:val="center"/>
              <w:rPr>
                <w:sz w:val="18"/>
                <w:szCs w:val="18"/>
              </w:rPr>
            </w:pPr>
            <w:r w:rsidRPr="002B2CFC">
              <w:rPr>
                <w:sz w:val="18"/>
                <w:szCs w:val="18"/>
              </w:rPr>
              <w:t>2 (1.00)</w:t>
            </w:r>
          </w:p>
        </w:tc>
        <w:tc>
          <w:tcPr>
            <w:tcW w:w="608" w:type="dxa"/>
            <w:tcBorders>
              <w:bottom w:val="single" w:sz="12" w:space="0" w:color="auto"/>
            </w:tcBorders>
            <w:vAlign w:val="center"/>
          </w:tcPr>
          <w:p w14:paraId="6815B887" w14:textId="77777777" w:rsidR="0005512A" w:rsidRPr="002B2CFC" w:rsidRDefault="0005512A" w:rsidP="000652CE">
            <w:pPr>
              <w:keepNext/>
              <w:jc w:val="center"/>
              <w:rPr>
                <w:sz w:val="18"/>
                <w:szCs w:val="18"/>
              </w:rPr>
            </w:pPr>
            <w:r w:rsidRPr="002B2CFC">
              <w:rPr>
                <w:sz w:val="18"/>
                <w:szCs w:val="18"/>
              </w:rPr>
              <w:t>1 (0.20)</w:t>
            </w:r>
          </w:p>
        </w:tc>
        <w:tc>
          <w:tcPr>
            <w:tcW w:w="607" w:type="dxa"/>
            <w:tcBorders>
              <w:bottom w:val="single" w:sz="12" w:space="0" w:color="auto"/>
            </w:tcBorders>
            <w:vAlign w:val="center"/>
          </w:tcPr>
          <w:p w14:paraId="24550D67" w14:textId="77777777" w:rsidR="0005512A" w:rsidRPr="002B2CFC" w:rsidRDefault="0005512A" w:rsidP="000652CE">
            <w:pPr>
              <w:keepNext/>
              <w:jc w:val="center"/>
              <w:rPr>
                <w:sz w:val="18"/>
                <w:szCs w:val="18"/>
              </w:rPr>
            </w:pPr>
          </w:p>
        </w:tc>
        <w:tc>
          <w:tcPr>
            <w:tcW w:w="608" w:type="dxa"/>
            <w:tcBorders>
              <w:bottom w:val="single" w:sz="12" w:space="0" w:color="auto"/>
            </w:tcBorders>
            <w:vAlign w:val="center"/>
          </w:tcPr>
          <w:p w14:paraId="6DEFF3A5" w14:textId="77777777" w:rsidR="0005512A" w:rsidRPr="002B2CFC" w:rsidRDefault="0005512A" w:rsidP="000652CE">
            <w:pPr>
              <w:keepNext/>
              <w:jc w:val="center"/>
              <w:rPr>
                <w:sz w:val="18"/>
                <w:szCs w:val="18"/>
              </w:rPr>
            </w:pPr>
          </w:p>
        </w:tc>
        <w:tc>
          <w:tcPr>
            <w:tcW w:w="608" w:type="dxa"/>
            <w:tcBorders>
              <w:bottom w:val="single" w:sz="12" w:space="0" w:color="auto"/>
              <w:right w:val="single" w:sz="12" w:space="0" w:color="auto"/>
            </w:tcBorders>
            <w:vAlign w:val="center"/>
          </w:tcPr>
          <w:p w14:paraId="2962E8DE" w14:textId="77777777" w:rsidR="0005512A" w:rsidRPr="002B2CFC" w:rsidRDefault="0005512A" w:rsidP="000652CE">
            <w:pPr>
              <w:keepNext/>
              <w:jc w:val="center"/>
              <w:rPr>
                <w:sz w:val="18"/>
                <w:szCs w:val="18"/>
              </w:rPr>
            </w:pPr>
          </w:p>
        </w:tc>
        <w:tc>
          <w:tcPr>
            <w:tcW w:w="1781" w:type="dxa"/>
            <w:tcBorders>
              <w:bottom w:val="single" w:sz="12" w:space="0" w:color="auto"/>
              <w:right w:val="single" w:sz="4" w:space="0" w:color="auto"/>
            </w:tcBorders>
          </w:tcPr>
          <w:p w14:paraId="528C6417" w14:textId="77777777" w:rsidR="0005512A" w:rsidRPr="002B2CFC" w:rsidRDefault="0005512A" w:rsidP="000652CE">
            <w:pPr>
              <w:keepNext/>
              <w:rPr>
                <w:sz w:val="18"/>
                <w:szCs w:val="18"/>
              </w:rPr>
            </w:pPr>
          </w:p>
        </w:tc>
      </w:tr>
      <w:tr w:rsidR="0005512A" w:rsidRPr="002B2CFC" w14:paraId="76076E67" w14:textId="77777777" w:rsidTr="0005512A">
        <w:trPr>
          <w:trHeight w:val="471"/>
        </w:trPr>
        <w:tc>
          <w:tcPr>
            <w:tcW w:w="675" w:type="dxa"/>
            <w:vMerge w:val="restart"/>
            <w:tcBorders>
              <w:top w:val="single" w:sz="12" w:space="0" w:color="auto"/>
            </w:tcBorders>
            <w:textDirection w:val="btLr"/>
            <w:vAlign w:val="center"/>
          </w:tcPr>
          <w:p w14:paraId="6D311184" w14:textId="77777777" w:rsidR="0005512A" w:rsidRPr="002B2CFC" w:rsidRDefault="0005512A" w:rsidP="000652CE">
            <w:pPr>
              <w:keepNext/>
              <w:ind w:right="113"/>
              <w:jc w:val="center"/>
              <w:rPr>
                <w:b/>
                <w:sz w:val="20"/>
              </w:rPr>
            </w:pPr>
            <w:r w:rsidRPr="002B2CFC">
              <w:rPr>
                <w:b/>
                <w:sz w:val="20"/>
              </w:rPr>
              <w:t>TH</w:t>
            </w:r>
          </w:p>
        </w:tc>
        <w:tc>
          <w:tcPr>
            <w:tcW w:w="2330" w:type="dxa"/>
            <w:tcBorders>
              <w:top w:val="single" w:sz="12" w:space="0" w:color="auto"/>
              <w:right w:val="single" w:sz="12" w:space="0" w:color="auto"/>
            </w:tcBorders>
          </w:tcPr>
          <w:p w14:paraId="0E79DDA2" w14:textId="77777777" w:rsidR="0005512A" w:rsidRPr="002B2CFC" w:rsidRDefault="0005512A" w:rsidP="000652CE">
            <w:pPr>
              <w:keepNext/>
              <w:rPr>
                <w:sz w:val="20"/>
                <w:u w:val="single"/>
              </w:rPr>
            </w:pPr>
            <w:r w:rsidRPr="002B2CFC">
              <w:rPr>
                <w:sz w:val="20"/>
                <w:u w:val="single"/>
              </w:rPr>
              <w:t>Striatum;</w:t>
            </w:r>
          </w:p>
          <w:p w14:paraId="743839E2" w14:textId="77777777" w:rsidR="0005512A" w:rsidRPr="002B2CFC" w:rsidRDefault="0005512A" w:rsidP="000652CE">
            <w:pPr>
              <w:keepNext/>
              <w:rPr>
                <w:sz w:val="20"/>
              </w:rPr>
            </w:pPr>
            <w:r w:rsidRPr="002B2CFC">
              <w:rPr>
                <w:sz w:val="20"/>
              </w:rPr>
              <w:t>Decreased TH staining</w:t>
            </w:r>
          </w:p>
        </w:tc>
        <w:tc>
          <w:tcPr>
            <w:tcW w:w="607" w:type="dxa"/>
            <w:tcBorders>
              <w:top w:val="single" w:sz="12" w:space="0" w:color="auto"/>
              <w:left w:val="single" w:sz="12" w:space="0" w:color="auto"/>
            </w:tcBorders>
            <w:vAlign w:val="center"/>
          </w:tcPr>
          <w:p w14:paraId="2C118F7C" w14:textId="77777777" w:rsidR="0005512A" w:rsidRPr="002B2CFC" w:rsidRDefault="0005512A" w:rsidP="000652CE">
            <w:pPr>
              <w:keepNext/>
              <w:jc w:val="center"/>
              <w:rPr>
                <w:sz w:val="18"/>
                <w:szCs w:val="18"/>
              </w:rPr>
            </w:pPr>
            <w:r w:rsidRPr="002B2CFC">
              <w:rPr>
                <w:sz w:val="18"/>
                <w:szCs w:val="18"/>
              </w:rPr>
              <w:t>1 (0.40)</w:t>
            </w:r>
          </w:p>
        </w:tc>
        <w:tc>
          <w:tcPr>
            <w:tcW w:w="608" w:type="dxa"/>
            <w:tcBorders>
              <w:top w:val="single" w:sz="12" w:space="0" w:color="auto"/>
            </w:tcBorders>
            <w:vAlign w:val="center"/>
          </w:tcPr>
          <w:p w14:paraId="38BA4F9B" w14:textId="77777777" w:rsidR="0005512A" w:rsidRPr="002B2CFC" w:rsidRDefault="0005512A" w:rsidP="000652CE">
            <w:pPr>
              <w:keepNext/>
              <w:jc w:val="center"/>
              <w:rPr>
                <w:sz w:val="18"/>
                <w:szCs w:val="18"/>
              </w:rPr>
            </w:pPr>
            <w:r w:rsidRPr="002B2CFC">
              <w:rPr>
                <w:sz w:val="18"/>
                <w:szCs w:val="18"/>
              </w:rPr>
              <w:t>2 (0.80)</w:t>
            </w:r>
          </w:p>
        </w:tc>
        <w:tc>
          <w:tcPr>
            <w:tcW w:w="607" w:type="dxa"/>
            <w:tcBorders>
              <w:top w:val="single" w:sz="12" w:space="0" w:color="auto"/>
            </w:tcBorders>
            <w:vAlign w:val="center"/>
          </w:tcPr>
          <w:p w14:paraId="5E8CB2B1" w14:textId="77777777" w:rsidR="0005512A" w:rsidRPr="002B2CFC" w:rsidRDefault="0005512A" w:rsidP="000652CE">
            <w:pPr>
              <w:keepNext/>
              <w:jc w:val="center"/>
              <w:rPr>
                <w:sz w:val="18"/>
                <w:szCs w:val="18"/>
              </w:rPr>
            </w:pPr>
            <w:r w:rsidRPr="002B2CFC">
              <w:rPr>
                <w:sz w:val="18"/>
                <w:szCs w:val="18"/>
              </w:rPr>
              <w:t>5 (2.60)</w:t>
            </w:r>
          </w:p>
        </w:tc>
        <w:tc>
          <w:tcPr>
            <w:tcW w:w="608" w:type="dxa"/>
            <w:tcBorders>
              <w:top w:val="single" w:sz="12" w:space="0" w:color="auto"/>
            </w:tcBorders>
            <w:vAlign w:val="center"/>
          </w:tcPr>
          <w:p w14:paraId="56B011C8" w14:textId="77777777" w:rsidR="0005512A" w:rsidRPr="002B2CFC" w:rsidRDefault="0005512A" w:rsidP="000652CE">
            <w:pPr>
              <w:keepNext/>
              <w:jc w:val="center"/>
              <w:rPr>
                <w:sz w:val="18"/>
                <w:szCs w:val="18"/>
              </w:rPr>
            </w:pPr>
            <w:r w:rsidRPr="002B2CFC">
              <w:rPr>
                <w:sz w:val="18"/>
                <w:szCs w:val="18"/>
              </w:rPr>
              <w:t>5 (3.00)</w:t>
            </w:r>
          </w:p>
        </w:tc>
        <w:tc>
          <w:tcPr>
            <w:tcW w:w="607" w:type="dxa"/>
            <w:tcBorders>
              <w:top w:val="single" w:sz="12" w:space="0" w:color="auto"/>
            </w:tcBorders>
            <w:vAlign w:val="center"/>
          </w:tcPr>
          <w:p w14:paraId="3BA70B8F" w14:textId="77777777" w:rsidR="0005512A" w:rsidRPr="002B2CFC" w:rsidRDefault="0005512A" w:rsidP="000652CE">
            <w:pPr>
              <w:keepNext/>
              <w:jc w:val="center"/>
              <w:rPr>
                <w:sz w:val="18"/>
                <w:szCs w:val="18"/>
              </w:rPr>
            </w:pPr>
            <w:r w:rsidRPr="002B2CFC">
              <w:rPr>
                <w:sz w:val="18"/>
                <w:szCs w:val="18"/>
              </w:rPr>
              <w:t>5 (4.00)</w:t>
            </w:r>
          </w:p>
        </w:tc>
        <w:tc>
          <w:tcPr>
            <w:tcW w:w="608" w:type="dxa"/>
            <w:tcBorders>
              <w:top w:val="single" w:sz="12" w:space="0" w:color="auto"/>
            </w:tcBorders>
            <w:vAlign w:val="center"/>
          </w:tcPr>
          <w:p w14:paraId="127347FD" w14:textId="77777777" w:rsidR="0005512A" w:rsidRPr="002B2CFC" w:rsidRDefault="0005512A" w:rsidP="000652CE">
            <w:pPr>
              <w:keepNext/>
              <w:jc w:val="center"/>
              <w:rPr>
                <w:sz w:val="18"/>
                <w:szCs w:val="18"/>
              </w:rPr>
            </w:pPr>
            <w:r w:rsidRPr="002B2CFC">
              <w:rPr>
                <w:sz w:val="18"/>
                <w:szCs w:val="18"/>
              </w:rPr>
              <w:t xml:space="preserve">5 </w:t>
            </w:r>
          </w:p>
          <w:p w14:paraId="6B9D82FC" w14:textId="77777777" w:rsidR="0005512A" w:rsidRPr="002B2CFC" w:rsidRDefault="0005512A" w:rsidP="000652CE">
            <w:pPr>
              <w:keepNext/>
              <w:jc w:val="center"/>
              <w:rPr>
                <w:sz w:val="18"/>
                <w:szCs w:val="18"/>
              </w:rPr>
            </w:pPr>
            <w:r w:rsidRPr="002B2CFC">
              <w:rPr>
                <w:sz w:val="18"/>
                <w:szCs w:val="18"/>
              </w:rPr>
              <w:t>(3.40)</w:t>
            </w:r>
          </w:p>
        </w:tc>
        <w:tc>
          <w:tcPr>
            <w:tcW w:w="608" w:type="dxa"/>
            <w:tcBorders>
              <w:top w:val="single" w:sz="12" w:space="0" w:color="auto"/>
              <w:right w:val="single" w:sz="12" w:space="0" w:color="auto"/>
            </w:tcBorders>
            <w:vAlign w:val="center"/>
          </w:tcPr>
          <w:p w14:paraId="14B6E1BB" w14:textId="77777777" w:rsidR="0005512A" w:rsidRPr="002B2CFC" w:rsidRDefault="0005512A" w:rsidP="000652CE">
            <w:pPr>
              <w:keepNext/>
              <w:jc w:val="center"/>
              <w:rPr>
                <w:sz w:val="18"/>
                <w:szCs w:val="18"/>
              </w:rPr>
            </w:pPr>
            <w:r w:rsidRPr="002B2CFC">
              <w:rPr>
                <w:sz w:val="18"/>
                <w:szCs w:val="18"/>
              </w:rPr>
              <w:t xml:space="preserve">4 </w:t>
            </w:r>
          </w:p>
          <w:p w14:paraId="46FE70DD" w14:textId="77777777" w:rsidR="0005512A" w:rsidRPr="002B2CFC" w:rsidRDefault="0005512A" w:rsidP="000652CE">
            <w:pPr>
              <w:keepNext/>
              <w:jc w:val="center"/>
              <w:rPr>
                <w:sz w:val="18"/>
                <w:szCs w:val="18"/>
              </w:rPr>
            </w:pPr>
            <w:r w:rsidRPr="002B2CFC">
              <w:rPr>
                <w:sz w:val="18"/>
                <w:szCs w:val="18"/>
              </w:rPr>
              <w:t>(1.80)</w:t>
            </w:r>
          </w:p>
        </w:tc>
        <w:tc>
          <w:tcPr>
            <w:tcW w:w="1781" w:type="dxa"/>
            <w:tcBorders>
              <w:top w:val="single" w:sz="12" w:space="0" w:color="auto"/>
              <w:right w:val="single" w:sz="4" w:space="0" w:color="auto"/>
            </w:tcBorders>
          </w:tcPr>
          <w:p w14:paraId="2A3CB563" w14:textId="77777777" w:rsidR="0005512A" w:rsidRPr="002B2CFC" w:rsidRDefault="0005512A" w:rsidP="000652CE">
            <w:pPr>
              <w:keepNext/>
              <w:rPr>
                <w:sz w:val="18"/>
                <w:szCs w:val="18"/>
              </w:rPr>
            </w:pPr>
            <w:r w:rsidRPr="002B2CFC">
              <w:rPr>
                <w:b/>
                <w:sz w:val="18"/>
                <w:szCs w:val="18"/>
              </w:rPr>
              <w:t>168 h, Grp 3</w:t>
            </w:r>
            <w:r w:rsidRPr="002B2CFC">
              <w:rPr>
                <w:sz w:val="18"/>
                <w:szCs w:val="18"/>
              </w:rPr>
              <w:t>:1 (0.20)*</w:t>
            </w:r>
          </w:p>
        </w:tc>
      </w:tr>
      <w:tr w:rsidR="0005512A" w:rsidRPr="002B2CFC" w14:paraId="0318DF0C" w14:textId="77777777" w:rsidTr="0005512A">
        <w:trPr>
          <w:trHeight w:val="1044"/>
        </w:trPr>
        <w:tc>
          <w:tcPr>
            <w:tcW w:w="675" w:type="dxa"/>
            <w:vMerge/>
            <w:textDirection w:val="btLr"/>
            <w:vAlign w:val="center"/>
          </w:tcPr>
          <w:p w14:paraId="162364A6" w14:textId="77777777" w:rsidR="0005512A" w:rsidRPr="002B2CFC" w:rsidRDefault="0005512A" w:rsidP="000652CE">
            <w:pPr>
              <w:keepNext/>
              <w:ind w:right="113"/>
              <w:jc w:val="center"/>
              <w:rPr>
                <w:b/>
                <w:sz w:val="20"/>
              </w:rPr>
            </w:pPr>
          </w:p>
        </w:tc>
        <w:tc>
          <w:tcPr>
            <w:tcW w:w="2330" w:type="dxa"/>
            <w:tcBorders>
              <w:right w:val="single" w:sz="12" w:space="0" w:color="auto"/>
            </w:tcBorders>
          </w:tcPr>
          <w:p w14:paraId="66D8F843" w14:textId="77777777" w:rsidR="0005512A" w:rsidRPr="002B2CFC" w:rsidRDefault="0005512A" w:rsidP="000652CE">
            <w:pPr>
              <w:keepNext/>
              <w:rPr>
                <w:sz w:val="20"/>
              </w:rPr>
            </w:pPr>
            <w:r w:rsidRPr="002B2CFC">
              <w:rPr>
                <w:sz w:val="20"/>
                <w:u w:val="single"/>
              </w:rPr>
              <w:t>SN pc</w:t>
            </w:r>
            <w:r w:rsidRPr="002B2CFC">
              <w:rPr>
                <w:sz w:val="20"/>
              </w:rPr>
              <w:t>;</w:t>
            </w:r>
          </w:p>
          <w:p w14:paraId="2CB918E1" w14:textId="77777777" w:rsidR="0005512A" w:rsidRPr="002B2CFC" w:rsidRDefault="0005512A" w:rsidP="000652CE">
            <w:pPr>
              <w:keepNext/>
              <w:rPr>
                <w:sz w:val="20"/>
              </w:rPr>
            </w:pPr>
            <w:r w:rsidRPr="002B2CFC">
              <w:rPr>
                <w:sz w:val="20"/>
              </w:rPr>
              <w:t>Decreased TH staining/decreased TH</w:t>
            </w:r>
            <w:r w:rsidRPr="002B2CFC">
              <w:rPr>
                <w:sz w:val="20"/>
                <w:vertAlign w:val="superscript"/>
              </w:rPr>
              <w:t>+</w:t>
            </w:r>
            <w:r w:rsidRPr="002B2CFC">
              <w:rPr>
                <w:sz w:val="20"/>
              </w:rPr>
              <w:t xml:space="preserve"> neurons</w:t>
            </w:r>
          </w:p>
        </w:tc>
        <w:tc>
          <w:tcPr>
            <w:tcW w:w="607" w:type="dxa"/>
            <w:tcBorders>
              <w:left w:val="single" w:sz="12" w:space="0" w:color="auto"/>
            </w:tcBorders>
            <w:vAlign w:val="center"/>
          </w:tcPr>
          <w:p w14:paraId="53FC30DA" w14:textId="77777777" w:rsidR="0005512A" w:rsidRPr="002B2CFC" w:rsidRDefault="0005512A" w:rsidP="000652CE">
            <w:pPr>
              <w:keepNext/>
              <w:jc w:val="center"/>
              <w:rPr>
                <w:sz w:val="18"/>
                <w:szCs w:val="18"/>
              </w:rPr>
            </w:pPr>
          </w:p>
        </w:tc>
        <w:tc>
          <w:tcPr>
            <w:tcW w:w="608" w:type="dxa"/>
            <w:vAlign w:val="center"/>
          </w:tcPr>
          <w:p w14:paraId="0CEAEF1E" w14:textId="77777777" w:rsidR="0005512A" w:rsidRPr="002B2CFC" w:rsidRDefault="0005512A" w:rsidP="000652CE">
            <w:pPr>
              <w:keepNext/>
              <w:jc w:val="center"/>
              <w:rPr>
                <w:sz w:val="18"/>
                <w:szCs w:val="18"/>
              </w:rPr>
            </w:pPr>
            <w:r w:rsidRPr="002B2CFC">
              <w:rPr>
                <w:sz w:val="18"/>
                <w:szCs w:val="18"/>
              </w:rPr>
              <w:t>1 (0.40)</w:t>
            </w:r>
          </w:p>
        </w:tc>
        <w:tc>
          <w:tcPr>
            <w:tcW w:w="607" w:type="dxa"/>
            <w:vAlign w:val="center"/>
          </w:tcPr>
          <w:p w14:paraId="2BE41629" w14:textId="77777777" w:rsidR="0005512A" w:rsidRPr="002B2CFC" w:rsidRDefault="0005512A" w:rsidP="000652CE">
            <w:pPr>
              <w:keepNext/>
              <w:jc w:val="center"/>
              <w:rPr>
                <w:sz w:val="18"/>
                <w:szCs w:val="18"/>
              </w:rPr>
            </w:pPr>
            <w:r w:rsidRPr="002B2CFC">
              <w:rPr>
                <w:sz w:val="18"/>
                <w:szCs w:val="18"/>
              </w:rPr>
              <w:t>2 (0.60)</w:t>
            </w:r>
          </w:p>
        </w:tc>
        <w:tc>
          <w:tcPr>
            <w:tcW w:w="608" w:type="dxa"/>
            <w:vAlign w:val="center"/>
          </w:tcPr>
          <w:p w14:paraId="6832E893" w14:textId="77777777" w:rsidR="0005512A" w:rsidRPr="002B2CFC" w:rsidRDefault="0005512A" w:rsidP="000652CE">
            <w:pPr>
              <w:keepNext/>
              <w:jc w:val="center"/>
              <w:rPr>
                <w:sz w:val="18"/>
                <w:szCs w:val="18"/>
              </w:rPr>
            </w:pPr>
            <w:r w:rsidRPr="002B2CFC">
              <w:rPr>
                <w:sz w:val="18"/>
                <w:szCs w:val="18"/>
              </w:rPr>
              <w:t>1 (0.60)</w:t>
            </w:r>
          </w:p>
        </w:tc>
        <w:tc>
          <w:tcPr>
            <w:tcW w:w="607" w:type="dxa"/>
            <w:vAlign w:val="center"/>
          </w:tcPr>
          <w:p w14:paraId="04114CC3" w14:textId="77777777" w:rsidR="0005512A" w:rsidRPr="002B2CFC" w:rsidRDefault="0005512A" w:rsidP="000652CE">
            <w:pPr>
              <w:keepNext/>
              <w:jc w:val="center"/>
              <w:rPr>
                <w:sz w:val="18"/>
                <w:szCs w:val="18"/>
              </w:rPr>
            </w:pPr>
            <w:r w:rsidRPr="002B2CFC">
              <w:rPr>
                <w:sz w:val="18"/>
                <w:szCs w:val="18"/>
              </w:rPr>
              <w:t>3 (1.20)</w:t>
            </w:r>
          </w:p>
        </w:tc>
        <w:tc>
          <w:tcPr>
            <w:tcW w:w="608" w:type="dxa"/>
            <w:vAlign w:val="center"/>
          </w:tcPr>
          <w:p w14:paraId="26BA83E6" w14:textId="77777777" w:rsidR="0005512A" w:rsidRPr="002B2CFC" w:rsidRDefault="0005512A" w:rsidP="000652CE">
            <w:pPr>
              <w:keepNext/>
              <w:jc w:val="center"/>
              <w:rPr>
                <w:sz w:val="18"/>
                <w:szCs w:val="18"/>
              </w:rPr>
            </w:pPr>
            <w:r w:rsidRPr="002B2CFC">
              <w:rPr>
                <w:sz w:val="18"/>
                <w:szCs w:val="18"/>
              </w:rPr>
              <w:t>2 (0.60)</w:t>
            </w:r>
          </w:p>
        </w:tc>
        <w:tc>
          <w:tcPr>
            <w:tcW w:w="608" w:type="dxa"/>
            <w:tcBorders>
              <w:right w:val="single" w:sz="12" w:space="0" w:color="auto"/>
            </w:tcBorders>
            <w:vAlign w:val="center"/>
          </w:tcPr>
          <w:p w14:paraId="5C62C4BA" w14:textId="77777777" w:rsidR="0005512A" w:rsidRPr="002B2CFC" w:rsidRDefault="0005512A" w:rsidP="000652CE">
            <w:pPr>
              <w:keepNext/>
              <w:jc w:val="center"/>
              <w:rPr>
                <w:sz w:val="18"/>
                <w:szCs w:val="18"/>
              </w:rPr>
            </w:pPr>
          </w:p>
        </w:tc>
        <w:tc>
          <w:tcPr>
            <w:tcW w:w="1781" w:type="dxa"/>
            <w:tcBorders>
              <w:right w:val="single" w:sz="4" w:space="0" w:color="auto"/>
            </w:tcBorders>
          </w:tcPr>
          <w:p w14:paraId="5421F9EC" w14:textId="77777777" w:rsidR="0005512A" w:rsidRPr="002B2CFC" w:rsidRDefault="0005512A" w:rsidP="000652CE">
            <w:pPr>
              <w:keepNext/>
              <w:rPr>
                <w:sz w:val="18"/>
                <w:szCs w:val="18"/>
              </w:rPr>
            </w:pPr>
            <w:r w:rsidRPr="002B2CFC">
              <w:rPr>
                <w:b/>
                <w:sz w:val="18"/>
                <w:szCs w:val="18"/>
              </w:rPr>
              <w:t>4 h, Grp 5</w:t>
            </w:r>
            <w:r w:rsidRPr="002B2CFC">
              <w:rPr>
                <w:sz w:val="18"/>
                <w:szCs w:val="18"/>
              </w:rPr>
              <w:t>: 1 (0.20)*</w:t>
            </w:r>
          </w:p>
          <w:p w14:paraId="367DB138" w14:textId="77777777" w:rsidR="0005512A" w:rsidRPr="002B2CFC" w:rsidRDefault="0005512A" w:rsidP="000652CE">
            <w:pPr>
              <w:keepNext/>
              <w:rPr>
                <w:sz w:val="18"/>
                <w:szCs w:val="18"/>
              </w:rPr>
            </w:pPr>
            <w:r w:rsidRPr="002B2CFC">
              <w:rPr>
                <w:b/>
                <w:sz w:val="18"/>
                <w:szCs w:val="18"/>
              </w:rPr>
              <w:t>8h, Grp 5</w:t>
            </w:r>
            <w:r w:rsidRPr="002B2CFC">
              <w:rPr>
                <w:sz w:val="18"/>
                <w:szCs w:val="18"/>
              </w:rPr>
              <w:t>:1 (0.20)*</w:t>
            </w:r>
          </w:p>
          <w:p w14:paraId="0F048D0F" w14:textId="77777777" w:rsidR="0005512A" w:rsidRPr="002B2CFC" w:rsidRDefault="0005512A" w:rsidP="000652CE">
            <w:pPr>
              <w:keepNext/>
              <w:rPr>
                <w:sz w:val="18"/>
                <w:szCs w:val="18"/>
              </w:rPr>
            </w:pPr>
            <w:r w:rsidRPr="002B2CFC">
              <w:rPr>
                <w:b/>
                <w:sz w:val="18"/>
                <w:szCs w:val="18"/>
              </w:rPr>
              <w:t>16 h, Grp 1 &amp; Grp 6:</w:t>
            </w:r>
            <w:r w:rsidRPr="002B2CFC">
              <w:rPr>
                <w:sz w:val="18"/>
                <w:szCs w:val="18"/>
              </w:rPr>
              <w:t xml:space="preserve"> 1 (0.20)*</w:t>
            </w:r>
          </w:p>
          <w:p w14:paraId="3CA43883" w14:textId="77777777" w:rsidR="0005512A" w:rsidRPr="002B2CFC" w:rsidRDefault="0005512A" w:rsidP="000652CE">
            <w:pPr>
              <w:keepNext/>
              <w:rPr>
                <w:sz w:val="18"/>
                <w:szCs w:val="18"/>
              </w:rPr>
            </w:pPr>
            <w:r w:rsidRPr="002B2CFC">
              <w:rPr>
                <w:b/>
                <w:sz w:val="18"/>
                <w:szCs w:val="18"/>
              </w:rPr>
              <w:t>24 h, Grp 2:</w:t>
            </w:r>
            <w:r w:rsidRPr="002B2CFC">
              <w:rPr>
                <w:sz w:val="18"/>
                <w:szCs w:val="18"/>
              </w:rPr>
              <w:t>1 (0.20)*</w:t>
            </w:r>
          </w:p>
        </w:tc>
      </w:tr>
      <w:tr w:rsidR="0005512A" w:rsidRPr="002B2CFC" w14:paraId="382A0567" w14:textId="77777777" w:rsidTr="0005512A">
        <w:tc>
          <w:tcPr>
            <w:tcW w:w="675" w:type="dxa"/>
            <w:vMerge/>
            <w:tcBorders>
              <w:bottom w:val="single" w:sz="12" w:space="0" w:color="auto"/>
            </w:tcBorders>
            <w:textDirection w:val="btLr"/>
            <w:vAlign w:val="center"/>
          </w:tcPr>
          <w:p w14:paraId="6C318096" w14:textId="77777777" w:rsidR="0005512A" w:rsidRPr="002B2CFC" w:rsidRDefault="0005512A" w:rsidP="000652CE">
            <w:pPr>
              <w:keepNext/>
              <w:ind w:right="113"/>
              <w:jc w:val="center"/>
              <w:rPr>
                <w:b/>
                <w:sz w:val="20"/>
              </w:rPr>
            </w:pPr>
          </w:p>
        </w:tc>
        <w:tc>
          <w:tcPr>
            <w:tcW w:w="2330" w:type="dxa"/>
            <w:tcBorders>
              <w:bottom w:val="single" w:sz="12" w:space="0" w:color="auto"/>
              <w:right w:val="single" w:sz="12" w:space="0" w:color="auto"/>
            </w:tcBorders>
          </w:tcPr>
          <w:p w14:paraId="421EE14C" w14:textId="77777777" w:rsidR="0005512A" w:rsidRPr="002B2CFC" w:rsidRDefault="0005512A" w:rsidP="000652CE">
            <w:pPr>
              <w:keepNext/>
              <w:rPr>
                <w:sz w:val="20"/>
              </w:rPr>
            </w:pPr>
            <w:r w:rsidRPr="002B2CFC">
              <w:rPr>
                <w:sz w:val="20"/>
                <w:u w:val="single"/>
              </w:rPr>
              <w:t>Ventral tegmental area</w:t>
            </w:r>
            <w:r w:rsidRPr="002B2CFC">
              <w:rPr>
                <w:sz w:val="20"/>
              </w:rPr>
              <w:t xml:space="preserve">; </w:t>
            </w:r>
          </w:p>
          <w:p w14:paraId="35B5F342" w14:textId="77777777" w:rsidR="0005512A" w:rsidRPr="002B2CFC" w:rsidRDefault="0005512A" w:rsidP="000652CE">
            <w:pPr>
              <w:keepNext/>
              <w:rPr>
                <w:sz w:val="20"/>
              </w:rPr>
            </w:pPr>
            <w:r w:rsidRPr="002B2CFC">
              <w:rPr>
                <w:sz w:val="20"/>
              </w:rPr>
              <w:t>Decreased TH</w:t>
            </w:r>
            <w:r w:rsidRPr="002B2CFC">
              <w:rPr>
                <w:sz w:val="20"/>
                <w:vertAlign w:val="superscript"/>
              </w:rPr>
              <w:t>+</w:t>
            </w:r>
            <w:r w:rsidRPr="002B2CFC">
              <w:rPr>
                <w:sz w:val="20"/>
              </w:rPr>
              <w:t xml:space="preserve"> neurons</w:t>
            </w:r>
          </w:p>
        </w:tc>
        <w:tc>
          <w:tcPr>
            <w:tcW w:w="607" w:type="dxa"/>
            <w:tcBorders>
              <w:left w:val="single" w:sz="12" w:space="0" w:color="auto"/>
              <w:bottom w:val="single" w:sz="12" w:space="0" w:color="auto"/>
            </w:tcBorders>
            <w:vAlign w:val="center"/>
          </w:tcPr>
          <w:p w14:paraId="2041EBDE" w14:textId="77777777" w:rsidR="0005512A" w:rsidRPr="002B2CFC" w:rsidRDefault="0005512A" w:rsidP="000652CE">
            <w:pPr>
              <w:keepNext/>
              <w:jc w:val="center"/>
              <w:rPr>
                <w:sz w:val="18"/>
                <w:szCs w:val="18"/>
              </w:rPr>
            </w:pPr>
          </w:p>
        </w:tc>
        <w:tc>
          <w:tcPr>
            <w:tcW w:w="608" w:type="dxa"/>
            <w:tcBorders>
              <w:bottom w:val="single" w:sz="12" w:space="0" w:color="auto"/>
            </w:tcBorders>
            <w:vAlign w:val="center"/>
          </w:tcPr>
          <w:p w14:paraId="1C0262AA" w14:textId="77777777" w:rsidR="0005512A" w:rsidRPr="002B2CFC" w:rsidRDefault="0005512A" w:rsidP="000652CE">
            <w:pPr>
              <w:keepNext/>
              <w:jc w:val="center"/>
              <w:rPr>
                <w:sz w:val="18"/>
                <w:szCs w:val="18"/>
              </w:rPr>
            </w:pPr>
          </w:p>
        </w:tc>
        <w:tc>
          <w:tcPr>
            <w:tcW w:w="607" w:type="dxa"/>
            <w:tcBorders>
              <w:bottom w:val="single" w:sz="12" w:space="0" w:color="auto"/>
            </w:tcBorders>
            <w:vAlign w:val="center"/>
          </w:tcPr>
          <w:p w14:paraId="228FE462" w14:textId="77777777" w:rsidR="0005512A" w:rsidRPr="002B2CFC" w:rsidRDefault="0005512A" w:rsidP="000652CE">
            <w:pPr>
              <w:keepNext/>
              <w:jc w:val="center"/>
              <w:rPr>
                <w:sz w:val="18"/>
                <w:szCs w:val="18"/>
              </w:rPr>
            </w:pPr>
          </w:p>
        </w:tc>
        <w:tc>
          <w:tcPr>
            <w:tcW w:w="608" w:type="dxa"/>
            <w:tcBorders>
              <w:bottom w:val="single" w:sz="12" w:space="0" w:color="auto"/>
            </w:tcBorders>
            <w:vAlign w:val="center"/>
          </w:tcPr>
          <w:p w14:paraId="0539482A" w14:textId="77777777" w:rsidR="0005512A" w:rsidRPr="002B2CFC" w:rsidRDefault="0005512A" w:rsidP="000652CE">
            <w:pPr>
              <w:keepNext/>
              <w:jc w:val="center"/>
              <w:rPr>
                <w:sz w:val="18"/>
                <w:szCs w:val="18"/>
              </w:rPr>
            </w:pPr>
          </w:p>
        </w:tc>
        <w:tc>
          <w:tcPr>
            <w:tcW w:w="607" w:type="dxa"/>
            <w:tcBorders>
              <w:bottom w:val="single" w:sz="12" w:space="0" w:color="auto"/>
            </w:tcBorders>
            <w:vAlign w:val="center"/>
          </w:tcPr>
          <w:p w14:paraId="01922E75" w14:textId="77777777" w:rsidR="0005512A" w:rsidRPr="002B2CFC" w:rsidRDefault="0005512A" w:rsidP="000652CE">
            <w:pPr>
              <w:keepNext/>
              <w:jc w:val="center"/>
              <w:rPr>
                <w:sz w:val="18"/>
                <w:szCs w:val="18"/>
              </w:rPr>
            </w:pPr>
          </w:p>
        </w:tc>
        <w:tc>
          <w:tcPr>
            <w:tcW w:w="608" w:type="dxa"/>
            <w:tcBorders>
              <w:bottom w:val="single" w:sz="12" w:space="0" w:color="auto"/>
            </w:tcBorders>
            <w:vAlign w:val="center"/>
          </w:tcPr>
          <w:p w14:paraId="600CDEA6" w14:textId="77777777" w:rsidR="0005512A" w:rsidRPr="002B2CFC" w:rsidRDefault="0005512A" w:rsidP="000652CE">
            <w:pPr>
              <w:keepNext/>
              <w:jc w:val="center"/>
              <w:rPr>
                <w:sz w:val="18"/>
                <w:szCs w:val="18"/>
              </w:rPr>
            </w:pPr>
            <w:r w:rsidRPr="002B2CFC">
              <w:rPr>
                <w:sz w:val="18"/>
                <w:szCs w:val="18"/>
              </w:rPr>
              <w:t>1 (0.40)</w:t>
            </w:r>
          </w:p>
        </w:tc>
        <w:tc>
          <w:tcPr>
            <w:tcW w:w="608" w:type="dxa"/>
            <w:tcBorders>
              <w:bottom w:val="single" w:sz="12" w:space="0" w:color="auto"/>
              <w:right w:val="single" w:sz="12" w:space="0" w:color="auto"/>
            </w:tcBorders>
            <w:vAlign w:val="center"/>
          </w:tcPr>
          <w:p w14:paraId="68C65D38" w14:textId="77777777" w:rsidR="0005512A" w:rsidRPr="002B2CFC" w:rsidRDefault="0005512A" w:rsidP="000652CE">
            <w:pPr>
              <w:keepNext/>
              <w:jc w:val="center"/>
              <w:rPr>
                <w:sz w:val="18"/>
                <w:szCs w:val="18"/>
              </w:rPr>
            </w:pPr>
          </w:p>
        </w:tc>
        <w:tc>
          <w:tcPr>
            <w:tcW w:w="1781" w:type="dxa"/>
            <w:tcBorders>
              <w:bottom w:val="single" w:sz="12" w:space="0" w:color="auto"/>
              <w:right w:val="single" w:sz="4" w:space="0" w:color="auto"/>
            </w:tcBorders>
          </w:tcPr>
          <w:p w14:paraId="1CF32DA0" w14:textId="77777777" w:rsidR="0005512A" w:rsidRPr="002B2CFC" w:rsidRDefault="0005512A" w:rsidP="000652CE">
            <w:pPr>
              <w:keepNext/>
              <w:rPr>
                <w:sz w:val="18"/>
                <w:szCs w:val="18"/>
              </w:rPr>
            </w:pPr>
          </w:p>
        </w:tc>
      </w:tr>
      <w:tr w:rsidR="0005512A" w:rsidRPr="002B2CFC" w14:paraId="639BFAB4" w14:textId="77777777" w:rsidTr="0005512A">
        <w:tc>
          <w:tcPr>
            <w:tcW w:w="675" w:type="dxa"/>
            <w:vMerge w:val="restart"/>
            <w:tcBorders>
              <w:top w:val="single" w:sz="12" w:space="0" w:color="auto"/>
            </w:tcBorders>
            <w:textDirection w:val="btLr"/>
            <w:vAlign w:val="center"/>
          </w:tcPr>
          <w:p w14:paraId="3F1E15B0" w14:textId="77777777" w:rsidR="0005512A" w:rsidRPr="002B2CFC" w:rsidRDefault="0005512A" w:rsidP="000652CE">
            <w:pPr>
              <w:keepNext/>
              <w:ind w:right="113"/>
              <w:jc w:val="center"/>
              <w:rPr>
                <w:b/>
                <w:sz w:val="20"/>
              </w:rPr>
            </w:pPr>
            <w:r w:rsidRPr="002B2CFC">
              <w:rPr>
                <w:b/>
                <w:sz w:val="20"/>
              </w:rPr>
              <w:t>GFAP</w:t>
            </w:r>
          </w:p>
        </w:tc>
        <w:tc>
          <w:tcPr>
            <w:tcW w:w="2330" w:type="dxa"/>
            <w:tcBorders>
              <w:top w:val="single" w:sz="12" w:space="0" w:color="auto"/>
              <w:right w:val="single" w:sz="12" w:space="0" w:color="auto"/>
            </w:tcBorders>
          </w:tcPr>
          <w:p w14:paraId="0032CF8B" w14:textId="77777777" w:rsidR="0005512A" w:rsidRPr="002B2CFC" w:rsidRDefault="0005512A" w:rsidP="000652CE">
            <w:pPr>
              <w:keepNext/>
              <w:rPr>
                <w:sz w:val="20"/>
              </w:rPr>
            </w:pPr>
            <w:r w:rsidRPr="002B2CFC">
              <w:rPr>
                <w:sz w:val="20"/>
                <w:u w:val="single"/>
              </w:rPr>
              <w:t>Striatum</w:t>
            </w:r>
            <w:r w:rsidRPr="002B2CFC">
              <w:rPr>
                <w:sz w:val="20"/>
              </w:rPr>
              <w:t>;</w:t>
            </w:r>
          </w:p>
          <w:p w14:paraId="3850A95D" w14:textId="77777777" w:rsidR="0005512A" w:rsidRPr="002B2CFC" w:rsidRDefault="0005512A" w:rsidP="000652CE">
            <w:pPr>
              <w:keepNext/>
              <w:rPr>
                <w:sz w:val="20"/>
              </w:rPr>
            </w:pPr>
            <w:r w:rsidRPr="002B2CFC">
              <w:rPr>
                <w:sz w:val="20"/>
              </w:rPr>
              <w:t>Increased GFAP staining</w:t>
            </w:r>
          </w:p>
        </w:tc>
        <w:tc>
          <w:tcPr>
            <w:tcW w:w="607" w:type="dxa"/>
            <w:tcBorders>
              <w:top w:val="single" w:sz="12" w:space="0" w:color="auto"/>
              <w:left w:val="single" w:sz="12" w:space="0" w:color="auto"/>
            </w:tcBorders>
            <w:vAlign w:val="center"/>
          </w:tcPr>
          <w:p w14:paraId="097E3287" w14:textId="77777777" w:rsidR="0005512A" w:rsidRPr="002B2CFC" w:rsidRDefault="0005512A" w:rsidP="000652CE">
            <w:pPr>
              <w:keepNext/>
              <w:jc w:val="center"/>
              <w:rPr>
                <w:sz w:val="18"/>
                <w:szCs w:val="18"/>
              </w:rPr>
            </w:pPr>
          </w:p>
        </w:tc>
        <w:tc>
          <w:tcPr>
            <w:tcW w:w="608" w:type="dxa"/>
            <w:tcBorders>
              <w:top w:val="single" w:sz="12" w:space="0" w:color="auto"/>
            </w:tcBorders>
            <w:vAlign w:val="center"/>
          </w:tcPr>
          <w:p w14:paraId="49650975" w14:textId="77777777" w:rsidR="0005512A" w:rsidRPr="002B2CFC" w:rsidRDefault="0005512A" w:rsidP="000652CE">
            <w:pPr>
              <w:keepNext/>
              <w:jc w:val="center"/>
              <w:rPr>
                <w:sz w:val="18"/>
                <w:szCs w:val="18"/>
              </w:rPr>
            </w:pPr>
            <w:r w:rsidRPr="002B2CFC">
              <w:rPr>
                <w:sz w:val="18"/>
                <w:szCs w:val="18"/>
              </w:rPr>
              <w:t>3 (1.00)</w:t>
            </w:r>
          </w:p>
        </w:tc>
        <w:tc>
          <w:tcPr>
            <w:tcW w:w="607" w:type="dxa"/>
            <w:tcBorders>
              <w:top w:val="single" w:sz="12" w:space="0" w:color="auto"/>
            </w:tcBorders>
            <w:vAlign w:val="center"/>
          </w:tcPr>
          <w:p w14:paraId="4428B1FC" w14:textId="77777777" w:rsidR="0005512A" w:rsidRPr="002B2CFC" w:rsidRDefault="0005512A" w:rsidP="000652CE">
            <w:pPr>
              <w:keepNext/>
              <w:jc w:val="center"/>
              <w:rPr>
                <w:sz w:val="18"/>
                <w:szCs w:val="18"/>
              </w:rPr>
            </w:pPr>
            <w:r w:rsidRPr="002B2CFC">
              <w:rPr>
                <w:sz w:val="18"/>
                <w:szCs w:val="18"/>
              </w:rPr>
              <w:t>5 (2.40)</w:t>
            </w:r>
          </w:p>
        </w:tc>
        <w:tc>
          <w:tcPr>
            <w:tcW w:w="608" w:type="dxa"/>
            <w:tcBorders>
              <w:top w:val="single" w:sz="12" w:space="0" w:color="auto"/>
            </w:tcBorders>
            <w:vAlign w:val="center"/>
          </w:tcPr>
          <w:p w14:paraId="6840DA46" w14:textId="77777777" w:rsidR="0005512A" w:rsidRPr="002B2CFC" w:rsidRDefault="0005512A" w:rsidP="000652CE">
            <w:pPr>
              <w:keepNext/>
              <w:jc w:val="center"/>
              <w:rPr>
                <w:sz w:val="18"/>
                <w:szCs w:val="18"/>
              </w:rPr>
            </w:pPr>
            <w:r w:rsidRPr="002B2CFC">
              <w:rPr>
                <w:sz w:val="18"/>
                <w:szCs w:val="18"/>
              </w:rPr>
              <w:t>4 (2.40</w:t>
            </w:r>
          </w:p>
        </w:tc>
        <w:tc>
          <w:tcPr>
            <w:tcW w:w="607" w:type="dxa"/>
            <w:tcBorders>
              <w:top w:val="single" w:sz="12" w:space="0" w:color="auto"/>
            </w:tcBorders>
            <w:vAlign w:val="center"/>
          </w:tcPr>
          <w:p w14:paraId="1B02A572" w14:textId="77777777" w:rsidR="0005512A" w:rsidRPr="002B2CFC" w:rsidRDefault="0005512A" w:rsidP="000652CE">
            <w:pPr>
              <w:keepNext/>
              <w:jc w:val="center"/>
              <w:rPr>
                <w:sz w:val="18"/>
                <w:szCs w:val="18"/>
              </w:rPr>
            </w:pPr>
            <w:r w:rsidRPr="002B2CFC">
              <w:rPr>
                <w:sz w:val="18"/>
                <w:szCs w:val="18"/>
              </w:rPr>
              <w:t>5 (4.80)</w:t>
            </w:r>
          </w:p>
        </w:tc>
        <w:tc>
          <w:tcPr>
            <w:tcW w:w="608" w:type="dxa"/>
            <w:tcBorders>
              <w:top w:val="single" w:sz="12" w:space="0" w:color="auto"/>
            </w:tcBorders>
            <w:vAlign w:val="center"/>
          </w:tcPr>
          <w:p w14:paraId="4F91BD1C" w14:textId="77777777" w:rsidR="0005512A" w:rsidRPr="002B2CFC" w:rsidRDefault="0005512A" w:rsidP="000652CE">
            <w:pPr>
              <w:keepNext/>
              <w:jc w:val="center"/>
              <w:rPr>
                <w:sz w:val="18"/>
                <w:szCs w:val="18"/>
              </w:rPr>
            </w:pPr>
            <w:r w:rsidRPr="002B2CFC">
              <w:rPr>
                <w:sz w:val="18"/>
                <w:szCs w:val="18"/>
              </w:rPr>
              <w:t>5 (4.60)</w:t>
            </w:r>
          </w:p>
        </w:tc>
        <w:tc>
          <w:tcPr>
            <w:tcW w:w="608" w:type="dxa"/>
            <w:tcBorders>
              <w:top w:val="single" w:sz="12" w:space="0" w:color="auto"/>
              <w:right w:val="single" w:sz="12" w:space="0" w:color="auto"/>
            </w:tcBorders>
            <w:vAlign w:val="center"/>
          </w:tcPr>
          <w:p w14:paraId="2510CBF1" w14:textId="77777777" w:rsidR="0005512A" w:rsidRPr="002B2CFC" w:rsidRDefault="0005512A" w:rsidP="000652CE">
            <w:pPr>
              <w:keepNext/>
              <w:jc w:val="center"/>
              <w:rPr>
                <w:sz w:val="18"/>
                <w:szCs w:val="18"/>
              </w:rPr>
            </w:pPr>
            <w:r w:rsidRPr="002B2CFC">
              <w:rPr>
                <w:sz w:val="18"/>
                <w:szCs w:val="18"/>
              </w:rPr>
              <w:t xml:space="preserve">5 </w:t>
            </w:r>
          </w:p>
          <w:p w14:paraId="106C9E31" w14:textId="77777777" w:rsidR="0005512A" w:rsidRPr="002B2CFC" w:rsidRDefault="0005512A" w:rsidP="000652CE">
            <w:pPr>
              <w:keepNext/>
              <w:jc w:val="center"/>
              <w:rPr>
                <w:sz w:val="18"/>
                <w:szCs w:val="18"/>
              </w:rPr>
            </w:pPr>
            <w:r w:rsidRPr="002B2CFC">
              <w:rPr>
                <w:sz w:val="18"/>
                <w:szCs w:val="18"/>
              </w:rPr>
              <w:t>(4.00)</w:t>
            </w:r>
          </w:p>
        </w:tc>
        <w:tc>
          <w:tcPr>
            <w:tcW w:w="1781" w:type="dxa"/>
            <w:tcBorders>
              <w:top w:val="single" w:sz="12" w:space="0" w:color="auto"/>
              <w:right w:val="single" w:sz="4" w:space="0" w:color="auto"/>
            </w:tcBorders>
          </w:tcPr>
          <w:p w14:paraId="31FD75C6" w14:textId="77777777" w:rsidR="0005512A" w:rsidRPr="002B2CFC" w:rsidRDefault="0005512A" w:rsidP="000652CE">
            <w:pPr>
              <w:keepNext/>
              <w:rPr>
                <w:sz w:val="18"/>
                <w:szCs w:val="18"/>
              </w:rPr>
            </w:pPr>
          </w:p>
        </w:tc>
      </w:tr>
      <w:tr w:rsidR="0005512A" w:rsidRPr="002B2CFC" w14:paraId="13848DEE" w14:textId="77777777" w:rsidTr="0005512A">
        <w:tc>
          <w:tcPr>
            <w:tcW w:w="675" w:type="dxa"/>
            <w:vMerge/>
            <w:tcBorders>
              <w:bottom w:val="single" w:sz="12" w:space="0" w:color="auto"/>
            </w:tcBorders>
            <w:textDirection w:val="btLr"/>
            <w:vAlign w:val="center"/>
          </w:tcPr>
          <w:p w14:paraId="71EDBA0F" w14:textId="77777777" w:rsidR="0005512A" w:rsidRPr="002B2CFC" w:rsidRDefault="0005512A" w:rsidP="000652CE">
            <w:pPr>
              <w:keepNext/>
              <w:ind w:right="113"/>
              <w:jc w:val="center"/>
              <w:rPr>
                <w:b/>
                <w:sz w:val="20"/>
              </w:rPr>
            </w:pPr>
          </w:p>
        </w:tc>
        <w:tc>
          <w:tcPr>
            <w:tcW w:w="2330" w:type="dxa"/>
            <w:tcBorders>
              <w:bottom w:val="single" w:sz="12" w:space="0" w:color="auto"/>
              <w:right w:val="single" w:sz="12" w:space="0" w:color="auto"/>
            </w:tcBorders>
          </w:tcPr>
          <w:p w14:paraId="4807B627" w14:textId="77777777" w:rsidR="0005512A" w:rsidRPr="002B2CFC" w:rsidRDefault="0005512A" w:rsidP="000652CE">
            <w:pPr>
              <w:keepNext/>
              <w:rPr>
                <w:sz w:val="20"/>
              </w:rPr>
            </w:pPr>
            <w:r w:rsidRPr="002B2CFC">
              <w:rPr>
                <w:sz w:val="20"/>
                <w:u w:val="single"/>
              </w:rPr>
              <w:t>SN pc</w:t>
            </w:r>
            <w:r w:rsidRPr="002B2CFC">
              <w:rPr>
                <w:sz w:val="20"/>
              </w:rPr>
              <w:t>;</w:t>
            </w:r>
          </w:p>
          <w:p w14:paraId="6AE3D4CD" w14:textId="77777777" w:rsidR="0005512A" w:rsidRPr="002B2CFC" w:rsidRDefault="0005512A" w:rsidP="000652CE">
            <w:pPr>
              <w:keepNext/>
              <w:rPr>
                <w:sz w:val="20"/>
              </w:rPr>
            </w:pPr>
            <w:r w:rsidRPr="002B2CFC">
              <w:rPr>
                <w:sz w:val="20"/>
              </w:rPr>
              <w:t>Increased GFAP staining</w:t>
            </w:r>
          </w:p>
        </w:tc>
        <w:tc>
          <w:tcPr>
            <w:tcW w:w="607" w:type="dxa"/>
            <w:tcBorders>
              <w:left w:val="single" w:sz="12" w:space="0" w:color="auto"/>
              <w:bottom w:val="single" w:sz="12" w:space="0" w:color="auto"/>
            </w:tcBorders>
            <w:vAlign w:val="center"/>
          </w:tcPr>
          <w:p w14:paraId="4167A61F" w14:textId="77777777" w:rsidR="0005512A" w:rsidRPr="002B2CFC" w:rsidRDefault="0005512A" w:rsidP="000652CE">
            <w:pPr>
              <w:keepNext/>
              <w:jc w:val="center"/>
              <w:rPr>
                <w:sz w:val="18"/>
                <w:szCs w:val="18"/>
              </w:rPr>
            </w:pPr>
          </w:p>
        </w:tc>
        <w:tc>
          <w:tcPr>
            <w:tcW w:w="608" w:type="dxa"/>
            <w:tcBorders>
              <w:bottom w:val="single" w:sz="12" w:space="0" w:color="auto"/>
            </w:tcBorders>
            <w:vAlign w:val="center"/>
          </w:tcPr>
          <w:p w14:paraId="405CD199" w14:textId="77777777" w:rsidR="0005512A" w:rsidRPr="002B2CFC" w:rsidRDefault="0005512A" w:rsidP="000652CE">
            <w:pPr>
              <w:keepNext/>
              <w:jc w:val="center"/>
              <w:rPr>
                <w:sz w:val="18"/>
                <w:szCs w:val="18"/>
              </w:rPr>
            </w:pPr>
          </w:p>
        </w:tc>
        <w:tc>
          <w:tcPr>
            <w:tcW w:w="607" w:type="dxa"/>
            <w:tcBorders>
              <w:bottom w:val="single" w:sz="12" w:space="0" w:color="auto"/>
            </w:tcBorders>
            <w:vAlign w:val="center"/>
          </w:tcPr>
          <w:p w14:paraId="43E1A85C" w14:textId="77777777" w:rsidR="0005512A" w:rsidRPr="002B2CFC" w:rsidRDefault="0005512A" w:rsidP="000652CE">
            <w:pPr>
              <w:keepNext/>
              <w:jc w:val="center"/>
              <w:rPr>
                <w:sz w:val="18"/>
                <w:szCs w:val="18"/>
              </w:rPr>
            </w:pPr>
          </w:p>
        </w:tc>
        <w:tc>
          <w:tcPr>
            <w:tcW w:w="608" w:type="dxa"/>
            <w:tcBorders>
              <w:bottom w:val="single" w:sz="12" w:space="0" w:color="auto"/>
            </w:tcBorders>
            <w:vAlign w:val="center"/>
          </w:tcPr>
          <w:p w14:paraId="430499BA" w14:textId="77777777" w:rsidR="0005512A" w:rsidRPr="002B2CFC" w:rsidRDefault="0005512A" w:rsidP="000652CE">
            <w:pPr>
              <w:keepNext/>
              <w:jc w:val="center"/>
              <w:rPr>
                <w:sz w:val="18"/>
                <w:szCs w:val="18"/>
              </w:rPr>
            </w:pPr>
          </w:p>
        </w:tc>
        <w:tc>
          <w:tcPr>
            <w:tcW w:w="607" w:type="dxa"/>
            <w:tcBorders>
              <w:bottom w:val="single" w:sz="12" w:space="0" w:color="auto"/>
            </w:tcBorders>
            <w:vAlign w:val="center"/>
          </w:tcPr>
          <w:p w14:paraId="228A5947" w14:textId="77777777" w:rsidR="0005512A" w:rsidRPr="002B2CFC" w:rsidRDefault="0005512A" w:rsidP="000652CE">
            <w:pPr>
              <w:keepNext/>
              <w:jc w:val="center"/>
              <w:rPr>
                <w:sz w:val="18"/>
                <w:szCs w:val="18"/>
              </w:rPr>
            </w:pPr>
            <w:r w:rsidRPr="002B2CFC">
              <w:rPr>
                <w:sz w:val="18"/>
                <w:szCs w:val="18"/>
              </w:rPr>
              <w:t>2 (0.80)</w:t>
            </w:r>
          </w:p>
        </w:tc>
        <w:tc>
          <w:tcPr>
            <w:tcW w:w="608" w:type="dxa"/>
            <w:tcBorders>
              <w:bottom w:val="single" w:sz="12" w:space="0" w:color="auto"/>
            </w:tcBorders>
            <w:vAlign w:val="center"/>
          </w:tcPr>
          <w:p w14:paraId="308FB111" w14:textId="77777777" w:rsidR="0005512A" w:rsidRPr="002B2CFC" w:rsidRDefault="0005512A" w:rsidP="000652CE">
            <w:pPr>
              <w:keepNext/>
              <w:jc w:val="center"/>
              <w:rPr>
                <w:sz w:val="18"/>
                <w:szCs w:val="18"/>
              </w:rPr>
            </w:pPr>
            <w:r w:rsidRPr="002B2CFC">
              <w:rPr>
                <w:sz w:val="18"/>
                <w:szCs w:val="18"/>
              </w:rPr>
              <w:t>2 (1.20)</w:t>
            </w:r>
          </w:p>
        </w:tc>
        <w:tc>
          <w:tcPr>
            <w:tcW w:w="608" w:type="dxa"/>
            <w:tcBorders>
              <w:bottom w:val="single" w:sz="12" w:space="0" w:color="auto"/>
              <w:right w:val="single" w:sz="12" w:space="0" w:color="auto"/>
            </w:tcBorders>
            <w:vAlign w:val="center"/>
          </w:tcPr>
          <w:p w14:paraId="13889C77" w14:textId="77777777" w:rsidR="0005512A" w:rsidRPr="002B2CFC" w:rsidRDefault="0005512A" w:rsidP="000652CE">
            <w:pPr>
              <w:keepNext/>
              <w:jc w:val="center"/>
              <w:rPr>
                <w:sz w:val="18"/>
                <w:szCs w:val="18"/>
              </w:rPr>
            </w:pPr>
          </w:p>
        </w:tc>
        <w:tc>
          <w:tcPr>
            <w:tcW w:w="1781" w:type="dxa"/>
            <w:tcBorders>
              <w:bottom w:val="single" w:sz="12" w:space="0" w:color="auto"/>
              <w:right w:val="single" w:sz="4" w:space="0" w:color="auto"/>
            </w:tcBorders>
          </w:tcPr>
          <w:p w14:paraId="7AE7390C" w14:textId="77777777" w:rsidR="0005512A" w:rsidRPr="002B2CFC" w:rsidRDefault="0005512A" w:rsidP="000652CE">
            <w:pPr>
              <w:keepNext/>
              <w:rPr>
                <w:sz w:val="18"/>
                <w:szCs w:val="18"/>
              </w:rPr>
            </w:pPr>
          </w:p>
        </w:tc>
      </w:tr>
      <w:tr w:rsidR="0005512A" w:rsidRPr="002B2CFC" w14:paraId="11796617" w14:textId="77777777" w:rsidTr="0005512A">
        <w:tc>
          <w:tcPr>
            <w:tcW w:w="675" w:type="dxa"/>
            <w:vMerge w:val="restart"/>
            <w:tcBorders>
              <w:top w:val="single" w:sz="12" w:space="0" w:color="auto"/>
            </w:tcBorders>
            <w:textDirection w:val="btLr"/>
            <w:vAlign w:val="center"/>
          </w:tcPr>
          <w:p w14:paraId="5F458DA5" w14:textId="77777777" w:rsidR="0005512A" w:rsidRPr="002B2CFC" w:rsidRDefault="0005512A" w:rsidP="000652CE">
            <w:pPr>
              <w:keepNext/>
              <w:ind w:right="113"/>
              <w:jc w:val="center"/>
              <w:rPr>
                <w:b/>
                <w:sz w:val="20"/>
              </w:rPr>
            </w:pPr>
            <w:r w:rsidRPr="002B2CFC">
              <w:rPr>
                <w:b/>
                <w:sz w:val="20"/>
              </w:rPr>
              <w:t>IBA-1</w:t>
            </w:r>
          </w:p>
        </w:tc>
        <w:tc>
          <w:tcPr>
            <w:tcW w:w="2330" w:type="dxa"/>
            <w:tcBorders>
              <w:top w:val="single" w:sz="12" w:space="0" w:color="auto"/>
              <w:right w:val="single" w:sz="12" w:space="0" w:color="auto"/>
            </w:tcBorders>
          </w:tcPr>
          <w:p w14:paraId="0A57D6E6" w14:textId="77777777" w:rsidR="0005512A" w:rsidRPr="002B2CFC" w:rsidRDefault="0005512A" w:rsidP="000652CE">
            <w:pPr>
              <w:keepNext/>
              <w:rPr>
                <w:sz w:val="20"/>
              </w:rPr>
            </w:pPr>
            <w:r w:rsidRPr="002B2CFC">
              <w:rPr>
                <w:sz w:val="20"/>
                <w:u w:val="single"/>
              </w:rPr>
              <w:t>Striatum</w:t>
            </w:r>
            <w:r w:rsidRPr="002B2CFC">
              <w:rPr>
                <w:sz w:val="20"/>
              </w:rPr>
              <w:t>;</w:t>
            </w:r>
          </w:p>
          <w:p w14:paraId="66DBF4DE" w14:textId="77777777" w:rsidR="0005512A" w:rsidRPr="002B2CFC" w:rsidRDefault="0005512A" w:rsidP="000652CE">
            <w:pPr>
              <w:keepNext/>
              <w:rPr>
                <w:sz w:val="20"/>
              </w:rPr>
            </w:pPr>
            <w:r w:rsidRPr="002B2CFC">
              <w:rPr>
                <w:sz w:val="20"/>
              </w:rPr>
              <w:t>Increased IBA-1 staining</w:t>
            </w:r>
          </w:p>
        </w:tc>
        <w:tc>
          <w:tcPr>
            <w:tcW w:w="607" w:type="dxa"/>
            <w:tcBorders>
              <w:top w:val="single" w:sz="12" w:space="0" w:color="auto"/>
              <w:left w:val="single" w:sz="12" w:space="0" w:color="auto"/>
            </w:tcBorders>
            <w:vAlign w:val="center"/>
          </w:tcPr>
          <w:p w14:paraId="1F4DD526" w14:textId="77777777" w:rsidR="0005512A" w:rsidRPr="002B2CFC" w:rsidRDefault="0005512A" w:rsidP="000652CE">
            <w:pPr>
              <w:keepNext/>
              <w:jc w:val="center"/>
              <w:rPr>
                <w:sz w:val="18"/>
                <w:szCs w:val="18"/>
              </w:rPr>
            </w:pPr>
            <w:r w:rsidRPr="002B2CFC">
              <w:rPr>
                <w:sz w:val="18"/>
                <w:szCs w:val="18"/>
              </w:rPr>
              <w:t>3 (1.20)</w:t>
            </w:r>
          </w:p>
        </w:tc>
        <w:tc>
          <w:tcPr>
            <w:tcW w:w="608" w:type="dxa"/>
            <w:tcBorders>
              <w:top w:val="single" w:sz="12" w:space="0" w:color="auto"/>
            </w:tcBorders>
            <w:vAlign w:val="center"/>
          </w:tcPr>
          <w:p w14:paraId="07F6C6E2" w14:textId="77777777" w:rsidR="0005512A" w:rsidRPr="002B2CFC" w:rsidRDefault="0005512A" w:rsidP="000652CE">
            <w:pPr>
              <w:keepNext/>
              <w:jc w:val="center"/>
              <w:rPr>
                <w:sz w:val="18"/>
                <w:szCs w:val="18"/>
              </w:rPr>
            </w:pPr>
            <w:r w:rsidRPr="002B2CFC">
              <w:rPr>
                <w:sz w:val="18"/>
                <w:szCs w:val="18"/>
              </w:rPr>
              <w:t>4 (2.00)</w:t>
            </w:r>
          </w:p>
        </w:tc>
        <w:tc>
          <w:tcPr>
            <w:tcW w:w="607" w:type="dxa"/>
            <w:tcBorders>
              <w:top w:val="single" w:sz="12" w:space="0" w:color="auto"/>
            </w:tcBorders>
            <w:vAlign w:val="center"/>
          </w:tcPr>
          <w:p w14:paraId="213888CC" w14:textId="77777777" w:rsidR="0005512A" w:rsidRPr="002B2CFC" w:rsidRDefault="0005512A" w:rsidP="000652CE">
            <w:pPr>
              <w:keepNext/>
              <w:jc w:val="center"/>
              <w:rPr>
                <w:sz w:val="18"/>
                <w:szCs w:val="18"/>
              </w:rPr>
            </w:pPr>
            <w:r w:rsidRPr="002B2CFC">
              <w:rPr>
                <w:sz w:val="18"/>
                <w:szCs w:val="18"/>
              </w:rPr>
              <w:t>5 (2.80)</w:t>
            </w:r>
          </w:p>
        </w:tc>
        <w:tc>
          <w:tcPr>
            <w:tcW w:w="608" w:type="dxa"/>
            <w:tcBorders>
              <w:top w:val="single" w:sz="12" w:space="0" w:color="auto"/>
            </w:tcBorders>
            <w:vAlign w:val="center"/>
          </w:tcPr>
          <w:p w14:paraId="10E4B289" w14:textId="77777777" w:rsidR="0005512A" w:rsidRPr="002B2CFC" w:rsidRDefault="0005512A" w:rsidP="000652CE">
            <w:pPr>
              <w:keepNext/>
              <w:jc w:val="center"/>
              <w:rPr>
                <w:sz w:val="18"/>
                <w:szCs w:val="18"/>
              </w:rPr>
            </w:pPr>
            <w:r w:rsidRPr="002B2CFC">
              <w:rPr>
                <w:sz w:val="18"/>
                <w:szCs w:val="18"/>
              </w:rPr>
              <w:t>5 (2.80)</w:t>
            </w:r>
          </w:p>
        </w:tc>
        <w:tc>
          <w:tcPr>
            <w:tcW w:w="607" w:type="dxa"/>
            <w:tcBorders>
              <w:top w:val="single" w:sz="12" w:space="0" w:color="auto"/>
            </w:tcBorders>
            <w:vAlign w:val="center"/>
          </w:tcPr>
          <w:p w14:paraId="30A1DCA1" w14:textId="77777777" w:rsidR="0005512A" w:rsidRPr="002B2CFC" w:rsidRDefault="0005512A" w:rsidP="000652CE">
            <w:pPr>
              <w:keepNext/>
              <w:jc w:val="center"/>
              <w:rPr>
                <w:sz w:val="18"/>
                <w:szCs w:val="18"/>
              </w:rPr>
            </w:pPr>
            <w:r w:rsidRPr="002B2CFC">
              <w:rPr>
                <w:sz w:val="18"/>
                <w:szCs w:val="18"/>
              </w:rPr>
              <w:t>5 (3.40)</w:t>
            </w:r>
          </w:p>
        </w:tc>
        <w:tc>
          <w:tcPr>
            <w:tcW w:w="608" w:type="dxa"/>
            <w:tcBorders>
              <w:top w:val="single" w:sz="12" w:space="0" w:color="auto"/>
            </w:tcBorders>
            <w:vAlign w:val="center"/>
          </w:tcPr>
          <w:p w14:paraId="4C99E26E" w14:textId="77777777" w:rsidR="0005512A" w:rsidRPr="002B2CFC" w:rsidRDefault="0005512A" w:rsidP="000652CE">
            <w:pPr>
              <w:keepNext/>
              <w:jc w:val="center"/>
              <w:rPr>
                <w:sz w:val="18"/>
                <w:szCs w:val="18"/>
              </w:rPr>
            </w:pPr>
            <w:r w:rsidRPr="002B2CFC">
              <w:rPr>
                <w:sz w:val="18"/>
                <w:szCs w:val="18"/>
              </w:rPr>
              <w:t>2 (1.00)</w:t>
            </w:r>
          </w:p>
        </w:tc>
        <w:tc>
          <w:tcPr>
            <w:tcW w:w="608" w:type="dxa"/>
            <w:tcBorders>
              <w:top w:val="single" w:sz="12" w:space="0" w:color="auto"/>
              <w:right w:val="single" w:sz="12" w:space="0" w:color="auto"/>
            </w:tcBorders>
            <w:vAlign w:val="center"/>
          </w:tcPr>
          <w:p w14:paraId="46907CEA" w14:textId="77777777" w:rsidR="0005512A" w:rsidRPr="002B2CFC" w:rsidRDefault="0005512A" w:rsidP="000652CE">
            <w:pPr>
              <w:keepNext/>
              <w:jc w:val="center"/>
              <w:rPr>
                <w:sz w:val="18"/>
                <w:szCs w:val="18"/>
              </w:rPr>
            </w:pPr>
            <w:r w:rsidRPr="002B2CFC">
              <w:rPr>
                <w:sz w:val="18"/>
                <w:szCs w:val="18"/>
              </w:rPr>
              <w:t xml:space="preserve">1 </w:t>
            </w:r>
          </w:p>
          <w:p w14:paraId="3014E684" w14:textId="77777777" w:rsidR="0005512A" w:rsidRPr="002B2CFC" w:rsidRDefault="0005512A" w:rsidP="000652CE">
            <w:pPr>
              <w:keepNext/>
              <w:jc w:val="center"/>
              <w:rPr>
                <w:sz w:val="18"/>
                <w:szCs w:val="18"/>
              </w:rPr>
            </w:pPr>
            <w:r w:rsidRPr="002B2CFC">
              <w:rPr>
                <w:sz w:val="18"/>
                <w:szCs w:val="18"/>
              </w:rPr>
              <w:t>(0.20)</w:t>
            </w:r>
          </w:p>
        </w:tc>
        <w:tc>
          <w:tcPr>
            <w:tcW w:w="1781" w:type="dxa"/>
            <w:tcBorders>
              <w:top w:val="single" w:sz="12" w:space="0" w:color="auto"/>
              <w:right w:val="single" w:sz="4" w:space="0" w:color="auto"/>
            </w:tcBorders>
          </w:tcPr>
          <w:p w14:paraId="2CDC10B3" w14:textId="77777777" w:rsidR="0005512A" w:rsidRPr="002B2CFC" w:rsidRDefault="0005512A" w:rsidP="000652CE">
            <w:pPr>
              <w:keepNext/>
              <w:jc w:val="center"/>
              <w:rPr>
                <w:sz w:val="18"/>
                <w:szCs w:val="18"/>
              </w:rPr>
            </w:pPr>
          </w:p>
        </w:tc>
      </w:tr>
      <w:tr w:rsidR="0005512A" w:rsidRPr="002B2CFC" w14:paraId="1F0251D4" w14:textId="77777777" w:rsidTr="0005512A">
        <w:tc>
          <w:tcPr>
            <w:tcW w:w="675" w:type="dxa"/>
            <w:vMerge/>
            <w:textDirection w:val="btLr"/>
            <w:vAlign w:val="center"/>
          </w:tcPr>
          <w:p w14:paraId="794E49A2" w14:textId="77777777" w:rsidR="0005512A" w:rsidRPr="002B2CFC" w:rsidRDefault="0005512A" w:rsidP="000652CE">
            <w:pPr>
              <w:keepNext/>
              <w:ind w:right="113"/>
              <w:jc w:val="center"/>
              <w:rPr>
                <w:b/>
                <w:sz w:val="20"/>
              </w:rPr>
            </w:pPr>
          </w:p>
        </w:tc>
        <w:tc>
          <w:tcPr>
            <w:tcW w:w="2330" w:type="dxa"/>
            <w:tcBorders>
              <w:right w:val="single" w:sz="12" w:space="0" w:color="auto"/>
            </w:tcBorders>
          </w:tcPr>
          <w:p w14:paraId="4B6BBE6B" w14:textId="77777777" w:rsidR="0005512A" w:rsidRPr="002B2CFC" w:rsidRDefault="0005512A" w:rsidP="000652CE">
            <w:pPr>
              <w:keepNext/>
              <w:rPr>
                <w:sz w:val="20"/>
              </w:rPr>
            </w:pPr>
            <w:r w:rsidRPr="002B2CFC">
              <w:rPr>
                <w:sz w:val="20"/>
                <w:u w:val="single"/>
              </w:rPr>
              <w:t>SN pc</w:t>
            </w:r>
            <w:r w:rsidRPr="002B2CFC">
              <w:rPr>
                <w:sz w:val="20"/>
              </w:rPr>
              <w:t>;</w:t>
            </w:r>
          </w:p>
          <w:p w14:paraId="7F74DE5E" w14:textId="77777777" w:rsidR="0005512A" w:rsidRPr="002B2CFC" w:rsidRDefault="0005512A" w:rsidP="000652CE">
            <w:pPr>
              <w:keepNext/>
              <w:rPr>
                <w:sz w:val="20"/>
              </w:rPr>
            </w:pPr>
            <w:r w:rsidRPr="002B2CFC">
              <w:rPr>
                <w:sz w:val="20"/>
              </w:rPr>
              <w:t>Increased IBA-1 staining</w:t>
            </w:r>
          </w:p>
        </w:tc>
        <w:tc>
          <w:tcPr>
            <w:tcW w:w="607" w:type="dxa"/>
            <w:tcBorders>
              <w:left w:val="single" w:sz="12" w:space="0" w:color="auto"/>
            </w:tcBorders>
            <w:vAlign w:val="center"/>
          </w:tcPr>
          <w:p w14:paraId="4183B1A3" w14:textId="77777777" w:rsidR="0005512A" w:rsidRPr="002B2CFC" w:rsidRDefault="0005512A" w:rsidP="000652CE">
            <w:pPr>
              <w:keepNext/>
              <w:jc w:val="center"/>
              <w:rPr>
                <w:sz w:val="18"/>
                <w:szCs w:val="18"/>
              </w:rPr>
            </w:pPr>
          </w:p>
        </w:tc>
        <w:tc>
          <w:tcPr>
            <w:tcW w:w="608" w:type="dxa"/>
            <w:vAlign w:val="center"/>
          </w:tcPr>
          <w:p w14:paraId="74428CDC" w14:textId="77777777" w:rsidR="0005512A" w:rsidRPr="002B2CFC" w:rsidRDefault="0005512A" w:rsidP="000652CE">
            <w:pPr>
              <w:keepNext/>
              <w:jc w:val="center"/>
              <w:rPr>
                <w:sz w:val="18"/>
                <w:szCs w:val="18"/>
              </w:rPr>
            </w:pPr>
            <w:r w:rsidRPr="002B2CFC">
              <w:rPr>
                <w:sz w:val="18"/>
                <w:szCs w:val="18"/>
              </w:rPr>
              <w:t>1 (0.20)</w:t>
            </w:r>
          </w:p>
        </w:tc>
        <w:tc>
          <w:tcPr>
            <w:tcW w:w="607" w:type="dxa"/>
            <w:vAlign w:val="center"/>
          </w:tcPr>
          <w:p w14:paraId="3822BB2D" w14:textId="77777777" w:rsidR="0005512A" w:rsidRPr="002B2CFC" w:rsidRDefault="0005512A" w:rsidP="000652CE">
            <w:pPr>
              <w:keepNext/>
              <w:jc w:val="center"/>
              <w:rPr>
                <w:sz w:val="18"/>
                <w:szCs w:val="18"/>
              </w:rPr>
            </w:pPr>
            <w:r w:rsidRPr="002B2CFC">
              <w:rPr>
                <w:sz w:val="18"/>
                <w:szCs w:val="18"/>
              </w:rPr>
              <w:t>2 (0.80)</w:t>
            </w:r>
          </w:p>
        </w:tc>
        <w:tc>
          <w:tcPr>
            <w:tcW w:w="608" w:type="dxa"/>
            <w:vAlign w:val="center"/>
          </w:tcPr>
          <w:p w14:paraId="27736C84" w14:textId="77777777" w:rsidR="0005512A" w:rsidRPr="002B2CFC" w:rsidRDefault="0005512A" w:rsidP="000652CE">
            <w:pPr>
              <w:keepNext/>
              <w:jc w:val="center"/>
              <w:rPr>
                <w:sz w:val="18"/>
                <w:szCs w:val="18"/>
              </w:rPr>
            </w:pPr>
            <w:r w:rsidRPr="002B2CFC">
              <w:rPr>
                <w:sz w:val="18"/>
                <w:szCs w:val="18"/>
              </w:rPr>
              <w:t>2 (1.20)</w:t>
            </w:r>
          </w:p>
        </w:tc>
        <w:tc>
          <w:tcPr>
            <w:tcW w:w="607" w:type="dxa"/>
            <w:vAlign w:val="center"/>
          </w:tcPr>
          <w:p w14:paraId="1216BC27" w14:textId="77777777" w:rsidR="0005512A" w:rsidRPr="002B2CFC" w:rsidRDefault="0005512A" w:rsidP="000652CE">
            <w:pPr>
              <w:keepNext/>
              <w:jc w:val="center"/>
              <w:rPr>
                <w:sz w:val="18"/>
                <w:szCs w:val="18"/>
              </w:rPr>
            </w:pPr>
            <w:r w:rsidRPr="002B2CFC">
              <w:rPr>
                <w:sz w:val="18"/>
                <w:szCs w:val="18"/>
              </w:rPr>
              <w:t>3 (1.60)</w:t>
            </w:r>
          </w:p>
        </w:tc>
        <w:tc>
          <w:tcPr>
            <w:tcW w:w="608" w:type="dxa"/>
            <w:vAlign w:val="center"/>
          </w:tcPr>
          <w:p w14:paraId="0D3CE07D" w14:textId="77777777" w:rsidR="0005512A" w:rsidRPr="002B2CFC" w:rsidRDefault="0005512A" w:rsidP="000652CE">
            <w:pPr>
              <w:keepNext/>
              <w:jc w:val="center"/>
              <w:rPr>
                <w:sz w:val="18"/>
                <w:szCs w:val="18"/>
              </w:rPr>
            </w:pPr>
            <w:r w:rsidRPr="002B2CFC">
              <w:rPr>
                <w:sz w:val="18"/>
                <w:szCs w:val="18"/>
              </w:rPr>
              <w:t>2 (1.40)</w:t>
            </w:r>
          </w:p>
        </w:tc>
        <w:tc>
          <w:tcPr>
            <w:tcW w:w="608" w:type="dxa"/>
            <w:tcBorders>
              <w:right w:val="single" w:sz="12" w:space="0" w:color="auto"/>
            </w:tcBorders>
            <w:vAlign w:val="center"/>
          </w:tcPr>
          <w:p w14:paraId="737CD75A" w14:textId="77777777" w:rsidR="0005512A" w:rsidRPr="002B2CFC" w:rsidRDefault="0005512A" w:rsidP="000652CE">
            <w:pPr>
              <w:keepNext/>
              <w:jc w:val="center"/>
              <w:rPr>
                <w:sz w:val="18"/>
                <w:szCs w:val="18"/>
              </w:rPr>
            </w:pPr>
          </w:p>
        </w:tc>
        <w:tc>
          <w:tcPr>
            <w:tcW w:w="1781" w:type="dxa"/>
            <w:tcBorders>
              <w:right w:val="single" w:sz="4" w:space="0" w:color="auto"/>
            </w:tcBorders>
          </w:tcPr>
          <w:p w14:paraId="175E7D87" w14:textId="77777777" w:rsidR="0005512A" w:rsidRPr="002B2CFC" w:rsidRDefault="0005512A" w:rsidP="000652CE">
            <w:pPr>
              <w:keepNext/>
              <w:jc w:val="center"/>
              <w:rPr>
                <w:sz w:val="18"/>
                <w:szCs w:val="18"/>
              </w:rPr>
            </w:pPr>
          </w:p>
        </w:tc>
      </w:tr>
      <w:tr w:rsidR="0005512A" w:rsidRPr="002B2CFC" w14:paraId="136B5CB6" w14:textId="77777777" w:rsidTr="0005512A">
        <w:trPr>
          <w:cantSplit/>
          <w:trHeight w:val="570"/>
        </w:trPr>
        <w:tc>
          <w:tcPr>
            <w:tcW w:w="675" w:type="dxa"/>
            <w:vMerge/>
            <w:textDirection w:val="btLr"/>
            <w:vAlign w:val="center"/>
          </w:tcPr>
          <w:p w14:paraId="3709E4D1" w14:textId="77777777" w:rsidR="0005512A" w:rsidRPr="002B2CFC" w:rsidRDefault="0005512A" w:rsidP="000652CE">
            <w:pPr>
              <w:keepNext/>
              <w:ind w:right="113"/>
              <w:jc w:val="center"/>
              <w:rPr>
                <w:b/>
                <w:sz w:val="20"/>
              </w:rPr>
            </w:pPr>
          </w:p>
        </w:tc>
        <w:tc>
          <w:tcPr>
            <w:tcW w:w="2330" w:type="dxa"/>
            <w:tcBorders>
              <w:right w:val="single" w:sz="12" w:space="0" w:color="auto"/>
            </w:tcBorders>
          </w:tcPr>
          <w:p w14:paraId="119C059D" w14:textId="77777777" w:rsidR="0005512A" w:rsidRPr="002B2CFC" w:rsidRDefault="0005512A" w:rsidP="000652CE">
            <w:pPr>
              <w:keepNext/>
              <w:rPr>
                <w:sz w:val="20"/>
                <w:u w:val="single"/>
              </w:rPr>
            </w:pPr>
            <w:r w:rsidRPr="002B2CFC">
              <w:rPr>
                <w:sz w:val="20"/>
                <w:u w:val="single"/>
              </w:rPr>
              <w:t>VTA;</w:t>
            </w:r>
          </w:p>
          <w:p w14:paraId="299009CA" w14:textId="77777777" w:rsidR="0005512A" w:rsidRPr="002B2CFC" w:rsidRDefault="0005512A" w:rsidP="000652CE">
            <w:pPr>
              <w:keepNext/>
              <w:rPr>
                <w:sz w:val="20"/>
              </w:rPr>
            </w:pPr>
            <w:r w:rsidRPr="002B2CFC">
              <w:rPr>
                <w:sz w:val="20"/>
              </w:rPr>
              <w:t>Increased IBA-1 staining</w:t>
            </w:r>
          </w:p>
        </w:tc>
        <w:tc>
          <w:tcPr>
            <w:tcW w:w="607" w:type="dxa"/>
            <w:tcBorders>
              <w:left w:val="single" w:sz="12" w:space="0" w:color="auto"/>
            </w:tcBorders>
            <w:vAlign w:val="center"/>
          </w:tcPr>
          <w:p w14:paraId="15D4553D" w14:textId="77777777" w:rsidR="0005512A" w:rsidRPr="002B2CFC" w:rsidRDefault="0005512A" w:rsidP="000652CE">
            <w:pPr>
              <w:keepNext/>
              <w:jc w:val="center"/>
              <w:rPr>
                <w:sz w:val="18"/>
                <w:szCs w:val="18"/>
              </w:rPr>
            </w:pPr>
          </w:p>
        </w:tc>
        <w:tc>
          <w:tcPr>
            <w:tcW w:w="608" w:type="dxa"/>
            <w:vAlign w:val="center"/>
          </w:tcPr>
          <w:p w14:paraId="0DD6CA3F" w14:textId="77777777" w:rsidR="0005512A" w:rsidRPr="002B2CFC" w:rsidRDefault="0005512A" w:rsidP="000652CE">
            <w:pPr>
              <w:keepNext/>
              <w:jc w:val="center"/>
              <w:rPr>
                <w:sz w:val="18"/>
                <w:szCs w:val="18"/>
              </w:rPr>
            </w:pPr>
          </w:p>
        </w:tc>
        <w:tc>
          <w:tcPr>
            <w:tcW w:w="607" w:type="dxa"/>
            <w:vAlign w:val="center"/>
          </w:tcPr>
          <w:p w14:paraId="04199880" w14:textId="77777777" w:rsidR="0005512A" w:rsidRPr="002B2CFC" w:rsidRDefault="0005512A" w:rsidP="000652CE">
            <w:pPr>
              <w:keepNext/>
              <w:jc w:val="center"/>
              <w:rPr>
                <w:sz w:val="18"/>
                <w:szCs w:val="18"/>
              </w:rPr>
            </w:pPr>
            <w:r w:rsidRPr="002B2CFC">
              <w:rPr>
                <w:sz w:val="18"/>
                <w:szCs w:val="18"/>
              </w:rPr>
              <w:t>2 (0.80)</w:t>
            </w:r>
          </w:p>
        </w:tc>
        <w:tc>
          <w:tcPr>
            <w:tcW w:w="608" w:type="dxa"/>
            <w:vAlign w:val="center"/>
          </w:tcPr>
          <w:p w14:paraId="64FC1029" w14:textId="77777777" w:rsidR="0005512A" w:rsidRPr="002B2CFC" w:rsidRDefault="0005512A" w:rsidP="000652CE">
            <w:pPr>
              <w:keepNext/>
              <w:jc w:val="center"/>
              <w:rPr>
                <w:sz w:val="18"/>
                <w:szCs w:val="18"/>
              </w:rPr>
            </w:pPr>
          </w:p>
        </w:tc>
        <w:tc>
          <w:tcPr>
            <w:tcW w:w="607" w:type="dxa"/>
            <w:vAlign w:val="center"/>
          </w:tcPr>
          <w:p w14:paraId="3504CE6F" w14:textId="77777777" w:rsidR="0005512A" w:rsidRPr="002B2CFC" w:rsidRDefault="0005512A" w:rsidP="000652CE">
            <w:pPr>
              <w:keepNext/>
              <w:jc w:val="center"/>
              <w:rPr>
                <w:sz w:val="18"/>
                <w:szCs w:val="18"/>
              </w:rPr>
            </w:pPr>
          </w:p>
        </w:tc>
        <w:tc>
          <w:tcPr>
            <w:tcW w:w="608" w:type="dxa"/>
            <w:vAlign w:val="center"/>
          </w:tcPr>
          <w:p w14:paraId="1470547D" w14:textId="77777777" w:rsidR="0005512A" w:rsidRPr="002B2CFC" w:rsidRDefault="0005512A" w:rsidP="000652CE">
            <w:pPr>
              <w:keepNext/>
              <w:jc w:val="center"/>
              <w:rPr>
                <w:sz w:val="18"/>
                <w:szCs w:val="18"/>
              </w:rPr>
            </w:pPr>
          </w:p>
        </w:tc>
        <w:tc>
          <w:tcPr>
            <w:tcW w:w="608" w:type="dxa"/>
            <w:tcBorders>
              <w:right w:val="single" w:sz="12" w:space="0" w:color="auto"/>
            </w:tcBorders>
            <w:vAlign w:val="center"/>
          </w:tcPr>
          <w:p w14:paraId="346602EC" w14:textId="77777777" w:rsidR="0005512A" w:rsidRPr="002B2CFC" w:rsidRDefault="0005512A" w:rsidP="000652CE">
            <w:pPr>
              <w:keepNext/>
              <w:jc w:val="center"/>
              <w:rPr>
                <w:sz w:val="18"/>
                <w:szCs w:val="18"/>
              </w:rPr>
            </w:pPr>
          </w:p>
        </w:tc>
        <w:tc>
          <w:tcPr>
            <w:tcW w:w="1781" w:type="dxa"/>
            <w:tcBorders>
              <w:right w:val="single" w:sz="4" w:space="0" w:color="auto"/>
            </w:tcBorders>
          </w:tcPr>
          <w:p w14:paraId="488AE476" w14:textId="77777777" w:rsidR="0005512A" w:rsidRPr="002B2CFC" w:rsidRDefault="0005512A" w:rsidP="000652CE">
            <w:pPr>
              <w:keepNext/>
              <w:jc w:val="center"/>
              <w:rPr>
                <w:sz w:val="18"/>
                <w:szCs w:val="18"/>
              </w:rPr>
            </w:pPr>
          </w:p>
        </w:tc>
      </w:tr>
      <w:tr w:rsidR="0005512A" w:rsidRPr="002B2CFC" w14:paraId="7B3317BB" w14:textId="77777777" w:rsidTr="0005512A">
        <w:trPr>
          <w:cantSplit/>
          <w:trHeight w:val="551"/>
        </w:trPr>
        <w:tc>
          <w:tcPr>
            <w:tcW w:w="675" w:type="dxa"/>
            <w:vMerge/>
            <w:textDirection w:val="btLr"/>
            <w:vAlign w:val="center"/>
          </w:tcPr>
          <w:p w14:paraId="18D05D6E" w14:textId="77777777" w:rsidR="0005512A" w:rsidRPr="002B2CFC" w:rsidRDefault="0005512A" w:rsidP="000652CE">
            <w:pPr>
              <w:keepNext/>
              <w:ind w:right="113"/>
              <w:jc w:val="center"/>
              <w:rPr>
                <w:b/>
                <w:sz w:val="20"/>
              </w:rPr>
            </w:pPr>
          </w:p>
        </w:tc>
        <w:tc>
          <w:tcPr>
            <w:tcW w:w="2330" w:type="dxa"/>
            <w:tcBorders>
              <w:right w:val="single" w:sz="12" w:space="0" w:color="auto"/>
            </w:tcBorders>
          </w:tcPr>
          <w:p w14:paraId="0C9CF7FE" w14:textId="77777777" w:rsidR="0005512A" w:rsidRPr="002B2CFC" w:rsidRDefault="0005512A" w:rsidP="000652CE">
            <w:pPr>
              <w:keepNext/>
              <w:rPr>
                <w:sz w:val="20"/>
                <w:u w:val="single"/>
              </w:rPr>
            </w:pPr>
            <w:r w:rsidRPr="002B2CFC">
              <w:rPr>
                <w:sz w:val="20"/>
                <w:u w:val="single"/>
              </w:rPr>
              <w:t>Hippocampus;</w:t>
            </w:r>
          </w:p>
          <w:p w14:paraId="7CE27322" w14:textId="77777777" w:rsidR="0005512A" w:rsidRPr="002B2CFC" w:rsidRDefault="0005512A" w:rsidP="000652CE">
            <w:pPr>
              <w:keepNext/>
              <w:rPr>
                <w:sz w:val="20"/>
              </w:rPr>
            </w:pPr>
            <w:r w:rsidRPr="002B2CFC">
              <w:rPr>
                <w:sz w:val="20"/>
              </w:rPr>
              <w:t>Increased IBA-1 staining</w:t>
            </w:r>
          </w:p>
        </w:tc>
        <w:tc>
          <w:tcPr>
            <w:tcW w:w="607" w:type="dxa"/>
            <w:tcBorders>
              <w:left w:val="single" w:sz="12" w:space="0" w:color="auto"/>
            </w:tcBorders>
            <w:vAlign w:val="center"/>
          </w:tcPr>
          <w:p w14:paraId="1667D178" w14:textId="77777777" w:rsidR="0005512A" w:rsidRPr="002B2CFC" w:rsidRDefault="0005512A" w:rsidP="000652CE">
            <w:pPr>
              <w:keepNext/>
              <w:jc w:val="center"/>
              <w:rPr>
                <w:sz w:val="18"/>
                <w:szCs w:val="18"/>
              </w:rPr>
            </w:pPr>
          </w:p>
        </w:tc>
        <w:tc>
          <w:tcPr>
            <w:tcW w:w="608" w:type="dxa"/>
            <w:vAlign w:val="center"/>
          </w:tcPr>
          <w:p w14:paraId="27DBB4A6" w14:textId="77777777" w:rsidR="0005512A" w:rsidRPr="002B2CFC" w:rsidRDefault="0005512A" w:rsidP="000652CE">
            <w:pPr>
              <w:keepNext/>
              <w:jc w:val="center"/>
              <w:rPr>
                <w:sz w:val="18"/>
                <w:szCs w:val="18"/>
              </w:rPr>
            </w:pPr>
          </w:p>
        </w:tc>
        <w:tc>
          <w:tcPr>
            <w:tcW w:w="607" w:type="dxa"/>
            <w:vAlign w:val="center"/>
          </w:tcPr>
          <w:p w14:paraId="32AE05CB" w14:textId="77777777" w:rsidR="0005512A" w:rsidRPr="002B2CFC" w:rsidRDefault="0005512A" w:rsidP="000652CE">
            <w:pPr>
              <w:keepNext/>
              <w:jc w:val="center"/>
              <w:rPr>
                <w:sz w:val="18"/>
                <w:szCs w:val="18"/>
              </w:rPr>
            </w:pPr>
          </w:p>
        </w:tc>
        <w:tc>
          <w:tcPr>
            <w:tcW w:w="608" w:type="dxa"/>
            <w:vAlign w:val="center"/>
          </w:tcPr>
          <w:p w14:paraId="59210D25" w14:textId="77777777" w:rsidR="0005512A" w:rsidRPr="002B2CFC" w:rsidRDefault="0005512A" w:rsidP="000652CE">
            <w:pPr>
              <w:keepNext/>
              <w:jc w:val="center"/>
              <w:rPr>
                <w:sz w:val="18"/>
                <w:szCs w:val="18"/>
              </w:rPr>
            </w:pPr>
          </w:p>
        </w:tc>
        <w:tc>
          <w:tcPr>
            <w:tcW w:w="607" w:type="dxa"/>
            <w:vAlign w:val="center"/>
          </w:tcPr>
          <w:p w14:paraId="64021A75" w14:textId="77777777" w:rsidR="0005512A" w:rsidRPr="002B2CFC" w:rsidRDefault="0005512A" w:rsidP="000652CE">
            <w:pPr>
              <w:keepNext/>
              <w:jc w:val="center"/>
              <w:rPr>
                <w:sz w:val="18"/>
                <w:szCs w:val="18"/>
              </w:rPr>
            </w:pPr>
          </w:p>
        </w:tc>
        <w:tc>
          <w:tcPr>
            <w:tcW w:w="608" w:type="dxa"/>
            <w:vAlign w:val="center"/>
          </w:tcPr>
          <w:p w14:paraId="3FBDE86D" w14:textId="77777777" w:rsidR="0005512A" w:rsidRPr="002B2CFC" w:rsidRDefault="0005512A" w:rsidP="000652CE">
            <w:pPr>
              <w:keepNext/>
              <w:jc w:val="center"/>
              <w:rPr>
                <w:sz w:val="18"/>
                <w:szCs w:val="18"/>
              </w:rPr>
            </w:pPr>
            <w:r w:rsidRPr="002B2CFC">
              <w:rPr>
                <w:sz w:val="18"/>
                <w:szCs w:val="18"/>
              </w:rPr>
              <w:t>1 (0.60)</w:t>
            </w:r>
          </w:p>
        </w:tc>
        <w:tc>
          <w:tcPr>
            <w:tcW w:w="608" w:type="dxa"/>
            <w:tcBorders>
              <w:right w:val="single" w:sz="12" w:space="0" w:color="auto"/>
            </w:tcBorders>
            <w:vAlign w:val="center"/>
          </w:tcPr>
          <w:p w14:paraId="738A62FA" w14:textId="77777777" w:rsidR="0005512A" w:rsidRPr="002B2CFC" w:rsidRDefault="0005512A" w:rsidP="000652CE">
            <w:pPr>
              <w:keepNext/>
              <w:jc w:val="center"/>
              <w:rPr>
                <w:sz w:val="18"/>
                <w:szCs w:val="18"/>
              </w:rPr>
            </w:pPr>
          </w:p>
        </w:tc>
        <w:tc>
          <w:tcPr>
            <w:tcW w:w="1781" w:type="dxa"/>
            <w:tcBorders>
              <w:right w:val="single" w:sz="4" w:space="0" w:color="auto"/>
            </w:tcBorders>
          </w:tcPr>
          <w:p w14:paraId="1F0418AB" w14:textId="77777777" w:rsidR="0005512A" w:rsidRPr="002B2CFC" w:rsidRDefault="0005512A" w:rsidP="000652CE">
            <w:pPr>
              <w:keepNext/>
              <w:jc w:val="center"/>
              <w:rPr>
                <w:sz w:val="18"/>
                <w:szCs w:val="18"/>
              </w:rPr>
            </w:pPr>
          </w:p>
        </w:tc>
      </w:tr>
      <w:tr w:rsidR="0005512A" w:rsidRPr="002B2CFC" w14:paraId="263E4C51" w14:textId="77777777" w:rsidTr="0005512A">
        <w:trPr>
          <w:cantSplit/>
          <w:trHeight w:val="559"/>
        </w:trPr>
        <w:tc>
          <w:tcPr>
            <w:tcW w:w="675" w:type="dxa"/>
            <w:vMerge/>
            <w:tcBorders>
              <w:bottom w:val="single" w:sz="12" w:space="0" w:color="auto"/>
            </w:tcBorders>
            <w:textDirection w:val="btLr"/>
            <w:vAlign w:val="center"/>
          </w:tcPr>
          <w:p w14:paraId="7222694D" w14:textId="77777777" w:rsidR="0005512A" w:rsidRPr="002B2CFC" w:rsidRDefault="0005512A" w:rsidP="000652CE">
            <w:pPr>
              <w:keepNext/>
              <w:ind w:right="113"/>
              <w:jc w:val="center"/>
              <w:rPr>
                <w:b/>
                <w:sz w:val="20"/>
              </w:rPr>
            </w:pPr>
          </w:p>
        </w:tc>
        <w:tc>
          <w:tcPr>
            <w:tcW w:w="2330" w:type="dxa"/>
            <w:tcBorders>
              <w:bottom w:val="single" w:sz="12" w:space="0" w:color="auto"/>
              <w:right w:val="single" w:sz="12" w:space="0" w:color="auto"/>
            </w:tcBorders>
          </w:tcPr>
          <w:p w14:paraId="2D2E9F4B" w14:textId="77777777" w:rsidR="0005512A" w:rsidRPr="002B2CFC" w:rsidRDefault="0005512A" w:rsidP="000652CE">
            <w:pPr>
              <w:keepNext/>
              <w:rPr>
                <w:sz w:val="20"/>
                <w:u w:val="single"/>
              </w:rPr>
            </w:pPr>
            <w:r w:rsidRPr="002B2CFC">
              <w:rPr>
                <w:sz w:val="20"/>
                <w:u w:val="single"/>
              </w:rPr>
              <w:t>S</w:t>
            </w:r>
            <w:r w:rsidR="008039E3">
              <w:rPr>
                <w:sz w:val="20"/>
                <w:u w:val="single"/>
              </w:rPr>
              <w:t>N</w:t>
            </w:r>
            <w:r w:rsidRPr="002B2CFC">
              <w:rPr>
                <w:sz w:val="20"/>
                <w:u w:val="single"/>
              </w:rPr>
              <w:t>, reticulata;</w:t>
            </w:r>
          </w:p>
          <w:p w14:paraId="70A1BE82" w14:textId="77777777" w:rsidR="0005512A" w:rsidRPr="002B2CFC" w:rsidRDefault="0005512A" w:rsidP="000652CE">
            <w:pPr>
              <w:keepNext/>
              <w:rPr>
                <w:sz w:val="20"/>
              </w:rPr>
            </w:pPr>
            <w:r w:rsidRPr="002B2CFC">
              <w:rPr>
                <w:sz w:val="20"/>
              </w:rPr>
              <w:t>Increased IBA-1 staining</w:t>
            </w:r>
          </w:p>
        </w:tc>
        <w:tc>
          <w:tcPr>
            <w:tcW w:w="607" w:type="dxa"/>
            <w:tcBorders>
              <w:left w:val="single" w:sz="12" w:space="0" w:color="auto"/>
              <w:bottom w:val="single" w:sz="12" w:space="0" w:color="auto"/>
            </w:tcBorders>
            <w:vAlign w:val="center"/>
          </w:tcPr>
          <w:p w14:paraId="08167F42" w14:textId="77777777" w:rsidR="0005512A" w:rsidRPr="002B2CFC" w:rsidRDefault="0005512A" w:rsidP="000652CE">
            <w:pPr>
              <w:keepNext/>
              <w:jc w:val="center"/>
              <w:rPr>
                <w:sz w:val="18"/>
                <w:szCs w:val="18"/>
              </w:rPr>
            </w:pPr>
          </w:p>
        </w:tc>
        <w:tc>
          <w:tcPr>
            <w:tcW w:w="608" w:type="dxa"/>
            <w:tcBorders>
              <w:bottom w:val="single" w:sz="12" w:space="0" w:color="auto"/>
            </w:tcBorders>
            <w:vAlign w:val="center"/>
          </w:tcPr>
          <w:p w14:paraId="621CCE88" w14:textId="77777777" w:rsidR="0005512A" w:rsidRPr="002B2CFC" w:rsidRDefault="0005512A" w:rsidP="000652CE">
            <w:pPr>
              <w:keepNext/>
              <w:jc w:val="center"/>
              <w:rPr>
                <w:sz w:val="18"/>
                <w:szCs w:val="18"/>
              </w:rPr>
            </w:pPr>
          </w:p>
        </w:tc>
        <w:tc>
          <w:tcPr>
            <w:tcW w:w="607" w:type="dxa"/>
            <w:tcBorders>
              <w:bottom w:val="single" w:sz="12" w:space="0" w:color="auto"/>
            </w:tcBorders>
            <w:vAlign w:val="center"/>
          </w:tcPr>
          <w:p w14:paraId="062C2328" w14:textId="77777777" w:rsidR="0005512A" w:rsidRPr="002B2CFC" w:rsidRDefault="0005512A" w:rsidP="000652CE">
            <w:pPr>
              <w:keepNext/>
              <w:jc w:val="center"/>
              <w:rPr>
                <w:sz w:val="18"/>
                <w:szCs w:val="18"/>
              </w:rPr>
            </w:pPr>
          </w:p>
        </w:tc>
        <w:tc>
          <w:tcPr>
            <w:tcW w:w="608" w:type="dxa"/>
            <w:tcBorders>
              <w:bottom w:val="single" w:sz="12" w:space="0" w:color="auto"/>
            </w:tcBorders>
            <w:vAlign w:val="center"/>
          </w:tcPr>
          <w:p w14:paraId="664D70A6" w14:textId="77777777" w:rsidR="0005512A" w:rsidRPr="002B2CFC" w:rsidRDefault="0005512A" w:rsidP="000652CE">
            <w:pPr>
              <w:keepNext/>
              <w:jc w:val="center"/>
              <w:rPr>
                <w:sz w:val="18"/>
                <w:szCs w:val="18"/>
              </w:rPr>
            </w:pPr>
          </w:p>
        </w:tc>
        <w:tc>
          <w:tcPr>
            <w:tcW w:w="607" w:type="dxa"/>
            <w:tcBorders>
              <w:bottom w:val="single" w:sz="12" w:space="0" w:color="auto"/>
            </w:tcBorders>
            <w:vAlign w:val="center"/>
          </w:tcPr>
          <w:p w14:paraId="43E77635" w14:textId="77777777" w:rsidR="0005512A" w:rsidRPr="002B2CFC" w:rsidRDefault="0005512A" w:rsidP="000652CE">
            <w:pPr>
              <w:keepNext/>
              <w:jc w:val="center"/>
              <w:rPr>
                <w:sz w:val="18"/>
                <w:szCs w:val="18"/>
              </w:rPr>
            </w:pPr>
            <w:r w:rsidRPr="002B2CFC">
              <w:rPr>
                <w:sz w:val="18"/>
                <w:szCs w:val="18"/>
              </w:rPr>
              <w:t>1 (0.60)</w:t>
            </w:r>
          </w:p>
        </w:tc>
        <w:tc>
          <w:tcPr>
            <w:tcW w:w="608" w:type="dxa"/>
            <w:tcBorders>
              <w:bottom w:val="single" w:sz="12" w:space="0" w:color="auto"/>
            </w:tcBorders>
            <w:vAlign w:val="center"/>
          </w:tcPr>
          <w:p w14:paraId="21AEAA4B" w14:textId="77777777" w:rsidR="0005512A" w:rsidRPr="002B2CFC" w:rsidRDefault="0005512A" w:rsidP="000652CE">
            <w:pPr>
              <w:keepNext/>
              <w:jc w:val="center"/>
              <w:rPr>
                <w:sz w:val="18"/>
                <w:szCs w:val="18"/>
              </w:rPr>
            </w:pPr>
          </w:p>
        </w:tc>
        <w:tc>
          <w:tcPr>
            <w:tcW w:w="608" w:type="dxa"/>
            <w:tcBorders>
              <w:bottom w:val="single" w:sz="12" w:space="0" w:color="auto"/>
              <w:right w:val="single" w:sz="12" w:space="0" w:color="auto"/>
            </w:tcBorders>
            <w:vAlign w:val="center"/>
          </w:tcPr>
          <w:p w14:paraId="44C7CD52" w14:textId="77777777" w:rsidR="0005512A" w:rsidRPr="002B2CFC" w:rsidRDefault="0005512A" w:rsidP="000652CE">
            <w:pPr>
              <w:keepNext/>
              <w:jc w:val="center"/>
              <w:rPr>
                <w:sz w:val="18"/>
                <w:szCs w:val="18"/>
              </w:rPr>
            </w:pPr>
          </w:p>
        </w:tc>
        <w:tc>
          <w:tcPr>
            <w:tcW w:w="1781" w:type="dxa"/>
            <w:tcBorders>
              <w:bottom w:val="single" w:sz="12" w:space="0" w:color="auto"/>
              <w:right w:val="single" w:sz="4" w:space="0" w:color="auto"/>
            </w:tcBorders>
          </w:tcPr>
          <w:p w14:paraId="401CA6F8" w14:textId="77777777" w:rsidR="0005512A" w:rsidRPr="002B2CFC" w:rsidRDefault="0005512A" w:rsidP="000652CE">
            <w:pPr>
              <w:keepNext/>
              <w:jc w:val="center"/>
              <w:rPr>
                <w:sz w:val="18"/>
                <w:szCs w:val="18"/>
              </w:rPr>
            </w:pPr>
          </w:p>
        </w:tc>
      </w:tr>
      <w:tr w:rsidR="0005512A" w:rsidRPr="002B2CFC" w14:paraId="15129843" w14:textId="77777777" w:rsidTr="0005512A">
        <w:trPr>
          <w:cantSplit/>
          <w:trHeight w:val="702"/>
        </w:trPr>
        <w:tc>
          <w:tcPr>
            <w:tcW w:w="675" w:type="dxa"/>
            <w:tcBorders>
              <w:top w:val="single" w:sz="12" w:space="0" w:color="auto"/>
            </w:tcBorders>
            <w:textDirection w:val="btLr"/>
            <w:vAlign w:val="center"/>
          </w:tcPr>
          <w:p w14:paraId="3F027932" w14:textId="77777777" w:rsidR="0005512A" w:rsidRPr="002B2CFC" w:rsidRDefault="0005512A" w:rsidP="000652CE">
            <w:pPr>
              <w:keepNext/>
              <w:ind w:right="113"/>
              <w:jc w:val="center"/>
              <w:rPr>
                <w:b/>
                <w:sz w:val="20"/>
              </w:rPr>
            </w:pPr>
            <w:r w:rsidRPr="002B2CFC">
              <w:rPr>
                <w:b/>
                <w:sz w:val="20"/>
              </w:rPr>
              <w:t>Casp-3</w:t>
            </w:r>
          </w:p>
        </w:tc>
        <w:tc>
          <w:tcPr>
            <w:tcW w:w="2330" w:type="dxa"/>
            <w:tcBorders>
              <w:top w:val="single" w:sz="12" w:space="0" w:color="auto"/>
              <w:right w:val="single" w:sz="12" w:space="0" w:color="auto"/>
            </w:tcBorders>
          </w:tcPr>
          <w:p w14:paraId="5CF04EBA" w14:textId="77777777" w:rsidR="0005512A" w:rsidRPr="002B2CFC" w:rsidRDefault="0005512A" w:rsidP="000652CE">
            <w:pPr>
              <w:keepNext/>
              <w:rPr>
                <w:sz w:val="20"/>
                <w:u w:val="single"/>
              </w:rPr>
            </w:pPr>
            <w:r w:rsidRPr="002B2CFC">
              <w:rPr>
                <w:sz w:val="20"/>
                <w:u w:val="single"/>
              </w:rPr>
              <w:t xml:space="preserve">Lateral white matter tract; </w:t>
            </w:r>
            <w:r w:rsidRPr="002B2CFC">
              <w:rPr>
                <w:sz w:val="20"/>
              </w:rPr>
              <w:t>caspase + cells</w:t>
            </w:r>
          </w:p>
        </w:tc>
        <w:tc>
          <w:tcPr>
            <w:tcW w:w="607" w:type="dxa"/>
            <w:tcBorders>
              <w:top w:val="single" w:sz="12" w:space="0" w:color="auto"/>
              <w:left w:val="single" w:sz="12" w:space="0" w:color="auto"/>
            </w:tcBorders>
            <w:vAlign w:val="center"/>
          </w:tcPr>
          <w:p w14:paraId="0A090E10" w14:textId="77777777" w:rsidR="0005512A" w:rsidRPr="002B2CFC" w:rsidRDefault="0005512A" w:rsidP="000652CE">
            <w:pPr>
              <w:keepNext/>
              <w:jc w:val="center"/>
              <w:rPr>
                <w:sz w:val="18"/>
                <w:szCs w:val="18"/>
              </w:rPr>
            </w:pPr>
          </w:p>
        </w:tc>
        <w:tc>
          <w:tcPr>
            <w:tcW w:w="608" w:type="dxa"/>
            <w:tcBorders>
              <w:top w:val="single" w:sz="12" w:space="0" w:color="auto"/>
            </w:tcBorders>
            <w:vAlign w:val="center"/>
          </w:tcPr>
          <w:p w14:paraId="186D4326" w14:textId="77777777" w:rsidR="0005512A" w:rsidRPr="002B2CFC" w:rsidRDefault="0005512A" w:rsidP="000652CE">
            <w:pPr>
              <w:keepNext/>
              <w:jc w:val="center"/>
              <w:rPr>
                <w:sz w:val="18"/>
                <w:szCs w:val="18"/>
              </w:rPr>
            </w:pPr>
          </w:p>
        </w:tc>
        <w:tc>
          <w:tcPr>
            <w:tcW w:w="607" w:type="dxa"/>
            <w:tcBorders>
              <w:top w:val="single" w:sz="12" w:space="0" w:color="auto"/>
            </w:tcBorders>
            <w:vAlign w:val="center"/>
          </w:tcPr>
          <w:p w14:paraId="32B5B949" w14:textId="77777777" w:rsidR="0005512A" w:rsidRPr="002B2CFC" w:rsidRDefault="0005512A" w:rsidP="000652CE">
            <w:pPr>
              <w:keepNext/>
              <w:jc w:val="center"/>
              <w:rPr>
                <w:sz w:val="18"/>
                <w:szCs w:val="18"/>
              </w:rPr>
            </w:pPr>
          </w:p>
        </w:tc>
        <w:tc>
          <w:tcPr>
            <w:tcW w:w="608" w:type="dxa"/>
            <w:tcBorders>
              <w:top w:val="single" w:sz="12" w:space="0" w:color="auto"/>
            </w:tcBorders>
            <w:vAlign w:val="center"/>
          </w:tcPr>
          <w:p w14:paraId="0091ED01" w14:textId="77777777" w:rsidR="0005512A" w:rsidRPr="002B2CFC" w:rsidRDefault="0005512A" w:rsidP="000652CE">
            <w:pPr>
              <w:keepNext/>
              <w:jc w:val="center"/>
              <w:rPr>
                <w:sz w:val="18"/>
                <w:szCs w:val="18"/>
              </w:rPr>
            </w:pPr>
          </w:p>
        </w:tc>
        <w:tc>
          <w:tcPr>
            <w:tcW w:w="607" w:type="dxa"/>
            <w:tcBorders>
              <w:top w:val="single" w:sz="12" w:space="0" w:color="auto"/>
            </w:tcBorders>
            <w:vAlign w:val="center"/>
          </w:tcPr>
          <w:p w14:paraId="793DFDC6" w14:textId="77777777" w:rsidR="0005512A" w:rsidRPr="002B2CFC" w:rsidRDefault="0005512A" w:rsidP="000652CE">
            <w:pPr>
              <w:keepNext/>
              <w:jc w:val="center"/>
              <w:rPr>
                <w:sz w:val="18"/>
                <w:szCs w:val="18"/>
              </w:rPr>
            </w:pPr>
          </w:p>
        </w:tc>
        <w:tc>
          <w:tcPr>
            <w:tcW w:w="608" w:type="dxa"/>
            <w:tcBorders>
              <w:top w:val="single" w:sz="12" w:space="0" w:color="auto"/>
            </w:tcBorders>
            <w:vAlign w:val="center"/>
          </w:tcPr>
          <w:p w14:paraId="5A3DA0E5" w14:textId="77777777" w:rsidR="0005512A" w:rsidRPr="002B2CFC" w:rsidRDefault="0005512A" w:rsidP="000652CE">
            <w:pPr>
              <w:keepNext/>
              <w:jc w:val="center"/>
              <w:rPr>
                <w:sz w:val="18"/>
                <w:szCs w:val="18"/>
              </w:rPr>
            </w:pPr>
            <w:r w:rsidRPr="002B2CFC">
              <w:rPr>
                <w:sz w:val="18"/>
                <w:szCs w:val="18"/>
              </w:rPr>
              <w:t>1 (0.20)*</w:t>
            </w:r>
          </w:p>
        </w:tc>
        <w:tc>
          <w:tcPr>
            <w:tcW w:w="608" w:type="dxa"/>
            <w:tcBorders>
              <w:top w:val="single" w:sz="12" w:space="0" w:color="auto"/>
              <w:right w:val="single" w:sz="12" w:space="0" w:color="auto"/>
            </w:tcBorders>
            <w:vAlign w:val="center"/>
          </w:tcPr>
          <w:p w14:paraId="09526243" w14:textId="77777777" w:rsidR="0005512A" w:rsidRPr="002B2CFC" w:rsidRDefault="0005512A" w:rsidP="000652CE">
            <w:pPr>
              <w:keepNext/>
              <w:jc w:val="center"/>
              <w:rPr>
                <w:sz w:val="18"/>
                <w:szCs w:val="18"/>
              </w:rPr>
            </w:pPr>
          </w:p>
        </w:tc>
        <w:tc>
          <w:tcPr>
            <w:tcW w:w="1781" w:type="dxa"/>
            <w:tcBorders>
              <w:top w:val="single" w:sz="12" w:space="0" w:color="auto"/>
              <w:right w:val="single" w:sz="4" w:space="0" w:color="auto"/>
            </w:tcBorders>
          </w:tcPr>
          <w:p w14:paraId="38905B7D" w14:textId="77777777" w:rsidR="0005512A" w:rsidRPr="002B2CFC" w:rsidRDefault="0005512A" w:rsidP="000652CE">
            <w:pPr>
              <w:keepNext/>
              <w:jc w:val="center"/>
              <w:rPr>
                <w:sz w:val="18"/>
                <w:szCs w:val="18"/>
              </w:rPr>
            </w:pPr>
          </w:p>
        </w:tc>
      </w:tr>
    </w:tbl>
    <w:p w14:paraId="0568119E" w14:textId="2874B79B" w:rsidR="0005512A" w:rsidRDefault="0005512A" w:rsidP="000652CE">
      <w:pPr>
        <w:keepNext/>
        <w:keepLines/>
        <w:spacing w:line="276" w:lineRule="auto"/>
        <w:rPr>
          <w:rFonts w:eastAsiaTheme="minorHAnsi" w:cstheme="minorBidi"/>
          <w:sz w:val="20"/>
          <w:lang w:eastAsia="en-US"/>
        </w:rPr>
      </w:pPr>
      <w:r w:rsidRPr="002B2CFC">
        <w:rPr>
          <w:rFonts w:eastAsiaTheme="minorHAnsi" w:cstheme="minorBidi"/>
          <w:sz w:val="20"/>
          <w:lang w:eastAsia="en-US"/>
        </w:rPr>
        <w:t>VTA</w:t>
      </w:r>
      <w:r>
        <w:rPr>
          <w:rFonts w:eastAsiaTheme="minorHAnsi" w:cstheme="minorBidi"/>
          <w:sz w:val="20"/>
          <w:lang w:eastAsia="en-US"/>
        </w:rPr>
        <w:t>:</w:t>
      </w:r>
      <w:r w:rsidR="008039E3">
        <w:rPr>
          <w:rFonts w:eastAsiaTheme="minorHAnsi" w:cstheme="minorBidi"/>
          <w:sz w:val="20"/>
          <w:lang w:eastAsia="en-US"/>
        </w:rPr>
        <w:t xml:space="preserve"> </w:t>
      </w:r>
      <w:r w:rsidRPr="002B2CFC">
        <w:rPr>
          <w:rFonts w:eastAsiaTheme="minorHAnsi" w:cstheme="minorBidi"/>
          <w:sz w:val="20"/>
          <w:lang w:eastAsia="en-US"/>
        </w:rPr>
        <w:t>ventral tegmental area. # Average severity is calculated as the sum of severity scores for a particular diagnosis divided by the number of animals in the group or the number of animals with a particular tissue examined. Severity ranks from 1 (slight), 2 (minimal), 3 (mild), 4</w:t>
      </w:r>
      <w:r w:rsidR="00073631">
        <w:rPr>
          <w:rFonts w:eastAsiaTheme="minorHAnsi" w:cstheme="minorBidi"/>
          <w:sz w:val="20"/>
          <w:lang w:eastAsia="en-US"/>
        </w:rPr>
        <w:t xml:space="preserve"> </w:t>
      </w:r>
      <w:r w:rsidRPr="002B2CFC">
        <w:rPr>
          <w:rFonts w:eastAsiaTheme="minorHAnsi" w:cstheme="minorBidi"/>
          <w:sz w:val="20"/>
          <w:lang w:eastAsia="en-US"/>
        </w:rPr>
        <w:t>(moderate) and 5 (severe). * Considered an isolated finding and not attributed to treatment.</w:t>
      </w:r>
    </w:p>
    <w:p w14:paraId="0478949F" w14:textId="77777777" w:rsidR="0005512A" w:rsidRPr="002B2CFC" w:rsidRDefault="0005512A" w:rsidP="0005512A">
      <w:pPr>
        <w:keepNext/>
        <w:keepLines/>
        <w:spacing w:line="276" w:lineRule="auto"/>
        <w:rPr>
          <w:rFonts w:eastAsiaTheme="minorHAnsi" w:cstheme="minorBidi"/>
          <w:sz w:val="20"/>
          <w:lang w:eastAsia="en-US"/>
        </w:rPr>
      </w:pPr>
    </w:p>
    <w:p w14:paraId="20EA5069" w14:textId="77777777" w:rsidR="0005512A" w:rsidRPr="002B2CFC" w:rsidRDefault="0005512A" w:rsidP="0005512A">
      <w:pPr>
        <w:spacing w:after="200"/>
        <w:rPr>
          <w:rFonts w:eastAsiaTheme="minorHAnsi" w:cstheme="minorBidi"/>
          <w:b/>
          <w:szCs w:val="24"/>
        </w:rPr>
      </w:pPr>
      <w:r w:rsidRPr="002B2CFC">
        <w:rPr>
          <w:rFonts w:eastAsiaTheme="minorHAnsi" w:cstheme="minorBidi"/>
          <w:b/>
          <w:szCs w:val="24"/>
        </w:rPr>
        <w:t>Conclusion</w:t>
      </w:r>
    </w:p>
    <w:p w14:paraId="581B8BE8" w14:textId="77777777" w:rsidR="0005512A" w:rsidRPr="002B2CFC" w:rsidRDefault="0005512A" w:rsidP="0005512A">
      <w:pPr>
        <w:spacing w:after="200"/>
        <w:rPr>
          <w:rFonts w:eastAsiaTheme="minorHAnsi" w:cstheme="minorBidi"/>
          <w:szCs w:val="24"/>
        </w:rPr>
      </w:pPr>
      <w:r w:rsidRPr="002B2CFC">
        <w:rPr>
          <w:rFonts w:eastAsiaTheme="minorHAnsi" w:cstheme="minorBidi"/>
          <w:szCs w:val="24"/>
        </w:rPr>
        <w:t>Administration of paraquat via the intraperitoneal route to male C57BL/6J mice over one, two or three once weekly injections of 0, 10, 15 or 25 mg/kg bw/</w:t>
      </w:r>
      <w:r w:rsidRPr="003F10F2">
        <w:rPr>
          <w:rFonts w:eastAsiaTheme="minorHAnsi" w:cstheme="minorBidi"/>
          <w:szCs w:val="24"/>
        </w:rPr>
        <w:t xml:space="preserve">dose </w:t>
      </w:r>
      <w:r w:rsidRPr="003F10F2">
        <w:rPr>
          <w:szCs w:val="24"/>
        </w:rPr>
        <w:t>(equivalent to 0, 7.2, 10.9, 18.1 paraquat ion)</w:t>
      </w:r>
      <w:r w:rsidRPr="003F10F2">
        <w:rPr>
          <w:rFonts w:eastAsiaTheme="minorHAnsi" w:cstheme="minorBidi"/>
          <w:szCs w:val="24"/>
        </w:rPr>
        <w:t>, resulted in toxicity at all doses with possibly treat</w:t>
      </w:r>
      <w:r w:rsidRPr="002B2CFC">
        <w:rPr>
          <w:rFonts w:eastAsiaTheme="minorHAnsi" w:cstheme="minorBidi"/>
          <w:szCs w:val="24"/>
        </w:rPr>
        <w:t xml:space="preserve">ment related mortality at the highest dose and mean body weight losses and/or reduced mean body weight gains in all treated groups. Microscopic examination of brain tissue with targeted staining methods did not find any evidence of neuronal damage (or glial reaction) in the brain. The morphological appearance of the brains in paraquat-treated groups was the same as brains from vehicle control mice. </w:t>
      </w:r>
    </w:p>
    <w:p w14:paraId="33D3333A" w14:textId="77777777" w:rsidR="0005512A" w:rsidRPr="002B2CFC" w:rsidRDefault="0005512A" w:rsidP="00E439AD">
      <w:pPr>
        <w:rPr>
          <w:rFonts w:eastAsiaTheme="minorHAnsi" w:cstheme="minorBidi"/>
          <w:szCs w:val="24"/>
        </w:rPr>
      </w:pPr>
      <w:r w:rsidRPr="002B2CFC">
        <w:rPr>
          <w:rFonts w:eastAsiaTheme="minorHAnsi" w:cstheme="minorBidi"/>
          <w:szCs w:val="24"/>
        </w:rPr>
        <w:t xml:space="preserve">Findings in positive control animals (ip MPTP) validate the test system with damage detected in the </w:t>
      </w:r>
      <w:r w:rsidR="000352F7">
        <w:rPr>
          <w:rFonts w:eastAsiaTheme="minorHAnsi" w:cstheme="minorBidi"/>
          <w:szCs w:val="24"/>
        </w:rPr>
        <w:t>SN</w:t>
      </w:r>
      <w:r w:rsidRPr="002B2CFC">
        <w:rPr>
          <w:rFonts w:eastAsiaTheme="minorHAnsi" w:cstheme="minorBidi"/>
          <w:szCs w:val="24"/>
        </w:rPr>
        <w:t xml:space="preserve"> (neuronal necrosis, glial reactions, decrease </w:t>
      </w:r>
      <w:r w:rsidR="001875D7">
        <w:rPr>
          <w:rFonts w:eastAsiaTheme="minorHAnsi" w:cstheme="minorBidi"/>
          <w:szCs w:val="24"/>
        </w:rPr>
        <w:t>TH</w:t>
      </w:r>
      <w:r w:rsidRPr="002B2CFC">
        <w:rPr>
          <w:rFonts w:eastAsiaTheme="minorHAnsi" w:cstheme="minorBidi"/>
          <w:szCs w:val="24"/>
        </w:rPr>
        <w:t xml:space="preserve"> staining) and striatum (glial reactions, disintegration of synaptic terminals, and decreased </w:t>
      </w:r>
      <w:r w:rsidR="001875D7">
        <w:rPr>
          <w:rFonts w:eastAsiaTheme="minorHAnsi" w:cstheme="minorBidi"/>
          <w:szCs w:val="24"/>
        </w:rPr>
        <w:t>TH</w:t>
      </w:r>
      <w:r w:rsidRPr="002B2CFC">
        <w:rPr>
          <w:rFonts w:eastAsiaTheme="minorHAnsi" w:cstheme="minorBidi"/>
          <w:szCs w:val="24"/>
        </w:rPr>
        <w:t xml:space="preserve"> staining). These indicate cell death, glial cell activation and an inflammatory response.</w:t>
      </w:r>
    </w:p>
    <w:p w14:paraId="4860F9C8" w14:textId="77777777" w:rsidR="0005512A" w:rsidRPr="002B2CFC" w:rsidRDefault="0005512A" w:rsidP="000652CE">
      <w:pPr>
        <w:rPr>
          <w:rFonts w:eastAsiaTheme="minorHAnsi" w:cstheme="minorBidi"/>
          <w:szCs w:val="24"/>
        </w:rPr>
      </w:pPr>
    </w:p>
    <w:p w14:paraId="4B5B52F5" w14:textId="77777777" w:rsidR="0005512A" w:rsidRPr="002B2CFC" w:rsidRDefault="0005512A" w:rsidP="00E439AD">
      <w:pPr>
        <w:keepNext/>
        <w:keepLines/>
        <w:rPr>
          <w:b/>
          <w:szCs w:val="24"/>
        </w:rPr>
      </w:pPr>
      <w:r w:rsidRPr="002B2CFC">
        <w:rPr>
          <w:b/>
          <w:szCs w:val="24"/>
        </w:rPr>
        <w:t>Beck MJ (2012c) A dose range-finding and method comparison stereology study using paraquat dichloride and MPTP in mice. Study No./Report No.: WIL-639092. EPL No.: 140-120. RTI No.: 0212823.004. Task No.: TK0053122. Unpublished, Report date: June 29, 2012</w:t>
      </w:r>
    </w:p>
    <w:p w14:paraId="098A7106" w14:textId="77777777" w:rsidR="0005512A" w:rsidRPr="002B2CFC" w:rsidRDefault="0005512A" w:rsidP="0005512A">
      <w:pPr>
        <w:keepNext/>
        <w:keepLines/>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668"/>
        <w:gridCol w:w="5307"/>
      </w:tblGrid>
      <w:tr w:rsidR="0005512A" w:rsidRPr="002815B8" w14:paraId="6D1E7DD6" w14:textId="77777777" w:rsidTr="0005512A">
        <w:trPr>
          <w:cantSplit/>
          <w:jc w:val="center"/>
        </w:trPr>
        <w:tc>
          <w:tcPr>
            <w:tcW w:w="1668" w:type="dxa"/>
          </w:tcPr>
          <w:p w14:paraId="1F1EBBDD" w14:textId="77777777" w:rsidR="0005512A" w:rsidRPr="002815B8" w:rsidRDefault="0005512A" w:rsidP="0005512A">
            <w:pPr>
              <w:keepNext/>
              <w:keepLines/>
              <w:rPr>
                <w:sz w:val="20"/>
              </w:rPr>
            </w:pPr>
            <w:r w:rsidRPr="002815B8">
              <w:rPr>
                <w:sz w:val="20"/>
              </w:rPr>
              <w:t>Test Compound:</w:t>
            </w:r>
          </w:p>
        </w:tc>
        <w:tc>
          <w:tcPr>
            <w:tcW w:w="5307" w:type="dxa"/>
          </w:tcPr>
          <w:p w14:paraId="7919C81A" w14:textId="77777777" w:rsidR="0005512A" w:rsidRPr="001B5DD8" w:rsidRDefault="0005512A" w:rsidP="0005512A">
            <w:pPr>
              <w:keepNext/>
              <w:keepLines/>
              <w:rPr>
                <w:sz w:val="20"/>
              </w:rPr>
            </w:pPr>
            <w:r w:rsidRPr="001B5DD8">
              <w:rPr>
                <w:sz w:val="20"/>
              </w:rPr>
              <w:t>Paraquat dichloride (purity: 99.9%)</w:t>
            </w:r>
          </w:p>
        </w:tc>
      </w:tr>
      <w:tr w:rsidR="0005512A" w:rsidRPr="002815B8" w14:paraId="265E74EE" w14:textId="77777777" w:rsidTr="0005512A">
        <w:trPr>
          <w:cantSplit/>
          <w:jc w:val="center"/>
        </w:trPr>
        <w:tc>
          <w:tcPr>
            <w:tcW w:w="1668" w:type="dxa"/>
          </w:tcPr>
          <w:p w14:paraId="45CE6644" w14:textId="77777777" w:rsidR="0005512A" w:rsidRPr="002815B8" w:rsidRDefault="0005512A" w:rsidP="0005512A">
            <w:pPr>
              <w:keepNext/>
              <w:keepLines/>
              <w:rPr>
                <w:sz w:val="20"/>
              </w:rPr>
            </w:pPr>
            <w:r w:rsidRPr="002815B8">
              <w:rPr>
                <w:sz w:val="20"/>
              </w:rPr>
              <w:t>Batch:</w:t>
            </w:r>
          </w:p>
        </w:tc>
        <w:tc>
          <w:tcPr>
            <w:tcW w:w="5307" w:type="dxa"/>
          </w:tcPr>
          <w:p w14:paraId="1A360B5B" w14:textId="77777777" w:rsidR="0005512A" w:rsidRPr="0056108B" w:rsidRDefault="0005512A" w:rsidP="0005512A">
            <w:pPr>
              <w:keepNext/>
              <w:keepLines/>
              <w:rPr>
                <w:sz w:val="20"/>
              </w:rPr>
            </w:pPr>
            <w:r w:rsidRPr="002815B8">
              <w:rPr>
                <w:sz w:val="20"/>
              </w:rPr>
              <w:t>ASJ10083-03 [WIL ID No. 09013F]</w:t>
            </w:r>
          </w:p>
        </w:tc>
      </w:tr>
      <w:tr w:rsidR="0005512A" w:rsidRPr="002815B8" w14:paraId="1AAA343D" w14:textId="77777777" w:rsidTr="0005512A">
        <w:trPr>
          <w:cantSplit/>
          <w:jc w:val="center"/>
        </w:trPr>
        <w:tc>
          <w:tcPr>
            <w:tcW w:w="1668" w:type="dxa"/>
          </w:tcPr>
          <w:p w14:paraId="10B8A442" w14:textId="77777777" w:rsidR="0005512A" w:rsidRPr="002815B8" w:rsidRDefault="0005512A" w:rsidP="0005512A">
            <w:pPr>
              <w:keepNext/>
              <w:keepLines/>
              <w:rPr>
                <w:sz w:val="20"/>
              </w:rPr>
            </w:pPr>
            <w:r w:rsidRPr="002815B8">
              <w:rPr>
                <w:sz w:val="20"/>
              </w:rPr>
              <w:t>Test Species:</w:t>
            </w:r>
          </w:p>
        </w:tc>
        <w:tc>
          <w:tcPr>
            <w:tcW w:w="5307" w:type="dxa"/>
          </w:tcPr>
          <w:p w14:paraId="16822AA2" w14:textId="77777777" w:rsidR="0005512A" w:rsidRPr="0056108B" w:rsidRDefault="0005512A" w:rsidP="0005512A">
            <w:pPr>
              <w:keepNext/>
              <w:keepLines/>
              <w:rPr>
                <w:sz w:val="20"/>
              </w:rPr>
            </w:pPr>
            <w:r w:rsidRPr="002815B8">
              <w:rPr>
                <w:sz w:val="20"/>
              </w:rPr>
              <w:t>Male C57BL/6J mice, stereological assessment: 105 mice (20-25 mice/group), neurochemistry assessment: 40 mice (10 mice/group),  age: approximately 9 weeks, bw: 20.1-19.7 g; source: The Jackson Laboratory, Bar Harbor, ME, USA</w:t>
            </w:r>
          </w:p>
        </w:tc>
      </w:tr>
      <w:tr w:rsidR="0005512A" w:rsidRPr="002815B8" w14:paraId="1FAC3358" w14:textId="77777777" w:rsidTr="0005512A">
        <w:trPr>
          <w:cantSplit/>
          <w:jc w:val="center"/>
        </w:trPr>
        <w:tc>
          <w:tcPr>
            <w:tcW w:w="1668" w:type="dxa"/>
          </w:tcPr>
          <w:p w14:paraId="0EA2C228" w14:textId="77777777" w:rsidR="0005512A" w:rsidRPr="002815B8" w:rsidRDefault="0005512A" w:rsidP="0005512A">
            <w:pPr>
              <w:keepNext/>
              <w:keepLines/>
              <w:rPr>
                <w:sz w:val="20"/>
              </w:rPr>
            </w:pPr>
            <w:r w:rsidRPr="002815B8">
              <w:rPr>
                <w:sz w:val="20"/>
              </w:rPr>
              <w:t>Study Duration:</w:t>
            </w:r>
          </w:p>
        </w:tc>
        <w:tc>
          <w:tcPr>
            <w:tcW w:w="5307" w:type="dxa"/>
          </w:tcPr>
          <w:p w14:paraId="14FF42A3" w14:textId="77777777" w:rsidR="0005512A" w:rsidRPr="0056108B" w:rsidRDefault="0005512A" w:rsidP="0005512A">
            <w:pPr>
              <w:keepNext/>
              <w:keepLines/>
              <w:rPr>
                <w:sz w:val="20"/>
              </w:rPr>
            </w:pPr>
            <w:r w:rsidRPr="002815B8">
              <w:rPr>
                <w:sz w:val="20"/>
              </w:rPr>
              <w:t>November 16, 2010- May 17, 2012</w:t>
            </w:r>
          </w:p>
        </w:tc>
      </w:tr>
      <w:tr w:rsidR="0005512A" w:rsidRPr="002815B8" w14:paraId="30F16659" w14:textId="77777777" w:rsidTr="00C34954">
        <w:trPr>
          <w:cantSplit/>
          <w:trHeight w:val="1982"/>
          <w:jc w:val="center"/>
        </w:trPr>
        <w:tc>
          <w:tcPr>
            <w:tcW w:w="1668" w:type="dxa"/>
          </w:tcPr>
          <w:p w14:paraId="2C3A7F6D" w14:textId="77777777" w:rsidR="0005512A" w:rsidRPr="002815B8" w:rsidRDefault="0005512A" w:rsidP="0005512A">
            <w:pPr>
              <w:keepNext/>
              <w:keepLines/>
              <w:rPr>
                <w:sz w:val="20"/>
              </w:rPr>
            </w:pPr>
            <w:r w:rsidRPr="002815B8">
              <w:rPr>
                <w:sz w:val="20"/>
              </w:rPr>
              <w:t>Laboratories:</w:t>
            </w:r>
          </w:p>
          <w:p w14:paraId="5B3744E0" w14:textId="77777777" w:rsidR="0005512A" w:rsidRPr="002815B8" w:rsidRDefault="0005512A" w:rsidP="0005512A">
            <w:pPr>
              <w:keepNext/>
              <w:keepLines/>
              <w:rPr>
                <w:sz w:val="20"/>
              </w:rPr>
            </w:pPr>
          </w:p>
        </w:tc>
        <w:tc>
          <w:tcPr>
            <w:tcW w:w="5307" w:type="dxa"/>
          </w:tcPr>
          <w:p w14:paraId="725A1BC4" w14:textId="77777777" w:rsidR="0005512A" w:rsidRPr="002815B8" w:rsidRDefault="0005512A">
            <w:pPr>
              <w:keepNext/>
              <w:keepLines/>
              <w:numPr>
                <w:ilvl w:val="0"/>
                <w:numId w:val="3"/>
              </w:numPr>
              <w:spacing w:before="120" w:after="120"/>
              <w:rPr>
                <w:sz w:val="20"/>
              </w:rPr>
            </w:pPr>
            <w:r w:rsidRPr="002815B8">
              <w:rPr>
                <w:sz w:val="20"/>
              </w:rPr>
              <w:t>WIL Research Laboratories, LLC, 1047 George Road, Ashland, OH 44805-8946 USA (performing laboratory)</w:t>
            </w:r>
          </w:p>
          <w:p w14:paraId="05E8189B" w14:textId="77777777" w:rsidR="0005512A" w:rsidRPr="002815B8" w:rsidRDefault="0005512A">
            <w:pPr>
              <w:keepNext/>
              <w:keepLines/>
              <w:numPr>
                <w:ilvl w:val="0"/>
                <w:numId w:val="3"/>
              </w:numPr>
              <w:spacing w:before="120" w:after="120"/>
              <w:rPr>
                <w:sz w:val="20"/>
              </w:rPr>
            </w:pPr>
            <w:r w:rsidRPr="002815B8">
              <w:rPr>
                <w:sz w:val="20"/>
              </w:rPr>
              <w:t>Experimental Pathology Laboratories (EPL), Inc. PO Box 169, Sterling, VA 20166-2194</w:t>
            </w:r>
          </w:p>
          <w:p w14:paraId="3404A317" w14:textId="77777777" w:rsidR="0005512A" w:rsidRPr="002815B8" w:rsidRDefault="0005512A">
            <w:pPr>
              <w:keepNext/>
              <w:keepLines/>
              <w:numPr>
                <w:ilvl w:val="0"/>
                <w:numId w:val="3"/>
              </w:numPr>
              <w:spacing w:before="120" w:after="120"/>
              <w:rPr>
                <w:sz w:val="20"/>
              </w:rPr>
            </w:pPr>
            <w:r w:rsidRPr="002815B8">
              <w:rPr>
                <w:sz w:val="20"/>
              </w:rPr>
              <w:t>RTI International, 3040 Cornwallis Rd, Research Triangle Park, NC 27709-2194 USA</w:t>
            </w:r>
          </w:p>
        </w:tc>
      </w:tr>
      <w:tr w:rsidR="0005512A" w:rsidRPr="002815B8" w14:paraId="7DD53D82" w14:textId="77777777" w:rsidTr="0005512A">
        <w:trPr>
          <w:cantSplit/>
          <w:jc w:val="center"/>
        </w:trPr>
        <w:tc>
          <w:tcPr>
            <w:tcW w:w="1668" w:type="dxa"/>
          </w:tcPr>
          <w:p w14:paraId="37F038A1" w14:textId="77777777" w:rsidR="0005512A" w:rsidRPr="002815B8" w:rsidRDefault="0005512A" w:rsidP="0005512A">
            <w:pPr>
              <w:keepNext/>
              <w:keepLines/>
              <w:rPr>
                <w:sz w:val="20"/>
              </w:rPr>
            </w:pPr>
            <w:r w:rsidRPr="002815B8">
              <w:rPr>
                <w:sz w:val="20"/>
              </w:rPr>
              <w:t>GLP &amp; QA:</w:t>
            </w:r>
          </w:p>
        </w:tc>
        <w:tc>
          <w:tcPr>
            <w:tcW w:w="5307" w:type="dxa"/>
          </w:tcPr>
          <w:p w14:paraId="15B9393B" w14:textId="77777777" w:rsidR="0005512A" w:rsidRPr="002815B8" w:rsidRDefault="0005512A" w:rsidP="0005512A">
            <w:pPr>
              <w:keepNext/>
              <w:keepLines/>
              <w:rPr>
                <w:sz w:val="20"/>
              </w:rPr>
            </w:pPr>
            <w:r w:rsidRPr="002815B8">
              <w:rPr>
                <w:sz w:val="20"/>
              </w:rPr>
              <w:t>Yes (non-GLP neurochemistry analysis by RTI International and statistical analysis of stereology data by Sielken &amp; Associates Consulting, Inc.)</w:t>
            </w:r>
          </w:p>
        </w:tc>
      </w:tr>
      <w:tr w:rsidR="0005512A" w:rsidRPr="002815B8" w14:paraId="14CC3C7B" w14:textId="77777777" w:rsidTr="0005512A">
        <w:trPr>
          <w:cantSplit/>
          <w:jc w:val="center"/>
        </w:trPr>
        <w:tc>
          <w:tcPr>
            <w:tcW w:w="1668" w:type="dxa"/>
          </w:tcPr>
          <w:p w14:paraId="78A5A374" w14:textId="77777777" w:rsidR="0005512A" w:rsidRPr="002815B8" w:rsidRDefault="0005512A" w:rsidP="0005512A">
            <w:pPr>
              <w:keepNext/>
              <w:keepLines/>
              <w:rPr>
                <w:sz w:val="20"/>
              </w:rPr>
            </w:pPr>
            <w:r w:rsidRPr="002815B8">
              <w:rPr>
                <w:sz w:val="20"/>
              </w:rPr>
              <w:t>Guidelines:</w:t>
            </w:r>
          </w:p>
        </w:tc>
        <w:tc>
          <w:tcPr>
            <w:tcW w:w="5307" w:type="dxa"/>
          </w:tcPr>
          <w:p w14:paraId="057C8378" w14:textId="77777777" w:rsidR="0005512A" w:rsidRPr="0056108B" w:rsidRDefault="0005512A" w:rsidP="0005512A">
            <w:pPr>
              <w:keepNext/>
              <w:keepLines/>
              <w:rPr>
                <w:sz w:val="20"/>
              </w:rPr>
            </w:pPr>
            <w:r w:rsidRPr="002815B8">
              <w:rPr>
                <w:sz w:val="20"/>
              </w:rPr>
              <w:t>Not applicable</w:t>
            </w:r>
          </w:p>
        </w:tc>
      </w:tr>
    </w:tbl>
    <w:p w14:paraId="7A3902C3" w14:textId="77777777" w:rsidR="0005512A" w:rsidRPr="002B2CFC" w:rsidRDefault="0005512A" w:rsidP="00E439AD">
      <w:pPr>
        <w:rPr>
          <w:b/>
          <w:szCs w:val="24"/>
        </w:rPr>
      </w:pPr>
    </w:p>
    <w:p w14:paraId="782BE900" w14:textId="77777777" w:rsidR="0005512A" w:rsidRPr="002B2CFC" w:rsidRDefault="0005512A" w:rsidP="00E439AD">
      <w:pPr>
        <w:rPr>
          <w:szCs w:val="24"/>
        </w:rPr>
      </w:pPr>
      <w:r w:rsidRPr="002B2CFC">
        <w:rPr>
          <w:szCs w:val="24"/>
        </w:rPr>
        <w:t xml:space="preserve">Supplementary reports </w:t>
      </w:r>
      <w:r>
        <w:rPr>
          <w:szCs w:val="24"/>
        </w:rPr>
        <w:t xml:space="preserve">which were </w:t>
      </w:r>
      <w:r w:rsidRPr="002B2CFC">
        <w:rPr>
          <w:szCs w:val="24"/>
        </w:rPr>
        <w:t xml:space="preserve">included in the appendices of this </w:t>
      </w:r>
      <w:r>
        <w:rPr>
          <w:szCs w:val="24"/>
        </w:rPr>
        <w:t>study (Beck, 2012c)</w:t>
      </w:r>
      <w:r w:rsidRPr="002B2CFC">
        <w:rPr>
          <w:szCs w:val="24"/>
        </w:rPr>
        <w:t>:</w:t>
      </w:r>
    </w:p>
    <w:p w14:paraId="47969013" w14:textId="77777777" w:rsidR="0005512A" w:rsidRPr="002B2CFC" w:rsidRDefault="0005512A" w:rsidP="0005512A">
      <w:pPr>
        <w:spacing w:before="120" w:after="120"/>
        <w:rPr>
          <w:szCs w:val="24"/>
          <w:u w:val="single"/>
        </w:rPr>
      </w:pPr>
      <w:r w:rsidRPr="002B2CFC">
        <w:rPr>
          <w:szCs w:val="24"/>
          <w:u w:val="single"/>
        </w:rPr>
        <w:t>Neurochemistry:</w:t>
      </w:r>
    </w:p>
    <w:p w14:paraId="7621F21B" w14:textId="77777777" w:rsidR="0005512A" w:rsidRPr="002B2CFC" w:rsidRDefault="0005512A" w:rsidP="0005512A">
      <w:pPr>
        <w:spacing w:before="120" w:after="120"/>
        <w:rPr>
          <w:b/>
          <w:szCs w:val="24"/>
        </w:rPr>
      </w:pPr>
      <w:r w:rsidRPr="002B2CFC">
        <w:rPr>
          <w:b/>
          <w:szCs w:val="24"/>
        </w:rPr>
        <w:t xml:space="preserve">Matthews JM (2011) Determination of dopamine, dopamine metabolites, and serotonin in mouse striatal brain tissues (performed in support of: </w:t>
      </w:r>
      <w:r w:rsidRPr="002B2CFC">
        <w:rPr>
          <w:b/>
          <w:i/>
          <w:szCs w:val="24"/>
        </w:rPr>
        <w:t xml:space="preserve">A dose range-finding and method </w:t>
      </w:r>
      <w:r w:rsidRPr="002B2CFC">
        <w:rPr>
          <w:b/>
          <w:i/>
          <w:szCs w:val="24"/>
        </w:rPr>
        <w:lastRenderedPageBreak/>
        <w:t>comparison stereology study using paraquat and MPTP in mice</w:t>
      </w:r>
      <w:r w:rsidRPr="002B2CFC">
        <w:rPr>
          <w:b/>
          <w:szCs w:val="24"/>
        </w:rPr>
        <w:t xml:space="preserve"> (WIL Study No. 639092)). RTI Report No.: 0121823.004. Unpublished, Report date: April 8, 2011</w:t>
      </w:r>
    </w:p>
    <w:p w14:paraId="0F51E169" w14:textId="77777777" w:rsidR="0005512A" w:rsidRPr="002B2CFC" w:rsidRDefault="0005512A" w:rsidP="0005512A">
      <w:pPr>
        <w:spacing w:before="120" w:after="120"/>
        <w:rPr>
          <w:szCs w:val="24"/>
          <w:u w:val="single"/>
        </w:rPr>
      </w:pPr>
      <w:r w:rsidRPr="002B2CFC">
        <w:rPr>
          <w:szCs w:val="24"/>
          <w:u w:val="single"/>
        </w:rPr>
        <w:t>Stereology:</w:t>
      </w:r>
    </w:p>
    <w:p w14:paraId="53412653" w14:textId="77777777" w:rsidR="0005512A" w:rsidRPr="002B2CFC" w:rsidRDefault="0005512A" w:rsidP="00E439AD">
      <w:pPr>
        <w:rPr>
          <w:b/>
          <w:szCs w:val="24"/>
        </w:rPr>
      </w:pPr>
      <w:r w:rsidRPr="002B2CFC">
        <w:rPr>
          <w:b/>
          <w:szCs w:val="24"/>
        </w:rPr>
        <w:t>Wolf JC (2012) Pathology report:</w:t>
      </w:r>
      <w:r w:rsidRPr="002B2CFC">
        <w:rPr>
          <w:b/>
          <w:i/>
          <w:szCs w:val="24"/>
        </w:rPr>
        <w:t xml:space="preserve"> A dose range-finding and method comparison stereology study using paraquat and MPTP in mice</w:t>
      </w:r>
      <w:r w:rsidRPr="002B2CFC">
        <w:rPr>
          <w:b/>
          <w:szCs w:val="24"/>
        </w:rPr>
        <w:t xml:space="preserve"> (WIL Study No. 639092)). EPL Project No.: 140-120. Unpublished, Report date: May 17, 2012</w:t>
      </w:r>
    </w:p>
    <w:p w14:paraId="05682C4D" w14:textId="77777777" w:rsidR="0005512A" w:rsidRPr="002B2CFC" w:rsidRDefault="0005512A" w:rsidP="00E439AD">
      <w:pPr>
        <w:rPr>
          <w:b/>
          <w:szCs w:val="24"/>
        </w:rPr>
      </w:pPr>
    </w:p>
    <w:p w14:paraId="087839E7" w14:textId="77777777" w:rsidR="0005512A" w:rsidRPr="002B2CFC" w:rsidRDefault="0005512A" w:rsidP="00E439AD">
      <w:pPr>
        <w:rPr>
          <w:b/>
          <w:szCs w:val="24"/>
        </w:rPr>
      </w:pPr>
      <w:r w:rsidRPr="002B2CFC">
        <w:rPr>
          <w:b/>
          <w:szCs w:val="24"/>
        </w:rPr>
        <w:t xml:space="preserve">Sielken RJ (2012) Statistics report on </w:t>
      </w:r>
      <w:r w:rsidRPr="002B2CFC">
        <w:rPr>
          <w:b/>
          <w:i/>
          <w:szCs w:val="24"/>
        </w:rPr>
        <w:t>a dose range-finding and method comparison stereology study using paraquat and MPTP in mice</w:t>
      </w:r>
      <w:r w:rsidRPr="002B2CFC">
        <w:rPr>
          <w:b/>
          <w:szCs w:val="24"/>
        </w:rPr>
        <w:t>. WIL Study No.: WIL-639092. Unpublished, Report date: May 15, 2012</w:t>
      </w:r>
    </w:p>
    <w:p w14:paraId="075201AD" w14:textId="77777777" w:rsidR="0005512A" w:rsidRPr="002B2CFC" w:rsidRDefault="0005512A" w:rsidP="0005512A">
      <w:pPr>
        <w:spacing w:before="120" w:after="120"/>
        <w:rPr>
          <w:szCs w:val="24"/>
        </w:rPr>
      </w:pPr>
      <w:r w:rsidRPr="002B2CFC">
        <w:rPr>
          <w:szCs w:val="24"/>
        </w:rPr>
        <w:t xml:space="preserve">(Statistical analysis of the stereology </w:t>
      </w:r>
      <w:r w:rsidRPr="002B2CFC">
        <w:rPr>
          <w:i/>
          <w:szCs w:val="24"/>
        </w:rPr>
        <w:t>in situ</w:t>
      </w:r>
      <w:r w:rsidRPr="002B2CFC">
        <w:rPr>
          <w:szCs w:val="24"/>
        </w:rPr>
        <w:t xml:space="preserve"> perfusion fixation data only)</w:t>
      </w:r>
    </w:p>
    <w:p w14:paraId="70170A82" w14:textId="77777777" w:rsidR="0005512A" w:rsidRPr="002B2CFC" w:rsidRDefault="0005512A" w:rsidP="0005512A">
      <w:pPr>
        <w:keepNext/>
        <w:spacing w:before="120" w:after="120"/>
        <w:rPr>
          <w:szCs w:val="24"/>
          <w:u w:val="single"/>
        </w:rPr>
      </w:pPr>
      <w:r w:rsidRPr="002B2CFC">
        <w:rPr>
          <w:szCs w:val="24"/>
          <w:u w:val="single"/>
        </w:rPr>
        <w:t>Analysis of dosing formulations:</w:t>
      </w:r>
    </w:p>
    <w:p w14:paraId="3EFB1410" w14:textId="77777777" w:rsidR="0005512A" w:rsidRPr="002B2CFC" w:rsidRDefault="0005512A" w:rsidP="0005512A">
      <w:pPr>
        <w:spacing w:before="120" w:after="120"/>
        <w:rPr>
          <w:b/>
          <w:szCs w:val="24"/>
        </w:rPr>
      </w:pPr>
      <w:r w:rsidRPr="002B2CFC">
        <w:rPr>
          <w:b/>
          <w:szCs w:val="24"/>
        </w:rPr>
        <w:t xml:space="preserve">Beck MJ (2012d) </w:t>
      </w:r>
      <w:r w:rsidRPr="002B2CFC">
        <w:rPr>
          <w:b/>
          <w:i/>
          <w:szCs w:val="24"/>
        </w:rPr>
        <w:t>A dose range-finding and method comparison stereology study using paraquat and MPTP in mice</w:t>
      </w:r>
      <w:r w:rsidRPr="002B2CFC">
        <w:rPr>
          <w:b/>
          <w:szCs w:val="24"/>
        </w:rPr>
        <w:t xml:space="preserve"> (WIL Study No. 639092)): Analyses of dosing formulations. Supplemental report. Unpublished, Report date: May 17, 2012</w:t>
      </w:r>
    </w:p>
    <w:p w14:paraId="413D86F3" w14:textId="77777777" w:rsidR="0005512A" w:rsidRPr="002B2CFC" w:rsidRDefault="0005512A" w:rsidP="00E439AD">
      <w:pPr>
        <w:rPr>
          <w:szCs w:val="24"/>
        </w:rPr>
      </w:pPr>
      <w:r w:rsidRPr="002B2CFC">
        <w:rPr>
          <w:szCs w:val="24"/>
        </w:rPr>
        <w:t>NB. The findings of these specialist reports are incorporated into this study (Beck, 2012</w:t>
      </w:r>
      <w:r>
        <w:rPr>
          <w:szCs w:val="24"/>
        </w:rPr>
        <w:t>c</w:t>
      </w:r>
      <w:r w:rsidRPr="002B2CFC">
        <w:rPr>
          <w:szCs w:val="24"/>
        </w:rPr>
        <w:t>).</w:t>
      </w:r>
    </w:p>
    <w:p w14:paraId="706EE9A6" w14:textId="77777777" w:rsidR="0005512A" w:rsidRPr="002B2CFC" w:rsidRDefault="0005512A" w:rsidP="00E439AD">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088"/>
        <w:gridCol w:w="1042"/>
        <w:gridCol w:w="1877"/>
        <w:gridCol w:w="2505"/>
        <w:gridCol w:w="2505"/>
      </w:tblGrid>
      <w:tr w:rsidR="0005512A" w:rsidRPr="002B2CFC" w14:paraId="489BAA4B" w14:textId="77777777" w:rsidTr="0005512A">
        <w:trPr>
          <w:cantSplit/>
        </w:trPr>
        <w:tc>
          <w:tcPr>
            <w:tcW w:w="603" w:type="pct"/>
            <w:tcBorders>
              <w:top w:val="single" w:sz="4" w:space="0" w:color="auto"/>
              <w:left w:val="single" w:sz="4" w:space="0" w:color="auto"/>
              <w:bottom w:val="single" w:sz="4" w:space="0" w:color="auto"/>
              <w:right w:val="single" w:sz="4" w:space="0" w:color="auto"/>
            </w:tcBorders>
            <w:shd w:val="clear" w:color="auto" w:fill="BFBFBF"/>
            <w:vAlign w:val="center"/>
          </w:tcPr>
          <w:p w14:paraId="6A06692F" w14:textId="77777777" w:rsidR="0005512A" w:rsidRPr="002B2CFC" w:rsidRDefault="0005512A" w:rsidP="0005512A">
            <w:pPr>
              <w:keepNext/>
              <w:keepLines/>
              <w:jc w:val="left"/>
              <w:rPr>
                <w:b/>
                <w:bCs/>
                <w:sz w:val="20"/>
              </w:rPr>
            </w:pPr>
            <w:r w:rsidRPr="002B2CFC">
              <w:rPr>
                <w:b/>
                <w:bCs/>
                <w:sz w:val="20"/>
              </w:rPr>
              <w:t>Dosing method</w:t>
            </w:r>
          </w:p>
        </w:tc>
        <w:tc>
          <w:tcPr>
            <w:tcW w:w="578" w:type="pct"/>
            <w:tcBorders>
              <w:top w:val="single" w:sz="4" w:space="0" w:color="auto"/>
              <w:left w:val="single" w:sz="4" w:space="0" w:color="auto"/>
              <w:bottom w:val="single" w:sz="4" w:space="0" w:color="auto"/>
              <w:right w:val="single" w:sz="4" w:space="0" w:color="auto"/>
            </w:tcBorders>
            <w:shd w:val="clear" w:color="auto" w:fill="BFBFBF"/>
            <w:vAlign w:val="center"/>
          </w:tcPr>
          <w:p w14:paraId="12FE0EDD" w14:textId="77777777" w:rsidR="0005512A" w:rsidRPr="002B2CFC" w:rsidRDefault="0005512A" w:rsidP="0005512A">
            <w:pPr>
              <w:keepNext/>
              <w:keepLines/>
              <w:jc w:val="left"/>
              <w:rPr>
                <w:b/>
                <w:bCs/>
                <w:sz w:val="20"/>
              </w:rPr>
            </w:pPr>
            <w:r w:rsidRPr="002B2CFC">
              <w:rPr>
                <w:b/>
                <w:bCs/>
                <w:sz w:val="20"/>
              </w:rPr>
              <w:t>Vehicle</w:t>
            </w:r>
          </w:p>
        </w:tc>
        <w:tc>
          <w:tcPr>
            <w:tcW w:w="1041" w:type="pct"/>
            <w:tcBorders>
              <w:top w:val="single" w:sz="4" w:space="0" w:color="auto"/>
              <w:left w:val="single" w:sz="4" w:space="0" w:color="auto"/>
              <w:bottom w:val="single" w:sz="4" w:space="0" w:color="auto"/>
              <w:right w:val="single" w:sz="4" w:space="0" w:color="auto"/>
            </w:tcBorders>
            <w:shd w:val="clear" w:color="auto" w:fill="BFBFBF"/>
            <w:vAlign w:val="center"/>
          </w:tcPr>
          <w:p w14:paraId="378CDF25" w14:textId="77777777" w:rsidR="0005512A" w:rsidRPr="002B2CFC" w:rsidRDefault="0005512A" w:rsidP="0005512A">
            <w:pPr>
              <w:keepNext/>
              <w:keepLines/>
              <w:jc w:val="left"/>
              <w:rPr>
                <w:b/>
                <w:bCs/>
                <w:sz w:val="20"/>
              </w:rPr>
            </w:pPr>
            <w:r w:rsidRPr="002B2CFC">
              <w:rPr>
                <w:b/>
                <w:bCs/>
                <w:sz w:val="20"/>
              </w:rPr>
              <w:t>Dosing / observation</w:t>
            </w:r>
          </w:p>
          <w:p w14:paraId="32596463" w14:textId="77777777" w:rsidR="0005512A" w:rsidRPr="002B2CFC" w:rsidRDefault="0005512A" w:rsidP="0005512A">
            <w:pPr>
              <w:keepNext/>
              <w:keepLines/>
              <w:jc w:val="left"/>
              <w:rPr>
                <w:b/>
                <w:bCs/>
                <w:sz w:val="20"/>
              </w:rPr>
            </w:pPr>
            <w:r w:rsidRPr="002B2CFC">
              <w:rPr>
                <w:b/>
                <w:bCs/>
                <w:sz w:val="20"/>
              </w:rPr>
              <w:t>period</w:t>
            </w:r>
          </w:p>
        </w:tc>
        <w:tc>
          <w:tcPr>
            <w:tcW w:w="1389" w:type="pct"/>
            <w:tcBorders>
              <w:top w:val="single" w:sz="4" w:space="0" w:color="auto"/>
              <w:left w:val="single" w:sz="4" w:space="0" w:color="auto"/>
              <w:bottom w:val="single" w:sz="4" w:space="0" w:color="auto"/>
              <w:right w:val="single" w:sz="4" w:space="0" w:color="auto"/>
            </w:tcBorders>
            <w:shd w:val="clear" w:color="auto" w:fill="BFBFBF"/>
            <w:vAlign w:val="center"/>
          </w:tcPr>
          <w:p w14:paraId="2A6CEA8E" w14:textId="77777777" w:rsidR="0005512A" w:rsidRPr="002B2CFC" w:rsidRDefault="0005512A" w:rsidP="0005512A">
            <w:pPr>
              <w:keepNext/>
              <w:keepLines/>
              <w:jc w:val="left"/>
              <w:rPr>
                <w:b/>
                <w:bCs/>
                <w:sz w:val="20"/>
              </w:rPr>
            </w:pPr>
            <w:r w:rsidRPr="002B2CFC">
              <w:rPr>
                <w:b/>
                <w:bCs/>
                <w:sz w:val="20"/>
              </w:rPr>
              <w:t xml:space="preserve">Doses tested </w:t>
            </w:r>
            <w:r w:rsidRPr="002B2CFC">
              <w:rPr>
                <w:sz w:val="20"/>
              </w:rPr>
              <w:t>*</w:t>
            </w:r>
          </w:p>
          <w:p w14:paraId="2F6F1318" w14:textId="77777777" w:rsidR="0005512A" w:rsidRPr="002B2CFC" w:rsidRDefault="0005512A" w:rsidP="0005512A">
            <w:pPr>
              <w:keepNext/>
              <w:keepLines/>
              <w:jc w:val="left"/>
              <w:rPr>
                <w:b/>
                <w:bCs/>
                <w:sz w:val="20"/>
              </w:rPr>
            </w:pPr>
            <w:r w:rsidRPr="002B2CFC">
              <w:rPr>
                <w:b/>
                <w:bCs/>
                <w:sz w:val="20"/>
              </w:rPr>
              <w:t>(mg/kg bw/dose)</w:t>
            </w:r>
          </w:p>
        </w:tc>
        <w:tc>
          <w:tcPr>
            <w:tcW w:w="1389" w:type="pct"/>
            <w:tcBorders>
              <w:top w:val="single" w:sz="4" w:space="0" w:color="auto"/>
              <w:left w:val="single" w:sz="4" w:space="0" w:color="auto"/>
              <w:bottom w:val="single" w:sz="4" w:space="0" w:color="auto"/>
              <w:right w:val="single" w:sz="4" w:space="0" w:color="auto"/>
            </w:tcBorders>
            <w:shd w:val="clear" w:color="auto" w:fill="BFBFBF"/>
            <w:vAlign w:val="center"/>
          </w:tcPr>
          <w:p w14:paraId="533C3A76" w14:textId="77777777" w:rsidR="0005512A" w:rsidRPr="002B2CFC" w:rsidRDefault="0005512A" w:rsidP="0005512A">
            <w:pPr>
              <w:keepNext/>
              <w:keepLines/>
              <w:jc w:val="left"/>
              <w:rPr>
                <w:b/>
                <w:bCs/>
                <w:sz w:val="20"/>
              </w:rPr>
            </w:pPr>
            <w:r w:rsidRPr="002B2CFC">
              <w:rPr>
                <w:b/>
                <w:bCs/>
                <w:sz w:val="20"/>
              </w:rPr>
              <w:t>Results</w:t>
            </w:r>
          </w:p>
        </w:tc>
      </w:tr>
      <w:tr w:rsidR="0005512A" w:rsidRPr="002B2CFC" w14:paraId="15F4A327" w14:textId="77777777" w:rsidTr="0005512A">
        <w:trPr>
          <w:cantSplit/>
        </w:trPr>
        <w:tc>
          <w:tcPr>
            <w:tcW w:w="603" w:type="pct"/>
            <w:tcBorders>
              <w:top w:val="single" w:sz="4" w:space="0" w:color="auto"/>
              <w:left w:val="single" w:sz="4" w:space="0" w:color="auto"/>
              <w:bottom w:val="single" w:sz="4" w:space="0" w:color="auto"/>
              <w:right w:val="single" w:sz="4" w:space="0" w:color="auto"/>
            </w:tcBorders>
            <w:vAlign w:val="center"/>
          </w:tcPr>
          <w:p w14:paraId="16E0C887" w14:textId="77777777" w:rsidR="0005512A" w:rsidRPr="002B2CFC" w:rsidRDefault="0005512A" w:rsidP="0005512A">
            <w:pPr>
              <w:keepNext/>
              <w:keepLines/>
              <w:jc w:val="left"/>
              <w:rPr>
                <w:sz w:val="20"/>
              </w:rPr>
            </w:pPr>
            <w:r w:rsidRPr="002B2CFC">
              <w:rPr>
                <w:sz w:val="20"/>
              </w:rPr>
              <w:t>ip injection</w:t>
            </w:r>
          </w:p>
        </w:tc>
        <w:tc>
          <w:tcPr>
            <w:tcW w:w="578" w:type="pct"/>
            <w:vMerge w:val="restart"/>
            <w:tcBorders>
              <w:top w:val="single" w:sz="4" w:space="0" w:color="auto"/>
              <w:left w:val="single" w:sz="4" w:space="0" w:color="auto"/>
              <w:right w:val="single" w:sz="4" w:space="0" w:color="auto"/>
            </w:tcBorders>
            <w:vAlign w:val="center"/>
          </w:tcPr>
          <w:p w14:paraId="4879AF3F" w14:textId="77777777" w:rsidR="0005512A" w:rsidRPr="002B2CFC" w:rsidRDefault="0005512A" w:rsidP="0005512A">
            <w:pPr>
              <w:keepNext/>
              <w:keepLines/>
              <w:jc w:val="left"/>
              <w:rPr>
                <w:sz w:val="20"/>
              </w:rPr>
            </w:pPr>
            <w:r w:rsidRPr="002B2CFC">
              <w:rPr>
                <w:sz w:val="20"/>
              </w:rPr>
              <w:t>0.9% sodium chloride for injection</w:t>
            </w:r>
          </w:p>
        </w:tc>
        <w:tc>
          <w:tcPr>
            <w:tcW w:w="1041" w:type="pct"/>
            <w:tcBorders>
              <w:top w:val="single" w:sz="4" w:space="0" w:color="auto"/>
              <w:left w:val="single" w:sz="4" w:space="0" w:color="auto"/>
              <w:bottom w:val="single" w:sz="4" w:space="0" w:color="auto"/>
              <w:right w:val="single" w:sz="4" w:space="0" w:color="auto"/>
            </w:tcBorders>
            <w:vAlign w:val="center"/>
          </w:tcPr>
          <w:p w14:paraId="7F44D34F" w14:textId="77777777" w:rsidR="0005512A" w:rsidRPr="003F10F2" w:rsidRDefault="0005512A" w:rsidP="0005512A">
            <w:pPr>
              <w:keepNext/>
              <w:keepLines/>
              <w:jc w:val="left"/>
              <w:rPr>
                <w:sz w:val="20"/>
              </w:rPr>
            </w:pPr>
            <w:r w:rsidRPr="003F10F2">
              <w:rPr>
                <w:sz w:val="20"/>
              </w:rPr>
              <w:t>3 injections one week apart (study days 0, 7 and 14)</w:t>
            </w:r>
          </w:p>
        </w:tc>
        <w:tc>
          <w:tcPr>
            <w:tcW w:w="1389" w:type="pct"/>
            <w:tcBorders>
              <w:top w:val="single" w:sz="4" w:space="0" w:color="auto"/>
              <w:left w:val="single" w:sz="4" w:space="0" w:color="auto"/>
              <w:bottom w:val="single" w:sz="4" w:space="0" w:color="auto"/>
              <w:right w:val="single" w:sz="4" w:space="0" w:color="auto"/>
            </w:tcBorders>
            <w:vAlign w:val="center"/>
          </w:tcPr>
          <w:p w14:paraId="0E6B6C39" w14:textId="77777777" w:rsidR="0005512A" w:rsidRPr="006921FB" w:rsidRDefault="0005512A" w:rsidP="0005512A">
            <w:pPr>
              <w:keepNext/>
              <w:keepLines/>
              <w:jc w:val="left"/>
              <w:rPr>
                <w:sz w:val="20"/>
              </w:rPr>
            </w:pPr>
            <w:r w:rsidRPr="006921FB">
              <w:rPr>
                <w:sz w:val="20"/>
              </w:rPr>
              <w:t>0, 10, 15, 25</w:t>
            </w:r>
          </w:p>
          <w:p w14:paraId="4A23772F" w14:textId="77777777" w:rsidR="0005512A" w:rsidRPr="003F10F2" w:rsidRDefault="0005512A" w:rsidP="0005512A">
            <w:pPr>
              <w:keepNext/>
              <w:keepLines/>
              <w:jc w:val="left"/>
              <w:rPr>
                <w:sz w:val="20"/>
              </w:rPr>
            </w:pPr>
            <w:r w:rsidRPr="00C33BE1">
              <w:rPr>
                <w:sz w:val="20"/>
              </w:rPr>
              <w:t>(equivalent to 0, 7.2, 10.9, 18.1 paraquat ion)</w:t>
            </w:r>
          </w:p>
        </w:tc>
        <w:tc>
          <w:tcPr>
            <w:tcW w:w="1389" w:type="pct"/>
            <w:tcBorders>
              <w:top w:val="single" w:sz="4" w:space="0" w:color="auto"/>
              <w:left w:val="single" w:sz="4" w:space="0" w:color="auto"/>
              <w:bottom w:val="single" w:sz="4" w:space="0" w:color="auto"/>
              <w:right w:val="single" w:sz="4" w:space="0" w:color="auto"/>
            </w:tcBorders>
            <w:vAlign w:val="center"/>
          </w:tcPr>
          <w:p w14:paraId="4DA033EB" w14:textId="77777777" w:rsidR="0005512A" w:rsidRPr="002B2CFC" w:rsidRDefault="0005512A" w:rsidP="0005512A">
            <w:pPr>
              <w:keepNext/>
              <w:keepLines/>
              <w:jc w:val="left"/>
              <w:rPr>
                <w:sz w:val="20"/>
              </w:rPr>
            </w:pPr>
            <w:r w:rsidRPr="002B2CFC">
              <w:rPr>
                <w:sz w:val="20"/>
              </w:rPr>
              <w:t>No neurological effects in any group</w:t>
            </w:r>
          </w:p>
        </w:tc>
      </w:tr>
      <w:tr w:rsidR="0005512A" w:rsidRPr="002B2CFC" w14:paraId="4D195474" w14:textId="77777777" w:rsidTr="0005512A">
        <w:trPr>
          <w:cantSplit/>
        </w:trPr>
        <w:tc>
          <w:tcPr>
            <w:tcW w:w="603" w:type="pct"/>
            <w:tcBorders>
              <w:top w:val="single" w:sz="4" w:space="0" w:color="auto"/>
              <w:left w:val="single" w:sz="4" w:space="0" w:color="auto"/>
              <w:bottom w:val="single" w:sz="4" w:space="0" w:color="auto"/>
              <w:right w:val="single" w:sz="4" w:space="0" w:color="auto"/>
            </w:tcBorders>
            <w:vAlign w:val="center"/>
          </w:tcPr>
          <w:p w14:paraId="6523CE68" w14:textId="77777777" w:rsidR="0005512A" w:rsidRPr="002B2CFC" w:rsidRDefault="0005512A" w:rsidP="0005512A">
            <w:pPr>
              <w:keepNext/>
              <w:keepLines/>
              <w:jc w:val="left"/>
              <w:rPr>
                <w:sz w:val="20"/>
              </w:rPr>
            </w:pPr>
            <w:r w:rsidRPr="002B2CFC">
              <w:rPr>
                <w:sz w:val="20"/>
                <w:u w:val="single"/>
              </w:rPr>
              <w:t>Positive control</w:t>
            </w:r>
            <w:r w:rsidRPr="002B2CFC">
              <w:rPr>
                <w:sz w:val="20"/>
              </w:rPr>
              <w:t>:</w:t>
            </w:r>
          </w:p>
          <w:p w14:paraId="29B25150" w14:textId="77777777" w:rsidR="0005512A" w:rsidRPr="002B2CFC" w:rsidRDefault="0005512A" w:rsidP="0005512A">
            <w:pPr>
              <w:keepNext/>
              <w:keepLines/>
              <w:jc w:val="left"/>
              <w:rPr>
                <w:sz w:val="20"/>
              </w:rPr>
            </w:pPr>
            <w:r w:rsidRPr="002B2CFC">
              <w:rPr>
                <w:sz w:val="20"/>
              </w:rPr>
              <w:t>ip injection</w:t>
            </w:r>
          </w:p>
        </w:tc>
        <w:tc>
          <w:tcPr>
            <w:tcW w:w="578" w:type="pct"/>
            <w:vMerge/>
            <w:tcBorders>
              <w:left w:val="single" w:sz="4" w:space="0" w:color="auto"/>
              <w:bottom w:val="single" w:sz="4" w:space="0" w:color="auto"/>
              <w:right w:val="single" w:sz="4" w:space="0" w:color="auto"/>
            </w:tcBorders>
            <w:vAlign w:val="center"/>
          </w:tcPr>
          <w:p w14:paraId="38E62242" w14:textId="77777777" w:rsidR="0005512A" w:rsidRPr="002B2CFC" w:rsidRDefault="0005512A" w:rsidP="0005512A">
            <w:pPr>
              <w:keepNext/>
              <w:keepLines/>
              <w:jc w:val="left"/>
              <w:rPr>
                <w:sz w:val="20"/>
              </w:rPr>
            </w:pPr>
          </w:p>
        </w:tc>
        <w:tc>
          <w:tcPr>
            <w:tcW w:w="1041" w:type="pct"/>
            <w:tcBorders>
              <w:top w:val="single" w:sz="4" w:space="0" w:color="auto"/>
              <w:left w:val="single" w:sz="4" w:space="0" w:color="auto"/>
              <w:bottom w:val="single" w:sz="4" w:space="0" w:color="auto"/>
              <w:right w:val="single" w:sz="4" w:space="0" w:color="auto"/>
            </w:tcBorders>
            <w:vAlign w:val="center"/>
          </w:tcPr>
          <w:p w14:paraId="6FBD20A8" w14:textId="77777777" w:rsidR="0005512A" w:rsidRPr="002B2CFC" w:rsidRDefault="0005512A" w:rsidP="0005512A">
            <w:pPr>
              <w:keepNext/>
              <w:keepLines/>
              <w:jc w:val="left"/>
              <w:rPr>
                <w:sz w:val="20"/>
              </w:rPr>
            </w:pPr>
            <w:r w:rsidRPr="002B2CFC">
              <w:rPr>
                <w:sz w:val="20"/>
              </w:rPr>
              <w:t>4 injections, approx. 2 hours apart (study day 14 only)</w:t>
            </w:r>
          </w:p>
        </w:tc>
        <w:tc>
          <w:tcPr>
            <w:tcW w:w="1389" w:type="pct"/>
            <w:tcBorders>
              <w:top w:val="single" w:sz="4" w:space="0" w:color="auto"/>
              <w:left w:val="single" w:sz="4" w:space="0" w:color="auto"/>
              <w:bottom w:val="single" w:sz="4" w:space="0" w:color="auto"/>
              <w:right w:val="single" w:sz="4" w:space="0" w:color="auto"/>
            </w:tcBorders>
            <w:vAlign w:val="center"/>
          </w:tcPr>
          <w:p w14:paraId="459AAF56" w14:textId="77777777" w:rsidR="0005512A" w:rsidRPr="002B2CFC" w:rsidRDefault="0005512A" w:rsidP="0005512A">
            <w:pPr>
              <w:keepNext/>
              <w:keepLines/>
              <w:jc w:val="left"/>
              <w:rPr>
                <w:sz w:val="20"/>
              </w:rPr>
            </w:pPr>
            <w:r w:rsidRPr="002B2CFC">
              <w:rPr>
                <w:sz w:val="20"/>
              </w:rPr>
              <w:t>10 mg (free base) /kg/dose [4 mg/mL]) 1-methyl-4-phenyl-1,2,3,6- tetrahydropyridine hydrochloride</w:t>
            </w:r>
          </w:p>
          <w:p w14:paraId="5A455C12" w14:textId="77777777" w:rsidR="0005512A" w:rsidRPr="002B2CFC" w:rsidRDefault="0005512A" w:rsidP="0005512A">
            <w:pPr>
              <w:keepNext/>
              <w:keepLines/>
              <w:jc w:val="left"/>
              <w:rPr>
                <w:sz w:val="20"/>
              </w:rPr>
            </w:pPr>
            <w:r w:rsidRPr="002B2CFC">
              <w:rPr>
                <w:sz w:val="20"/>
              </w:rPr>
              <w:t xml:space="preserve"> </w:t>
            </w:r>
          </w:p>
          <w:p w14:paraId="31E9F29C" w14:textId="77777777" w:rsidR="0005512A" w:rsidRPr="002B2CFC" w:rsidRDefault="0005512A" w:rsidP="0005512A">
            <w:pPr>
              <w:keepNext/>
              <w:keepLines/>
              <w:jc w:val="left"/>
              <w:rPr>
                <w:color w:val="FF0000"/>
                <w:sz w:val="20"/>
              </w:rPr>
            </w:pPr>
            <w:r w:rsidRPr="002B2CFC">
              <w:rPr>
                <w:sz w:val="20"/>
              </w:rPr>
              <w:t>(MPTP HCl)</w:t>
            </w:r>
          </w:p>
        </w:tc>
        <w:tc>
          <w:tcPr>
            <w:tcW w:w="1389" w:type="pct"/>
            <w:tcBorders>
              <w:top w:val="single" w:sz="4" w:space="0" w:color="auto"/>
              <w:left w:val="single" w:sz="4" w:space="0" w:color="auto"/>
              <w:bottom w:val="single" w:sz="4" w:space="0" w:color="auto"/>
              <w:right w:val="single" w:sz="4" w:space="0" w:color="auto"/>
            </w:tcBorders>
            <w:vAlign w:val="center"/>
          </w:tcPr>
          <w:p w14:paraId="770D1CDD" w14:textId="77777777" w:rsidR="0005512A" w:rsidRPr="002B2CFC" w:rsidRDefault="0005512A" w:rsidP="0005512A">
            <w:pPr>
              <w:keepNext/>
              <w:keepLines/>
              <w:jc w:val="left"/>
              <w:rPr>
                <w:sz w:val="20"/>
              </w:rPr>
            </w:pPr>
            <w:r w:rsidRPr="002B2CFC">
              <w:rPr>
                <w:sz w:val="20"/>
              </w:rPr>
              <w:t xml:space="preserve">Decrease in the number of TH+ neurons, striatal </w:t>
            </w:r>
            <w:r w:rsidR="00A4092E">
              <w:rPr>
                <w:sz w:val="20"/>
              </w:rPr>
              <w:t>DA</w:t>
            </w:r>
            <w:r w:rsidRPr="002B2CFC">
              <w:rPr>
                <w:sz w:val="20"/>
              </w:rPr>
              <w:t xml:space="preserve">, DOPAC and HVA concentrations and an increase in </w:t>
            </w:r>
            <w:r w:rsidR="00A4092E">
              <w:rPr>
                <w:sz w:val="20"/>
              </w:rPr>
              <w:t>DA</w:t>
            </w:r>
            <w:r w:rsidRPr="002B2CFC">
              <w:rPr>
                <w:sz w:val="20"/>
              </w:rPr>
              <w:t xml:space="preserve"> turnover</w:t>
            </w:r>
          </w:p>
        </w:tc>
      </w:tr>
    </w:tbl>
    <w:p w14:paraId="5FC9BDE1" w14:textId="77777777" w:rsidR="0005512A" w:rsidRPr="002B2CFC" w:rsidRDefault="0005512A" w:rsidP="00E439AD">
      <w:pPr>
        <w:rPr>
          <w:sz w:val="20"/>
          <w:szCs w:val="24"/>
        </w:rPr>
      </w:pPr>
      <w:r w:rsidRPr="002B2CFC">
        <w:rPr>
          <w:sz w:val="20"/>
          <w:szCs w:val="24"/>
        </w:rPr>
        <w:t xml:space="preserve">* Paraquat dichloride dose was based on the dichloride salt, </w:t>
      </w:r>
      <w:r>
        <w:rPr>
          <w:sz w:val="20"/>
          <w:szCs w:val="24"/>
        </w:rPr>
        <w:t>the paraquat ion content was obtained by dividing by 1.38</w:t>
      </w:r>
      <w:r w:rsidRPr="002B2CFC">
        <w:rPr>
          <w:sz w:val="20"/>
          <w:szCs w:val="24"/>
        </w:rPr>
        <w:t>. MPTP dose was corrected using a factor of 1.21 based on the free base of MPTP.</w:t>
      </w:r>
    </w:p>
    <w:p w14:paraId="3ED36A47" w14:textId="77777777" w:rsidR="00E439AD" w:rsidRDefault="00E439AD" w:rsidP="00E439AD">
      <w:pPr>
        <w:keepNext/>
        <w:rPr>
          <w:b/>
          <w:szCs w:val="24"/>
        </w:rPr>
      </w:pPr>
    </w:p>
    <w:p w14:paraId="5986557A" w14:textId="77777777" w:rsidR="0005512A" w:rsidRPr="00C34954" w:rsidRDefault="00897462" w:rsidP="00E439AD">
      <w:pPr>
        <w:keepNext/>
        <w:rPr>
          <w:b/>
          <w:szCs w:val="24"/>
        </w:rPr>
      </w:pPr>
      <w:r w:rsidRPr="00C34954">
        <w:rPr>
          <w:b/>
          <w:szCs w:val="24"/>
        </w:rPr>
        <w:t>Method</w:t>
      </w:r>
    </w:p>
    <w:p w14:paraId="118A0303" w14:textId="095E3F1D" w:rsidR="0005512A" w:rsidRPr="002B2CFC" w:rsidRDefault="0005512A" w:rsidP="0005512A">
      <w:pPr>
        <w:spacing w:before="120" w:after="120"/>
        <w:rPr>
          <w:szCs w:val="24"/>
        </w:rPr>
      </w:pPr>
      <w:r w:rsidRPr="002B2CFC">
        <w:rPr>
          <w:szCs w:val="24"/>
        </w:rPr>
        <w:t xml:space="preserve">Male C57BL/6J mice were administered paraquat dichloride by </w:t>
      </w:r>
      <w:r w:rsidR="000352F7">
        <w:rPr>
          <w:szCs w:val="24"/>
        </w:rPr>
        <w:t>three</w:t>
      </w:r>
      <w:r w:rsidRPr="002B2CFC">
        <w:rPr>
          <w:szCs w:val="24"/>
        </w:rPr>
        <w:t xml:space="preserve">, once weekly intraperitoneal injections at 0, 10, 15 or 25 mg/kg bw/dose </w:t>
      </w:r>
      <w:r w:rsidRPr="003F10F2">
        <w:rPr>
          <w:szCs w:val="24"/>
        </w:rPr>
        <w:t>(equivalent to 0, 7.2, 10.9, 18.1 paraquat ion)</w:t>
      </w:r>
      <w:r w:rsidR="003835DA">
        <w:rPr>
          <w:szCs w:val="24"/>
        </w:rPr>
        <w:t xml:space="preserve"> </w:t>
      </w:r>
      <w:r w:rsidRPr="002B2CFC">
        <w:rPr>
          <w:szCs w:val="24"/>
        </w:rPr>
        <w:t>to determine the effect on the number of TH</w:t>
      </w:r>
      <w:r w:rsidRPr="003A6822">
        <w:rPr>
          <w:szCs w:val="24"/>
          <w:vertAlign w:val="superscript"/>
        </w:rPr>
        <w:t>+</w:t>
      </w:r>
      <w:r>
        <w:rPr>
          <w:szCs w:val="24"/>
        </w:rPr>
        <w:t xml:space="preserve"> </w:t>
      </w:r>
      <w:r w:rsidRPr="002B2CFC">
        <w:rPr>
          <w:szCs w:val="24"/>
        </w:rPr>
        <w:t>dopaminergic neurons in the SN pc. Brains were specially prepared and sent to different laboratories. The first</w:t>
      </w:r>
      <w:r>
        <w:rPr>
          <w:szCs w:val="24"/>
        </w:rPr>
        <w:t xml:space="preserve"> </w:t>
      </w:r>
      <w:r w:rsidRPr="002B2CFC">
        <w:rPr>
          <w:szCs w:val="24"/>
        </w:rPr>
        <w:t xml:space="preserve">assessed the number of dopaminergic neurons by stereological procedure using two staining techniques-chromogenic and fluorescent methods using antibodies directed at TH. The second quantified the concentrations of the neurotransmitter </w:t>
      </w:r>
      <w:r w:rsidR="00A4092E">
        <w:rPr>
          <w:szCs w:val="24"/>
        </w:rPr>
        <w:t>DA</w:t>
      </w:r>
      <w:r w:rsidR="00CC22F4">
        <w:rPr>
          <w:szCs w:val="24"/>
        </w:rPr>
        <w:t xml:space="preserve"> </w:t>
      </w:r>
      <w:r w:rsidRPr="002B2CFC">
        <w:rPr>
          <w:szCs w:val="24"/>
        </w:rPr>
        <w:t>and its two metabolites (</w:t>
      </w:r>
      <w:r>
        <w:rPr>
          <w:szCs w:val="24"/>
        </w:rPr>
        <w:t>HVA</w:t>
      </w:r>
      <w:r w:rsidRPr="002B2CFC">
        <w:rPr>
          <w:szCs w:val="24"/>
        </w:rPr>
        <w:t xml:space="preserve"> and </w:t>
      </w:r>
      <w:r>
        <w:rPr>
          <w:szCs w:val="24"/>
        </w:rPr>
        <w:t>DOPAC</w:t>
      </w:r>
      <w:r w:rsidRPr="002B2CFC">
        <w:rPr>
          <w:szCs w:val="24"/>
        </w:rPr>
        <w:t xml:space="preserve">), and </w:t>
      </w:r>
      <w:r w:rsidR="001875D7">
        <w:rPr>
          <w:szCs w:val="24"/>
        </w:rPr>
        <w:t>5-HT</w:t>
      </w:r>
      <w:r w:rsidRPr="002B2CFC">
        <w:rPr>
          <w:szCs w:val="24"/>
        </w:rPr>
        <w:t xml:space="preserve"> in the striatum. Mice treated with MPTP (4 ip doses, 10 mg/kg bw/dose at 4 mg/mL and dose volume of 2.5 mL/kg/dose, on a single day) served as positive controls. Mice were assigned to one of nine treatment groups (</w:t>
      </w:r>
      <w:r w:rsidR="00F07346">
        <w:fldChar w:fldCharType="begin"/>
      </w:r>
      <w:r w:rsidR="00F07346">
        <w:instrText xml:space="preserve"> REF _Ref410210442 \h  \* MERGEFORMAT </w:instrText>
      </w:r>
      <w:r w:rsidR="00F07346">
        <w:fldChar w:fldCharType="separate"/>
      </w:r>
      <w:r w:rsidR="000E54B2" w:rsidRPr="000E54B2">
        <w:rPr>
          <w:bCs/>
          <w:szCs w:val="24"/>
        </w:rPr>
        <w:t xml:space="preserve">Table </w:t>
      </w:r>
      <w:r w:rsidR="000E54B2" w:rsidRPr="000E54B2">
        <w:rPr>
          <w:bCs/>
          <w:noProof/>
          <w:szCs w:val="24"/>
        </w:rPr>
        <w:t>15</w:t>
      </w:r>
      <w:r w:rsidR="00F07346">
        <w:fldChar w:fldCharType="end"/>
      </w:r>
      <w:r w:rsidR="00EB102B">
        <w:t xml:space="preserve"> </w:t>
      </w:r>
      <w:r w:rsidR="003A31EB">
        <w:fldChar w:fldCharType="begin"/>
      </w:r>
      <w:r w:rsidR="003A31EB">
        <w:instrText xml:space="preserve"> REF _Ref459028463 \p </w:instrText>
      </w:r>
      <w:r w:rsidR="003A31EB">
        <w:fldChar w:fldCharType="separate"/>
      </w:r>
      <w:r w:rsidR="000E54B2">
        <w:t>below</w:t>
      </w:r>
      <w:r w:rsidR="003A31EB">
        <w:fldChar w:fldCharType="end"/>
      </w:r>
      <w:r w:rsidRPr="002B2CFC">
        <w:rPr>
          <w:szCs w:val="24"/>
        </w:rPr>
        <w:t>).</w:t>
      </w:r>
    </w:p>
    <w:p w14:paraId="76A24DD2" w14:textId="77777777" w:rsidR="0005512A" w:rsidRPr="002B2CFC" w:rsidRDefault="0005512A" w:rsidP="00E439AD">
      <w:pPr>
        <w:rPr>
          <w:szCs w:val="24"/>
        </w:rPr>
      </w:pPr>
      <w:r w:rsidRPr="002B2CFC">
        <w:rPr>
          <w:szCs w:val="24"/>
        </w:rPr>
        <w:t xml:space="preserve">The C57BL/6J species and strain of mice were selected due to known sensitivity to neurotoxicants, specifically MPTP. The low dose selection for paraquat dichloride was based </w:t>
      </w:r>
      <w:r w:rsidRPr="002B2CFC">
        <w:rPr>
          <w:szCs w:val="24"/>
        </w:rPr>
        <w:lastRenderedPageBreak/>
        <w:t xml:space="preserve">on the dose reported by McCormack </w:t>
      </w:r>
      <w:r w:rsidRPr="002B2CFC">
        <w:rPr>
          <w:i/>
          <w:szCs w:val="24"/>
        </w:rPr>
        <w:t>et al</w:t>
      </w:r>
      <w:r w:rsidRPr="002B2CFC">
        <w:rPr>
          <w:szCs w:val="24"/>
        </w:rPr>
        <w:t xml:space="preserve"> (2002</w:t>
      </w:r>
      <w:r>
        <w:rPr>
          <w:rStyle w:val="FootnoteReference"/>
          <w:szCs w:val="24"/>
        </w:rPr>
        <w:footnoteReference w:id="4"/>
      </w:r>
      <w:r w:rsidRPr="002B2CFC">
        <w:rPr>
          <w:szCs w:val="24"/>
        </w:rPr>
        <w:t>) that reduced the number of TH+ neurons in the SN pc. The high dose level was close to the maximum tolerated dose identified in a previous intraperitoneal study (Beck, 2010 WIL-639063 not submitted). The study author stated that the intraperitoneal route was selected as it is an accepted route of exposure for this study design and historically, has been used extensively.</w:t>
      </w:r>
    </w:p>
    <w:p w14:paraId="4B907949" w14:textId="77777777" w:rsidR="0005512A" w:rsidRPr="002B2CFC" w:rsidRDefault="0005512A" w:rsidP="00E439AD">
      <w:pPr>
        <w:rPr>
          <w:szCs w:val="24"/>
        </w:rPr>
      </w:pPr>
    </w:p>
    <w:p w14:paraId="0089B313" w14:textId="77777777" w:rsidR="0005512A" w:rsidRPr="00C34954" w:rsidRDefault="0005512A" w:rsidP="0005512A">
      <w:pPr>
        <w:keepNext/>
        <w:spacing w:after="120"/>
        <w:rPr>
          <w:b/>
          <w:bCs/>
          <w:sz w:val="20"/>
        </w:rPr>
      </w:pPr>
      <w:bookmarkStart w:id="88" w:name="_Ref410210442"/>
      <w:bookmarkStart w:id="89" w:name="_Ref459028463"/>
      <w:r w:rsidRPr="00C34954">
        <w:rPr>
          <w:b/>
          <w:bCs/>
          <w:sz w:val="20"/>
        </w:rPr>
        <w:t xml:space="preserve">Table </w:t>
      </w:r>
      <w:r w:rsidR="00897462" w:rsidRPr="00C34954">
        <w:rPr>
          <w:b/>
          <w:bCs/>
          <w:sz w:val="20"/>
        </w:rPr>
        <w:fldChar w:fldCharType="begin"/>
      </w:r>
      <w:r w:rsidRPr="00C34954">
        <w:rPr>
          <w:b/>
          <w:bCs/>
          <w:sz w:val="20"/>
        </w:rPr>
        <w:instrText xml:space="preserve"> SEQ Table \* ARABIC </w:instrText>
      </w:r>
      <w:r w:rsidR="00897462" w:rsidRPr="00C34954">
        <w:rPr>
          <w:b/>
          <w:bCs/>
          <w:sz w:val="20"/>
        </w:rPr>
        <w:fldChar w:fldCharType="separate"/>
      </w:r>
      <w:r w:rsidR="000E54B2">
        <w:rPr>
          <w:b/>
          <w:bCs/>
          <w:noProof/>
          <w:sz w:val="20"/>
        </w:rPr>
        <w:t>15</w:t>
      </w:r>
      <w:r w:rsidR="00897462" w:rsidRPr="00C34954">
        <w:rPr>
          <w:b/>
          <w:bCs/>
          <w:sz w:val="20"/>
        </w:rPr>
        <w:fldChar w:fldCharType="end"/>
      </w:r>
      <w:bookmarkEnd w:id="88"/>
      <w:r w:rsidRPr="00C34954">
        <w:rPr>
          <w:b/>
          <w:bCs/>
          <w:sz w:val="20"/>
        </w:rPr>
        <w:t>. Summary of study group</w:t>
      </w:r>
      <w:r w:rsidR="00A7556B" w:rsidRPr="00C34954">
        <w:rPr>
          <w:b/>
          <w:bCs/>
          <w:sz w:val="20"/>
        </w:rPr>
        <w:t>s</w:t>
      </w:r>
      <w:r w:rsidRPr="00C34954">
        <w:rPr>
          <w:b/>
          <w:bCs/>
          <w:sz w:val="20"/>
        </w:rPr>
        <w:t xml:space="preserve"> </w:t>
      </w:r>
      <w:r w:rsidR="00A7556B">
        <w:rPr>
          <w:b/>
          <w:bCs/>
          <w:sz w:val="20"/>
        </w:rPr>
        <w:t>(</w:t>
      </w:r>
      <w:r w:rsidR="00A7556B">
        <w:rPr>
          <w:b/>
          <w:sz w:val="20"/>
        </w:rPr>
        <w:t xml:space="preserve">Beck </w:t>
      </w:r>
      <w:r w:rsidR="00A7556B" w:rsidRPr="00C34954">
        <w:rPr>
          <w:b/>
          <w:sz w:val="20"/>
        </w:rPr>
        <w:t>2012d)</w:t>
      </w:r>
      <w:bookmarkEnd w:id="89"/>
    </w:p>
    <w:tbl>
      <w:tblPr>
        <w:tblStyle w:val="TableGrid2"/>
        <w:tblW w:w="0" w:type="auto"/>
        <w:tblLayout w:type="fixed"/>
        <w:tblLook w:val="04A0" w:firstRow="1" w:lastRow="0" w:firstColumn="1" w:lastColumn="0" w:noHBand="0" w:noVBand="1"/>
      </w:tblPr>
      <w:tblGrid>
        <w:gridCol w:w="1101"/>
        <w:gridCol w:w="2268"/>
        <w:gridCol w:w="1417"/>
        <w:gridCol w:w="1418"/>
        <w:gridCol w:w="1559"/>
        <w:gridCol w:w="567"/>
      </w:tblGrid>
      <w:tr w:rsidR="0005512A" w:rsidRPr="002B2CFC" w14:paraId="70140142" w14:textId="77777777" w:rsidTr="0005512A">
        <w:tc>
          <w:tcPr>
            <w:tcW w:w="1101" w:type="dxa"/>
            <w:shd w:val="clear" w:color="auto" w:fill="BFBFBF" w:themeFill="background1" w:themeFillShade="BF"/>
            <w:vAlign w:val="center"/>
          </w:tcPr>
          <w:p w14:paraId="3DA7934E" w14:textId="77777777" w:rsidR="0005512A" w:rsidRPr="002B2CFC" w:rsidRDefault="0005512A" w:rsidP="0005512A">
            <w:pPr>
              <w:spacing w:before="120" w:after="120"/>
              <w:jc w:val="center"/>
              <w:rPr>
                <w:b/>
                <w:sz w:val="20"/>
              </w:rPr>
            </w:pPr>
            <w:r w:rsidRPr="002B2CFC">
              <w:rPr>
                <w:b/>
                <w:sz w:val="20"/>
              </w:rPr>
              <w:t>Group No.*</w:t>
            </w:r>
          </w:p>
        </w:tc>
        <w:tc>
          <w:tcPr>
            <w:tcW w:w="2268" w:type="dxa"/>
            <w:shd w:val="clear" w:color="auto" w:fill="BFBFBF" w:themeFill="background1" w:themeFillShade="BF"/>
            <w:vAlign w:val="center"/>
          </w:tcPr>
          <w:p w14:paraId="60CAE20A" w14:textId="77777777" w:rsidR="0005512A" w:rsidRPr="002B2CFC" w:rsidRDefault="0005512A" w:rsidP="0005512A">
            <w:pPr>
              <w:spacing w:before="120" w:after="120"/>
              <w:jc w:val="center"/>
              <w:rPr>
                <w:b/>
                <w:sz w:val="20"/>
              </w:rPr>
            </w:pPr>
            <w:r w:rsidRPr="002B2CFC">
              <w:rPr>
                <w:b/>
                <w:sz w:val="20"/>
              </w:rPr>
              <w:t>Treatment</w:t>
            </w:r>
          </w:p>
        </w:tc>
        <w:tc>
          <w:tcPr>
            <w:tcW w:w="1417" w:type="dxa"/>
            <w:shd w:val="clear" w:color="auto" w:fill="BFBFBF" w:themeFill="background1" w:themeFillShade="BF"/>
            <w:vAlign w:val="center"/>
          </w:tcPr>
          <w:p w14:paraId="624E829B" w14:textId="77777777" w:rsidR="0005512A" w:rsidRPr="002B2CFC" w:rsidRDefault="0005512A" w:rsidP="0005512A">
            <w:pPr>
              <w:spacing w:before="120" w:after="120"/>
              <w:jc w:val="center"/>
              <w:rPr>
                <w:b/>
                <w:sz w:val="20"/>
              </w:rPr>
            </w:pPr>
            <w:r w:rsidRPr="002B2CFC">
              <w:rPr>
                <w:b/>
                <w:sz w:val="20"/>
              </w:rPr>
              <w:t>Dose level</w:t>
            </w:r>
            <w:r w:rsidR="000352F7">
              <w:rPr>
                <w:b/>
                <w:sz w:val="20"/>
              </w:rPr>
              <w:t xml:space="preserve"> (ion)</w:t>
            </w:r>
          </w:p>
          <w:p w14:paraId="78F56080" w14:textId="77777777" w:rsidR="0005512A" w:rsidRPr="002B2CFC" w:rsidRDefault="0005512A" w:rsidP="0005512A">
            <w:pPr>
              <w:spacing w:before="120" w:after="120"/>
              <w:jc w:val="center"/>
              <w:rPr>
                <w:b/>
                <w:sz w:val="20"/>
              </w:rPr>
            </w:pPr>
            <w:r w:rsidRPr="002B2CFC">
              <w:rPr>
                <w:b/>
                <w:sz w:val="20"/>
              </w:rPr>
              <w:t xml:space="preserve"> (mg/kg bw/dose)</w:t>
            </w:r>
          </w:p>
        </w:tc>
        <w:tc>
          <w:tcPr>
            <w:tcW w:w="1418" w:type="dxa"/>
            <w:shd w:val="clear" w:color="auto" w:fill="BFBFBF" w:themeFill="background1" w:themeFillShade="BF"/>
            <w:vAlign w:val="center"/>
          </w:tcPr>
          <w:p w14:paraId="788419CA" w14:textId="77777777" w:rsidR="0005512A" w:rsidRPr="002B2CFC" w:rsidRDefault="0005512A" w:rsidP="0005512A">
            <w:pPr>
              <w:spacing w:before="120" w:after="120"/>
              <w:jc w:val="center"/>
              <w:rPr>
                <w:b/>
                <w:sz w:val="20"/>
              </w:rPr>
            </w:pPr>
            <w:r w:rsidRPr="002B2CFC">
              <w:rPr>
                <w:b/>
                <w:sz w:val="20"/>
              </w:rPr>
              <w:t>Dose volume</w:t>
            </w:r>
          </w:p>
          <w:p w14:paraId="7EDE4DFE" w14:textId="77777777" w:rsidR="0005512A" w:rsidRPr="002B2CFC" w:rsidRDefault="0005512A" w:rsidP="0005512A">
            <w:pPr>
              <w:spacing w:before="120" w:after="120"/>
              <w:jc w:val="center"/>
              <w:rPr>
                <w:b/>
                <w:sz w:val="20"/>
              </w:rPr>
            </w:pPr>
            <w:r w:rsidRPr="002B2CFC">
              <w:rPr>
                <w:b/>
                <w:sz w:val="20"/>
              </w:rPr>
              <w:t>(mL/kg bw)</w:t>
            </w:r>
          </w:p>
        </w:tc>
        <w:tc>
          <w:tcPr>
            <w:tcW w:w="1559" w:type="dxa"/>
            <w:shd w:val="clear" w:color="auto" w:fill="BFBFBF" w:themeFill="background1" w:themeFillShade="BF"/>
            <w:vAlign w:val="center"/>
          </w:tcPr>
          <w:p w14:paraId="316313F8" w14:textId="77777777" w:rsidR="0005512A" w:rsidRPr="002B2CFC" w:rsidRDefault="0005512A" w:rsidP="0005512A">
            <w:pPr>
              <w:spacing w:before="120" w:after="120"/>
              <w:jc w:val="center"/>
              <w:rPr>
                <w:b/>
                <w:sz w:val="20"/>
              </w:rPr>
            </w:pPr>
            <w:r w:rsidRPr="002B2CFC">
              <w:rPr>
                <w:b/>
                <w:sz w:val="20"/>
              </w:rPr>
              <w:t>Concentration</w:t>
            </w:r>
          </w:p>
          <w:p w14:paraId="4101CCF6" w14:textId="77777777" w:rsidR="0005512A" w:rsidRPr="002B2CFC" w:rsidRDefault="0005512A" w:rsidP="0005512A">
            <w:pPr>
              <w:spacing w:before="120" w:after="120"/>
              <w:jc w:val="center"/>
              <w:rPr>
                <w:b/>
                <w:sz w:val="20"/>
              </w:rPr>
            </w:pPr>
            <w:r w:rsidRPr="002B2CFC">
              <w:rPr>
                <w:b/>
                <w:sz w:val="20"/>
              </w:rPr>
              <w:t xml:space="preserve"> (mg/mL)</w:t>
            </w:r>
          </w:p>
        </w:tc>
        <w:tc>
          <w:tcPr>
            <w:tcW w:w="567" w:type="dxa"/>
            <w:shd w:val="clear" w:color="auto" w:fill="BFBFBF" w:themeFill="background1" w:themeFillShade="BF"/>
            <w:vAlign w:val="center"/>
          </w:tcPr>
          <w:p w14:paraId="7D20D839" w14:textId="77777777" w:rsidR="0005512A" w:rsidRPr="002B2CFC" w:rsidRDefault="0005512A" w:rsidP="0005512A">
            <w:pPr>
              <w:spacing w:before="120" w:after="120"/>
              <w:jc w:val="center"/>
              <w:rPr>
                <w:b/>
                <w:sz w:val="20"/>
              </w:rPr>
            </w:pPr>
            <w:r w:rsidRPr="002B2CFC">
              <w:rPr>
                <w:b/>
                <w:sz w:val="20"/>
              </w:rPr>
              <w:t>n</w:t>
            </w:r>
          </w:p>
        </w:tc>
      </w:tr>
      <w:tr w:rsidR="0005512A" w:rsidRPr="002B2CFC" w14:paraId="5A7DA12A" w14:textId="77777777" w:rsidTr="0005512A">
        <w:tc>
          <w:tcPr>
            <w:tcW w:w="8330" w:type="dxa"/>
            <w:gridSpan w:val="6"/>
            <w:shd w:val="clear" w:color="auto" w:fill="D9D9D9" w:themeFill="background1" w:themeFillShade="D9"/>
            <w:vAlign w:val="center"/>
          </w:tcPr>
          <w:p w14:paraId="4A81393C" w14:textId="77777777" w:rsidR="0005512A" w:rsidRPr="002B2CFC" w:rsidRDefault="0005512A" w:rsidP="0005512A">
            <w:pPr>
              <w:spacing w:before="120" w:after="120"/>
              <w:jc w:val="center"/>
              <w:rPr>
                <w:sz w:val="20"/>
              </w:rPr>
            </w:pPr>
            <w:r w:rsidRPr="002B2CFC">
              <w:rPr>
                <w:b/>
                <w:sz w:val="20"/>
              </w:rPr>
              <w:t>Stereology groups</w:t>
            </w:r>
            <w:r w:rsidRPr="002B2CFC">
              <w:rPr>
                <w:b/>
                <w:sz w:val="20"/>
                <w:vertAlign w:val="superscript"/>
              </w:rPr>
              <w:t>#</w:t>
            </w:r>
          </w:p>
        </w:tc>
      </w:tr>
      <w:tr w:rsidR="0005512A" w:rsidRPr="002B2CFC" w14:paraId="47EA18B5" w14:textId="77777777" w:rsidTr="0005512A">
        <w:tc>
          <w:tcPr>
            <w:tcW w:w="1101" w:type="dxa"/>
            <w:vAlign w:val="center"/>
          </w:tcPr>
          <w:p w14:paraId="209CB774" w14:textId="77777777" w:rsidR="0005512A" w:rsidRPr="002B2CFC" w:rsidRDefault="0005512A" w:rsidP="0005512A">
            <w:pPr>
              <w:spacing w:before="120" w:after="120"/>
              <w:jc w:val="center"/>
              <w:rPr>
                <w:b/>
                <w:sz w:val="20"/>
              </w:rPr>
            </w:pPr>
            <w:r w:rsidRPr="002B2CFC">
              <w:rPr>
                <w:b/>
                <w:sz w:val="20"/>
              </w:rPr>
              <w:t>1</w:t>
            </w:r>
          </w:p>
        </w:tc>
        <w:tc>
          <w:tcPr>
            <w:tcW w:w="2268" w:type="dxa"/>
          </w:tcPr>
          <w:p w14:paraId="3736A5E6" w14:textId="77777777" w:rsidR="0005512A" w:rsidRPr="002B2CFC" w:rsidRDefault="0005512A" w:rsidP="0005512A">
            <w:pPr>
              <w:spacing w:before="120" w:after="120"/>
              <w:rPr>
                <w:sz w:val="20"/>
              </w:rPr>
            </w:pPr>
            <w:r w:rsidRPr="002B2CFC">
              <w:rPr>
                <w:sz w:val="20"/>
              </w:rPr>
              <w:t>Vehicle control</w:t>
            </w:r>
          </w:p>
        </w:tc>
        <w:tc>
          <w:tcPr>
            <w:tcW w:w="1417" w:type="dxa"/>
            <w:vAlign w:val="center"/>
          </w:tcPr>
          <w:p w14:paraId="46872A57" w14:textId="77777777" w:rsidR="0005512A" w:rsidRPr="002B2CFC" w:rsidRDefault="0005512A" w:rsidP="0005512A">
            <w:pPr>
              <w:spacing w:before="120" w:after="120"/>
              <w:jc w:val="center"/>
              <w:rPr>
                <w:sz w:val="20"/>
              </w:rPr>
            </w:pPr>
            <w:r w:rsidRPr="002B2CFC">
              <w:rPr>
                <w:sz w:val="20"/>
              </w:rPr>
              <w:t>0</w:t>
            </w:r>
            <w:r w:rsidR="000352F7">
              <w:rPr>
                <w:sz w:val="20"/>
              </w:rPr>
              <w:t xml:space="preserve"> </w:t>
            </w:r>
          </w:p>
        </w:tc>
        <w:tc>
          <w:tcPr>
            <w:tcW w:w="1418" w:type="dxa"/>
            <w:vAlign w:val="center"/>
          </w:tcPr>
          <w:p w14:paraId="4A7037E0" w14:textId="77777777" w:rsidR="0005512A" w:rsidRPr="002B2CFC" w:rsidRDefault="0005512A" w:rsidP="0005512A">
            <w:pPr>
              <w:spacing w:before="120" w:after="120"/>
              <w:jc w:val="center"/>
              <w:rPr>
                <w:sz w:val="20"/>
              </w:rPr>
            </w:pPr>
            <w:r w:rsidRPr="002B2CFC">
              <w:rPr>
                <w:sz w:val="20"/>
              </w:rPr>
              <w:t>10</w:t>
            </w:r>
          </w:p>
        </w:tc>
        <w:tc>
          <w:tcPr>
            <w:tcW w:w="1559" w:type="dxa"/>
            <w:vAlign w:val="center"/>
          </w:tcPr>
          <w:p w14:paraId="4E1C7845" w14:textId="77777777" w:rsidR="0005512A" w:rsidRPr="002B2CFC" w:rsidRDefault="0005512A" w:rsidP="0005512A">
            <w:pPr>
              <w:spacing w:before="120" w:after="120"/>
              <w:jc w:val="center"/>
              <w:rPr>
                <w:sz w:val="20"/>
              </w:rPr>
            </w:pPr>
            <w:r w:rsidRPr="002B2CFC">
              <w:rPr>
                <w:sz w:val="20"/>
              </w:rPr>
              <w:t>0</w:t>
            </w:r>
          </w:p>
        </w:tc>
        <w:tc>
          <w:tcPr>
            <w:tcW w:w="567" w:type="dxa"/>
            <w:vAlign w:val="center"/>
          </w:tcPr>
          <w:p w14:paraId="353EDE7C" w14:textId="77777777" w:rsidR="0005512A" w:rsidRPr="002B2CFC" w:rsidRDefault="0005512A" w:rsidP="0005512A">
            <w:pPr>
              <w:spacing w:before="120" w:after="120"/>
              <w:jc w:val="center"/>
              <w:rPr>
                <w:sz w:val="20"/>
              </w:rPr>
            </w:pPr>
            <w:r w:rsidRPr="002B2CFC">
              <w:rPr>
                <w:sz w:val="20"/>
              </w:rPr>
              <w:t>25</w:t>
            </w:r>
          </w:p>
        </w:tc>
      </w:tr>
      <w:tr w:rsidR="0005512A" w:rsidRPr="002B2CFC" w14:paraId="3D35641B" w14:textId="77777777" w:rsidTr="0005512A">
        <w:tc>
          <w:tcPr>
            <w:tcW w:w="1101" w:type="dxa"/>
            <w:vAlign w:val="center"/>
          </w:tcPr>
          <w:p w14:paraId="7AC2B38A" w14:textId="77777777" w:rsidR="0005512A" w:rsidRPr="002B2CFC" w:rsidRDefault="0005512A" w:rsidP="0005512A">
            <w:pPr>
              <w:spacing w:before="120" w:after="120"/>
              <w:jc w:val="center"/>
              <w:rPr>
                <w:b/>
                <w:sz w:val="20"/>
              </w:rPr>
            </w:pPr>
            <w:r w:rsidRPr="002B2CFC">
              <w:rPr>
                <w:b/>
                <w:sz w:val="20"/>
              </w:rPr>
              <w:t>2</w:t>
            </w:r>
          </w:p>
        </w:tc>
        <w:tc>
          <w:tcPr>
            <w:tcW w:w="2268" w:type="dxa"/>
          </w:tcPr>
          <w:p w14:paraId="1A6EA288" w14:textId="77777777" w:rsidR="0005512A" w:rsidRPr="002B2CFC" w:rsidRDefault="0005512A" w:rsidP="0005512A">
            <w:pPr>
              <w:spacing w:before="120" w:after="120"/>
              <w:rPr>
                <w:sz w:val="20"/>
              </w:rPr>
            </w:pPr>
            <w:r w:rsidRPr="002B2CFC">
              <w:rPr>
                <w:sz w:val="20"/>
              </w:rPr>
              <w:t>PQ-Cl</w:t>
            </w:r>
            <w:r w:rsidRPr="002B2CFC">
              <w:rPr>
                <w:sz w:val="20"/>
                <w:vertAlign w:val="subscript"/>
              </w:rPr>
              <w:t>2</w:t>
            </w:r>
          </w:p>
        </w:tc>
        <w:tc>
          <w:tcPr>
            <w:tcW w:w="1417" w:type="dxa"/>
            <w:vAlign w:val="center"/>
          </w:tcPr>
          <w:p w14:paraId="215DF661" w14:textId="77777777" w:rsidR="0005512A" w:rsidRPr="002B2CFC" w:rsidRDefault="0005512A" w:rsidP="0005512A">
            <w:pPr>
              <w:spacing w:before="120" w:after="120"/>
              <w:jc w:val="center"/>
              <w:rPr>
                <w:sz w:val="20"/>
              </w:rPr>
            </w:pPr>
            <w:r w:rsidRPr="002B2CFC">
              <w:rPr>
                <w:sz w:val="20"/>
              </w:rPr>
              <w:t>10</w:t>
            </w:r>
            <w:r w:rsidR="000352F7">
              <w:rPr>
                <w:sz w:val="20"/>
              </w:rPr>
              <w:t xml:space="preserve"> (7.2)</w:t>
            </w:r>
          </w:p>
        </w:tc>
        <w:tc>
          <w:tcPr>
            <w:tcW w:w="1418" w:type="dxa"/>
            <w:vAlign w:val="center"/>
          </w:tcPr>
          <w:p w14:paraId="2CC198D8" w14:textId="77777777" w:rsidR="0005512A" w:rsidRPr="002B2CFC" w:rsidRDefault="0005512A" w:rsidP="0005512A">
            <w:pPr>
              <w:spacing w:before="120" w:after="120"/>
              <w:jc w:val="center"/>
              <w:rPr>
                <w:sz w:val="20"/>
              </w:rPr>
            </w:pPr>
            <w:r w:rsidRPr="002B2CFC">
              <w:rPr>
                <w:sz w:val="20"/>
              </w:rPr>
              <w:t>10</w:t>
            </w:r>
          </w:p>
        </w:tc>
        <w:tc>
          <w:tcPr>
            <w:tcW w:w="1559" w:type="dxa"/>
            <w:vAlign w:val="center"/>
          </w:tcPr>
          <w:p w14:paraId="1A115363" w14:textId="77777777" w:rsidR="0005512A" w:rsidRPr="002B2CFC" w:rsidRDefault="0005512A" w:rsidP="0005512A">
            <w:pPr>
              <w:spacing w:before="120" w:after="120"/>
              <w:jc w:val="center"/>
              <w:rPr>
                <w:sz w:val="20"/>
              </w:rPr>
            </w:pPr>
            <w:r w:rsidRPr="002B2CFC">
              <w:rPr>
                <w:sz w:val="20"/>
              </w:rPr>
              <w:t>1</w:t>
            </w:r>
          </w:p>
        </w:tc>
        <w:tc>
          <w:tcPr>
            <w:tcW w:w="567" w:type="dxa"/>
            <w:vAlign w:val="center"/>
          </w:tcPr>
          <w:p w14:paraId="25B8CA4B" w14:textId="77777777" w:rsidR="0005512A" w:rsidRPr="002B2CFC" w:rsidRDefault="0005512A" w:rsidP="0005512A">
            <w:pPr>
              <w:spacing w:before="120" w:after="120"/>
              <w:jc w:val="center"/>
              <w:rPr>
                <w:sz w:val="20"/>
              </w:rPr>
            </w:pPr>
            <w:r w:rsidRPr="002B2CFC">
              <w:rPr>
                <w:sz w:val="20"/>
              </w:rPr>
              <w:t>20</w:t>
            </w:r>
          </w:p>
        </w:tc>
      </w:tr>
      <w:tr w:rsidR="0005512A" w:rsidRPr="002B2CFC" w14:paraId="578BC3D1" w14:textId="77777777" w:rsidTr="0005512A">
        <w:tc>
          <w:tcPr>
            <w:tcW w:w="1101" w:type="dxa"/>
            <w:vAlign w:val="center"/>
          </w:tcPr>
          <w:p w14:paraId="444E36E0" w14:textId="77777777" w:rsidR="0005512A" w:rsidRPr="002B2CFC" w:rsidRDefault="0005512A" w:rsidP="0005512A">
            <w:pPr>
              <w:spacing w:before="120" w:after="120"/>
              <w:jc w:val="center"/>
              <w:rPr>
                <w:b/>
                <w:sz w:val="20"/>
              </w:rPr>
            </w:pPr>
            <w:r w:rsidRPr="002B2CFC">
              <w:rPr>
                <w:b/>
                <w:sz w:val="20"/>
              </w:rPr>
              <w:t>3</w:t>
            </w:r>
          </w:p>
        </w:tc>
        <w:tc>
          <w:tcPr>
            <w:tcW w:w="2268" w:type="dxa"/>
          </w:tcPr>
          <w:p w14:paraId="079C0BC4" w14:textId="77777777" w:rsidR="0005512A" w:rsidRPr="002B2CFC" w:rsidRDefault="0005512A" w:rsidP="0005512A">
            <w:pPr>
              <w:spacing w:before="120" w:after="120"/>
              <w:rPr>
                <w:sz w:val="20"/>
              </w:rPr>
            </w:pPr>
            <w:r w:rsidRPr="002B2CFC">
              <w:rPr>
                <w:sz w:val="20"/>
              </w:rPr>
              <w:t>PQ-Cl</w:t>
            </w:r>
            <w:r w:rsidRPr="002B2CFC">
              <w:rPr>
                <w:sz w:val="20"/>
                <w:vertAlign w:val="subscript"/>
              </w:rPr>
              <w:t>2</w:t>
            </w:r>
          </w:p>
        </w:tc>
        <w:tc>
          <w:tcPr>
            <w:tcW w:w="1417" w:type="dxa"/>
            <w:vAlign w:val="center"/>
          </w:tcPr>
          <w:p w14:paraId="087C1042" w14:textId="77777777" w:rsidR="0005512A" w:rsidRPr="002B2CFC" w:rsidRDefault="0005512A" w:rsidP="0005512A">
            <w:pPr>
              <w:spacing w:before="120" w:after="120"/>
              <w:jc w:val="center"/>
              <w:rPr>
                <w:sz w:val="20"/>
              </w:rPr>
            </w:pPr>
            <w:r w:rsidRPr="002B2CFC">
              <w:rPr>
                <w:sz w:val="20"/>
              </w:rPr>
              <w:t>15</w:t>
            </w:r>
            <w:r w:rsidR="000352F7">
              <w:rPr>
                <w:sz w:val="20"/>
              </w:rPr>
              <w:t xml:space="preserve"> (10.9)</w:t>
            </w:r>
          </w:p>
        </w:tc>
        <w:tc>
          <w:tcPr>
            <w:tcW w:w="1418" w:type="dxa"/>
            <w:vAlign w:val="center"/>
          </w:tcPr>
          <w:p w14:paraId="1A887458" w14:textId="77777777" w:rsidR="0005512A" w:rsidRPr="002B2CFC" w:rsidRDefault="0005512A" w:rsidP="0005512A">
            <w:pPr>
              <w:spacing w:before="120" w:after="120"/>
              <w:jc w:val="center"/>
              <w:rPr>
                <w:sz w:val="20"/>
              </w:rPr>
            </w:pPr>
            <w:r w:rsidRPr="002B2CFC">
              <w:rPr>
                <w:sz w:val="20"/>
              </w:rPr>
              <w:t>10</w:t>
            </w:r>
          </w:p>
        </w:tc>
        <w:tc>
          <w:tcPr>
            <w:tcW w:w="1559" w:type="dxa"/>
            <w:vAlign w:val="center"/>
          </w:tcPr>
          <w:p w14:paraId="7FE40891" w14:textId="77777777" w:rsidR="0005512A" w:rsidRPr="002B2CFC" w:rsidRDefault="0005512A" w:rsidP="0005512A">
            <w:pPr>
              <w:spacing w:before="120" w:after="120"/>
              <w:jc w:val="center"/>
              <w:rPr>
                <w:sz w:val="20"/>
              </w:rPr>
            </w:pPr>
            <w:r w:rsidRPr="002B2CFC">
              <w:rPr>
                <w:sz w:val="20"/>
              </w:rPr>
              <w:t>1.5</w:t>
            </w:r>
          </w:p>
        </w:tc>
        <w:tc>
          <w:tcPr>
            <w:tcW w:w="567" w:type="dxa"/>
            <w:vAlign w:val="center"/>
          </w:tcPr>
          <w:p w14:paraId="6A299025" w14:textId="77777777" w:rsidR="0005512A" w:rsidRPr="002B2CFC" w:rsidRDefault="0005512A" w:rsidP="0005512A">
            <w:pPr>
              <w:spacing w:before="120" w:after="120"/>
              <w:jc w:val="center"/>
              <w:rPr>
                <w:sz w:val="20"/>
              </w:rPr>
            </w:pPr>
            <w:r w:rsidRPr="002B2CFC">
              <w:rPr>
                <w:sz w:val="20"/>
              </w:rPr>
              <w:t>20</w:t>
            </w:r>
          </w:p>
        </w:tc>
      </w:tr>
      <w:tr w:rsidR="0005512A" w:rsidRPr="002B2CFC" w14:paraId="281759B1" w14:textId="77777777" w:rsidTr="0005512A">
        <w:tc>
          <w:tcPr>
            <w:tcW w:w="1101" w:type="dxa"/>
            <w:vAlign w:val="center"/>
          </w:tcPr>
          <w:p w14:paraId="27E403BE" w14:textId="77777777" w:rsidR="0005512A" w:rsidRPr="002B2CFC" w:rsidRDefault="0005512A" w:rsidP="0005512A">
            <w:pPr>
              <w:spacing w:before="120" w:after="120"/>
              <w:jc w:val="center"/>
              <w:rPr>
                <w:b/>
                <w:sz w:val="20"/>
              </w:rPr>
            </w:pPr>
            <w:r w:rsidRPr="002B2CFC">
              <w:rPr>
                <w:b/>
                <w:sz w:val="20"/>
              </w:rPr>
              <w:t>4</w:t>
            </w:r>
          </w:p>
        </w:tc>
        <w:tc>
          <w:tcPr>
            <w:tcW w:w="2268" w:type="dxa"/>
          </w:tcPr>
          <w:p w14:paraId="71704931" w14:textId="77777777" w:rsidR="0005512A" w:rsidRPr="002B2CFC" w:rsidRDefault="0005512A" w:rsidP="0005512A">
            <w:pPr>
              <w:spacing w:before="120" w:after="120"/>
              <w:rPr>
                <w:sz w:val="20"/>
              </w:rPr>
            </w:pPr>
            <w:r w:rsidRPr="002B2CFC">
              <w:rPr>
                <w:sz w:val="20"/>
              </w:rPr>
              <w:t>PQ-Cl</w:t>
            </w:r>
            <w:r w:rsidRPr="002B2CFC">
              <w:rPr>
                <w:sz w:val="20"/>
                <w:vertAlign w:val="subscript"/>
              </w:rPr>
              <w:t>2</w:t>
            </w:r>
          </w:p>
        </w:tc>
        <w:tc>
          <w:tcPr>
            <w:tcW w:w="1417" w:type="dxa"/>
            <w:vAlign w:val="center"/>
          </w:tcPr>
          <w:p w14:paraId="7BB4CD57" w14:textId="77777777" w:rsidR="0005512A" w:rsidRPr="002B2CFC" w:rsidRDefault="0005512A" w:rsidP="0005512A">
            <w:pPr>
              <w:spacing w:before="120" w:after="120"/>
              <w:jc w:val="center"/>
              <w:rPr>
                <w:sz w:val="20"/>
              </w:rPr>
            </w:pPr>
            <w:r w:rsidRPr="002B2CFC">
              <w:rPr>
                <w:sz w:val="20"/>
              </w:rPr>
              <w:t>25</w:t>
            </w:r>
            <w:r w:rsidR="000352F7">
              <w:rPr>
                <w:sz w:val="20"/>
              </w:rPr>
              <w:t xml:space="preserve"> (18.1)</w:t>
            </w:r>
          </w:p>
        </w:tc>
        <w:tc>
          <w:tcPr>
            <w:tcW w:w="1418" w:type="dxa"/>
            <w:vAlign w:val="center"/>
          </w:tcPr>
          <w:p w14:paraId="62367C36" w14:textId="77777777" w:rsidR="0005512A" w:rsidRPr="002B2CFC" w:rsidRDefault="0005512A" w:rsidP="0005512A">
            <w:pPr>
              <w:spacing w:before="120" w:after="120"/>
              <w:jc w:val="center"/>
              <w:rPr>
                <w:sz w:val="20"/>
              </w:rPr>
            </w:pPr>
            <w:r w:rsidRPr="002B2CFC">
              <w:rPr>
                <w:sz w:val="20"/>
              </w:rPr>
              <w:t>10</w:t>
            </w:r>
          </w:p>
        </w:tc>
        <w:tc>
          <w:tcPr>
            <w:tcW w:w="1559" w:type="dxa"/>
            <w:vAlign w:val="center"/>
          </w:tcPr>
          <w:p w14:paraId="5F481C53" w14:textId="77777777" w:rsidR="0005512A" w:rsidRPr="002B2CFC" w:rsidRDefault="0005512A" w:rsidP="0005512A">
            <w:pPr>
              <w:spacing w:before="120" w:after="120"/>
              <w:jc w:val="center"/>
              <w:rPr>
                <w:sz w:val="20"/>
              </w:rPr>
            </w:pPr>
            <w:r w:rsidRPr="002B2CFC">
              <w:rPr>
                <w:sz w:val="20"/>
              </w:rPr>
              <w:t>2.5</w:t>
            </w:r>
          </w:p>
        </w:tc>
        <w:tc>
          <w:tcPr>
            <w:tcW w:w="567" w:type="dxa"/>
            <w:vAlign w:val="center"/>
          </w:tcPr>
          <w:p w14:paraId="6C738DE4" w14:textId="77777777" w:rsidR="0005512A" w:rsidRPr="002B2CFC" w:rsidRDefault="0005512A" w:rsidP="0005512A">
            <w:pPr>
              <w:spacing w:before="120" w:after="120"/>
              <w:jc w:val="center"/>
              <w:rPr>
                <w:sz w:val="20"/>
              </w:rPr>
            </w:pPr>
            <w:r w:rsidRPr="002B2CFC">
              <w:rPr>
                <w:sz w:val="20"/>
              </w:rPr>
              <w:t>20</w:t>
            </w:r>
          </w:p>
        </w:tc>
      </w:tr>
      <w:tr w:rsidR="0005512A" w:rsidRPr="002B2CFC" w14:paraId="2FAD72C6" w14:textId="77777777" w:rsidTr="0005512A">
        <w:tc>
          <w:tcPr>
            <w:tcW w:w="1101" w:type="dxa"/>
            <w:vAlign w:val="center"/>
          </w:tcPr>
          <w:p w14:paraId="22D8AA81" w14:textId="77777777" w:rsidR="0005512A" w:rsidRPr="002B2CFC" w:rsidRDefault="0005512A" w:rsidP="0005512A">
            <w:pPr>
              <w:spacing w:before="120" w:after="120"/>
              <w:jc w:val="center"/>
              <w:rPr>
                <w:b/>
                <w:sz w:val="20"/>
              </w:rPr>
            </w:pPr>
            <w:r w:rsidRPr="002B2CFC">
              <w:rPr>
                <w:b/>
                <w:sz w:val="20"/>
              </w:rPr>
              <w:t>5</w:t>
            </w:r>
          </w:p>
        </w:tc>
        <w:tc>
          <w:tcPr>
            <w:tcW w:w="2268" w:type="dxa"/>
          </w:tcPr>
          <w:p w14:paraId="6D11CA1D" w14:textId="77777777" w:rsidR="0005512A" w:rsidRPr="002B2CFC" w:rsidRDefault="0005512A" w:rsidP="0005512A">
            <w:pPr>
              <w:spacing w:before="120" w:after="120"/>
              <w:rPr>
                <w:sz w:val="20"/>
              </w:rPr>
            </w:pPr>
            <w:r w:rsidRPr="002B2CFC">
              <w:rPr>
                <w:sz w:val="20"/>
              </w:rPr>
              <w:t>MPTP (positive control)</w:t>
            </w:r>
          </w:p>
        </w:tc>
        <w:tc>
          <w:tcPr>
            <w:tcW w:w="1417" w:type="dxa"/>
            <w:vAlign w:val="center"/>
          </w:tcPr>
          <w:p w14:paraId="5E839DAA" w14:textId="77777777" w:rsidR="0005512A" w:rsidRPr="002B2CFC" w:rsidRDefault="0005512A" w:rsidP="0005512A">
            <w:pPr>
              <w:spacing w:before="120" w:after="120"/>
              <w:jc w:val="center"/>
              <w:rPr>
                <w:sz w:val="20"/>
              </w:rPr>
            </w:pPr>
            <w:r w:rsidRPr="002B2CFC">
              <w:rPr>
                <w:sz w:val="20"/>
              </w:rPr>
              <w:t>10</w:t>
            </w:r>
          </w:p>
        </w:tc>
        <w:tc>
          <w:tcPr>
            <w:tcW w:w="1418" w:type="dxa"/>
            <w:vAlign w:val="center"/>
          </w:tcPr>
          <w:p w14:paraId="7A446895" w14:textId="77777777" w:rsidR="0005512A" w:rsidRPr="002B2CFC" w:rsidRDefault="0005512A" w:rsidP="0005512A">
            <w:pPr>
              <w:spacing w:before="120" w:after="120"/>
              <w:jc w:val="center"/>
              <w:rPr>
                <w:sz w:val="20"/>
              </w:rPr>
            </w:pPr>
            <w:r w:rsidRPr="002B2CFC">
              <w:rPr>
                <w:sz w:val="20"/>
              </w:rPr>
              <w:t>2.5</w:t>
            </w:r>
          </w:p>
        </w:tc>
        <w:tc>
          <w:tcPr>
            <w:tcW w:w="1559" w:type="dxa"/>
            <w:vAlign w:val="center"/>
          </w:tcPr>
          <w:p w14:paraId="2D6D1690" w14:textId="77777777" w:rsidR="0005512A" w:rsidRPr="002B2CFC" w:rsidRDefault="0005512A" w:rsidP="0005512A">
            <w:pPr>
              <w:spacing w:before="120" w:after="120"/>
              <w:jc w:val="center"/>
              <w:rPr>
                <w:sz w:val="20"/>
              </w:rPr>
            </w:pPr>
            <w:r w:rsidRPr="002B2CFC">
              <w:rPr>
                <w:sz w:val="20"/>
              </w:rPr>
              <w:t>4</w:t>
            </w:r>
          </w:p>
        </w:tc>
        <w:tc>
          <w:tcPr>
            <w:tcW w:w="567" w:type="dxa"/>
            <w:vAlign w:val="center"/>
          </w:tcPr>
          <w:p w14:paraId="4D0764A9" w14:textId="77777777" w:rsidR="0005512A" w:rsidRPr="002B2CFC" w:rsidRDefault="0005512A" w:rsidP="0005512A">
            <w:pPr>
              <w:spacing w:before="120" w:after="120"/>
              <w:jc w:val="center"/>
              <w:rPr>
                <w:sz w:val="20"/>
              </w:rPr>
            </w:pPr>
            <w:r w:rsidRPr="002B2CFC">
              <w:rPr>
                <w:sz w:val="20"/>
              </w:rPr>
              <w:t>20</w:t>
            </w:r>
          </w:p>
        </w:tc>
      </w:tr>
      <w:tr w:rsidR="0005512A" w:rsidRPr="002B2CFC" w14:paraId="52267C16" w14:textId="77777777" w:rsidTr="0005512A">
        <w:tc>
          <w:tcPr>
            <w:tcW w:w="8330" w:type="dxa"/>
            <w:gridSpan w:val="6"/>
            <w:shd w:val="clear" w:color="auto" w:fill="D9D9D9" w:themeFill="background1" w:themeFillShade="D9"/>
            <w:vAlign w:val="center"/>
          </w:tcPr>
          <w:p w14:paraId="2C18E56E" w14:textId="77777777" w:rsidR="0005512A" w:rsidRPr="002B2CFC" w:rsidRDefault="0005512A" w:rsidP="0005512A">
            <w:pPr>
              <w:spacing w:before="120" w:after="120"/>
              <w:jc w:val="center"/>
              <w:rPr>
                <w:sz w:val="20"/>
              </w:rPr>
            </w:pPr>
            <w:r w:rsidRPr="002B2CFC">
              <w:rPr>
                <w:b/>
                <w:sz w:val="20"/>
              </w:rPr>
              <w:t>Neurochemistry groups</w:t>
            </w:r>
          </w:p>
        </w:tc>
      </w:tr>
      <w:tr w:rsidR="0005512A" w:rsidRPr="002B2CFC" w14:paraId="4873C72A" w14:textId="77777777" w:rsidTr="0005512A">
        <w:tc>
          <w:tcPr>
            <w:tcW w:w="1101" w:type="dxa"/>
            <w:vAlign w:val="center"/>
          </w:tcPr>
          <w:p w14:paraId="29732AA4" w14:textId="77777777" w:rsidR="0005512A" w:rsidRPr="002B2CFC" w:rsidRDefault="0005512A" w:rsidP="0005512A">
            <w:pPr>
              <w:spacing w:before="120" w:after="120"/>
              <w:jc w:val="center"/>
              <w:rPr>
                <w:b/>
                <w:sz w:val="20"/>
              </w:rPr>
            </w:pPr>
            <w:r w:rsidRPr="002B2CFC">
              <w:rPr>
                <w:b/>
                <w:sz w:val="20"/>
              </w:rPr>
              <w:t>6</w:t>
            </w:r>
          </w:p>
        </w:tc>
        <w:tc>
          <w:tcPr>
            <w:tcW w:w="2268" w:type="dxa"/>
          </w:tcPr>
          <w:p w14:paraId="42379677" w14:textId="77777777" w:rsidR="0005512A" w:rsidRPr="002B2CFC" w:rsidRDefault="0005512A" w:rsidP="0005512A">
            <w:pPr>
              <w:spacing w:before="120" w:after="120"/>
              <w:rPr>
                <w:sz w:val="20"/>
              </w:rPr>
            </w:pPr>
            <w:r w:rsidRPr="002B2CFC">
              <w:rPr>
                <w:sz w:val="20"/>
              </w:rPr>
              <w:t>Vehicle control</w:t>
            </w:r>
          </w:p>
        </w:tc>
        <w:tc>
          <w:tcPr>
            <w:tcW w:w="1417" w:type="dxa"/>
            <w:vAlign w:val="center"/>
          </w:tcPr>
          <w:p w14:paraId="6994389B" w14:textId="77777777" w:rsidR="0005512A" w:rsidRPr="002B2CFC" w:rsidRDefault="0005512A" w:rsidP="0005512A">
            <w:pPr>
              <w:spacing w:before="120" w:after="120"/>
              <w:jc w:val="center"/>
              <w:rPr>
                <w:sz w:val="20"/>
              </w:rPr>
            </w:pPr>
            <w:r w:rsidRPr="002B2CFC">
              <w:rPr>
                <w:sz w:val="20"/>
              </w:rPr>
              <w:t>0</w:t>
            </w:r>
          </w:p>
        </w:tc>
        <w:tc>
          <w:tcPr>
            <w:tcW w:w="1418" w:type="dxa"/>
            <w:vAlign w:val="center"/>
          </w:tcPr>
          <w:p w14:paraId="764C894B" w14:textId="77777777" w:rsidR="0005512A" w:rsidRPr="002B2CFC" w:rsidRDefault="0005512A" w:rsidP="0005512A">
            <w:pPr>
              <w:spacing w:before="120" w:after="120"/>
              <w:jc w:val="center"/>
              <w:rPr>
                <w:sz w:val="20"/>
              </w:rPr>
            </w:pPr>
            <w:r w:rsidRPr="002B2CFC">
              <w:rPr>
                <w:sz w:val="20"/>
              </w:rPr>
              <w:t>10</w:t>
            </w:r>
          </w:p>
        </w:tc>
        <w:tc>
          <w:tcPr>
            <w:tcW w:w="1559" w:type="dxa"/>
            <w:vAlign w:val="center"/>
          </w:tcPr>
          <w:p w14:paraId="713BED2B" w14:textId="77777777" w:rsidR="0005512A" w:rsidRPr="002B2CFC" w:rsidRDefault="0005512A" w:rsidP="0005512A">
            <w:pPr>
              <w:spacing w:before="120" w:after="120"/>
              <w:jc w:val="center"/>
              <w:rPr>
                <w:sz w:val="20"/>
              </w:rPr>
            </w:pPr>
            <w:r w:rsidRPr="002B2CFC">
              <w:rPr>
                <w:sz w:val="20"/>
              </w:rPr>
              <w:t>0</w:t>
            </w:r>
          </w:p>
        </w:tc>
        <w:tc>
          <w:tcPr>
            <w:tcW w:w="567" w:type="dxa"/>
            <w:vAlign w:val="center"/>
          </w:tcPr>
          <w:p w14:paraId="23066C41" w14:textId="77777777" w:rsidR="0005512A" w:rsidRPr="002B2CFC" w:rsidRDefault="0005512A" w:rsidP="0005512A">
            <w:pPr>
              <w:spacing w:before="120" w:after="120"/>
              <w:jc w:val="center"/>
              <w:rPr>
                <w:sz w:val="20"/>
              </w:rPr>
            </w:pPr>
            <w:r w:rsidRPr="002B2CFC">
              <w:rPr>
                <w:sz w:val="20"/>
              </w:rPr>
              <w:t>10</w:t>
            </w:r>
          </w:p>
        </w:tc>
      </w:tr>
      <w:tr w:rsidR="0005512A" w:rsidRPr="002B2CFC" w14:paraId="41A68A88" w14:textId="77777777" w:rsidTr="0005512A">
        <w:tc>
          <w:tcPr>
            <w:tcW w:w="1101" w:type="dxa"/>
            <w:vAlign w:val="center"/>
          </w:tcPr>
          <w:p w14:paraId="1CAC7006" w14:textId="77777777" w:rsidR="0005512A" w:rsidRPr="002B2CFC" w:rsidRDefault="0005512A" w:rsidP="0005512A">
            <w:pPr>
              <w:spacing w:before="120" w:after="120"/>
              <w:jc w:val="center"/>
              <w:rPr>
                <w:b/>
                <w:sz w:val="20"/>
              </w:rPr>
            </w:pPr>
            <w:r w:rsidRPr="002B2CFC">
              <w:rPr>
                <w:b/>
                <w:sz w:val="20"/>
              </w:rPr>
              <w:t>7</w:t>
            </w:r>
          </w:p>
        </w:tc>
        <w:tc>
          <w:tcPr>
            <w:tcW w:w="2268" w:type="dxa"/>
          </w:tcPr>
          <w:p w14:paraId="1E5260E3" w14:textId="77777777" w:rsidR="0005512A" w:rsidRPr="002B2CFC" w:rsidRDefault="0005512A" w:rsidP="0005512A">
            <w:pPr>
              <w:spacing w:before="120" w:after="120"/>
              <w:rPr>
                <w:sz w:val="20"/>
              </w:rPr>
            </w:pPr>
            <w:r w:rsidRPr="002B2CFC">
              <w:rPr>
                <w:sz w:val="20"/>
              </w:rPr>
              <w:t>PQ-Cl</w:t>
            </w:r>
            <w:r w:rsidRPr="002B2CFC">
              <w:rPr>
                <w:sz w:val="20"/>
                <w:vertAlign w:val="subscript"/>
              </w:rPr>
              <w:t>2</w:t>
            </w:r>
          </w:p>
        </w:tc>
        <w:tc>
          <w:tcPr>
            <w:tcW w:w="1417" w:type="dxa"/>
            <w:vAlign w:val="center"/>
          </w:tcPr>
          <w:p w14:paraId="595B9B9C" w14:textId="77777777" w:rsidR="0005512A" w:rsidRPr="002B2CFC" w:rsidRDefault="0005512A" w:rsidP="0005512A">
            <w:pPr>
              <w:spacing w:before="120" w:after="120"/>
              <w:jc w:val="center"/>
              <w:rPr>
                <w:sz w:val="20"/>
              </w:rPr>
            </w:pPr>
            <w:r w:rsidRPr="002B2CFC">
              <w:rPr>
                <w:sz w:val="20"/>
              </w:rPr>
              <w:t>15</w:t>
            </w:r>
            <w:r w:rsidR="000352F7">
              <w:rPr>
                <w:sz w:val="20"/>
              </w:rPr>
              <w:t xml:space="preserve"> (10.9)</w:t>
            </w:r>
          </w:p>
        </w:tc>
        <w:tc>
          <w:tcPr>
            <w:tcW w:w="1418" w:type="dxa"/>
            <w:vAlign w:val="center"/>
          </w:tcPr>
          <w:p w14:paraId="2A6DA3E3" w14:textId="77777777" w:rsidR="0005512A" w:rsidRPr="002B2CFC" w:rsidRDefault="0005512A" w:rsidP="0005512A">
            <w:pPr>
              <w:spacing w:before="120" w:after="120"/>
              <w:jc w:val="center"/>
              <w:rPr>
                <w:sz w:val="20"/>
              </w:rPr>
            </w:pPr>
            <w:r w:rsidRPr="002B2CFC">
              <w:rPr>
                <w:sz w:val="20"/>
              </w:rPr>
              <w:t>10</w:t>
            </w:r>
          </w:p>
        </w:tc>
        <w:tc>
          <w:tcPr>
            <w:tcW w:w="1559" w:type="dxa"/>
            <w:vAlign w:val="center"/>
          </w:tcPr>
          <w:p w14:paraId="4B350ABD" w14:textId="77777777" w:rsidR="0005512A" w:rsidRPr="002B2CFC" w:rsidRDefault="0005512A" w:rsidP="0005512A">
            <w:pPr>
              <w:spacing w:before="120" w:after="120"/>
              <w:jc w:val="center"/>
              <w:rPr>
                <w:sz w:val="20"/>
              </w:rPr>
            </w:pPr>
            <w:r w:rsidRPr="002B2CFC">
              <w:rPr>
                <w:sz w:val="20"/>
              </w:rPr>
              <w:t>1.5</w:t>
            </w:r>
          </w:p>
        </w:tc>
        <w:tc>
          <w:tcPr>
            <w:tcW w:w="567" w:type="dxa"/>
            <w:vAlign w:val="center"/>
          </w:tcPr>
          <w:p w14:paraId="4CE9D53E" w14:textId="77777777" w:rsidR="0005512A" w:rsidRPr="002B2CFC" w:rsidRDefault="0005512A" w:rsidP="0005512A">
            <w:pPr>
              <w:spacing w:before="120" w:after="120"/>
              <w:jc w:val="center"/>
              <w:rPr>
                <w:sz w:val="20"/>
              </w:rPr>
            </w:pPr>
            <w:r w:rsidRPr="002B2CFC">
              <w:rPr>
                <w:sz w:val="20"/>
              </w:rPr>
              <w:t>10</w:t>
            </w:r>
          </w:p>
        </w:tc>
      </w:tr>
      <w:tr w:rsidR="0005512A" w:rsidRPr="002B2CFC" w14:paraId="6E7A6CBA" w14:textId="77777777" w:rsidTr="0005512A">
        <w:tc>
          <w:tcPr>
            <w:tcW w:w="1101" w:type="dxa"/>
            <w:vAlign w:val="center"/>
          </w:tcPr>
          <w:p w14:paraId="2D1D6989" w14:textId="77777777" w:rsidR="0005512A" w:rsidRPr="002B2CFC" w:rsidRDefault="0005512A" w:rsidP="0005512A">
            <w:pPr>
              <w:spacing w:before="120" w:after="120"/>
              <w:jc w:val="center"/>
              <w:rPr>
                <w:b/>
                <w:sz w:val="20"/>
              </w:rPr>
            </w:pPr>
            <w:r w:rsidRPr="002B2CFC">
              <w:rPr>
                <w:b/>
                <w:sz w:val="20"/>
              </w:rPr>
              <w:t>8</w:t>
            </w:r>
          </w:p>
        </w:tc>
        <w:tc>
          <w:tcPr>
            <w:tcW w:w="2268" w:type="dxa"/>
          </w:tcPr>
          <w:p w14:paraId="5C667659" w14:textId="77777777" w:rsidR="0005512A" w:rsidRPr="002B2CFC" w:rsidRDefault="0005512A" w:rsidP="0005512A">
            <w:pPr>
              <w:spacing w:before="120" w:after="120"/>
              <w:rPr>
                <w:sz w:val="20"/>
              </w:rPr>
            </w:pPr>
            <w:r w:rsidRPr="002B2CFC">
              <w:rPr>
                <w:sz w:val="20"/>
              </w:rPr>
              <w:t>PQ-Cl</w:t>
            </w:r>
            <w:r w:rsidRPr="002B2CFC">
              <w:rPr>
                <w:sz w:val="20"/>
                <w:vertAlign w:val="subscript"/>
              </w:rPr>
              <w:t>2</w:t>
            </w:r>
          </w:p>
        </w:tc>
        <w:tc>
          <w:tcPr>
            <w:tcW w:w="1417" w:type="dxa"/>
            <w:vAlign w:val="center"/>
          </w:tcPr>
          <w:p w14:paraId="61D71C68" w14:textId="77777777" w:rsidR="0005512A" w:rsidRPr="002B2CFC" w:rsidRDefault="0005512A" w:rsidP="0005512A">
            <w:pPr>
              <w:spacing w:before="120" w:after="120"/>
              <w:jc w:val="center"/>
              <w:rPr>
                <w:sz w:val="20"/>
              </w:rPr>
            </w:pPr>
            <w:r w:rsidRPr="002B2CFC">
              <w:rPr>
                <w:sz w:val="20"/>
              </w:rPr>
              <w:t>25</w:t>
            </w:r>
            <w:r w:rsidR="000352F7">
              <w:rPr>
                <w:sz w:val="20"/>
              </w:rPr>
              <w:t xml:space="preserve"> (18.1)</w:t>
            </w:r>
          </w:p>
        </w:tc>
        <w:tc>
          <w:tcPr>
            <w:tcW w:w="1418" w:type="dxa"/>
            <w:vAlign w:val="center"/>
          </w:tcPr>
          <w:p w14:paraId="1469A716" w14:textId="77777777" w:rsidR="0005512A" w:rsidRPr="002B2CFC" w:rsidRDefault="0005512A" w:rsidP="0005512A">
            <w:pPr>
              <w:spacing w:before="120" w:after="120"/>
              <w:jc w:val="center"/>
              <w:rPr>
                <w:sz w:val="20"/>
              </w:rPr>
            </w:pPr>
            <w:r w:rsidRPr="002B2CFC">
              <w:rPr>
                <w:sz w:val="20"/>
              </w:rPr>
              <w:t>10</w:t>
            </w:r>
          </w:p>
        </w:tc>
        <w:tc>
          <w:tcPr>
            <w:tcW w:w="1559" w:type="dxa"/>
            <w:vAlign w:val="center"/>
          </w:tcPr>
          <w:p w14:paraId="343BC0A6" w14:textId="77777777" w:rsidR="0005512A" w:rsidRPr="002B2CFC" w:rsidRDefault="0005512A" w:rsidP="0005512A">
            <w:pPr>
              <w:spacing w:before="120" w:after="120"/>
              <w:jc w:val="center"/>
              <w:rPr>
                <w:sz w:val="20"/>
              </w:rPr>
            </w:pPr>
            <w:r w:rsidRPr="002B2CFC">
              <w:rPr>
                <w:sz w:val="20"/>
              </w:rPr>
              <w:t>2.5</w:t>
            </w:r>
          </w:p>
        </w:tc>
        <w:tc>
          <w:tcPr>
            <w:tcW w:w="567" w:type="dxa"/>
            <w:vAlign w:val="center"/>
          </w:tcPr>
          <w:p w14:paraId="735A68FB" w14:textId="77777777" w:rsidR="0005512A" w:rsidRPr="002B2CFC" w:rsidRDefault="0005512A" w:rsidP="0005512A">
            <w:pPr>
              <w:spacing w:before="120" w:after="120"/>
              <w:jc w:val="center"/>
              <w:rPr>
                <w:sz w:val="20"/>
              </w:rPr>
            </w:pPr>
            <w:r w:rsidRPr="002B2CFC">
              <w:rPr>
                <w:sz w:val="20"/>
              </w:rPr>
              <w:t>10</w:t>
            </w:r>
          </w:p>
        </w:tc>
      </w:tr>
      <w:tr w:rsidR="0005512A" w:rsidRPr="002B2CFC" w14:paraId="3B3F410D" w14:textId="77777777" w:rsidTr="0005512A">
        <w:tc>
          <w:tcPr>
            <w:tcW w:w="1101" w:type="dxa"/>
            <w:vAlign w:val="center"/>
          </w:tcPr>
          <w:p w14:paraId="69AA0C09" w14:textId="77777777" w:rsidR="0005512A" w:rsidRPr="002B2CFC" w:rsidRDefault="0005512A" w:rsidP="0005512A">
            <w:pPr>
              <w:spacing w:before="120" w:after="120"/>
              <w:jc w:val="center"/>
              <w:rPr>
                <w:b/>
                <w:sz w:val="20"/>
              </w:rPr>
            </w:pPr>
            <w:r w:rsidRPr="002B2CFC">
              <w:rPr>
                <w:b/>
                <w:sz w:val="20"/>
              </w:rPr>
              <w:t>9</w:t>
            </w:r>
          </w:p>
        </w:tc>
        <w:tc>
          <w:tcPr>
            <w:tcW w:w="2268" w:type="dxa"/>
          </w:tcPr>
          <w:p w14:paraId="3B9CA7D6" w14:textId="77777777" w:rsidR="0005512A" w:rsidRPr="002B2CFC" w:rsidRDefault="0005512A" w:rsidP="0005512A">
            <w:pPr>
              <w:spacing w:before="120" w:after="120"/>
              <w:rPr>
                <w:sz w:val="20"/>
              </w:rPr>
            </w:pPr>
            <w:r w:rsidRPr="002B2CFC">
              <w:rPr>
                <w:sz w:val="20"/>
              </w:rPr>
              <w:t>MPTP (positive control)</w:t>
            </w:r>
          </w:p>
        </w:tc>
        <w:tc>
          <w:tcPr>
            <w:tcW w:w="1417" w:type="dxa"/>
            <w:vAlign w:val="center"/>
          </w:tcPr>
          <w:p w14:paraId="03DF8C2C" w14:textId="77777777" w:rsidR="0005512A" w:rsidRPr="002B2CFC" w:rsidRDefault="0005512A" w:rsidP="0005512A">
            <w:pPr>
              <w:spacing w:before="120" w:after="120"/>
              <w:jc w:val="center"/>
              <w:rPr>
                <w:sz w:val="20"/>
              </w:rPr>
            </w:pPr>
            <w:r w:rsidRPr="002B2CFC">
              <w:rPr>
                <w:sz w:val="20"/>
              </w:rPr>
              <w:t>10</w:t>
            </w:r>
          </w:p>
        </w:tc>
        <w:tc>
          <w:tcPr>
            <w:tcW w:w="1418" w:type="dxa"/>
            <w:vAlign w:val="center"/>
          </w:tcPr>
          <w:p w14:paraId="321115C7" w14:textId="77777777" w:rsidR="0005512A" w:rsidRPr="002B2CFC" w:rsidRDefault="0005512A" w:rsidP="0005512A">
            <w:pPr>
              <w:spacing w:before="120" w:after="120"/>
              <w:jc w:val="center"/>
              <w:rPr>
                <w:sz w:val="20"/>
              </w:rPr>
            </w:pPr>
            <w:r w:rsidRPr="002B2CFC">
              <w:rPr>
                <w:sz w:val="20"/>
              </w:rPr>
              <w:t>2.5</w:t>
            </w:r>
          </w:p>
        </w:tc>
        <w:tc>
          <w:tcPr>
            <w:tcW w:w="1559" w:type="dxa"/>
            <w:vAlign w:val="center"/>
          </w:tcPr>
          <w:p w14:paraId="547D4A0F" w14:textId="77777777" w:rsidR="0005512A" w:rsidRPr="002B2CFC" w:rsidRDefault="0005512A" w:rsidP="0005512A">
            <w:pPr>
              <w:spacing w:before="120" w:after="120"/>
              <w:jc w:val="center"/>
              <w:rPr>
                <w:sz w:val="20"/>
              </w:rPr>
            </w:pPr>
            <w:r w:rsidRPr="002B2CFC">
              <w:rPr>
                <w:sz w:val="20"/>
              </w:rPr>
              <w:t>4</w:t>
            </w:r>
          </w:p>
        </w:tc>
        <w:tc>
          <w:tcPr>
            <w:tcW w:w="567" w:type="dxa"/>
            <w:vAlign w:val="center"/>
          </w:tcPr>
          <w:p w14:paraId="658F0853" w14:textId="77777777" w:rsidR="0005512A" w:rsidRPr="002B2CFC" w:rsidRDefault="0005512A" w:rsidP="0005512A">
            <w:pPr>
              <w:spacing w:before="120" w:after="120"/>
              <w:jc w:val="center"/>
              <w:rPr>
                <w:sz w:val="20"/>
              </w:rPr>
            </w:pPr>
            <w:r w:rsidRPr="002B2CFC">
              <w:rPr>
                <w:sz w:val="20"/>
              </w:rPr>
              <w:t>10</w:t>
            </w:r>
          </w:p>
        </w:tc>
      </w:tr>
    </w:tbl>
    <w:p w14:paraId="04AF74F4" w14:textId="77777777" w:rsidR="0005512A" w:rsidRPr="002B2CFC" w:rsidRDefault="0005512A" w:rsidP="0005512A">
      <w:pPr>
        <w:rPr>
          <w:sz w:val="20"/>
        </w:rPr>
      </w:pPr>
      <w:r w:rsidRPr="002B2CFC">
        <w:rPr>
          <w:sz w:val="20"/>
          <w:vertAlign w:val="superscript"/>
        </w:rPr>
        <w:t>*</w:t>
      </w:r>
      <w:r w:rsidRPr="002B2CFC">
        <w:rPr>
          <w:sz w:val="20"/>
        </w:rPr>
        <w:t xml:space="preserve"> </w:t>
      </w:r>
      <w:r>
        <w:rPr>
          <w:sz w:val="20"/>
        </w:rPr>
        <w:t>Groups receiving paraquat dichloride or vehicle only</w:t>
      </w:r>
      <w:r w:rsidRPr="002B2CFC">
        <w:rPr>
          <w:sz w:val="20"/>
        </w:rPr>
        <w:t xml:space="preserve"> received ip injections on study days 0, 7 and 14. Positive controls mice received ip injections x 4 on study day 14 (total dose 40 mg/kg bw).</w:t>
      </w:r>
    </w:p>
    <w:p w14:paraId="5A267753" w14:textId="77777777" w:rsidR="0005512A" w:rsidRPr="002B2CFC" w:rsidRDefault="0005512A" w:rsidP="0005512A">
      <w:pPr>
        <w:rPr>
          <w:sz w:val="20"/>
        </w:rPr>
      </w:pPr>
      <w:r w:rsidRPr="002B2CFC">
        <w:rPr>
          <w:sz w:val="20"/>
          <w:vertAlign w:val="superscript"/>
        </w:rPr>
        <w:t>#</w:t>
      </w:r>
      <w:r w:rsidRPr="002B2CFC">
        <w:rPr>
          <w:sz w:val="20"/>
        </w:rPr>
        <w:t xml:space="preserve"> 10 mice/group were used for a chromogenic procedure, and another 10 mice/group for a fluorescent procedure. Five additional mice (assigned to group 1) were added as controls for calibration of stereology parameters.</w:t>
      </w:r>
    </w:p>
    <w:p w14:paraId="10BC9E52" w14:textId="77777777" w:rsidR="0005512A" w:rsidRPr="002B2CFC" w:rsidRDefault="0005512A" w:rsidP="0005512A">
      <w:pPr>
        <w:spacing w:before="120" w:after="120"/>
        <w:rPr>
          <w:szCs w:val="24"/>
        </w:rPr>
      </w:pPr>
      <w:r w:rsidRPr="002B2CFC">
        <w:rPr>
          <w:szCs w:val="24"/>
        </w:rPr>
        <w:t xml:space="preserve">Mice were </w:t>
      </w:r>
      <w:r>
        <w:rPr>
          <w:szCs w:val="24"/>
        </w:rPr>
        <w:t>acclimated</w:t>
      </w:r>
      <w:r w:rsidRPr="002B2CFC">
        <w:rPr>
          <w:szCs w:val="24"/>
        </w:rPr>
        <w:t xml:space="preserve"> for approximately 3-5 weeks prior to study commencement and housed individually in standard laboratory conditions (temp 21.3-21.5º C, 41.9-49.3 % humidity, 12-hour light/dark cycle, min 10 fresh air changes per hour). Feed was </w:t>
      </w:r>
      <w:r>
        <w:rPr>
          <w:szCs w:val="24"/>
        </w:rPr>
        <w:t>available</w:t>
      </w:r>
      <w:r w:rsidRPr="002B2CFC">
        <w:rPr>
          <w:szCs w:val="24"/>
        </w:rPr>
        <w:t xml:space="preserve"> </w:t>
      </w:r>
      <w:r w:rsidRPr="002B2CFC">
        <w:rPr>
          <w:i/>
          <w:szCs w:val="24"/>
        </w:rPr>
        <w:t>ad libitum</w:t>
      </w:r>
      <w:r w:rsidRPr="002B2CFC">
        <w:rPr>
          <w:szCs w:val="24"/>
        </w:rPr>
        <w:t>. Dosing formulations were prepared weekly</w:t>
      </w:r>
      <w:r>
        <w:rPr>
          <w:szCs w:val="24"/>
        </w:rPr>
        <w:t xml:space="preserve"> and analysis showed the preparations to be </w:t>
      </w:r>
      <w:r w:rsidRPr="002B2CFC">
        <w:rPr>
          <w:szCs w:val="24"/>
        </w:rPr>
        <w:t>within WIL Research SOP range (90-110% of target)</w:t>
      </w:r>
      <w:r>
        <w:rPr>
          <w:szCs w:val="24"/>
        </w:rPr>
        <w:t xml:space="preserve"> </w:t>
      </w:r>
      <w:r w:rsidRPr="002B2CFC">
        <w:rPr>
          <w:szCs w:val="24"/>
        </w:rPr>
        <w:t>(Beck, 2012d).</w:t>
      </w:r>
    </w:p>
    <w:p w14:paraId="2F126A3C" w14:textId="77777777" w:rsidR="0005512A" w:rsidRPr="002B2CFC" w:rsidRDefault="0005512A" w:rsidP="0005512A">
      <w:pPr>
        <w:spacing w:before="120" w:after="120"/>
        <w:rPr>
          <w:szCs w:val="24"/>
        </w:rPr>
      </w:pPr>
      <w:r w:rsidRPr="002B2CFC">
        <w:rPr>
          <w:szCs w:val="24"/>
        </w:rPr>
        <w:t>Animals were observed twice daily for mortality</w:t>
      </w:r>
      <w:r w:rsidR="005A10DF">
        <w:rPr>
          <w:szCs w:val="24"/>
        </w:rPr>
        <w:t>/</w:t>
      </w:r>
      <w:r w:rsidRPr="002B2CFC">
        <w:rPr>
          <w:szCs w:val="24"/>
        </w:rPr>
        <w:t xml:space="preserve">moribundity and clinical observations were recorded weekly. Mice were also observed for signs of toxicity at approximately 1 hour following dose administration (study days 0, 7 and 14 for control and paraquat treated mice, and day 14 only for MPTP treated mice). Body weight and food consumption were recorded </w:t>
      </w:r>
      <w:r w:rsidRPr="002B2CFC">
        <w:rPr>
          <w:szCs w:val="24"/>
        </w:rPr>
        <w:lastRenderedPageBreak/>
        <w:t>weekly, beginning 2 weeks prior to the commencement of injections. These were also measured on study days 0, 1, 2, 7, 8, 9, 14, 15, 16 and 21.  Food intake was calculated as g/animal/day.</w:t>
      </w:r>
    </w:p>
    <w:p w14:paraId="70824D58" w14:textId="77777777" w:rsidR="0005512A" w:rsidRPr="002B2CFC" w:rsidRDefault="0005512A" w:rsidP="0005512A">
      <w:pPr>
        <w:spacing w:before="120" w:after="120"/>
        <w:rPr>
          <w:szCs w:val="24"/>
        </w:rPr>
      </w:pPr>
      <w:r w:rsidRPr="002B2CFC">
        <w:rPr>
          <w:szCs w:val="24"/>
        </w:rPr>
        <w:t xml:space="preserve">A </w:t>
      </w:r>
      <w:r w:rsidR="005A10DF">
        <w:rPr>
          <w:szCs w:val="24"/>
        </w:rPr>
        <w:t xml:space="preserve">complete gross </w:t>
      </w:r>
      <w:r w:rsidRPr="002B2CFC">
        <w:rPr>
          <w:szCs w:val="24"/>
        </w:rPr>
        <w:t xml:space="preserve">necropsy was performed on all animals found dead. The kidneys, lungs and gross lesions were preserved for possible future histopathology. Scheduled euthanasia occurred on study day 21 (7 days after the final dose). Euthanasia, necropsy, collection of brain tissue and subsequent processing of tissue samples were conducted differently for neurochemistry and stereology groups: </w:t>
      </w:r>
    </w:p>
    <w:p w14:paraId="51DE2918" w14:textId="77777777" w:rsidR="0005512A" w:rsidRPr="002B2CFC" w:rsidRDefault="0005512A" w:rsidP="0005512A">
      <w:pPr>
        <w:numPr>
          <w:ilvl w:val="0"/>
          <w:numId w:val="8"/>
        </w:numPr>
        <w:spacing w:before="120" w:after="120"/>
        <w:contextualSpacing/>
        <w:rPr>
          <w:szCs w:val="24"/>
          <w:u w:val="single"/>
        </w:rPr>
      </w:pPr>
      <w:r w:rsidRPr="002B2CFC">
        <w:rPr>
          <w:szCs w:val="24"/>
          <w:u w:val="single"/>
        </w:rPr>
        <w:t>Stereology groups (Groups 1-5)</w:t>
      </w:r>
    </w:p>
    <w:p w14:paraId="52DB6EEF" w14:textId="77777777" w:rsidR="0005512A" w:rsidRPr="002B2CFC" w:rsidRDefault="0005512A" w:rsidP="0005512A">
      <w:pPr>
        <w:spacing w:before="120" w:after="120"/>
        <w:rPr>
          <w:szCs w:val="24"/>
        </w:rPr>
      </w:pPr>
      <w:r w:rsidRPr="002B2CFC">
        <w:rPr>
          <w:szCs w:val="24"/>
        </w:rPr>
        <w:t xml:space="preserve">Surviving mice were </w:t>
      </w:r>
      <w:r w:rsidR="00972C6E">
        <w:rPr>
          <w:szCs w:val="24"/>
        </w:rPr>
        <w:t>a</w:t>
      </w:r>
      <w:r w:rsidRPr="002B2CFC">
        <w:rPr>
          <w:szCs w:val="24"/>
        </w:rPr>
        <w:t xml:space="preserve">naesthetised </w:t>
      </w:r>
      <w:r w:rsidR="00972C6E">
        <w:rPr>
          <w:szCs w:val="24"/>
        </w:rPr>
        <w:t>(</w:t>
      </w:r>
      <w:r w:rsidRPr="002B2CFC">
        <w:rPr>
          <w:szCs w:val="24"/>
        </w:rPr>
        <w:t>ipsodium pentobarbital</w:t>
      </w:r>
      <w:r w:rsidR="00972C6E">
        <w:rPr>
          <w:szCs w:val="24"/>
        </w:rPr>
        <w:t>)</w:t>
      </w:r>
      <w:r w:rsidRPr="002B2CFC">
        <w:rPr>
          <w:szCs w:val="24"/>
        </w:rPr>
        <w:t xml:space="preserve"> and perfused </w:t>
      </w:r>
      <w:r w:rsidRPr="002B2CFC">
        <w:rPr>
          <w:i/>
          <w:szCs w:val="24"/>
        </w:rPr>
        <w:t>in situ</w:t>
      </w:r>
      <w:r w:rsidRPr="002B2CFC">
        <w:rPr>
          <w:szCs w:val="24"/>
        </w:rPr>
        <w:t>. The mice were flushed with buffered saline</w:t>
      </w:r>
      <w:r>
        <w:rPr>
          <w:szCs w:val="24"/>
        </w:rPr>
        <w:t xml:space="preserve">, </w:t>
      </w:r>
      <w:r w:rsidRPr="002B2CFC">
        <w:rPr>
          <w:szCs w:val="24"/>
        </w:rPr>
        <w:t>followed by paraformaldehyde</w:t>
      </w:r>
      <w:r>
        <w:rPr>
          <w:szCs w:val="24"/>
        </w:rPr>
        <w:t>. T</w:t>
      </w:r>
      <w:r w:rsidRPr="002B2CFC">
        <w:rPr>
          <w:szCs w:val="24"/>
        </w:rPr>
        <w:t>he head was removed and the brain (including olfactory bulbs) removed from the skull</w:t>
      </w:r>
      <w:r>
        <w:rPr>
          <w:szCs w:val="24"/>
        </w:rPr>
        <w:t>,</w:t>
      </w:r>
      <w:r w:rsidRPr="002B2CFC">
        <w:rPr>
          <w:szCs w:val="24"/>
        </w:rPr>
        <w:t xml:space="preserve"> dissected and preserved. Lungs and kidneys were also collected and preserved for possible future histological examination. The brain tissue was sent to another laboratory (Experimental Pathology Laboratories, Inc.) where the midbrain region was isolated and </w:t>
      </w:r>
      <w:r>
        <w:rPr>
          <w:szCs w:val="24"/>
        </w:rPr>
        <w:t xml:space="preserve">fixed </w:t>
      </w:r>
      <w:r w:rsidRPr="002B2CFC">
        <w:rPr>
          <w:szCs w:val="24"/>
        </w:rPr>
        <w:t>(</w:t>
      </w:r>
      <w:r>
        <w:rPr>
          <w:szCs w:val="24"/>
        </w:rPr>
        <w:t>paraformaldehyde (</w:t>
      </w:r>
      <w:r w:rsidRPr="002B2CFC">
        <w:rPr>
          <w:szCs w:val="24"/>
        </w:rPr>
        <w:t>PFA</w:t>
      </w:r>
      <w:r>
        <w:rPr>
          <w:szCs w:val="24"/>
        </w:rPr>
        <w:t>)</w:t>
      </w:r>
      <w:r w:rsidRPr="002B2CFC">
        <w:rPr>
          <w:szCs w:val="24"/>
        </w:rPr>
        <w:t xml:space="preserve">). </w:t>
      </w:r>
      <w:r>
        <w:rPr>
          <w:szCs w:val="24"/>
        </w:rPr>
        <w:t>T</w:t>
      </w:r>
      <w:r w:rsidRPr="002B2CFC">
        <w:rPr>
          <w:szCs w:val="24"/>
        </w:rPr>
        <w:t xml:space="preserve">he samples were transferred to </w:t>
      </w:r>
      <w:r>
        <w:rPr>
          <w:szCs w:val="24"/>
        </w:rPr>
        <w:t>s</w:t>
      </w:r>
      <w:r w:rsidRPr="002B2CFC">
        <w:rPr>
          <w:szCs w:val="24"/>
        </w:rPr>
        <w:t>ucrose solution</w:t>
      </w:r>
      <w:r>
        <w:rPr>
          <w:szCs w:val="24"/>
        </w:rPr>
        <w:t>s</w:t>
      </w:r>
      <w:r w:rsidR="0002283E">
        <w:rPr>
          <w:szCs w:val="24"/>
        </w:rPr>
        <w:t xml:space="preserve"> </w:t>
      </w:r>
      <w:r w:rsidRPr="002B2CFC">
        <w:rPr>
          <w:szCs w:val="24"/>
        </w:rPr>
        <w:t>prior to flash freezing</w:t>
      </w:r>
      <w:r w:rsidR="0002283E">
        <w:rPr>
          <w:szCs w:val="24"/>
        </w:rPr>
        <w:t xml:space="preserve"> and stored </w:t>
      </w:r>
      <w:r w:rsidRPr="002B2CFC">
        <w:rPr>
          <w:szCs w:val="24"/>
        </w:rPr>
        <w:t>until sectioning and staining.</w:t>
      </w:r>
    </w:p>
    <w:p w14:paraId="473BB245" w14:textId="041BDAE9" w:rsidR="0005512A" w:rsidRPr="002B2CFC" w:rsidRDefault="0005512A" w:rsidP="0005512A">
      <w:pPr>
        <w:spacing w:before="120" w:after="120"/>
        <w:rPr>
          <w:szCs w:val="24"/>
        </w:rPr>
      </w:pPr>
      <w:r w:rsidRPr="002B2CFC">
        <w:rPr>
          <w:szCs w:val="24"/>
        </w:rPr>
        <w:t xml:space="preserve">Tissues were sectioned serially in the coronal plane (ie. transversely along the rostral-caudal axis) and every third section was stained. This was conducted differently for chromogenic and fluorescent staining techniques, as </w:t>
      </w:r>
      <w:r w:rsidRPr="005A10DF">
        <w:rPr>
          <w:szCs w:val="24"/>
        </w:rPr>
        <w:t>shown</w:t>
      </w:r>
      <w:r w:rsidR="005A10DF" w:rsidRPr="005A10DF">
        <w:rPr>
          <w:szCs w:val="24"/>
        </w:rPr>
        <w:t xml:space="preserve"> (</w:t>
      </w:r>
      <w:r w:rsidR="00F07346">
        <w:fldChar w:fldCharType="begin"/>
      </w:r>
      <w:r w:rsidR="00F07346">
        <w:instrText xml:space="preserve"> REF _Ref421027629 \h  \* MERGEFORMAT </w:instrText>
      </w:r>
      <w:r w:rsidR="00F07346">
        <w:fldChar w:fldCharType="separate"/>
      </w:r>
      <w:r w:rsidR="000E54B2" w:rsidRPr="000E54B2">
        <w:rPr>
          <w:bCs/>
          <w:szCs w:val="24"/>
        </w:rPr>
        <w:t xml:space="preserve">Table </w:t>
      </w:r>
      <w:r w:rsidR="000E54B2" w:rsidRPr="000E54B2">
        <w:rPr>
          <w:bCs/>
          <w:noProof/>
          <w:szCs w:val="24"/>
        </w:rPr>
        <w:t>16</w:t>
      </w:r>
      <w:r w:rsidR="00F07346">
        <w:fldChar w:fldCharType="end"/>
      </w:r>
      <w:r w:rsidR="00714492">
        <w:t xml:space="preserve"> </w:t>
      </w:r>
      <w:r w:rsidR="003A31EB">
        <w:fldChar w:fldCharType="begin"/>
      </w:r>
      <w:r w:rsidR="003A31EB">
        <w:instrText xml:space="preserve"> REF _Ref459037517 \p </w:instrText>
      </w:r>
      <w:r w:rsidR="003A31EB">
        <w:fldChar w:fldCharType="separate"/>
      </w:r>
      <w:r w:rsidR="000E54B2">
        <w:t>below</w:t>
      </w:r>
      <w:r w:rsidR="003A31EB">
        <w:fldChar w:fldCharType="end"/>
      </w:r>
      <w:r w:rsidR="005A10DF" w:rsidRPr="005A10DF">
        <w:rPr>
          <w:szCs w:val="24"/>
        </w:rPr>
        <w:t>)</w:t>
      </w:r>
      <w:r w:rsidRPr="005A10DF">
        <w:rPr>
          <w:szCs w:val="24"/>
        </w:rPr>
        <w:t>:</w:t>
      </w:r>
    </w:p>
    <w:p w14:paraId="5832ED09" w14:textId="77777777" w:rsidR="0005512A" w:rsidRPr="00F94F21" w:rsidRDefault="0005512A" w:rsidP="0005512A">
      <w:pPr>
        <w:spacing w:after="120"/>
        <w:rPr>
          <w:b/>
          <w:bCs/>
          <w:sz w:val="20"/>
          <w:szCs w:val="18"/>
        </w:rPr>
      </w:pPr>
      <w:bookmarkStart w:id="90" w:name="_Ref421027629"/>
      <w:bookmarkStart w:id="91" w:name="_Ref459037517"/>
      <w:r w:rsidRPr="00F94F21">
        <w:rPr>
          <w:b/>
          <w:bCs/>
          <w:sz w:val="20"/>
          <w:szCs w:val="18"/>
        </w:rPr>
        <w:t xml:space="preserve">Table </w:t>
      </w:r>
      <w:r w:rsidR="00897462" w:rsidRPr="00F94F21">
        <w:rPr>
          <w:b/>
          <w:bCs/>
          <w:sz w:val="20"/>
          <w:szCs w:val="18"/>
        </w:rPr>
        <w:fldChar w:fldCharType="begin"/>
      </w:r>
      <w:r w:rsidRPr="00F94F21">
        <w:rPr>
          <w:b/>
          <w:bCs/>
          <w:sz w:val="20"/>
          <w:szCs w:val="18"/>
        </w:rPr>
        <w:instrText xml:space="preserve"> SEQ Table \* ARABIC </w:instrText>
      </w:r>
      <w:r w:rsidR="00897462" w:rsidRPr="00F94F21">
        <w:rPr>
          <w:b/>
          <w:bCs/>
          <w:sz w:val="20"/>
          <w:szCs w:val="18"/>
        </w:rPr>
        <w:fldChar w:fldCharType="separate"/>
      </w:r>
      <w:r w:rsidR="000E54B2">
        <w:rPr>
          <w:b/>
          <w:bCs/>
          <w:noProof/>
          <w:sz w:val="20"/>
          <w:szCs w:val="18"/>
        </w:rPr>
        <w:t>16</w:t>
      </w:r>
      <w:r w:rsidR="00897462" w:rsidRPr="00F94F21">
        <w:rPr>
          <w:b/>
          <w:bCs/>
          <w:sz w:val="20"/>
          <w:szCs w:val="18"/>
        </w:rPr>
        <w:fldChar w:fldCharType="end"/>
      </w:r>
      <w:bookmarkEnd w:id="90"/>
      <w:r w:rsidRPr="00F94F21">
        <w:rPr>
          <w:b/>
          <w:bCs/>
          <w:sz w:val="20"/>
          <w:szCs w:val="18"/>
        </w:rPr>
        <w:t>. Stereology staining summary</w:t>
      </w:r>
      <w:bookmarkEnd w:id="91"/>
    </w:p>
    <w:tbl>
      <w:tblPr>
        <w:tblStyle w:val="TableGrid2"/>
        <w:tblW w:w="0" w:type="auto"/>
        <w:tblLook w:val="04A0" w:firstRow="1" w:lastRow="0" w:firstColumn="1" w:lastColumn="0" w:noHBand="0" w:noVBand="1"/>
      </w:tblPr>
      <w:tblGrid>
        <w:gridCol w:w="2066"/>
        <w:gridCol w:w="1128"/>
        <w:gridCol w:w="2102"/>
        <w:gridCol w:w="1540"/>
        <w:gridCol w:w="2181"/>
      </w:tblGrid>
      <w:tr w:rsidR="0005512A" w:rsidRPr="00F94F21" w14:paraId="7F8E3D24" w14:textId="77777777" w:rsidTr="00C34954">
        <w:tc>
          <w:tcPr>
            <w:tcW w:w="2093" w:type="dxa"/>
            <w:vMerge w:val="restart"/>
            <w:shd w:val="clear" w:color="auto" w:fill="BFBFBF" w:themeFill="background1" w:themeFillShade="BF"/>
            <w:vAlign w:val="bottom"/>
          </w:tcPr>
          <w:p w14:paraId="34BC68A8" w14:textId="77777777" w:rsidR="0005512A" w:rsidRPr="00C67EAD" w:rsidRDefault="0005512A" w:rsidP="0005512A">
            <w:pPr>
              <w:spacing w:before="120" w:after="120"/>
              <w:rPr>
                <w:b/>
                <w:sz w:val="20"/>
              </w:rPr>
            </w:pPr>
            <w:r w:rsidRPr="00271D89">
              <w:rPr>
                <w:b/>
                <w:sz w:val="20"/>
              </w:rPr>
              <w:t>Staining type</w:t>
            </w:r>
          </w:p>
          <w:p w14:paraId="3B07CE92" w14:textId="77777777" w:rsidR="00271D89" w:rsidRPr="00F01A80" w:rsidRDefault="00271D89" w:rsidP="0005512A">
            <w:pPr>
              <w:spacing w:before="120" w:after="120"/>
              <w:rPr>
                <w:b/>
                <w:sz w:val="20"/>
              </w:rPr>
            </w:pPr>
            <w:r w:rsidRPr="00271D89">
              <w:rPr>
                <w:b/>
                <w:sz w:val="20"/>
              </w:rPr>
              <w:t>(antib</w:t>
            </w:r>
            <w:r w:rsidRPr="00F01A80">
              <w:rPr>
                <w:b/>
                <w:sz w:val="20"/>
              </w:rPr>
              <w:t>ody used)</w:t>
            </w:r>
          </w:p>
        </w:tc>
        <w:tc>
          <w:tcPr>
            <w:tcW w:w="1134" w:type="dxa"/>
            <w:vMerge w:val="restart"/>
            <w:shd w:val="clear" w:color="auto" w:fill="BFBFBF" w:themeFill="background1" w:themeFillShade="BF"/>
            <w:vAlign w:val="center"/>
          </w:tcPr>
          <w:p w14:paraId="358C9334" w14:textId="77777777" w:rsidR="0005512A" w:rsidRPr="00F94F21" w:rsidRDefault="0005512A" w:rsidP="0005512A">
            <w:pPr>
              <w:spacing w:before="120" w:after="120"/>
              <w:jc w:val="center"/>
              <w:rPr>
                <w:b/>
                <w:sz w:val="20"/>
              </w:rPr>
            </w:pPr>
            <w:r w:rsidRPr="00F94F21">
              <w:rPr>
                <w:b/>
                <w:sz w:val="20"/>
              </w:rPr>
              <w:t>Section thickness (µm)</w:t>
            </w:r>
          </w:p>
        </w:tc>
        <w:tc>
          <w:tcPr>
            <w:tcW w:w="5916" w:type="dxa"/>
            <w:gridSpan w:val="3"/>
            <w:shd w:val="clear" w:color="auto" w:fill="BFBFBF" w:themeFill="background1" w:themeFillShade="BF"/>
            <w:vAlign w:val="center"/>
          </w:tcPr>
          <w:p w14:paraId="6CF7F566" w14:textId="77777777" w:rsidR="0005512A" w:rsidRPr="00F94F21" w:rsidRDefault="0005512A" w:rsidP="0005512A">
            <w:pPr>
              <w:spacing w:before="120" w:after="120"/>
              <w:jc w:val="center"/>
              <w:rPr>
                <w:b/>
                <w:sz w:val="20"/>
              </w:rPr>
            </w:pPr>
            <w:r w:rsidRPr="00F94F21">
              <w:rPr>
                <w:b/>
                <w:sz w:val="20"/>
              </w:rPr>
              <w:t>Neurons identified and stain used</w:t>
            </w:r>
          </w:p>
        </w:tc>
      </w:tr>
      <w:tr w:rsidR="0005512A" w:rsidRPr="00F94F21" w14:paraId="4CC96508" w14:textId="77777777" w:rsidTr="00C34954">
        <w:tc>
          <w:tcPr>
            <w:tcW w:w="2093" w:type="dxa"/>
            <w:vMerge/>
            <w:shd w:val="clear" w:color="auto" w:fill="BFBFBF" w:themeFill="background1" w:themeFillShade="BF"/>
          </w:tcPr>
          <w:p w14:paraId="0ECC8E49" w14:textId="77777777" w:rsidR="0005512A" w:rsidRPr="00F01A80" w:rsidRDefault="0005512A" w:rsidP="0005512A">
            <w:pPr>
              <w:spacing w:before="120" w:after="120"/>
              <w:rPr>
                <w:b/>
                <w:sz w:val="20"/>
              </w:rPr>
            </w:pPr>
          </w:p>
        </w:tc>
        <w:tc>
          <w:tcPr>
            <w:tcW w:w="1134" w:type="dxa"/>
            <w:vMerge/>
            <w:shd w:val="clear" w:color="auto" w:fill="BFBFBF" w:themeFill="background1" w:themeFillShade="BF"/>
            <w:vAlign w:val="center"/>
          </w:tcPr>
          <w:p w14:paraId="587B31E7" w14:textId="77777777" w:rsidR="0005512A" w:rsidRPr="00F94F21" w:rsidRDefault="0005512A" w:rsidP="0005512A">
            <w:pPr>
              <w:spacing w:before="120" w:after="120"/>
              <w:jc w:val="center"/>
              <w:rPr>
                <w:b/>
                <w:sz w:val="20"/>
              </w:rPr>
            </w:pPr>
          </w:p>
        </w:tc>
        <w:tc>
          <w:tcPr>
            <w:tcW w:w="2126" w:type="dxa"/>
            <w:shd w:val="clear" w:color="auto" w:fill="BFBFBF" w:themeFill="background1" w:themeFillShade="BF"/>
            <w:vAlign w:val="center"/>
          </w:tcPr>
          <w:p w14:paraId="09364B48" w14:textId="77777777" w:rsidR="0005512A" w:rsidRPr="00F94F21" w:rsidRDefault="0005512A" w:rsidP="0005512A">
            <w:pPr>
              <w:spacing w:before="120" w:after="120"/>
              <w:jc w:val="center"/>
              <w:rPr>
                <w:b/>
                <w:sz w:val="20"/>
              </w:rPr>
            </w:pPr>
            <w:r w:rsidRPr="00F94F21">
              <w:rPr>
                <w:b/>
                <w:sz w:val="20"/>
              </w:rPr>
              <w:t>TH</w:t>
            </w:r>
            <w:r w:rsidRPr="003A6822">
              <w:rPr>
                <w:b/>
                <w:sz w:val="20"/>
                <w:vertAlign w:val="superscript"/>
              </w:rPr>
              <w:t>+</w:t>
            </w:r>
          </w:p>
        </w:tc>
        <w:tc>
          <w:tcPr>
            <w:tcW w:w="1559" w:type="dxa"/>
            <w:shd w:val="clear" w:color="auto" w:fill="BFBFBF" w:themeFill="background1" w:themeFillShade="BF"/>
            <w:vAlign w:val="center"/>
          </w:tcPr>
          <w:p w14:paraId="02F2ACE7" w14:textId="77777777" w:rsidR="0005512A" w:rsidRPr="00F94F21" w:rsidRDefault="0005512A" w:rsidP="0005512A">
            <w:pPr>
              <w:spacing w:before="120" w:after="120"/>
              <w:jc w:val="center"/>
              <w:rPr>
                <w:b/>
                <w:sz w:val="20"/>
              </w:rPr>
            </w:pPr>
            <w:r w:rsidRPr="00F94F21">
              <w:rPr>
                <w:b/>
                <w:sz w:val="20"/>
              </w:rPr>
              <w:t>TH</w:t>
            </w:r>
            <w:r w:rsidRPr="003A6822">
              <w:rPr>
                <w:b/>
                <w:sz w:val="20"/>
                <w:vertAlign w:val="superscript"/>
              </w:rPr>
              <w:t>-</w:t>
            </w:r>
          </w:p>
        </w:tc>
        <w:tc>
          <w:tcPr>
            <w:tcW w:w="2231" w:type="dxa"/>
            <w:shd w:val="clear" w:color="auto" w:fill="BFBFBF" w:themeFill="background1" w:themeFillShade="BF"/>
            <w:vAlign w:val="center"/>
          </w:tcPr>
          <w:p w14:paraId="32DFBFAF" w14:textId="77777777" w:rsidR="0005512A" w:rsidRPr="00F94F21" w:rsidRDefault="0005512A" w:rsidP="0005512A">
            <w:pPr>
              <w:spacing w:before="120" w:after="120"/>
              <w:jc w:val="center"/>
              <w:rPr>
                <w:b/>
                <w:sz w:val="20"/>
              </w:rPr>
            </w:pPr>
            <w:r w:rsidRPr="00F94F21">
              <w:rPr>
                <w:b/>
                <w:sz w:val="20"/>
              </w:rPr>
              <w:t>Total neurons</w:t>
            </w:r>
          </w:p>
        </w:tc>
      </w:tr>
      <w:tr w:rsidR="0005512A" w:rsidRPr="00F94F21" w14:paraId="03105C13" w14:textId="77777777" w:rsidTr="00C34954">
        <w:tc>
          <w:tcPr>
            <w:tcW w:w="2093" w:type="dxa"/>
          </w:tcPr>
          <w:p w14:paraId="6535C72F" w14:textId="77777777" w:rsidR="00436573" w:rsidRDefault="0005512A" w:rsidP="00C34954">
            <w:pPr>
              <w:spacing w:before="120" w:after="120"/>
              <w:jc w:val="left"/>
              <w:rPr>
                <w:rFonts w:eastAsia="Times New Roman" w:cs="Times New Roman"/>
                <w:b/>
                <w:sz w:val="20"/>
                <w:szCs w:val="20"/>
                <w:lang w:eastAsia="en-AU"/>
              </w:rPr>
            </w:pPr>
            <w:r w:rsidRPr="00F01A80">
              <w:rPr>
                <w:b/>
                <w:sz w:val="20"/>
              </w:rPr>
              <w:t>Chromogenic</w:t>
            </w:r>
          </w:p>
          <w:p w14:paraId="5B2749C3" w14:textId="77777777" w:rsidR="00436573" w:rsidRDefault="00271D89" w:rsidP="00C34954">
            <w:pPr>
              <w:spacing w:before="120" w:after="120"/>
              <w:jc w:val="left"/>
              <w:rPr>
                <w:rFonts w:eastAsia="Times New Roman" w:cs="Times New Roman"/>
                <w:b/>
                <w:sz w:val="20"/>
                <w:szCs w:val="20"/>
                <w:lang w:eastAsia="en-AU"/>
              </w:rPr>
            </w:pPr>
            <w:r w:rsidRPr="00F01A80">
              <w:rPr>
                <w:b/>
                <w:sz w:val="20"/>
              </w:rPr>
              <w:t>(</w:t>
            </w:r>
            <w:r w:rsidR="00897462" w:rsidRPr="00C34954">
              <w:rPr>
                <w:sz w:val="20"/>
                <w:szCs w:val="20"/>
              </w:rPr>
              <w:t>anti-TH</w:t>
            </w:r>
            <w:r w:rsidRPr="00F01A80">
              <w:rPr>
                <w:sz w:val="20"/>
              </w:rPr>
              <w:t xml:space="preserve"> antibody of rabbit origin</w:t>
            </w:r>
            <w:r>
              <w:rPr>
                <w:sz w:val="20"/>
              </w:rPr>
              <w:t xml:space="preserve"> + </w:t>
            </w:r>
            <w:r w:rsidR="00897462" w:rsidRPr="00C34954">
              <w:rPr>
                <w:sz w:val="20"/>
                <w:szCs w:val="20"/>
              </w:rPr>
              <w:t>a biotinylated goat anti-rabbit immunoglobulin (IgG).</w:t>
            </w:r>
          </w:p>
        </w:tc>
        <w:tc>
          <w:tcPr>
            <w:tcW w:w="1134" w:type="dxa"/>
            <w:vAlign w:val="center"/>
          </w:tcPr>
          <w:p w14:paraId="0D45A911" w14:textId="77777777" w:rsidR="0005512A" w:rsidRPr="00F94F21" w:rsidRDefault="0005512A" w:rsidP="0005512A">
            <w:pPr>
              <w:spacing w:before="120" w:after="120"/>
              <w:jc w:val="center"/>
              <w:rPr>
                <w:sz w:val="20"/>
              </w:rPr>
            </w:pPr>
            <w:r w:rsidRPr="00F94F21">
              <w:rPr>
                <w:sz w:val="20"/>
              </w:rPr>
              <w:t>40</w:t>
            </w:r>
          </w:p>
        </w:tc>
        <w:tc>
          <w:tcPr>
            <w:tcW w:w="2126" w:type="dxa"/>
            <w:vAlign w:val="center"/>
          </w:tcPr>
          <w:p w14:paraId="4473A1E1" w14:textId="77777777" w:rsidR="0005512A" w:rsidRPr="00F94F21" w:rsidRDefault="0005512A" w:rsidP="0005512A">
            <w:pPr>
              <w:spacing w:before="120" w:after="120"/>
              <w:jc w:val="center"/>
              <w:rPr>
                <w:sz w:val="20"/>
              </w:rPr>
            </w:pPr>
            <w:r w:rsidRPr="00F94F21">
              <w:rPr>
                <w:sz w:val="20"/>
              </w:rPr>
              <w:t>3,3-diaminobenzidine (DAB)</w:t>
            </w:r>
          </w:p>
          <w:p w14:paraId="23161121" w14:textId="77777777" w:rsidR="0005512A" w:rsidRPr="00F94F21" w:rsidRDefault="0005512A" w:rsidP="0005512A">
            <w:pPr>
              <w:spacing w:before="120" w:after="120"/>
              <w:jc w:val="center"/>
              <w:rPr>
                <w:sz w:val="20"/>
              </w:rPr>
            </w:pPr>
            <w:r w:rsidRPr="00F94F21">
              <w:rPr>
                <w:sz w:val="20"/>
              </w:rPr>
              <w:t>(Neurons have dense cytoplasmic staining)</w:t>
            </w:r>
          </w:p>
        </w:tc>
        <w:tc>
          <w:tcPr>
            <w:tcW w:w="1559" w:type="dxa"/>
            <w:vAlign w:val="center"/>
          </w:tcPr>
          <w:p w14:paraId="209BD10B" w14:textId="77777777" w:rsidR="0005512A" w:rsidRPr="00F94F21" w:rsidRDefault="0005512A" w:rsidP="0005512A">
            <w:pPr>
              <w:spacing w:before="120" w:after="120"/>
              <w:jc w:val="center"/>
              <w:rPr>
                <w:sz w:val="20"/>
              </w:rPr>
            </w:pPr>
            <w:r w:rsidRPr="00F94F21">
              <w:rPr>
                <w:sz w:val="20"/>
              </w:rPr>
              <w:t>cresyl violet2</w:t>
            </w:r>
          </w:p>
          <w:p w14:paraId="14AF535D" w14:textId="77777777" w:rsidR="0005512A" w:rsidRPr="00F94F21" w:rsidRDefault="0005512A" w:rsidP="0005512A">
            <w:pPr>
              <w:spacing w:before="120" w:after="120"/>
              <w:jc w:val="center"/>
              <w:rPr>
                <w:sz w:val="20"/>
              </w:rPr>
            </w:pPr>
            <w:r w:rsidRPr="00F94F21">
              <w:rPr>
                <w:sz w:val="20"/>
              </w:rPr>
              <w:t>(Neurons have deep basophilic cytoplasmic staining of Nissl substance)</w:t>
            </w:r>
          </w:p>
        </w:tc>
        <w:tc>
          <w:tcPr>
            <w:tcW w:w="2231" w:type="dxa"/>
            <w:vAlign w:val="center"/>
          </w:tcPr>
          <w:p w14:paraId="251DCB63" w14:textId="77777777" w:rsidR="0005512A" w:rsidRPr="00F94F21" w:rsidRDefault="0005512A" w:rsidP="0005512A">
            <w:pPr>
              <w:spacing w:before="120" w:after="120"/>
              <w:jc w:val="center"/>
              <w:rPr>
                <w:sz w:val="20"/>
              </w:rPr>
            </w:pPr>
            <w:r w:rsidRPr="00F94F21">
              <w:rPr>
                <w:sz w:val="20"/>
              </w:rPr>
              <w:t>NA</w:t>
            </w:r>
          </w:p>
        </w:tc>
      </w:tr>
      <w:tr w:rsidR="0005512A" w:rsidRPr="002B2CFC" w14:paraId="1C12539C" w14:textId="77777777" w:rsidTr="00C34954">
        <w:tc>
          <w:tcPr>
            <w:tcW w:w="2093" w:type="dxa"/>
          </w:tcPr>
          <w:p w14:paraId="25A906D7" w14:textId="77777777" w:rsidR="00436573" w:rsidRDefault="0005512A" w:rsidP="00C34954">
            <w:pPr>
              <w:spacing w:before="120" w:after="120"/>
              <w:jc w:val="left"/>
              <w:rPr>
                <w:rFonts w:eastAsia="Times New Roman" w:cs="Times New Roman"/>
                <w:b/>
                <w:sz w:val="20"/>
                <w:szCs w:val="20"/>
                <w:lang w:eastAsia="en-AU"/>
              </w:rPr>
            </w:pPr>
            <w:r w:rsidRPr="00271D89">
              <w:rPr>
                <w:b/>
                <w:sz w:val="20"/>
              </w:rPr>
              <w:t xml:space="preserve">Fluorescent </w:t>
            </w:r>
          </w:p>
          <w:p w14:paraId="607839F3" w14:textId="77777777" w:rsidR="00436573" w:rsidRDefault="00271D89" w:rsidP="00C34954">
            <w:pPr>
              <w:spacing w:before="120" w:after="120"/>
              <w:jc w:val="left"/>
              <w:rPr>
                <w:rFonts w:eastAsia="Times New Roman" w:cs="Times New Roman"/>
                <w:b/>
                <w:sz w:val="20"/>
                <w:szCs w:val="20"/>
                <w:lang w:eastAsia="en-AU"/>
              </w:rPr>
            </w:pPr>
            <w:r w:rsidRPr="00271D89">
              <w:rPr>
                <w:b/>
                <w:sz w:val="20"/>
              </w:rPr>
              <w:t>(</w:t>
            </w:r>
            <w:r w:rsidR="00897462" w:rsidRPr="00C34954">
              <w:rPr>
                <w:sz w:val="20"/>
                <w:szCs w:val="20"/>
              </w:rPr>
              <w:t xml:space="preserve">polyclonal anti-TH antibody of rabbit origin </w:t>
            </w:r>
            <w:r>
              <w:rPr>
                <w:sz w:val="20"/>
              </w:rPr>
              <w:t xml:space="preserve">+ </w:t>
            </w:r>
            <w:r w:rsidR="00897462" w:rsidRPr="00C34954">
              <w:rPr>
                <w:sz w:val="20"/>
                <w:szCs w:val="20"/>
              </w:rPr>
              <w:t xml:space="preserve"> secondary antibody (goat anti-rabbit IgG) labelled with a fluorescent dye)</w:t>
            </w:r>
          </w:p>
        </w:tc>
        <w:tc>
          <w:tcPr>
            <w:tcW w:w="1134" w:type="dxa"/>
            <w:vAlign w:val="center"/>
          </w:tcPr>
          <w:p w14:paraId="7F5419EE" w14:textId="77777777" w:rsidR="0005512A" w:rsidRPr="00F94F21" w:rsidRDefault="0005512A" w:rsidP="0005512A">
            <w:pPr>
              <w:spacing w:before="120" w:after="120"/>
              <w:jc w:val="center"/>
              <w:rPr>
                <w:sz w:val="20"/>
              </w:rPr>
            </w:pPr>
            <w:r w:rsidRPr="00F94F21">
              <w:rPr>
                <w:sz w:val="20"/>
              </w:rPr>
              <w:t>30</w:t>
            </w:r>
          </w:p>
        </w:tc>
        <w:tc>
          <w:tcPr>
            <w:tcW w:w="2126" w:type="dxa"/>
            <w:vAlign w:val="center"/>
          </w:tcPr>
          <w:p w14:paraId="5873CCED" w14:textId="77777777" w:rsidR="0005512A" w:rsidRPr="00F94F21" w:rsidRDefault="0005512A" w:rsidP="0005512A">
            <w:pPr>
              <w:spacing w:before="120" w:after="120"/>
              <w:jc w:val="center"/>
              <w:rPr>
                <w:sz w:val="20"/>
              </w:rPr>
            </w:pPr>
            <w:r w:rsidRPr="00F94F21">
              <w:rPr>
                <w:sz w:val="20"/>
              </w:rPr>
              <w:t>ALEXA red flurophore</w:t>
            </w:r>
          </w:p>
          <w:p w14:paraId="6D897789" w14:textId="77777777" w:rsidR="0005512A" w:rsidRPr="00F94F21" w:rsidRDefault="0005512A" w:rsidP="0005512A">
            <w:pPr>
              <w:spacing w:before="120" w:after="120"/>
              <w:jc w:val="center"/>
              <w:rPr>
                <w:sz w:val="20"/>
              </w:rPr>
            </w:pPr>
            <w:r w:rsidRPr="00F94F21">
              <w:rPr>
                <w:sz w:val="20"/>
              </w:rPr>
              <w:t>(Neurons have dense cytoplasmic staining)</w:t>
            </w:r>
          </w:p>
        </w:tc>
        <w:tc>
          <w:tcPr>
            <w:tcW w:w="1559" w:type="dxa"/>
            <w:vAlign w:val="center"/>
          </w:tcPr>
          <w:p w14:paraId="4DBBC1FF" w14:textId="77777777" w:rsidR="0005512A" w:rsidRPr="00F94F21" w:rsidRDefault="0005512A" w:rsidP="0005512A">
            <w:pPr>
              <w:spacing w:before="120" w:after="120"/>
              <w:jc w:val="center"/>
              <w:rPr>
                <w:sz w:val="20"/>
              </w:rPr>
            </w:pPr>
            <w:r w:rsidRPr="00F94F21">
              <w:rPr>
                <w:sz w:val="20"/>
              </w:rPr>
              <w:t>NA</w:t>
            </w:r>
          </w:p>
        </w:tc>
        <w:tc>
          <w:tcPr>
            <w:tcW w:w="2231" w:type="dxa"/>
            <w:vAlign w:val="center"/>
          </w:tcPr>
          <w:p w14:paraId="370E3DF6" w14:textId="77777777" w:rsidR="0005512A" w:rsidRPr="00F94F21" w:rsidRDefault="0005512A" w:rsidP="0005512A">
            <w:pPr>
              <w:spacing w:before="120" w:after="120"/>
              <w:jc w:val="center"/>
              <w:rPr>
                <w:sz w:val="20"/>
              </w:rPr>
            </w:pPr>
            <w:r w:rsidRPr="00F94F21">
              <w:rPr>
                <w:sz w:val="20"/>
              </w:rPr>
              <w:t xml:space="preserve">4’,6’-diamidino-2-plenylindole (DAPI) </w:t>
            </w:r>
          </w:p>
          <w:p w14:paraId="386BD68B" w14:textId="77777777" w:rsidR="0005512A" w:rsidRPr="002B2CFC" w:rsidRDefault="0005512A" w:rsidP="0005512A">
            <w:pPr>
              <w:spacing w:before="120" w:after="120"/>
              <w:jc w:val="center"/>
              <w:rPr>
                <w:sz w:val="20"/>
              </w:rPr>
            </w:pPr>
            <w:r w:rsidRPr="00F94F21">
              <w:rPr>
                <w:sz w:val="20"/>
              </w:rPr>
              <w:t>(Nuclei of ALL cells in section (eg TH</w:t>
            </w:r>
            <w:r w:rsidRPr="003A6822">
              <w:rPr>
                <w:sz w:val="20"/>
                <w:vertAlign w:val="superscript"/>
              </w:rPr>
              <w:t>+</w:t>
            </w:r>
            <w:r w:rsidRPr="00F94F21">
              <w:rPr>
                <w:sz w:val="20"/>
              </w:rPr>
              <w:t>, TH</w:t>
            </w:r>
            <w:r w:rsidRPr="003A6822">
              <w:rPr>
                <w:sz w:val="20"/>
                <w:vertAlign w:val="superscript"/>
              </w:rPr>
              <w:t>-</w:t>
            </w:r>
            <w:r w:rsidRPr="00F94F21">
              <w:rPr>
                <w:sz w:val="20"/>
              </w:rPr>
              <w:t>,</w:t>
            </w:r>
            <w:r w:rsidRPr="005548CC">
              <w:rPr>
                <w:sz w:val="20"/>
              </w:rPr>
              <w:t xml:space="preserve"> </w:t>
            </w:r>
            <w:r w:rsidRPr="00F94F21">
              <w:rPr>
                <w:sz w:val="20"/>
              </w:rPr>
              <w:t>glial))</w:t>
            </w:r>
          </w:p>
        </w:tc>
      </w:tr>
    </w:tbl>
    <w:p w14:paraId="061E5B98" w14:textId="77777777" w:rsidR="0005512A" w:rsidRPr="00392C87" w:rsidRDefault="0005512A" w:rsidP="0005512A">
      <w:pPr>
        <w:spacing w:before="120" w:after="120"/>
        <w:rPr>
          <w:sz w:val="20"/>
          <w:szCs w:val="24"/>
        </w:rPr>
      </w:pPr>
      <w:r w:rsidRPr="00392C87">
        <w:rPr>
          <w:szCs w:val="24"/>
        </w:rPr>
        <w:t>Stained sections were counted for the number of TH</w:t>
      </w:r>
      <w:r w:rsidRPr="003A6822">
        <w:rPr>
          <w:szCs w:val="24"/>
          <w:vertAlign w:val="superscript"/>
        </w:rPr>
        <w:t>+</w:t>
      </w:r>
      <w:r w:rsidRPr="00392C87">
        <w:rPr>
          <w:szCs w:val="24"/>
        </w:rPr>
        <w:t xml:space="preserve"> and TH- neurons by the optical fractionator approach and unbiased systematic random sample methodology. Using suitable equipment, virtual outlines of the right and left SN pc were drawn allowing for a measurement of contour volume. Cell bodies were counted in a subsample of each section, section thickness and section areas were measured and then extrapolated to provide estimates of total cell numbers per brain. Sections were also examined for the size of nuclei relative to other cell types such as glia, and/or presence of dendritic or axonal processes. For the fluorescent staining, the final stain stained the nuclei of all cells (not only TH neurons), such that TH</w:t>
      </w:r>
      <w:r w:rsidRPr="003A6822">
        <w:rPr>
          <w:szCs w:val="24"/>
          <w:vertAlign w:val="superscript"/>
        </w:rPr>
        <w:t>-</w:t>
      </w:r>
      <w:r w:rsidRPr="00392C87">
        <w:rPr>
          <w:szCs w:val="24"/>
        </w:rPr>
        <w:t xml:space="preserve"> cells were estimated by subtracting the number of TH</w:t>
      </w:r>
      <w:r w:rsidRPr="003A6822">
        <w:rPr>
          <w:szCs w:val="24"/>
          <w:vertAlign w:val="superscript"/>
        </w:rPr>
        <w:t>+</w:t>
      </w:r>
      <w:r w:rsidRPr="00392C87">
        <w:rPr>
          <w:szCs w:val="24"/>
        </w:rPr>
        <w:t xml:space="preserve"> cells identified with the ALEXA stain from </w:t>
      </w:r>
      <w:r w:rsidRPr="00392C87">
        <w:rPr>
          <w:szCs w:val="24"/>
        </w:rPr>
        <w:lastRenderedPageBreak/>
        <w:t>the total number. Estimate of the number of TH</w:t>
      </w:r>
      <w:r w:rsidRPr="003A6822">
        <w:rPr>
          <w:szCs w:val="24"/>
          <w:vertAlign w:val="superscript"/>
        </w:rPr>
        <w:t>+</w:t>
      </w:r>
      <w:r w:rsidRPr="00392C87">
        <w:rPr>
          <w:szCs w:val="24"/>
        </w:rPr>
        <w:t xml:space="preserve"> neurons, TH</w:t>
      </w:r>
      <w:r w:rsidRPr="003A6822">
        <w:rPr>
          <w:szCs w:val="24"/>
          <w:vertAlign w:val="superscript"/>
        </w:rPr>
        <w:t>-</w:t>
      </w:r>
      <w:r w:rsidRPr="00392C87">
        <w:rPr>
          <w:szCs w:val="24"/>
        </w:rPr>
        <w:t xml:space="preserve"> neurons or total neurons was performed by software</w:t>
      </w:r>
      <w:r>
        <w:rPr>
          <w:szCs w:val="24"/>
        </w:rPr>
        <w:t>.</w:t>
      </w:r>
      <w:r w:rsidRPr="00392C87">
        <w:rPr>
          <w:szCs w:val="24"/>
        </w:rPr>
        <w:t xml:space="preserve"> </w:t>
      </w:r>
    </w:p>
    <w:p w14:paraId="55AC9A7A" w14:textId="77777777" w:rsidR="0005512A" w:rsidRPr="002B2CFC" w:rsidRDefault="0005512A" w:rsidP="0005512A">
      <w:pPr>
        <w:spacing w:before="120" w:after="120"/>
        <w:rPr>
          <w:szCs w:val="24"/>
        </w:rPr>
      </w:pPr>
      <w:r w:rsidRPr="00392C87">
        <w:rPr>
          <w:szCs w:val="24"/>
        </w:rPr>
        <w:t>Intra-study variability was assessed by chromogenic staining of sections from 5 control animals evaluated periodically and blindly, serving as internal controls. This was not conducted for the fluorescent stained sections as it was expected that emittance of the flurophore would change over time due to repeated light exposure with repeat assessment and artificially skew the results.</w:t>
      </w:r>
      <w:r w:rsidRPr="002B2CFC">
        <w:rPr>
          <w:szCs w:val="24"/>
        </w:rPr>
        <w:t xml:space="preserve"> </w:t>
      </w:r>
    </w:p>
    <w:p w14:paraId="59AF265E" w14:textId="77777777" w:rsidR="0005512A" w:rsidRPr="002B2CFC" w:rsidRDefault="0005512A" w:rsidP="0005512A">
      <w:pPr>
        <w:numPr>
          <w:ilvl w:val="0"/>
          <w:numId w:val="8"/>
        </w:numPr>
        <w:spacing w:before="120" w:after="120"/>
        <w:contextualSpacing/>
        <w:rPr>
          <w:szCs w:val="24"/>
          <w:u w:val="single"/>
        </w:rPr>
      </w:pPr>
      <w:r w:rsidRPr="002B2CFC">
        <w:rPr>
          <w:szCs w:val="24"/>
          <w:u w:val="single"/>
        </w:rPr>
        <w:t>Neurochemistry groups (Groups 6-9)</w:t>
      </w:r>
    </w:p>
    <w:p w14:paraId="2F5FBB24" w14:textId="77777777" w:rsidR="0005512A" w:rsidRPr="002B2CFC" w:rsidRDefault="0005512A" w:rsidP="0005512A">
      <w:pPr>
        <w:spacing w:before="120" w:after="120"/>
        <w:rPr>
          <w:szCs w:val="24"/>
        </w:rPr>
      </w:pPr>
      <w:r w:rsidRPr="002B2CFC">
        <w:rPr>
          <w:szCs w:val="24"/>
        </w:rPr>
        <w:t xml:space="preserve">Surviving mice were euthanised </w:t>
      </w:r>
      <w:r w:rsidR="002634AF">
        <w:rPr>
          <w:szCs w:val="24"/>
        </w:rPr>
        <w:t>(</w:t>
      </w:r>
      <w:r w:rsidRPr="002B2CFC">
        <w:rPr>
          <w:szCs w:val="24"/>
        </w:rPr>
        <w:t>cervical dislocation</w:t>
      </w:r>
      <w:r w:rsidR="002634AF">
        <w:rPr>
          <w:szCs w:val="24"/>
        </w:rPr>
        <w:t>)</w:t>
      </w:r>
      <w:r w:rsidR="00467F55">
        <w:rPr>
          <w:szCs w:val="24"/>
        </w:rPr>
        <w:t xml:space="preserve"> and </w:t>
      </w:r>
      <w:r w:rsidRPr="002B2CFC">
        <w:rPr>
          <w:szCs w:val="24"/>
        </w:rPr>
        <w:t>decapitat</w:t>
      </w:r>
      <w:r w:rsidR="00467F55">
        <w:rPr>
          <w:szCs w:val="24"/>
        </w:rPr>
        <w:t xml:space="preserve">ed. The </w:t>
      </w:r>
      <w:r w:rsidRPr="002B2CFC">
        <w:rPr>
          <w:szCs w:val="24"/>
        </w:rPr>
        <w:t>brain was removed</w:t>
      </w:r>
      <w:r w:rsidR="00467F55">
        <w:rPr>
          <w:szCs w:val="24"/>
        </w:rPr>
        <w:t xml:space="preserve"> and th</w:t>
      </w:r>
      <w:r w:rsidRPr="002B2CFC">
        <w:rPr>
          <w:szCs w:val="24"/>
        </w:rPr>
        <w:t>e left and right striatum dissected, weighed together and flash frozen in liquid nitrogen. The remaining part of the brain was discarded. The frozen tissue was sent to RTI International for analysis of neurotransmitter levels (</w:t>
      </w:r>
      <w:r w:rsidR="00A4092E">
        <w:rPr>
          <w:szCs w:val="24"/>
        </w:rPr>
        <w:t>DA</w:t>
      </w:r>
      <w:r w:rsidRPr="002B2CFC">
        <w:rPr>
          <w:szCs w:val="24"/>
        </w:rPr>
        <w:t xml:space="preserve">, DOPAC, HVA and </w:t>
      </w:r>
      <w:r w:rsidR="001875D7">
        <w:rPr>
          <w:szCs w:val="24"/>
        </w:rPr>
        <w:t>5-HT</w:t>
      </w:r>
      <w:r w:rsidRPr="002B2CFC">
        <w:rPr>
          <w:szCs w:val="24"/>
        </w:rPr>
        <w:t>).</w:t>
      </w:r>
    </w:p>
    <w:p w14:paraId="069B2980" w14:textId="77777777" w:rsidR="0005512A" w:rsidRPr="00392C87" w:rsidRDefault="0005512A" w:rsidP="0005512A">
      <w:pPr>
        <w:spacing w:before="120" w:after="120"/>
        <w:rPr>
          <w:szCs w:val="24"/>
        </w:rPr>
      </w:pPr>
      <w:r w:rsidRPr="00611C44">
        <w:rPr>
          <w:szCs w:val="24"/>
        </w:rPr>
        <w:t xml:space="preserve">Preparation of the tissue involved homogenisation in solution, centrifugation and an aliquot of the supernatant run through a HPLC device coupled with ECD. </w:t>
      </w:r>
      <w:r w:rsidR="00A4092E">
        <w:rPr>
          <w:szCs w:val="24"/>
        </w:rPr>
        <w:t>DA</w:t>
      </w:r>
      <w:r w:rsidRPr="00392C87">
        <w:rPr>
          <w:szCs w:val="24"/>
        </w:rPr>
        <w:t xml:space="preserve"> turnover was estimated by calculating the ratio of the sum of DOPAC and HVA concentrations to </w:t>
      </w:r>
      <w:r w:rsidR="00A4092E">
        <w:rPr>
          <w:szCs w:val="24"/>
        </w:rPr>
        <w:t>DA</w:t>
      </w:r>
      <w:r w:rsidRPr="00392C87">
        <w:rPr>
          <w:szCs w:val="24"/>
        </w:rPr>
        <w:t xml:space="preserve"> concentration. </w:t>
      </w:r>
    </w:p>
    <w:p w14:paraId="0993C9AD" w14:textId="77777777" w:rsidR="0005512A" w:rsidRPr="00611C44" w:rsidRDefault="0005512A" w:rsidP="0005512A">
      <w:pPr>
        <w:spacing w:before="120" w:after="120"/>
        <w:rPr>
          <w:szCs w:val="24"/>
        </w:rPr>
      </w:pPr>
      <w:r w:rsidRPr="00392C87">
        <w:rPr>
          <w:szCs w:val="24"/>
        </w:rPr>
        <w:t>All results were subject to the appropriate statistical analysis. Body weight, body weight change and food consumption were subject to a one way ANOVA, and then subject to Dunnett’s test or a two–sample t-test if an intergroup variance was found. Striatal neurotransmitter concentration data and stereology data were also subject to statistical analysis</w:t>
      </w:r>
      <w:r w:rsidRPr="00C33BE1">
        <w:rPr>
          <w:szCs w:val="24"/>
        </w:rPr>
        <w:t>, the former conducted by WIL Research Laboratories,  the latter by Sielken &amp; Associates Consulting, Inc.</w:t>
      </w:r>
    </w:p>
    <w:p w14:paraId="05ACB1D7" w14:textId="77777777" w:rsidR="0005512A" w:rsidRPr="002B2CFC" w:rsidRDefault="0005512A" w:rsidP="0005512A">
      <w:pPr>
        <w:spacing w:before="120" w:after="120"/>
        <w:rPr>
          <w:szCs w:val="24"/>
        </w:rPr>
      </w:pPr>
      <w:r w:rsidRPr="00392C87">
        <w:rPr>
          <w:szCs w:val="24"/>
        </w:rPr>
        <w:t>This was a non-Guideline study, although the live portions of the study were well conducted and in keeping with OECD Guidelines (TG 424). The study was then modified to specifically assess the parts of the brain of interest, as per OECD Guidance Document for Neurotoxicity Testing (No. 20).</w:t>
      </w:r>
    </w:p>
    <w:p w14:paraId="4D2F3D3A" w14:textId="77777777" w:rsidR="0005512A" w:rsidRPr="00C34954" w:rsidRDefault="00897462" w:rsidP="0005512A">
      <w:pPr>
        <w:spacing w:before="120" w:after="120"/>
        <w:rPr>
          <w:b/>
          <w:szCs w:val="24"/>
        </w:rPr>
      </w:pPr>
      <w:r w:rsidRPr="00C34954">
        <w:rPr>
          <w:b/>
          <w:szCs w:val="24"/>
        </w:rPr>
        <w:t>Results</w:t>
      </w:r>
    </w:p>
    <w:p w14:paraId="284CB5C9" w14:textId="77777777" w:rsidR="0005512A" w:rsidRPr="002B2CFC" w:rsidRDefault="0005512A" w:rsidP="0005512A">
      <w:pPr>
        <w:spacing w:before="120" w:after="120"/>
        <w:rPr>
          <w:szCs w:val="24"/>
        </w:rPr>
      </w:pPr>
      <w:r w:rsidRPr="002B2CFC">
        <w:rPr>
          <w:i/>
          <w:szCs w:val="24"/>
        </w:rPr>
        <w:t>Clinical signs, morbidity and mortality</w:t>
      </w:r>
      <w:r w:rsidR="005A10DF">
        <w:rPr>
          <w:i/>
          <w:szCs w:val="24"/>
        </w:rPr>
        <w:t>:</w:t>
      </w:r>
      <w:r w:rsidR="00467F55">
        <w:rPr>
          <w:i/>
          <w:szCs w:val="24"/>
        </w:rPr>
        <w:t xml:space="preserve"> </w:t>
      </w:r>
      <w:r w:rsidRPr="002B2CFC">
        <w:rPr>
          <w:szCs w:val="24"/>
        </w:rPr>
        <w:t>There was only one unscheduled death: one male in the 25 mg/kg bw/dose paraquat group (Group 4) was found dead on day 7, prior to the second injection. This mouse showed no clinical signs</w:t>
      </w:r>
      <w:r w:rsidR="002B567E">
        <w:rPr>
          <w:szCs w:val="24"/>
        </w:rPr>
        <w:t xml:space="preserve"> or </w:t>
      </w:r>
      <w:r w:rsidRPr="002B2CFC">
        <w:rPr>
          <w:szCs w:val="24"/>
        </w:rPr>
        <w:t>effects on body weight or food consumption. There were no clinical findings in any mouse administered paraquat at any examination point.</w:t>
      </w:r>
    </w:p>
    <w:p w14:paraId="21E6A016" w14:textId="77777777" w:rsidR="0005512A" w:rsidRPr="002B2CFC" w:rsidRDefault="0005512A" w:rsidP="0005512A">
      <w:pPr>
        <w:spacing w:before="120" w:after="120"/>
        <w:rPr>
          <w:szCs w:val="24"/>
        </w:rPr>
      </w:pPr>
      <w:r w:rsidRPr="002B2CFC">
        <w:rPr>
          <w:szCs w:val="24"/>
        </w:rPr>
        <w:t>Mice administered MPTP showed hunched posture, hypoactivity, and a body that was cool to touch approximately 1 h following</w:t>
      </w:r>
      <w:r w:rsidR="002B567E">
        <w:rPr>
          <w:szCs w:val="24"/>
        </w:rPr>
        <w:t xml:space="preserve"> each injection</w:t>
      </w:r>
      <w:r w:rsidRPr="002B2CFC">
        <w:rPr>
          <w:szCs w:val="24"/>
        </w:rPr>
        <w:t xml:space="preserve"> on day 14. This persisted in one male (Group 9) until the following morning.</w:t>
      </w:r>
    </w:p>
    <w:p w14:paraId="27982B15" w14:textId="0C3C1F71" w:rsidR="0005512A" w:rsidRPr="002B2CFC" w:rsidRDefault="0005512A" w:rsidP="005A10DF">
      <w:pPr>
        <w:spacing w:before="120" w:after="120"/>
        <w:rPr>
          <w:szCs w:val="24"/>
        </w:rPr>
      </w:pPr>
      <w:r w:rsidRPr="002B2CFC">
        <w:rPr>
          <w:i/>
          <w:szCs w:val="24"/>
        </w:rPr>
        <w:t>Body weight and food consumption</w:t>
      </w:r>
      <w:r w:rsidR="005A10DF">
        <w:rPr>
          <w:i/>
          <w:szCs w:val="24"/>
        </w:rPr>
        <w:t>:</w:t>
      </w:r>
      <w:r w:rsidR="00467F55">
        <w:rPr>
          <w:i/>
          <w:szCs w:val="24"/>
        </w:rPr>
        <w:t xml:space="preserve"> </w:t>
      </w:r>
      <w:r w:rsidRPr="002B2CFC">
        <w:rPr>
          <w:szCs w:val="24"/>
        </w:rPr>
        <w:t xml:space="preserve">Body weight gain was reduced in a dose-dependent manner on the day following dosing for all paraquat treated mice (i.e days 0-1, 7-8 and 14-15), however only statistically significantly reduced for most measurements at 15 mg/kg bw/dose and for all at 25 mg/kg bw/dose </w:t>
      </w:r>
      <w:r w:rsidRPr="006965D0">
        <w:rPr>
          <w:szCs w:val="24"/>
        </w:rPr>
        <w:t>(</w:t>
      </w:r>
      <w:r w:rsidR="00F07346">
        <w:fldChar w:fldCharType="begin"/>
      </w:r>
      <w:r w:rsidR="00F07346">
        <w:instrText xml:space="preserve"> REF _Ref414880011 \h  \* MERGEFORMAT </w:instrText>
      </w:r>
      <w:r w:rsidR="00F07346">
        <w:fldChar w:fldCharType="separate"/>
      </w:r>
      <w:r w:rsidR="000E54B2" w:rsidRPr="000E54B2">
        <w:rPr>
          <w:szCs w:val="24"/>
        </w:rPr>
        <w:t xml:space="preserve">Table </w:t>
      </w:r>
      <w:r w:rsidR="000E54B2" w:rsidRPr="000E54B2">
        <w:rPr>
          <w:noProof/>
          <w:szCs w:val="24"/>
        </w:rPr>
        <w:t>17</w:t>
      </w:r>
      <w:r w:rsidR="00F07346">
        <w:fldChar w:fldCharType="end"/>
      </w:r>
      <w:r w:rsidR="00714492">
        <w:t xml:space="preserve"> </w:t>
      </w:r>
      <w:r w:rsidR="003A31EB">
        <w:fldChar w:fldCharType="begin"/>
      </w:r>
      <w:r w:rsidR="003A31EB">
        <w:instrText xml:space="preserve"> REF _Ref459037552 \p </w:instrText>
      </w:r>
      <w:r w:rsidR="003A31EB">
        <w:fldChar w:fldCharType="separate"/>
      </w:r>
      <w:r w:rsidR="000E54B2">
        <w:t>below</w:t>
      </w:r>
      <w:r w:rsidR="003A31EB">
        <w:fldChar w:fldCharType="end"/>
      </w:r>
      <w:r w:rsidRPr="006965D0">
        <w:rPr>
          <w:szCs w:val="24"/>
        </w:rPr>
        <w:t>). Following this reduction, a rebound increase in body weight gain was seen.</w:t>
      </w:r>
      <w:r w:rsidRPr="002B2CFC">
        <w:rPr>
          <w:szCs w:val="24"/>
        </w:rPr>
        <w:t xml:space="preserve"> These were mostly statistically significant. Body weight gain over the entire study (days 0-21) was dose dependently reduced, although only statistically significantly so for group 3 (15 mg/kg bw/dose) and groups 4 and 8 (25 mg/kg bw/dose). Actual body weight was reduced in 25 mg/kg bw/dose mice for up to 2 days post injection, with the greatest effect noted following the first dose (-14.1%, group 8) and </w:t>
      </w:r>
      <w:r>
        <w:rPr>
          <w:szCs w:val="24"/>
        </w:rPr>
        <w:t>these findings</w:t>
      </w:r>
      <w:r w:rsidRPr="002B2CFC">
        <w:rPr>
          <w:szCs w:val="24"/>
        </w:rPr>
        <w:t xml:space="preserve"> w</w:t>
      </w:r>
      <w:r>
        <w:rPr>
          <w:szCs w:val="24"/>
        </w:rPr>
        <w:t>ere</w:t>
      </w:r>
      <w:r w:rsidRPr="002B2CFC">
        <w:rPr>
          <w:szCs w:val="24"/>
        </w:rPr>
        <w:t xml:space="preserve"> mostly statistically significant. At 15 mg/kg bw/dose there was also a trend to reduced body weight following injection however this did not reach statistical significance. At 10 mg/kg bw/dose, </w:t>
      </w:r>
      <w:r>
        <w:rPr>
          <w:szCs w:val="24"/>
        </w:rPr>
        <w:lastRenderedPageBreak/>
        <w:t>effect on body weight were</w:t>
      </w:r>
      <w:r w:rsidRPr="002B2CFC">
        <w:rPr>
          <w:szCs w:val="24"/>
        </w:rPr>
        <w:t xml:space="preserve"> not present. Effects on body weight are considered treatment related at 15 and 25 mg/kg bw/dose.</w:t>
      </w:r>
    </w:p>
    <w:p w14:paraId="13B99C39" w14:textId="77777777" w:rsidR="00436573" w:rsidRDefault="0005512A" w:rsidP="00C34954">
      <w:pPr>
        <w:rPr>
          <w:b/>
          <w:sz w:val="20"/>
          <w:szCs w:val="24"/>
        </w:rPr>
      </w:pPr>
      <w:r w:rsidRPr="002B2CFC">
        <w:rPr>
          <w:szCs w:val="24"/>
        </w:rPr>
        <w:t xml:space="preserve">Variability </w:t>
      </w:r>
      <w:r>
        <w:rPr>
          <w:szCs w:val="24"/>
        </w:rPr>
        <w:t>was</w:t>
      </w:r>
      <w:r w:rsidRPr="002B2CFC">
        <w:rPr>
          <w:szCs w:val="24"/>
        </w:rPr>
        <w:t xml:space="preserve"> evident in results as comparing the groups treated in the same manner (ie groups 1 and 6, 3 and 7, 4 and 8) show differences in magnitude, although change is largely in the same direction. Increased variability </w:t>
      </w:r>
      <w:r>
        <w:rPr>
          <w:szCs w:val="24"/>
        </w:rPr>
        <w:t>was</w:t>
      </w:r>
      <w:r w:rsidRPr="002B2CFC">
        <w:rPr>
          <w:szCs w:val="24"/>
        </w:rPr>
        <w:t xml:space="preserve"> also noted groups 6-9, attributed to the smaller group sizes (10 </w:t>
      </w:r>
      <w:r w:rsidRPr="002B2CFC">
        <w:rPr>
          <w:i/>
          <w:szCs w:val="24"/>
        </w:rPr>
        <w:t>vs</w:t>
      </w:r>
      <w:r w:rsidRPr="002B2CFC">
        <w:rPr>
          <w:szCs w:val="24"/>
        </w:rPr>
        <w:t xml:space="preserve"> 20). Sporadic fluctuations in body weight occurred also during the acclimation period (range of -4.4% to+ 2.5%).</w:t>
      </w:r>
      <w:bookmarkStart w:id="92" w:name="_Ref410218229"/>
    </w:p>
    <w:p w14:paraId="52AAF725" w14:textId="77777777" w:rsidR="0005512A" w:rsidRPr="002B2CFC" w:rsidRDefault="0005512A" w:rsidP="00965E16">
      <w:pPr>
        <w:keepNext/>
        <w:spacing w:before="120" w:after="120"/>
        <w:rPr>
          <w:b/>
          <w:sz w:val="20"/>
          <w:szCs w:val="24"/>
        </w:rPr>
      </w:pPr>
      <w:bookmarkStart w:id="93" w:name="_Ref414880011"/>
      <w:bookmarkStart w:id="94" w:name="_Ref459037552"/>
      <w:r w:rsidRPr="002B2CFC">
        <w:rPr>
          <w:b/>
          <w:sz w:val="20"/>
          <w:szCs w:val="24"/>
        </w:rPr>
        <w:lastRenderedPageBreak/>
        <w:t xml:space="preserve">Table </w:t>
      </w:r>
      <w:r w:rsidR="00897462" w:rsidRPr="002B2CFC">
        <w:rPr>
          <w:b/>
          <w:sz w:val="20"/>
          <w:szCs w:val="24"/>
        </w:rPr>
        <w:fldChar w:fldCharType="begin"/>
      </w:r>
      <w:r w:rsidRPr="002B2CFC">
        <w:rPr>
          <w:b/>
          <w:sz w:val="20"/>
          <w:szCs w:val="24"/>
        </w:rPr>
        <w:instrText xml:space="preserve"> SEQ Table \* ARABIC </w:instrText>
      </w:r>
      <w:r w:rsidR="00897462" w:rsidRPr="002B2CFC">
        <w:rPr>
          <w:b/>
          <w:sz w:val="20"/>
          <w:szCs w:val="24"/>
        </w:rPr>
        <w:fldChar w:fldCharType="separate"/>
      </w:r>
      <w:r w:rsidR="000E54B2">
        <w:rPr>
          <w:b/>
          <w:noProof/>
          <w:sz w:val="20"/>
          <w:szCs w:val="24"/>
        </w:rPr>
        <w:t>17</w:t>
      </w:r>
      <w:r w:rsidR="00897462" w:rsidRPr="002B2CFC">
        <w:rPr>
          <w:b/>
          <w:sz w:val="20"/>
          <w:szCs w:val="24"/>
        </w:rPr>
        <w:fldChar w:fldCharType="end"/>
      </w:r>
      <w:bookmarkEnd w:id="92"/>
      <w:bookmarkEnd w:id="93"/>
      <w:r w:rsidRPr="002B2CFC">
        <w:rPr>
          <w:b/>
          <w:sz w:val="20"/>
          <w:szCs w:val="24"/>
        </w:rPr>
        <w:t>. Summary of mean body weights</w:t>
      </w:r>
      <w:bookmarkEnd w:id="94"/>
    </w:p>
    <w:tbl>
      <w:tblPr>
        <w:tblStyle w:val="TableGrid2"/>
        <w:tblW w:w="0" w:type="auto"/>
        <w:tblInd w:w="250" w:type="dxa"/>
        <w:tblLayout w:type="fixed"/>
        <w:tblLook w:val="04A0" w:firstRow="1" w:lastRow="0" w:firstColumn="1" w:lastColumn="0" w:noHBand="0" w:noVBand="1"/>
      </w:tblPr>
      <w:tblGrid>
        <w:gridCol w:w="1418"/>
        <w:gridCol w:w="567"/>
        <w:gridCol w:w="708"/>
        <w:gridCol w:w="709"/>
        <w:gridCol w:w="851"/>
        <w:gridCol w:w="850"/>
        <w:gridCol w:w="567"/>
        <w:gridCol w:w="709"/>
        <w:gridCol w:w="850"/>
        <w:gridCol w:w="851"/>
      </w:tblGrid>
      <w:tr w:rsidR="0005512A" w:rsidRPr="00A52AE9" w14:paraId="2227F2E8" w14:textId="77777777" w:rsidTr="0005512A">
        <w:tc>
          <w:tcPr>
            <w:tcW w:w="1418" w:type="dxa"/>
            <w:shd w:val="clear" w:color="auto" w:fill="D9D9D9" w:themeFill="background1" w:themeFillShade="D9"/>
            <w:vAlign w:val="center"/>
          </w:tcPr>
          <w:p w14:paraId="03D82860" w14:textId="77777777" w:rsidR="0005512A" w:rsidRPr="00A40882" w:rsidRDefault="0005512A" w:rsidP="00965E16">
            <w:pPr>
              <w:keepNext/>
              <w:spacing w:before="120" w:after="120"/>
              <w:jc w:val="center"/>
              <w:rPr>
                <w:b/>
                <w:sz w:val="20"/>
              </w:rPr>
            </w:pPr>
            <w:r w:rsidRPr="00C67EAD">
              <w:rPr>
                <w:b/>
                <w:sz w:val="20"/>
              </w:rPr>
              <w:t>Mean bw (g)</w:t>
            </w:r>
          </w:p>
          <w:p w14:paraId="1691ADDD" w14:textId="77777777" w:rsidR="0005512A" w:rsidRPr="00E74FD6" w:rsidRDefault="0005512A" w:rsidP="00965E16">
            <w:pPr>
              <w:keepNext/>
              <w:spacing w:before="120" w:after="120"/>
              <w:jc w:val="center"/>
              <w:rPr>
                <w:b/>
                <w:sz w:val="20"/>
              </w:rPr>
            </w:pPr>
            <w:r w:rsidRPr="00E74FD6">
              <w:rPr>
                <w:b/>
                <w:sz w:val="20"/>
              </w:rPr>
              <w:t>(% diff)</w:t>
            </w:r>
          </w:p>
        </w:tc>
        <w:tc>
          <w:tcPr>
            <w:tcW w:w="6662" w:type="dxa"/>
            <w:gridSpan w:val="9"/>
            <w:shd w:val="clear" w:color="auto" w:fill="D9D9D9" w:themeFill="background1" w:themeFillShade="D9"/>
            <w:vAlign w:val="center"/>
          </w:tcPr>
          <w:p w14:paraId="6DC7B998" w14:textId="77777777" w:rsidR="0005512A" w:rsidRPr="006A42B1" w:rsidRDefault="0005512A" w:rsidP="00965E16">
            <w:pPr>
              <w:keepNext/>
              <w:spacing w:before="120" w:after="120"/>
              <w:jc w:val="center"/>
              <w:rPr>
                <w:b/>
                <w:sz w:val="20"/>
                <w:lang w:val="de-DE"/>
              </w:rPr>
            </w:pPr>
            <w:r w:rsidRPr="006A42B1">
              <w:rPr>
                <w:b/>
                <w:sz w:val="20"/>
                <w:lang w:val="de-DE"/>
              </w:rPr>
              <w:t>Dose (mg/kg bw/dose)</w:t>
            </w:r>
          </w:p>
        </w:tc>
      </w:tr>
      <w:tr w:rsidR="0005512A" w:rsidRPr="00A1249E" w14:paraId="11212736" w14:textId="77777777" w:rsidTr="0005512A">
        <w:tc>
          <w:tcPr>
            <w:tcW w:w="1418" w:type="dxa"/>
            <w:tcBorders>
              <w:bottom w:val="single" w:sz="4" w:space="0" w:color="auto"/>
            </w:tcBorders>
            <w:shd w:val="clear" w:color="auto" w:fill="D9D9D9" w:themeFill="background1" w:themeFillShade="D9"/>
            <w:vAlign w:val="center"/>
          </w:tcPr>
          <w:p w14:paraId="719E7D54" w14:textId="77777777" w:rsidR="0005512A" w:rsidRPr="00A40882" w:rsidRDefault="0005512A" w:rsidP="00965E16">
            <w:pPr>
              <w:keepNext/>
              <w:spacing w:before="120" w:after="120"/>
              <w:jc w:val="center"/>
              <w:rPr>
                <w:b/>
                <w:sz w:val="20"/>
              </w:rPr>
            </w:pPr>
            <w:r w:rsidRPr="00C67EAD">
              <w:rPr>
                <w:b/>
                <w:sz w:val="20"/>
              </w:rPr>
              <w:t>Group</w:t>
            </w:r>
          </w:p>
        </w:tc>
        <w:tc>
          <w:tcPr>
            <w:tcW w:w="567" w:type="dxa"/>
            <w:tcBorders>
              <w:bottom w:val="single" w:sz="4" w:space="0" w:color="auto"/>
            </w:tcBorders>
            <w:shd w:val="clear" w:color="auto" w:fill="D9D9D9" w:themeFill="background1" w:themeFillShade="D9"/>
            <w:vAlign w:val="center"/>
          </w:tcPr>
          <w:p w14:paraId="683AF18E" w14:textId="77777777" w:rsidR="0005512A" w:rsidRPr="00E74FD6" w:rsidRDefault="0005512A" w:rsidP="00965E16">
            <w:pPr>
              <w:keepNext/>
              <w:spacing w:before="120" w:after="120"/>
              <w:jc w:val="center"/>
              <w:rPr>
                <w:b/>
                <w:sz w:val="20"/>
              </w:rPr>
            </w:pPr>
            <w:r w:rsidRPr="00E74FD6">
              <w:rPr>
                <w:b/>
                <w:sz w:val="20"/>
              </w:rPr>
              <w:t>1</w:t>
            </w:r>
          </w:p>
        </w:tc>
        <w:tc>
          <w:tcPr>
            <w:tcW w:w="708" w:type="dxa"/>
            <w:tcBorders>
              <w:bottom w:val="single" w:sz="4" w:space="0" w:color="auto"/>
            </w:tcBorders>
            <w:shd w:val="clear" w:color="auto" w:fill="D9D9D9" w:themeFill="background1" w:themeFillShade="D9"/>
            <w:vAlign w:val="center"/>
          </w:tcPr>
          <w:p w14:paraId="3851C01C" w14:textId="77777777" w:rsidR="0005512A" w:rsidRPr="000405A4" w:rsidRDefault="0005512A" w:rsidP="00965E16">
            <w:pPr>
              <w:keepNext/>
              <w:spacing w:before="120" w:after="120"/>
              <w:jc w:val="center"/>
              <w:rPr>
                <w:b/>
                <w:sz w:val="20"/>
              </w:rPr>
            </w:pPr>
            <w:r w:rsidRPr="000405A4">
              <w:rPr>
                <w:b/>
                <w:sz w:val="20"/>
              </w:rPr>
              <w:t>2</w:t>
            </w:r>
          </w:p>
        </w:tc>
        <w:tc>
          <w:tcPr>
            <w:tcW w:w="709" w:type="dxa"/>
            <w:tcBorders>
              <w:bottom w:val="single" w:sz="4" w:space="0" w:color="auto"/>
            </w:tcBorders>
            <w:shd w:val="clear" w:color="auto" w:fill="D9D9D9" w:themeFill="background1" w:themeFillShade="D9"/>
            <w:vAlign w:val="center"/>
          </w:tcPr>
          <w:p w14:paraId="3343BEC0" w14:textId="77777777" w:rsidR="0005512A" w:rsidRPr="000405A4" w:rsidRDefault="0005512A" w:rsidP="00965E16">
            <w:pPr>
              <w:keepNext/>
              <w:spacing w:before="120" w:after="120"/>
              <w:jc w:val="center"/>
              <w:rPr>
                <w:b/>
                <w:sz w:val="20"/>
              </w:rPr>
            </w:pPr>
            <w:r w:rsidRPr="000405A4">
              <w:rPr>
                <w:b/>
                <w:sz w:val="20"/>
              </w:rPr>
              <w:t>3</w:t>
            </w:r>
          </w:p>
        </w:tc>
        <w:tc>
          <w:tcPr>
            <w:tcW w:w="851" w:type="dxa"/>
            <w:tcBorders>
              <w:bottom w:val="single" w:sz="4" w:space="0" w:color="auto"/>
            </w:tcBorders>
            <w:shd w:val="clear" w:color="auto" w:fill="D9D9D9" w:themeFill="background1" w:themeFillShade="D9"/>
            <w:vAlign w:val="center"/>
          </w:tcPr>
          <w:p w14:paraId="48F997A7" w14:textId="77777777" w:rsidR="0005512A" w:rsidRPr="003E3285" w:rsidRDefault="0005512A" w:rsidP="00965E16">
            <w:pPr>
              <w:keepNext/>
              <w:spacing w:before="120" w:after="120"/>
              <w:jc w:val="center"/>
              <w:rPr>
                <w:b/>
                <w:sz w:val="20"/>
              </w:rPr>
            </w:pPr>
            <w:r w:rsidRPr="003E3285">
              <w:rPr>
                <w:b/>
                <w:sz w:val="20"/>
              </w:rPr>
              <w:t>4</w:t>
            </w:r>
          </w:p>
        </w:tc>
        <w:tc>
          <w:tcPr>
            <w:tcW w:w="850" w:type="dxa"/>
            <w:tcBorders>
              <w:bottom w:val="single" w:sz="4" w:space="0" w:color="auto"/>
              <w:right w:val="single" w:sz="12" w:space="0" w:color="auto"/>
            </w:tcBorders>
            <w:shd w:val="clear" w:color="auto" w:fill="D9D9D9" w:themeFill="background1" w:themeFillShade="D9"/>
            <w:vAlign w:val="center"/>
          </w:tcPr>
          <w:p w14:paraId="2A3BBB95" w14:textId="77777777" w:rsidR="0005512A" w:rsidRPr="00FE6D86" w:rsidRDefault="0005512A" w:rsidP="00965E16">
            <w:pPr>
              <w:keepNext/>
              <w:spacing w:before="120" w:after="120"/>
              <w:jc w:val="center"/>
              <w:rPr>
                <w:b/>
                <w:sz w:val="20"/>
              </w:rPr>
            </w:pPr>
            <w:r w:rsidRPr="00FE6D86">
              <w:rPr>
                <w:b/>
                <w:sz w:val="20"/>
              </w:rPr>
              <w:t>5</w:t>
            </w:r>
          </w:p>
        </w:tc>
        <w:tc>
          <w:tcPr>
            <w:tcW w:w="567" w:type="dxa"/>
            <w:tcBorders>
              <w:left w:val="single" w:sz="12" w:space="0" w:color="auto"/>
              <w:bottom w:val="single" w:sz="4" w:space="0" w:color="auto"/>
            </w:tcBorders>
            <w:shd w:val="clear" w:color="auto" w:fill="D9D9D9" w:themeFill="background1" w:themeFillShade="D9"/>
            <w:vAlign w:val="center"/>
          </w:tcPr>
          <w:p w14:paraId="50981BC5" w14:textId="77777777" w:rsidR="0005512A" w:rsidRPr="00FE6D86" w:rsidRDefault="0005512A" w:rsidP="00965E16">
            <w:pPr>
              <w:keepNext/>
              <w:spacing w:before="120" w:after="120"/>
              <w:jc w:val="center"/>
              <w:rPr>
                <w:b/>
                <w:sz w:val="20"/>
              </w:rPr>
            </w:pPr>
            <w:r w:rsidRPr="00FE6D86">
              <w:rPr>
                <w:b/>
                <w:sz w:val="20"/>
              </w:rPr>
              <w:t>6</w:t>
            </w:r>
          </w:p>
        </w:tc>
        <w:tc>
          <w:tcPr>
            <w:tcW w:w="709" w:type="dxa"/>
            <w:tcBorders>
              <w:bottom w:val="single" w:sz="4" w:space="0" w:color="auto"/>
            </w:tcBorders>
            <w:shd w:val="clear" w:color="auto" w:fill="D9D9D9" w:themeFill="background1" w:themeFillShade="D9"/>
            <w:vAlign w:val="center"/>
          </w:tcPr>
          <w:p w14:paraId="766E29D5" w14:textId="77777777" w:rsidR="0005512A" w:rsidRPr="0038797A" w:rsidRDefault="0005512A" w:rsidP="00965E16">
            <w:pPr>
              <w:keepNext/>
              <w:spacing w:before="120" w:after="120"/>
              <w:jc w:val="center"/>
              <w:rPr>
                <w:b/>
                <w:sz w:val="20"/>
              </w:rPr>
            </w:pPr>
            <w:r w:rsidRPr="0038797A">
              <w:rPr>
                <w:b/>
                <w:sz w:val="20"/>
              </w:rPr>
              <w:t>7</w:t>
            </w:r>
          </w:p>
        </w:tc>
        <w:tc>
          <w:tcPr>
            <w:tcW w:w="850" w:type="dxa"/>
            <w:tcBorders>
              <w:bottom w:val="single" w:sz="4" w:space="0" w:color="auto"/>
            </w:tcBorders>
            <w:shd w:val="clear" w:color="auto" w:fill="D9D9D9" w:themeFill="background1" w:themeFillShade="D9"/>
            <w:vAlign w:val="center"/>
          </w:tcPr>
          <w:p w14:paraId="7B47C557" w14:textId="77777777" w:rsidR="0005512A" w:rsidRPr="0038797A" w:rsidRDefault="0005512A" w:rsidP="00965E16">
            <w:pPr>
              <w:keepNext/>
              <w:spacing w:before="120" w:after="120"/>
              <w:jc w:val="center"/>
              <w:rPr>
                <w:b/>
                <w:sz w:val="20"/>
              </w:rPr>
            </w:pPr>
            <w:r w:rsidRPr="0038797A">
              <w:rPr>
                <w:b/>
                <w:sz w:val="20"/>
              </w:rPr>
              <w:t>8</w:t>
            </w:r>
          </w:p>
        </w:tc>
        <w:tc>
          <w:tcPr>
            <w:tcW w:w="851" w:type="dxa"/>
            <w:tcBorders>
              <w:bottom w:val="single" w:sz="4" w:space="0" w:color="auto"/>
            </w:tcBorders>
            <w:shd w:val="clear" w:color="auto" w:fill="D9D9D9" w:themeFill="background1" w:themeFillShade="D9"/>
            <w:vAlign w:val="center"/>
          </w:tcPr>
          <w:p w14:paraId="0B6A8947" w14:textId="77777777" w:rsidR="0005512A" w:rsidRPr="0063605E" w:rsidRDefault="0005512A" w:rsidP="00965E16">
            <w:pPr>
              <w:keepNext/>
              <w:spacing w:before="120" w:after="120"/>
              <w:jc w:val="center"/>
              <w:rPr>
                <w:b/>
                <w:sz w:val="20"/>
                <w:szCs w:val="20"/>
              </w:rPr>
            </w:pPr>
            <w:r w:rsidRPr="0063605E">
              <w:rPr>
                <w:b/>
                <w:sz w:val="20"/>
                <w:szCs w:val="20"/>
              </w:rPr>
              <w:t>9</w:t>
            </w:r>
          </w:p>
        </w:tc>
      </w:tr>
      <w:tr w:rsidR="0005512A" w:rsidRPr="00A1249E" w14:paraId="740458CC" w14:textId="77777777" w:rsidTr="0005512A">
        <w:tc>
          <w:tcPr>
            <w:tcW w:w="1418" w:type="dxa"/>
            <w:tcBorders>
              <w:bottom w:val="single" w:sz="12" w:space="0" w:color="auto"/>
            </w:tcBorders>
            <w:shd w:val="clear" w:color="auto" w:fill="D9D9D9" w:themeFill="background1" w:themeFillShade="D9"/>
            <w:vAlign w:val="center"/>
          </w:tcPr>
          <w:p w14:paraId="3FEA01DB" w14:textId="77777777" w:rsidR="0005512A" w:rsidRPr="00A40882" w:rsidRDefault="0005512A" w:rsidP="00965E16">
            <w:pPr>
              <w:keepNext/>
              <w:spacing w:before="120" w:after="120"/>
              <w:jc w:val="center"/>
              <w:rPr>
                <w:b/>
                <w:sz w:val="20"/>
              </w:rPr>
            </w:pPr>
            <w:r w:rsidRPr="00C67EAD">
              <w:rPr>
                <w:b/>
                <w:sz w:val="20"/>
              </w:rPr>
              <w:t>Study Day</w:t>
            </w:r>
          </w:p>
        </w:tc>
        <w:tc>
          <w:tcPr>
            <w:tcW w:w="567" w:type="dxa"/>
            <w:tcBorders>
              <w:bottom w:val="single" w:sz="12" w:space="0" w:color="auto"/>
            </w:tcBorders>
            <w:vAlign w:val="center"/>
          </w:tcPr>
          <w:p w14:paraId="0F561417" w14:textId="77777777" w:rsidR="0005512A" w:rsidRPr="00E74FD6" w:rsidRDefault="0005512A" w:rsidP="00965E16">
            <w:pPr>
              <w:keepNext/>
              <w:spacing w:before="120" w:after="120"/>
              <w:jc w:val="center"/>
              <w:rPr>
                <w:b/>
                <w:sz w:val="20"/>
              </w:rPr>
            </w:pPr>
            <w:r w:rsidRPr="00E74FD6">
              <w:rPr>
                <w:b/>
                <w:sz w:val="20"/>
              </w:rPr>
              <w:t>0</w:t>
            </w:r>
          </w:p>
        </w:tc>
        <w:tc>
          <w:tcPr>
            <w:tcW w:w="708" w:type="dxa"/>
            <w:tcBorders>
              <w:bottom w:val="single" w:sz="12" w:space="0" w:color="auto"/>
            </w:tcBorders>
            <w:vAlign w:val="center"/>
          </w:tcPr>
          <w:p w14:paraId="744D6E8C" w14:textId="77777777" w:rsidR="0005512A" w:rsidRPr="000405A4" w:rsidRDefault="0005512A" w:rsidP="00965E16">
            <w:pPr>
              <w:keepNext/>
              <w:spacing w:before="120" w:after="120"/>
              <w:jc w:val="center"/>
              <w:rPr>
                <w:b/>
                <w:sz w:val="20"/>
              </w:rPr>
            </w:pPr>
            <w:r w:rsidRPr="000405A4">
              <w:rPr>
                <w:b/>
                <w:sz w:val="20"/>
              </w:rPr>
              <w:t>10</w:t>
            </w:r>
          </w:p>
        </w:tc>
        <w:tc>
          <w:tcPr>
            <w:tcW w:w="709" w:type="dxa"/>
            <w:tcBorders>
              <w:bottom w:val="single" w:sz="12" w:space="0" w:color="auto"/>
            </w:tcBorders>
            <w:vAlign w:val="center"/>
          </w:tcPr>
          <w:p w14:paraId="5996F9E7" w14:textId="77777777" w:rsidR="0005512A" w:rsidRPr="000405A4" w:rsidRDefault="0005512A" w:rsidP="00965E16">
            <w:pPr>
              <w:keepNext/>
              <w:spacing w:before="120" w:after="120"/>
              <w:jc w:val="center"/>
              <w:rPr>
                <w:b/>
                <w:sz w:val="20"/>
              </w:rPr>
            </w:pPr>
            <w:r w:rsidRPr="000405A4">
              <w:rPr>
                <w:b/>
                <w:sz w:val="20"/>
              </w:rPr>
              <w:t>15</w:t>
            </w:r>
          </w:p>
        </w:tc>
        <w:tc>
          <w:tcPr>
            <w:tcW w:w="851" w:type="dxa"/>
            <w:tcBorders>
              <w:bottom w:val="single" w:sz="12" w:space="0" w:color="auto"/>
            </w:tcBorders>
            <w:vAlign w:val="center"/>
          </w:tcPr>
          <w:p w14:paraId="0FFDF54D" w14:textId="77777777" w:rsidR="0005512A" w:rsidRPr="003E3285" w:rsidRDefault="0005512A" w:rsidP="00965E16">
            <w:pPr>
              <w:keepNext/>
              <w:spacing w:before="120" w:after="120"/>
              <w:jc w:val="center"/>
              <w:rPr>
                <w:b/>
                <w:sz w:val="20"/>
              </w:rPr>
            </w:pPr>
            <w:r w:rsidRPr="003E3285">
              <w:rPr>
                <w:b/>
                <w:sz w:val="20"/>
              </w:rPr>
              <w:t>25</w:t>
            </w:r>
          </w:p>
        </w:tc>
        <w:tc>
          <w:tcPr>
            <w:tcW w:w="850" w:type="dxa"/>
            <w:tcBorders>
              <w:bottom w:val="single" w:sz="12" w:space="0" w:color="auto"/>
              <w:right w:val="single" w:sz="12" w:space="0" w:color="auto"/>
            </w:tcBorders>
            <w:shd w:val="clear" w:color="auto" w:fill="F2F2F2" w:themeFill="background1" w:themeFillShade="F2"/>
            <w:vAlign w:val="center"/>
          </w:tcPr>
          <w:p w14:paraId="1CB85168" w14:textId="77777777" w:rsidR="0005512A" w:rsidRPr="00FE6D86" w:rsidRDefault="0005512A" w:rsidP="00965E16">
            <w:pPr>
              <w:keepNext/>
              <w:spacing w:before="120" w:after="120"/>
              <w:jc w:val="center"/>
              <w:rPr>
                <w:b/>
                <w:sz w:val="20"/>
              </w:rPr>
            </w:pPr>
            <w:r w:rsidRPr="00FE6D86">
              <w:rPr>
                <w:b/>
                <w:sz w:val="20"/>
              </w:rPr>
              <w:t>MPTP</w:t>
            </w:r>
          </w:p>
        </w:tc>
        <w:tc>
          <w:tcPr>
            <w:tcW w:w="567" w:type="dxa"/>
            <w:tcBorders>
              <w:left w:val="single" w:sz="12" w:space="0" w:color="auto"/>
              <w:bottom w:val="single" w:sz="12" w:space="0" w:color="auto"/>
            </w:tcBorders>
            <w:vAlign w:val="center"/>
          </w:tcPr>
          <w:p w14:paraId="6617D2BA" w14:textId="77777777" w:rsidR="0005512A" w:rsidRPr="00FE6D86" w:rsidRDefault="0005512A" w:rsidP="00965E16">
            <w:pPr>
              <w:keepNext/>
              <w:spacing w:before="120" w:after="120"/>
              <w:jc w:val="center"/>
              <w:rPr>
                <w:b/>
                <w:sz w:val="20"/>
              </w:rPr>
            </w:pPr>
            <w:r w:rsidRPr="00FE6D86">
              <w:rPr>
                <w:b/>
                <w:sz w:val="20"/>
              </w:rPr>
              <w:t>0</w:t>
            </w:r>
          </w:p>
        </w:tc>
        <w:tc>
          <w:tcPr>
            <w:tcW w:w="709" w:type="dxa"/>
            <w:tcBorders>
              <w:bottom w:val="single" w:sz="12" w:space="0" w:color="auto"/>
            </w:tcBorders>
            <w:vAlign w:val="center"/>
          </w:tcPr>
          <w:p w14:paraId="3AFC2281" w14:textId="77777777" w:rsidR="0005512A" w:rsidRPr="0038797A" w:rsidRDefault="0005512A" w:rsidP="00965E16">
            <w:pPr>
              <w:keepNext/>
              <w:spacing w:before="120" w:after="120"/>
              <w:jc w:val="center"/>
              <w:rPr>
                <w:b/>
                <w:sz w:val="20"/>
              </w:rPr>
            </w:pPr>
            <w:r w:rsidRPr="0038797A">
              <w:rPr>
                <w:b/>
                <w:sz w:val="20"/>
              </w:rPr>
              <w:t>15</w:t>
            </w:r>
          </w:p>
        </w:tc>
        <w:tc>
          <w:tcPr>
            <w:tcW w:w="850" w:type="dxa"/>
            <w:tcBorders>
              <w:bottom w:val="single" w:sz="12" w:space="0" w:color="auto"/>
            </w:tcBorders>
            <w:vAlign w:val="center"/>
          </w:tcPr>
          <w:p w14:paraId="75C48F25" w14:textId="77777777" w:rsidR="0005512A" w:rsidRPr="0038797A" w:rsidRDefault="0005512A" w:rsidP="00965E16">
            <w:pPr>
              <w:keepNext/>
              <w:spacing w:before="120" w:after="120"/>
              <w:jc w:val="center"/>
              <w:rPr>
                <w:b/>
                <w:sz w:val="20"/>
              </w:rPr>
            </w:pPr>
            <w:r w:rsidRPr="0038797A">
              <w:rPr>
                <w:b/>
                <w:sz w:val="20"/>
              </w:rPr>
              <w:t>25</w:t>
            </w:r>
          </w:p>
        </w:tc>
        <w:tc>
          <w:tcPr>
            <w:tcW w:w="851" w:type="dxa"/>
            <w:tcBorders>
              <w:bottom w:val="single" w:sz="12" w:space="0" w:color="auto"/>
            </w:tcBorders>
            <w:shd w:val="clear" w:color="auto" w:fill="F2F2F2" w:themeFill="background1" w:themeFillShade="F2"/>
            <w:vAlign w:val="center"/>
          </w:tcPr>
          <w:p w14:paraId="10B467F2" w14:textId="77777777" w:rsidR="0005512A" w:rsidRPr="0063605E" w:rsidRDefault="0005512A" w:rsidP="00965E16">
            <w:pPr>
              <w:keepNext/>
              <w:spacing w:before="120" w:after="120"/>
              <w:jc w:val="center"/>
              <w:rPr>
                <w:b/>
                <w:sz w:val="20"/>
                <w:szCs w:val="20"/>
              </w:rPr>
            </w:pPr>
            <w:r w:rsidRPr="0063605E">
              <w:rPr>
                <w:b/>
                <w:sz w:val="20"/>
                <w:szCs w:val="20"/>
              </w:rPr>
              <w:t>MPTP</w:t>
            </w:r>
          </w:p>
        </w:tc>
      </w:tr>
      <w:tr w:rsidR="0005512A" w:rsidRPr="00A1249E" w14:paraId="5A019209" w14:textId="77777777" w:rsidTr="0005512A">
        <w:tc>
          <w:tcPr>
            <w:tcW w:w="1418" w:type="dxa"/>
            <w:tcBorders>
              <w:top w:val="single" w:sz="12" w:space="0" w:color="auto"/>
            </w:tcBorders>
            <w:shd w:val="clear" w:color="auto" w:fill="D9D9D9" w:themeFill="background1" w:themeFillShade="D9"/>
            <w:vAlign w:val="center"/>
          </w:tcPr>
          <w:p w14:paraId="65CF788D" w14:textId="77777777" w:rsidR="0005512A" w:rsidRPr="00A40882" w:rsidRDefault="0005512A" w:rsidP="00965E16">
            <w:pPr>
              <w:keepNext/>
              <w:spacing w:before="120" w:after="120"/>
              <w:jc w:val="center"/>
              <w:rPr>
                <w:sz w:val="20"/>
              </w:rPr>
            </w:pPr>
            <w:r w:rsidRPr="00C67EAD">
              <w:rPr>
                <w:sz w:val="20"/>
              </w:rPr>
              <w:t>-14</w:t>
            </w:r>
          </w:p>
        </w:tc>
        <w:tc>
          <w:tcPr>
            <w:tcW w:w="567" w:type="dxa"/>
            <w:tcBorders>
              <w:top w:val="single" w:sz="12" w:space="0" w:color="auto"/>
            </w:tcBorders>
            <w:vAlign w:val="center"/>
          </w:tcPr>
          <w:p w14:paraId="6350AF88" w14:textId="77777777" w:rsidR="0005512A" w:rsidRPr="00E74FD6" w:rsidRDefault="0005512A" w:rsidP="00965E16">
            <w:pPr>
              <w:keepNext/>
              <w:spacing w:before="120" w:after="120"/>
              <w:jc w:val="center"/>
              <w:rPr>
                <w:sz w:val="20"/>
              </w:rPr>
            </w:pPr>
            <w:r w:rsidRPr="00E74FD6">
              <w:rPr>
                <w:sz w:val="20"/>
              </w:rPr>
              <w:t>20</w:t>
            </w:r>
          </w:p>
        </w:tc>
        <w:tc>
          <w:tcPr>
            <w:tcW w:w="708" w:type="dxa"/>
            <w:tcBorders>
              <w:top w:val="single" w:sz="12" w:space="0" w:color="auto"/>
            </w:tcBorders>
            <w:vAlign w:val="center"/>
          </w:tcPr>
          <w:p w14:paraId="296AED58" w14:textId="77777777" w:rsidR="0005512A" w:rsidRPr="000405A4" w:rsidRDefault="0005512A" w:rsidP="00965E16">
            <w:pPr>
              <w:keepNext/>
              <w:spacing w:before="120" w:after="120"/>
              <w:jc w:val="center"/>
              <w:rPr>
                <w:sz w:val="20"/>
              </w:rPr>
            </w:pPr>
            <w:r w:rsidRPr="000405A4">
              <w:rPr>
                <w:sz w:val="20"/>
              </w:rPr>
              <w:t>20.4 (2.0)</w:t>
            </w:r>
          </w:p>
        </w:tc>
        <w:tc>
          <w:tcPr>
            <w:tcW w:w="709" w:type="dxa"/>
            <w:tcBorders>
              <w:top w:val="single" w:sz="12" w:space="0" w:color="auto"/>
            </w:tcBorders>
            <w:vAlign w:val="center"/>
          </w:tcPr>
          <w:p w14:paraId="062002E4" w14:textId="77777777" w:rsidR="0005512A" w:rsidRPr="000405A4" w:rsidRDefault="0005512A" w:rsidP="00965E16">
            <w:pPr>
              <w:keepNext/>
              <w:spacing w:before="120" w:after="120"/>
              <w:jc w:val="center"/>
              <w:rPr>
                <w:sz w:val="20"/>
              </w:rPr>
            </w:pPr>
            <w:r w:rsidRPr="000405A4">
              <w:rPr>
                <w:sz w:val="20"/>
              </w:rPr>
              <w:t>20.5 (2.5)</w:t>
            </w:r>
          </w:p>
        </w:tc>
        <w:tc>
          <w:tcPr>
            <w:tcW w:w="851" w:type="dxa"/>
            <w:tcBorders>
              <w:top w:val="single" w:sz="12" w:space="0" w:color="auto"/>
            </w:tcBorders>
            <w:vAlign w:val="center"/>
          </w:tcPr>
          <w:p w14:paraId="151BA7F8" w14:textId="77777777" w:rsidR="0005512A" w:rsidRPr="003E3285" w:rsidRDefault="0005512A" w:rsidP="00965E16">
            <w:pPr>
              <w:keepNext/>
              <w:spacing w:before="120" w:after="120"/>
              <w:jc w:val="center"/>
              <w:rPr>
                <w:sz w:val="20"/>
              </w:rPr>
            </w:pPr>
            <w:r w:rsidRPr="003E3285">
              <w:rPr>
                <w:sz w:val="20"/>
              </w:rPr>
              <w:t>20.5 (2.5)</w:t>
            </w:r>
          </w:p>
        </w:tc>
        <w:tc>
          <w:tcPr>
            <w:tcW w:w="850" w:type="dxa"/>
            <w:tcBorders>
              <w:top w:val="single" w:sz="12" w:space="0" w:color="auto"/>
              <w:right w:val="single" w:sz="12" w:space="0" w:color="auto"/>
            </w:tcBorders>
            <w:shd w:val="clear" w:color="auto" w:fill="F2F2F2" w:themeFill="background1" w:themeFillShade="F2"/>
            <w:vAlign w:val="center"/>
          </w:tcPr>
          <w:p w14:paraId="61077EFA" w14:textId="77777777" w:rsidR="0005512A" w:rsidRPr="00FE6D86" w:rsidRDefault="0005512A" w:rsidP="00965E16">
            <w:pPr>
              <w:keepNext/>
              <w:spacing w:before="120" w:after="120"/>
              <w:jc w:val="center"/>
              <w:rPr>
                <w:sz w:val="20"/>
              </w:rPr>
            </w:pPr>
            <w:r w:rsidRPr="00FE6D86">
              <w:rPr>
                <w:sz w:val="20"/>
              </w:rPr>
              <w:t>20.3 (1.5)</w:t>
            </w:r>
          </w:p>
        </w:tc>
        <w:tc>
          <w:tcPr>
            <w:tcW w:w="567" w:type="dxa"/>
            <w:tcBorders>
              <w:top w:val="single" w:sz="12" w:space="0" w:color="auto"/>
              <w:left w:val="single" w:sz="12" w:space="0" w:color="auto"/>
            </w:tcBorders>
            <w:vAlign w:val="center"/>
          </w:tcPr>
          <w:p w14:paraId="779F2B43" w14:textId="77777777" w:rsidR="0005512A" w:rsidRPr="00FE6D86" w:rsidRDefault="0005512A" w:rsidP="00965E16">
            <w:pPr>
              <w:keepNext/>
              <w:spacing w:before="120" w:after="120"/>
              <w:jc w:val="center"/>
              <w:rPr>
                <w:sz w:val="20"/>
              </w:rPr>
            </w:pPr>
            <w:r w:rsidRPr="00FE6D86">
              <w:rPr>
                <w:sz w:val="20"/>
              </w:rPr>
              <w:t>20.5</w:t>
            </w:r>
          </w:p>
        </w:tc>
        <w:tc>
          <w:tcPr>
            <w:tcW w:w="709" w:type="dxa"/>
            <w:tcBorders>
              <w:top w:val="single" w:sz="12" w:space="0" w:color="auto"/>
            </w:tcBorders>
            <w:vAlign w:val="center"/>
          </w:tcPr>
          <w:p w14:paraId="304B9F81" w14:textId="77777777" w:rsidR="0005512A" w:rsidRPr="0038797A" w:rsidRDefault="0005512A" w:rsidP="00965E16">
            <w:pPr>
              <w:keepNext/>
              <w:spacing w:before="120" w:after="120"/>
              <w:jc w:val="center"/>
              <w:rPr>
                <w:sz w:val="20"/>
              </w:rPr>
            </w:pPr>
            <w:r w:rsidRPr="0038797A">
              <w:rPr>
                <w:sz w:val="20"/>
              </w:rPr>
              <w:t>19.6 (-4.4)</w:t>
            </w:r>
          </w:p>
        </w:tc>
        <w:tc>
          <w:tcPr>
            <w:tcW w:w="850" w:type="dxa"/>
            <w:tcBorders>
              <w:top w:val="single" w:sz="12" w:space="0" w:color="auto"/>
            </w:tcBorders>
            <w:vAlign w:val="center"/>
          </w:tcPr>
          <w:p w14:paraId="6032DC92" w14:textId="77777777" w:rsidR="0005512A" w:rsidRPr="0038797A" w:rsidRDefault="0005512A" w:rsidP="00965E16">
            <w:pPr>
              <w:keepNext/>
              <w:spacing w:before="120" w:after="120"/>
              <w:jc w:val="center"/>
              <w:rPr>
                <w:sz w:val="20"/>
              </w:rPr>
            </w:pPr>
            <w:r w:rsidRPr="0038797A">
              <w:rPr>
                <w:sz w:val="20"/>
              </w:rPr>
              <w:t>20.4    (-0.5)</w:t>
            </w:r>
          </w:p>
        </w:tc>
        <w:tc>
          <w:tcPr>
            <w:tcW w:w="851" w:type="dxa"/>
            <w:tcBorders>
              <w:top w:val="single" w:sz="12" w:space="0" w:color="auto"/>
            </w:tcBorders>
            <w:shd w:val="clear" w:color="auto" w:fill="F2F2F2" w:themeFill="background1" w:themeFillShade="F2"/>
            <w:vAlign w:val="center"/>
          </w:tcPr>
          <w:p w14:paraId="1A44BC89" w14:textId="77777777" w:rsidR="0005512A" w:rsidRPr="0063605E" w:rsidRDefault="0005512A" w:rsidP="00965E16">
            <w:pPr>
              <w:keepNext/>
              <w:spacing w:before="120" w:after="120"/>
              <w:jc w:val="center"/>
              <w:rPr>
                <w:sz w:val="20"/>
                <w:szCs w:val="20"/>
              </w:rPr>
            </w:pPr>
            <w:r w:rsidRPr="0063605E">
              <w:rPr>
                <w:sz w:val="20"/>
                <w:szCs w:val="20"/>
              </w:rPr>
              <w:t>20.6 (0.5)</w:t>
            </w:r>
          </w:p>
        </w:tc>
      </w:tr>
      <w:tr w:rsidR="0005512A" w:rsidRPr="00A1249E" w14:paraId="6D59B182" w14:textId="77777777" w:rsidTr="0005512A">
        <w:tc>
          <w:tcPr>
            <w:tcW w:w="1418" w:type="dxa"/>
            <w:tcBorders>
              <w:bottom w:val="single" w:sz="12" w:space="0" w:color="auto"/>
            </w:tcBorders>
            <w:shd w:val="clear" w:color="auto" w:fill="D9D9D9" w:themeFill="background1" w:themeFillShade="D9"/>
            <w:vAlign w:val="center"/>
          </w:tcPr>
          <w:p w14:paraId="094C3AF0" w14:textId="77777777" w:rsidR="0005512A" w:rsidRPr="00A40882" w:rsidRDefault="0005512A" w:rsidP="00965E16">
            <w:pPr>
              <w:keepNext/>
              <w:spacing w:before="120" w:after="120"/>
              <w:jc w:val="center"/>
              <w:rPr>
                <w:sz w:val="20"/>
              </w:rPr>
            </w:pPr>
            <w:r w:rsidRPr="00C67EAD">
              <w:rPr>
                <w:sz w:val="20"/>
              </w:rPr>
              <w:t>-7</w:t>
            </w:r>
          </w:p>
        </w:tc>
        <w:tc>
          <w:tcPr>
            <w:tcW w:w="567" w:type="dxa"/>
            <w:tcBorders>
              <w:bottom w:val="single" w:sz="12" w:space="0" w:color="auto"/>
            </w:tcBorders>
            <w:vAlign w:val="center"/>
          </w:tcPr>
          <w:p w14:paraId="4C7DD098" w14:textId="77777777" w:rsidR="0005512A" w:rsidRPr="00E74FD6" w:rsidRDefault="0005512A" w:rsidP="00965E16">
            <w:pPr>
              <w:keepNext/>
              <w:spacing w:before="120" w:after="120"/>
              <w:jc w:val="center"/>
              <w:rPr>
                <w:sz w:val="20"/>
              </w:rPr>
            </w:pPr>
            <w:r w:rsidRPr="00E74FD6">
              <w:rPr>
                <w:sz w:val="20"/>
              </w:rPr>
              <w:t>21.3</w:t>
            </w:r>
          </w:p>
        </w:tc>
        <w:tc>
          <w:tcPr>
            <w:tcW w:w="708" w:type="dxa"/>
            <w:tcBorders>
              <w:bottom w:val="single" w:sz="12" w:space="0" w:color="auto"/>
            </w:tcBorders>
            <w:vAlign w:val="center"/>
          </w:tcPr>
          <w:p w14:paraId="11B83508" w14:textId="77777777" w:rsidR="0005512A" w:rsidRPr="000405A4" w:rsidRDefault="0005512A" w:rsidP="00965E16">
            <w:pPr>
              <w:keepNext/>
              <w:spacing w:before="120" w:after="120"/>
              <w:jc w:val="center"/>
              <w:rPr>
                <w:sz w:val="20"/>
              </w:rPr>
            </w:pPr>
            <w:r w:rsidRPr="000405A4">
              <w:rPr>
                <w:sz w:val="20"/>
              </w:rPr>
              <w:t>21.3 (0.0)</w:t>
            </w:r>
          </w:p>
        </w:tc>
        <w:tc>
          <w:tcPr>
            <w:tcW w:w="709" w:type="dxa"/>
            <w:tcBorders>
              <w:bottom w:val="single" w:sz="12" w:space="0" w:color="auto"/>
            </w:tcBorders>
            <w:vAlign w:val="center"/>
          </w:tcPr>
          <w:p w14:paraId="62D73744" w14:textId="77777777" w:rsidR="0005512A" w:rsidRPr="000405A4" w:rsidRDefault="0005512A" w:rsidP="00965E16">
            <w:pPr>
              <w:keepNext/>
              <w:spacing w:before="120" w:after="120"/>
              <w:jc w:val="center"/>
              <w:rPr>
                <w:sz w:val="20"/>
              </w:rPr>
            </w:pPr>
            <w:r w:rsidRPr="000405A4">
              <w:rPr>
                <w:sz w:val="20"/>
              </w:rPr>
              <w:t>21.5 (0.9)</w:t>
            </w:r>
          </w:p>
        </w:tc>
        <w:tc>
          <w:tcPr>
            <w:tcW w:w="851" w:type="dxa"/>
            <w:tcBorders>
              <w:bottom w:val="single" w:sz="12" w:space="0" w:color="auto"/>
            </w:tcBorders>
            <w:vAlign w:val="center"/>
          </w:tcPr>
          <w:p w14:paraId="757010DA" w14:textId="77777777" w:rsidR="0005512A" w:rsidRPr="003E3285" w:rsidRDefault="0005512A" w:rsidP="00965E16">
            <w:pPr>
              <w:keepNext/>
              <w:spacing w:before="120" w:after="120"/>
              <w:jc w:val="center"/>
              <w:rPr>
                <w:sz w:val="20"/>
              </w:rPr>
            </w:pPr>
            <w:r w:rsidRPr="003E3285">
              <w:rPr>
                <w:sz w:val="20"/>
              </w:rPr>
              <w:t>21.4 (0.5)</w:t>
            </w:r>
          </w:p>
        </w:tc>
        <w:tc>
          <w:tcPr>
            <w:tcW w:w="850" w:type="dxa"/>
            <w:tcBorders>
              <w:bottom w:val="single" w:sz="4" w:space="0" w:color="auto"/>
              <w:right w:val="single" w:sz="12" w:space="0" w:color="auto"/>
            </w:tcBorders>
            <w:shd w:val="clear" w:color="auto" w:fill="F2F2F2" w:themeFill="background1" w:themeFillShade="F2"/>
            <w:vAlign w:val="center"/>
          </w:tcPr>
          <w:p w14:paraId="674383A3" w14:textId="77777777" w:rsidR="0005512A" w:rsidRPr="00FE6D86" w:rsidRDefault="0005512A" w:rsidP="00965E16">
            <w:pPr>
              <w:keepNext/>
              <w:spacing w:before="120" w:after="120"/>
              <w:jc w:val="center"/>
              <w:rPr>
                <w:sz w:val="20"/>
              </w:rPr>
            </w:pPr>
            <w:r w:rsidRPr="00FE6D86">
              <w:rPr>
                <w:sz w:val="20"/>
              </w:rPr>
              <w:t>21.2    (-0.5)</w:t>
            </w:r>
          </w:p>
        </w:tc>
        <w:tc>
          <w:tcPr>
            <w:tcW w:w="567" w:type="dxa"/>
            <w:tcBorders>
              <w:left w:val="single" w:sz="12" w:space="0" w:color="auto"/>
              <w:bottom w:val="single" w:sz="12" w:space="0" w:color="auto"/>
            </w:tcBorders>
            <w:vAlign w:val="center"/>
          </w:tcPr>
          <w:p w14:paraId="241DFB94" w14:textId="77777777" w:rsidR="0005512A" w:rsidRPr="0038797A" w:rsidRDefault="0005512A" w:rsidP="00965E16">
            <w:pPr>
              <w:keepNext/>
              <w:spacing w:before="120" w:after="120"/>
              <w:jc w:val="center"/>
              <w:rPr>
                <w:sz w:val="20"/>
              </w:rPr>
            </w:pPr>
            <w:r w:rsidRPr="0038797A">
              <w:rPr>
                <w:sz w:val="20"/>
              </w:rPr>
              <w:t>21.4</w:t>
            </w:r>
          </w:p>
        </w:tc>
        <w:tc>
          <w:tcPr>
            <w:tcW w:w="709" w:type="dxa"/>
            <w:tcBorders>
              <w:bottom w:val="single" w:sz="12" w:space="0" w:color="auto"/>
            </w:tcBorders>
            <w:vAlign w:val="center"/>
          </w:tcPr>
          <w:p w14:paraId="2D491DCE" w14:textId="77777777" w:rsidR="0005512A" w:rsidRPr="0038797A" w:rsidRDefault="0005512A" w:rsidP="00965E16">
            <w:pPr>
              <w:keepNext/>
              <w:spacing w:before="120" w:after="120"/>
              <w:jc w:val="center"/>
              <w:rPr>
                <w:sz w:val="20"/>
              </w:rPr>
            </w:pPr>
            <w:r w:rsidRPr="0038797A">
              <w:rPr>
                <w:sz w:val="20"/>
              </w:rPr>
              <w:t>20.8 (-2.80</w:t>
            </w:r>
          </w:p>
        </w:tc>
        <w:tc>
          <w:tcPr>
            <w:tcW w:w="850" w:type="dxa"/>
            <w:tcBorders>
              <w:bottom w:val="single" w:sz="12" w:space="0" w:color="auto"/>
            </w:tcBorders>
            <w:vAlign w:val="center"/>
          </w:tcPr>
          <w:p w14:paraId="690934C9" w14:textId="77777777" w:rsidR="0005512A" w:rsidRPr="0063605E" w:rsidRDefault="0005512A" w:rsidP="00965E16">
            <w:pPr>
              <w:keepNext/>
              <w:spacing w:before="120" w:after="120"/>
              <w:jc w:val="center"/>
              <w:rPr>
                <w:sz w:val="20"/>
                <w:szCs w:val="20"/>
              </w:rPr>
            </w:pPr>
            <w:r w:rsidRPr="0063605E">
              <w:rPr>
                <w:sz w:val="20"/>
                <w:szCs w:val="20"/>
              </w:rPr>
              <w:t>21.2    (-0.9)</w:t>
            </w:r>
          </w:p>
        </w:tc>
        <w:tc>
          <w:tcPr>
            <w:tcW w:w="851" w:type="dxa"/>
            <w:tcBorders>
              <w:bottom w:val="single" w:sz="4" w:space="0" w:color="auto"/>
            </w:tcBorders>
            <w:shd w:val="clear" w:color="auto" w:fill="F2F2F2" w:themeFill="background1" w:themeFillShade="F2"/>
            <w:vAlign w:val="center"/>
          </w:tcPr>
          <w:p w14:paraId="213AF1C4" w14:textId="77777777" w:rsidR="0005512A" w:rsidRPr="00E40DFE" w:rsidRDefault="0005512A" w:rsidP="00965E16">
            <w:pPr>
              <w:keepNext/>
              <w:spacing w:before="120" w:after="120"/>
              <w:jc w:val="center"/>
              <w:rPr>
                <w:sz w:val="20"/>
                <w:szCs w:val="20"/>
              </w:rPr>
            </w:pPr>
            <w:r w:rsidRPr="00E40DFE">
              <w:rPr>
                <w:sz w:val="20"/>
                <w:szCs w:val="20"/>
              </w:rPr>
              <w:t>21.3    (-0.5)</w:t>
            </w:r>
          </w:p>
        </w:tc>
      </w:tr>
      <w:tr w:rsidR="0005512A" w:rsidRPr="00A1249E" w14:paraId="6E74B64F" w14:textId="77777777" w:rsidTr="0005512A">
        <w:tc>
          <w:tcPr>
            <w:tcW w:w="1418" w:type="dxa"/>
            <w:tcBorders>
              <w:top w:val="single" w:sz="12" w:space="0" w:color="auto"/>
              <w:left w:val="single" w:sz="12" w:space="0" w:color="auto"/>
              <w:bottom w:val="single" w:sz="12" w:space="0" w:color="auto"/>
            </w:tcBorders>
            <w:shd w:val="clear" w:color="auto" w:fill="D9D9D9" w:themeFill="background1" w:themeFillShade="D9"/>
            <w:vAlign w:val="center"/>
          </w:tcPr>
          <w:p w14:paraId="24FBC91B" w14:textId="77777777" w:rsidR="0005512A" w:rsidRPr="00A40882" w:rsidRDefault="0005512A" w:rsidP="00965E16">
            <w:pPr>
              <w:keepNext/>
              <w:spacing w:before="120" w:after="120"/>
              <w:jc w:val="center"/>
              <w:rPr>
                <w:sz w:val="20"/>
              </w:rPr>
            </w:pPr>
            <w:r w:rsidRPr="00C67EAD">
              <w:rPr>
                <w:sz w:val="20"/>
              </w:rPr>
              <w:t xml:space="preserve">0 </w:t>
            </w:r>
          </w:p>
        </w:tc>
        <w:tc>
          <w:tcPr>
            <w:tcW w:w="567" w:type="dxa"/>
            <w:tcBorders>
              <w:top w:val="single" w:sz="12" w:space="0" w:color="auto"/>
              <w:bottom w:val="single" w:sz="12" w:space="0" w:color="auto"/>
            </w:tcBorders>
            <w:vAlign w:val="center"/>
          </w:tcPr>
          <w:p w14:paraId="6A5ED477" w14:textId="77777777" w:rsidR="0005512A" w:rsidRPr="00E74FD6" w:rsidRDefault="0005512A" w:rsidP="00965E16">
            <w:pPr>
              <w:keepNext/>
              <w:spacing w:before="120" w:after="120"/>
              <w:jc w:val="center"/>
              <w:rPr>
                <w:b/>
                <w:sz w:val="20"/>
              </w:rPr>
            </w:pPr>
            <w:r w:rsidRPr="00E74FD6">
              <w:rPr>
                <w:b/>
                <w:sz w:val="20"/>
              </w:rPr>
              <w:t>22.7</w:t>
            </w:r>
          </w:p>
        </w:tc>
        <w:tc>
          <w:tcPr>
            <w:tcW w:w="708" w:type="dxa"/>
            <w:tcBorders>
              <w:top w:val="single" w:sz="12" w:space="0" w:color="auto"/>
              <w:bottom w:val="single" w:sz="12" w:space="0" w:color="auto"/>
            </w:tcBorders>
            <w:vAlign w:val="center"/>
          </w:tcPr>
          <w:p w14:paraId="5309DA42" w14:textId="77777777" w:rsidR="0005512A" w:rsidRPr="000405A4" w:rsidRDefault="0005512A" w:rsidP="00965E16">
            <w:pPr>
              <w:keepNext/>
              <w:spacing w:before="120" w:after="120"/>
              <w:jc w:val="center"/>
              <w:rPr>
                <w:b/>
                <w:sz w:val="20"/>
              </w:rPr>
            </w:pPr>
            <w:r w:rsidRPr="000405A4">
              <w:rPr>
                <w:b/>
                <w:sz w:val="20"/>
              </w:rPr>
              <w:t>22.7 (0.0)</w:t>
            </w:r>
          </w:p>
        </w:tc>
        <w:tc>
          <w:tcPr>
            <w:tcW w:w="709" w:type="dxa"/>
            <w:tcBorders>
              <w:top w:val="single" w:sz="12" w:space="0" w:color="auto"/>
              <w:bottom w:val="single" w:sz="12" w:space="0" w:color="auto"/>
            </w:tcBorders>
            <w:vAlign w:val="center"/>
          </w:tcPr>
          <w:p w14:paraId="3C06E793" w14:textId="77777777" w:rsidR="0005512A" w:rsidRPr="000405A4" w:rsidRDefault="0005512A" w:rsidP="00965E16">
            <w:pPr>
              <w:keepNext/>
              <w:spacing w:before="120" w:after="120"/>
              <w:jc w:val="center"/>
              <w:rPr>
                <w:b/>
                <w:sz w:val="20"/>
              </w:rPr>
            </w:pPr>
            <w:r w:rsidRPr="000405A4">
              <w:rPr>
                <w:b/>
                <w:sz w:val="20"/>
              </w:rPr>
              <w:t>22.9 (0.9)</w:t>
            </w:r>
          </w:p>
        </w:tc>
        <w:tc>
          <w:tcPr>
            <w:tcW w:w="851" w:type="dxa"/>
            <w:tcBorders>
              <w:top w:val="single" w:sz="12" w:space="0" w:color="auto"/>
              <w:bottom w:val="single" w:sz="12" w:space="0" w:color="auto"/>
              <w:right w:val="single" w:sz="12" w:space="0" w:color="auto"/>
            </w:tcBorders>
            <w:vAlign w:val="center"/>
          </w:tcPr>
          <w:p w14:paraId="6FEEC4D2" w14:textId="77777777" w:rsidR="0005512A" w:rsidRPr="003E3285" w:rsidRDefault="0005512A" w:rsidP="00965E16">
            <w:pPr>
              <w:keepNext/>
              <w:spacing w:before="120" w:after="120"/>
              <w:jc w:val="center"/>
              <w:rPr>
                <w:b/>
                <w:sz w:val="20"/>
              </w:rPr>
            </w:pPr>
            <w:r w:rsidRPr="003E3285">
              <w:rPr>
                <w:b/>
                <w:sz w:val="20"/>
              </w:rPr>
              <w:t>22.6    (-0.4)</w:t>
            </w:r>
          </w:p>
        </w:tc>
        <w:tc>
          <w:tcPr>
            <w:tcW w:w="850" w:type="dxa"/>
            <w:tcBorders>
              <w:top w:val="single" w:sz="4" w:space="0" w:color="auto"/>
              <w:left w:val="single" w:sz="12" w:space="0" w:color="auto"/>
              <w:bottom w:val="single" w:sz="4" w:space="0" w:color="auto"/>
              <w:right w:val="single" w:sz="12" w:space="0" w:color="auto"/>
            </w:tcBorders>
            <w:shd w:val="clear" w:color="auto" w:fill="F2F2F2" w:themeFill="background1" w:themeFillShade="F2"/>
            <w:vAlign w:val="center"/>
          </w:tcPr>
          <w:p w14:paraId="3601A500" w14:textId="77777777" w:rsidR="0005512A" w:rsidRPr="00FE6D86" w:rsidRDefault="0005512A" w:rsidP="00965E16">
            <w:pPr>
              <w:keepNext/>
              <w:spacing w:before="120" w:after="120"/>
              <w:jc w:val="center"/>
              <w:rPr>
                <w:sz w:val="20"/>
              </w:rPr>
            </w:pPr>
            <w:r w:rsidRPr="00FE6D86">
              <w:rPr>
                <w:sz w:val="20"/>
              </w:rPr>
              <w:t>22.5    (-0.9)</w:t>
            </w:r>
          </w:p>
        </w:tc>
        <w:tc>
          <w:tcPr>
            <w:tcW w:w="567" w:type="dxa"/>
            <w:tcBorders>
              <w:top w:val="single" w:sz="12" w:space="0" w:color="auto"/>
              <w:left w:val="single" w:sz="12" w:space="0" w:color="auto"/>
              <w:bottom w:val="single" w:sz="12" w:space="0" w:color="auto"/>
            </w:tcBorders>
            <w:vAlign w:val="center"/>
          </w:tcPr>
          <w:p w14:paraId="7823BC73" w14:textId="77777777" w:rsidR="0005512A" w:rsidRPr="00FE6D86" w:rsidRDefault="0005512A" w:rsidP="00965E16">
            <w:pPr>
              <w:keepNext/>
              <w:spacing w:before="120" w:after="120"/>
              <w:jc w:val="center"/>
              <w:rPr>
                <w:b/>
                <w:sz w:val="20"/>
              </w:rPr>
            </w:pPr>
            <w:r w:rsidRPr="00FE6D86">
              <w:rPr>
                <w:b/>
                <w:sz w:val="20"/>
              </w:rPr>
              <w:t>22.4</w:t>
            </w:r>
          </w:p>
        </w:tc>
        <w:tc>
          <w:tcPr>
            <w:tcW w:w="709" w:type="dxa"/>
            <w:tcBorders>
              <w:top w:val="single" w:sz="12" w:space="0" w:color="auto"/>
              <w:bottom w:val="single" w:sz="12" w:space="0" w:color="auto"/>
            </w:tcBorders>
            <w:vAlign w:val="center"/>
          </w:tcPr>
          <w:p w14:paraId="0E01849C" w14:textId="77777777" w:rsidR="0005512A" w:rsidRPr="0038797A" w:rsidRDefault="0005512A" w:rsidP="00965E16">
            <w:pPr>
              <w:keepNext/>
              <w:spacing w:before="120" w:after="120"/>
              <w:jc w:val="center"/>
              <w:rPr>
                <w:b/>
                <w:sz w:val="20"/>
              </w:rPr>
            </w:pPr>
            <w:r w:rsidRPr="0038797A">
              <w:rPr>
                <w:b/>
                <w:sz w:val="20"/>
              </w:rPr>
              <w:t>22.6 (0.9)</w:t>
            </w:r>
          </w:p>
        </w:tc>
        <w:tc>
          <w:tcPr>
            <w:tcW w:w="850" w:type="dxa"/>
            <w:tcBorders>
              <w:top w:val="single" w:sz="12" w:space="0" w:color="auto"/>
              <w:bottom w:val="single" w:sz="12" w:space="0" w:color="auto"/>
              <w:right w:val="single" w:sz="12" w:space="0" w:color="auto"/>
            </w:tcBorders>
            <w:vAlign w:val="center"/>
          </w:tcPr>
          <w:p w14:paraId="6B491FD3" w14:textId="77777777" w:rsidR="0005512A" w:rsidRPr="0038797A" w:rsidRDefault="0005512A" w:rsidP="00965E16">
            <w:pPr>
              <w:keepNext/>
              <w:spacing w:before="120" w:after="120"/>
              <w:jc w:val="center"/>
              <w:rPr>
                <w:b/>
                <w:sz w:val="20"/>
              </w:rPr>
            </w:pPr>
            <w:r w:rsidRPr="0038797A">
              <w:rPr>
                <w:b/>
                <w:sz w:val="20"/>
              </w:rPr>
              <w:t>22.3    (-0.4)</w:t>
            </w:r>
          </w:p>
        </w:tc>
        <w:tc>
          <w:tcPr>
            <w:tcW w:w="851" w:type="dxa"/>
            <w:tcBorders>
              <w:top w:val="single" w:sz="4" w:space="0" w:color="auto"/>
              <w:left w:val="single" w:sz="12" w:space="0" w:color="auto"/>
              <w:bottom w:val="single" w:sz="4" w:space="0" w:color="auto"/>
              <w:right w:val="single" w:sz="4" w:space="0" w:color="auto"/>
            </w:tcBorders>
            <w:shd w:val="clear" w:color="auto" w:fill="F2F2F2" w:themeFill="background1" w:themeFillShade="F2"/>
            <w:vAlign w:val="center"/>
          </w:tcPr>
          <w:p w14:paraId="6F56C29B" w14:textId="77777777" w:rsidR="0005512A" w:rsidRPr="0063605E" w:rsidRDefault="0005512A" w:rsidP="00965E16">
            <w:pPr>
              <w:keepNext/>
              <w:spacing w:before="120" w:after="120"/>
              <w:jc w:val="center"/>
              <w:rPr>
                <w:sz w:val="20"/>
                <w:szCs w:val="20"/>
              </w:rPr>
            </w:pPr>
            <w:r w:rsidRPr="0063605E">
              <w:rPr>
                <w:sz w:val="20"/>
                <w:szCs w:val="20"/>
              </w:rPr>
              <w:t>22.5 (0.4)</w:t>
            </w:r>
          </w:p>
        </w:tc>
      </w:tr>
      <w:tr w:rsidR="0005512A" w:rsidRPr="00A1249E" w14:paraId="77A7A245" w14:textId="77777777" w:rsidTr="0005512A">
        <w:tc>
          <w:tcPr>
            <w:tcW w:w="1418" w:type="dxa"/>
            <w:tcBorders>
              <w:top w:val="single" w:sz="12" w:space="0" w:color="auto"/>
            </w:tcBorders>
            <w:shd w:val="clear" w:color="auto" w:fill="D9D9D9" w:themeFill="background1" w:themeFillShade="D9"/>
            <w:vAlign w:val="center"/>
          </w:tcPr>
          <w:p w14:paraId="0E82D43C" w14:textId="77777777" w:rsidR="0005512A" w:rsidRPr="00A40882" w:rsidRDefault="0005512A" w:rsidP="00965E16">
            <w:pPr>
              <w:keepNext/>
              <w:spacing w:before="120" w:after="120"/>
              <w:jc w:val="center"/>
              <w:rPr>
                <w:sz w:val="20"/>
              </w:rPr>
            </w:pPr>
            <w:r w:rsidRPr="00C67EAD">
              <w:rPr>
                <w:sz w:val="20"/>
              </w:rPr>
              <w:t>1</w:t>
            </w:r>
          </w:p>
        </w:tc>
        <w:tc>
          <w:tcPr>
            <w:tcW w:w="567" w:type="dxa"/>
            <w:tcBorders>
              <w:top w:val="single" w:sz="12" w:space="0" w:color="auto"/>
            </w:tcBorders>
            <w:vAlign w:val="center"/>
          </w:tcPr>
          <w:p w14:paraId="4C14CC0D" w14:textId="77777777" w:rsidR="0005512A" w:rsidRPr="00E74FD6" w:rsidRDefault="0005512A" w:rsidP="00965E16">
            <w:pPr>
              <w:keepNext/>
              <w:spacing w:before="120" w:after="120"/>
              <w:jc w:val="center"/>
              <w:rPr>
                <w:sz w:val="20"/>
              </w:rPr>
            </w:pPr>
            <w:r w:rsidRPr="00E74FD6">
              <w:rPr>
                <w:sz w:val="20"/>
              </w:rPr>
              <w:t>22.5</w:t>
            </w:r>
          </w:p>
        </w:tc>
        <w:tc>
          <w:tcPr>
            <w:tcW w:w="708" w:type="dxa"/>
            <w:tcBorders>
              <w:top w:val="single" w:sz="12" w:space="0" w:color="auto"/>
            </w:tcBorders>
            <w:vAlign w:val="center"/>
          </w:tcPr>
          <w:p w14:paraId="54E4E8C9" w14:textId="77777777" w:rsidR="0005512A" w:rsidRPr="000405A4" w:rsidRDefault="0005512A" w:rsidP="00965E16">
            <w:pPr>
              <w:keepNext/>
              <w:spacing w:before="120" w:after="120"/>
              <w:jc w:val="center"/>
              <w:rPr>
                <w:sz w:val="20"/>
              </w:rPr>
            </w:pPr>
            <w:r w:rsidRPr="000405A4">
              <w:rPr>
                <w:sz w:val="20"/>
              </w:rPr>
              <w:t>22.2 (-1.3)</w:t>
            </w:r>
          </w:p>
        </w:tc>
        <w:tc>
          <w:tcPr>
            <w:tcW w:w="709" w:type="dxa"/>
            <w:tcBorders>
              <w:top w:val="single" w:sz="12" w:space="0" w:color="auto"/>
            </w:tcBorders>
            <w:vAlign w:val="center"/>
          </w:tcPr>
          <w:p w14:paraId="6CC34D98" w14:textId="77777777" w:rsidR="0005512A" w:rsidRPr="000405A4" w:rsidRDefault="0005512A" w:rsidP="00965E16">
            <w:pPr>
              <w:keepNext/>
              <w:spacing w:before="120" w:after="120"/>
              <w:jc w:val="center"/>
              <w:rPr>
                <w:sz w:val="20"/>
              </w:rPr>
            </w:pPr>
            <w:r w:rsidRPr="000405A4">
              <w:rPr>
                <w:sz w:val="20"/>
              </w:rPr>
              <w:t>22.0 (-2.2)</w:t>
            </w:r>
          </w:p>
        </w:tc>
        <w:tc>
          <w:tcPr>
            <w:tcW w:w="851" w:type="dxa"/>
            <w:tcBorders>
              <w:top w:val="single" w:sz="12" w:space="0" w:color="auto"/>
            </w:tcBorders>
            <w:vAlign w:val="center"/>
          </w:tcPr>
          <w:p w14:paraId="1B84B39C" w14:textId="77777777" w:rsidR="0005512A" w:rsidRPr="003E3285" w:rsidRDefault="0005512A" w:rsidP="00965E16">
            <w:pPr>
              <w:keepNext/>
              <w:spacing w:before="120" w:after="120"/>
              <w:jc w:val="center"/>
              <w:rPr>
                <w:sz w:val="20"/>
              </w:rPr>
            </w:pPr>
            <w:r w:rsidRPr="003E3285">
              <w:rPr>
                <w:sz w:val="20"/>
              </w:rPr>
              <w:t>20.0*   (-11.1)</w:t>
            </w:r>
          </w:p>
        </w:tc>
        <w:tc>
          <w:tcPr>
            <w:tcW w:w="850" w:type="dxa"/>
            <w:tcBorders>
              <w:top w:val="single" w:sz="4" w:space="0" w:color="auto"/>
              <w:right w:val="single" w:sz="12" w:space="0" w:color="auto"/>
            </w:tcBorders>
            <w:shd w:val="clear" w:color="auto" w:fill="F2F2F2" w:themeFill="background1" w:themeFillShade="F2"/>
            <w:vAlign w:val="center"/>
          </w:tcPr>
          <w:p w14:paraId="4CEB3705" w14:textId="77777777" w:rsidR="0005512A" w:rsidRPr="00FE6D86" w:rsidRDefault="0005512A" w:rsidP="00965E16">
            <w:pPr>
              <w:keepNext/>
              <w:spacing w:before="120" w:after="120"/>
              <w:jc w:val="center"/>
              <w:rPr>
                <w:sz w:val="20"/>
              </w:rPr>
            </w:pPr>
            <w:r w:rsidRPr="00FE6D86">
              <w:rPr>
                <w:sz w:val="20"/>
              </w:rPr>
              <w:t>22.5  (0)</w:t>
            </w:r>
          </w:p>
        </w:tc>
        <w:tc>
          <w:tcPr>
            <w:tcW w:w="567" w:type="dxa"/>
            <w:tcBorders>
              <w:top w:val="single" w:sz="12" w:space="0" w:color="auto"/>
              <w:left w:val="single" w:sz="12" w:space="0" w:color="auto"/>
            </w:tcBorders>
            <w:vAlign w:val="center"/>
          </w:tcPr>
          <w:p w14:paraId="76AAA25D" w14:textId="77777777" w:rsidR="0005512A" w:rsidRPr="00FE6D86" w:rsidRDefault="0005512A" w:rsidP="00965E16">
            <w:pPr>
              <w:keepNext/>
              <w:spacing w:before="120" w:after="120"/>
              <w:jc w:val="center"/>
              <w:rPr>
                <w:sz w:val="20"/>
              </w:rPr>
            </w:pPr>
            <w:r w:rsidRPr="00FE6D86">
              <w:rPr>
                <w:sz w:val="20"/>
              </w:rPr>
              <w:t>22.7</w:t>
            </w:r>
          </w:p>
        </w:tc>
        <w:tc>
          <w:tcPr>
            <w:tcW w:w="709" w:type="dxa"/>
            <w:tcBorders>
              <w:top w:val="single" w:sz="12" w:space="0" w:color="auto"/>
            </w:tcBorders>
            <w:vAlign w:val="center"/>
          </w:tcPr>
          <w:p w14:paraId="0B23CB0A" w14:textId="77777777" w:rsidR="0005512A" w:rsidRPr="0038797A" w:rsidRDefault="0005512A" w:rsidP="00965E16">
            <w:pPr>
              <w:keepNext/>
              <w:spacing w:before="120" w:after="120"/>
              <w:jc w:val="center"/>
              <w:rPr>
                <w:sz w:val="20"/>
              </w:rPr>
            </w:pPr>
            <w:r w:rsidRPr="0038797A">
              <w:rPr>
                <w:sz w:val="20"/>
              </w:rPr>
              <w:t>22.2 (-2.2)</w:t>
            </w:r>
          </w:p>
        </w:tc>
        <w:tc>
          <w:tcPr>
            <w:tcW w:w="850" w:type="dxa"/>
            <w:tcBorders>
              <w:top w:val="single" w:sz="12" w:space="0" w:color="auto"/>
            </w:tcBorders>
            <w:vAlign w:val="center"/>
          </w:tcPr>
          <w:p w14:paraId="7730FED8" w14:textId="77777777" w:rsidR="0005512A" w:rsidRPr="0038797A" w:rsidRDefault="0005512A" w:rsidP="00965E16">
            <w:pPr>
              <w:keepNext/>
              <w:spacing w:before="120" w:after="120"/>
              <w:jc w:val="center"/>
              <w:rPr>
                <w:sz w:val="20"/>
              </w:rPr>
            </w:pPr>
            <w:r w:rsidRPr="0038797A">
              <w:rPr>
                <w:sz w:val="20"/>
              </w:rPr>
              <w:t>19.5*  (-14.1)</w:t>
            </w:r>
          </w:p>
        </w:tc>
        <w:tc>
          <w:tcPr>
            <w:tcW w:w="851" w:type="dxa"/>
            <w:tcBorders>
              <w:top w:val="single" w:sz="4" w:space="0" w:color="auto"/>
            </w:tcBorders>
            <w:shd w:val="clear" w:color="auto" w:fill="F2F2F2" w:themeFill="background1" w:themeFillShade="F2"/>
            <w:vAlign w:val="center"/>
          </w:tcPr>
          <w:p w14:paraId="2DAD97DC" w14:textId="77777777" w:rsidR="0005512A" w:rsidRPr="0063605E" w:rsidRDefault="0005512A" w:rsidP="00965E16">
            <w:pPr>
              <w:keepNext/>
              <w:spacing w:before="120" w:after="120"/>
              <w:jc w:val="center"/>
              <w:rPr>
                <w:sz w:val="20"/>
                <w:szCs w:val="20"/>
              </w:rPr>
            </w:pPr>
            <w:r w:rsidRPr="0063605E">
              <w:rPr>
                <w:sz w:val="20"/>
                <w:szCs w:val="20"/>
              </w:rPr>
              <w:t>22.8 (0.4)</w:t>
            </w:r>
          </w:p>
        </w:tc>
      </w:tr>
      <w:tr w:rsidR="0005512A" w:rsidRPr="00A1249E" w14:paraId="754BC7C9" w14:textId="77777777" w:rsidTr="0005512A">
        <w:tc>
          <w:tcPr>
            <w:tcW w:w="1418" w:type="dxa"/>
            <w:tcBorders>
              <w:bottom w:val="single" w:sz="12" w:space="0" w:color="auto"/>
            </w:tcBorders>
            <w:shd w:val="clear" w:color="auto" w:fill="D9D9D9" w:themeFill="background1" w:themeFillShade="D9"/>
            <w:vAlign w:val="center"/>
          </w:tcPr>
          <w:p w14:paraId="7509189D" w14:textId="77777777" w:rsidR="0005512A" w:rsidRPr="00A40882" w:rsidRDefault="0005512A" w:rsidP="00965E16">
            <w:pPr>
              <w:keepNext/>
              <w:spacing w:before="120" w:after="120"/>
              <w:jc w:val="center"/>
              <w:rPr>
                <w:sz w:val="20"/>
              </w:rPr>
            </w:pPr>
            <w:r w:rsidRPr="00C67EAD">
              <w:rPr>
                <w:sz w:val="20"/>
              </w:rPr>
              <w:t>2</w:t>
            </w:r>
          </w:p>
        </w:tc>
        <w:tc>
          <w:tcPr>
            <w:tcW w:w="567" w:type="dxa"/>
            <w:tcBorders>
              <w:bottom w:val="single" w:sz="12" w:space="0" w:color="auto"/>
            </w:tcBorders>
            <w:vAlign w:val="center"/>
          </w:tcPr>
          <w:p w14:paraId="7902406F" w14:textId="77777777" w:rsidR="0005512A" w:rsidRPr="000405A4" w:rsidRDefault="0005512A" w:rsidP="00965E16">
            <w:pPr>
              <w:keepNext/>
              <w:spacing w:before="120" w:after="120"/>
              <w:jc w:val="center"/>
              <w:rPr>
                <w:sz w:val="20"/>
              </w:rPr>
            </w:pPr>
            <w:r w:rsidRPr="00E74FD6">
              <w:rPr>
                <w:sz w:val="20"/>
              </w:rPr>
              <w:t>2</w:t>
            </w:r>
            <w:r w:rsidRPr="000405A4">
              <w:rPr>
                <w:sz w:val="20"/>
              </w:rPr>
              <w:t>2.7</w:t>
            </w:r>
          </w:p>
        </w:tc>
        <w:tc>
          <w:tcPr>
            <w:tcW w:w="708" w:type="dxa"/>
            <w:tcBorders>
              <w:bottom w:val="single" w:sz="12" w:space="0" w:color="auto"/>
            </w:tcBorders>
            <w:vAlign w:val="center"/>
          </w:tcPr>
          <w:p w14:paraId="666ED6D6" w14:textId="77777777" w:rsidR="0005512A" w:rsidRPr="000405A4" w:rsidRDefault="0005512A" w:rsidP="00965E16">
            <w:pPr>
              <w:keepNext/>
              <w:spacing w:before="120" w:after="120"/>
              <w:jc w:val="center"/>
              <w:rPr>
                <w:sz w:val="20"/>
              </w:rPr>
            </w:pPr>
            <w:r w:rsidRPr="000405A4">
              <w:rPr>
                <w:sz w:val="20"/>
              </w:rPr>
              <w:t>22.6 (-0.4)</w:t>
            </w:r>
          </w:p>
        </w:tc>
        <w:tc>
          <w:tcPr>
            <w:tcW w:w="709" w:type="dxa"/>
            <w:tcBorders>
              <w:bottom w:val="single" w:sz="12" w:space="0" w:color="auto"/>
            </w:tcBorders>
            <w:vAlign w:val="center"/>
          </w:tcPr>
          <w:p w14:paraId="4534BAF7" w14:textId="77777777" w:rsidR="0005512A" w:rsidRPr="003E3285" w:rsidRDefault="0005512A" w:rsidP="00965E16">
            <w:pPr>
              <w:keepNext/>
              <w:spacing w:before="120" w:after="120"/>
              <w:jc w:val="center"/>
              <w:rPr>
                <w:sz w:val="20"/>
              </w:rPr>
            </w:pPr>
            <w:r w:rsidRPr="003E3285">
              <w:rPr>
                <w:sz w:val="20"/>
              </w:rPr>
              <w:t>22.4 (-1.3)</w:t>
            </w:r>
          </w:p>
        </w:tc>
        <w:tc>
          <w:tcPr>
            <w:tcW w:w="851" w:type="dxa"/>
            <w:tcBorders>
              <w:bottom w:val="single" w:sz="12" w:space="0" w:color="auto"/>
            </w:tcBorders>
            <w:vAlign w:val="center"/>
          </w:tcPr>
          <w:p w14:paraId="12F56CCD" w14:textId="77777777" w:rsidR="0005512A" w:rsidRPr="00FE6D86" w:rsidRDefault="0005512A" w:rsidP="00965E16">
            <w:pPr>
              <w:keepNext/>
              <w:spacing w:before="120" w:after="120"/>
              <w:jc w:val="center"/>
              <w:rPr>
                <w:sz w:val="20"/>
              </w:rPr>
            </w:pPr>
            <w:r w:rsidRPr="00FE6D86">
              <w:rPr>
                <w:sz w:val="20"/>
              </w:rPr>
              <w:t>21.2*  (-6.6)</w:t>
            </w:r>
          </w:p>
        </w:tc>
        <w:tc>
          <w:tcPr>
            <w:tcW w:w="850" w:type="dxa"/>
            <w:tcBorders>
              <w:bottom w:val="single" w:sz="6" w:space="0" w:color="auto"/>
              <w:right w:val="single" w:sz="12" w:space="0" w:color="auto"/>
            </w:tcBorders>
            <w:shd w:val="clear" w:color="auto" w:fill="F2F2F2" w:themeFill="background1" w:themeFillShade="F2"/>
            <w:vAlign w:val="center"/>
          </w:tcPr>
          <w:p w14:paraId="6C5BAA7E" w14:textId="77777777" w:rsidR="0005512A" w:rsidRPr="00FE6D86" w:rsidRDefault="0005512A" w:rsidP="00965E16">
            <w:pPr>
              <w:keepNext/>
              <w:spacing w:before="120" w:after="120"/>
              <w:jc w:val="center"/>
              <w:rPr>
                <w:sz w:val="20"/>
              </w:rPr>
            </w:pPr>
            <w:r w:rsidRPr="00FE6D86">
              <w:rPr>
                <w:sz w:val="20"/>
              </w:rPr>
              <w:t>22.5    (-0.9)</w:t>
            </w:r>
          </w:p>
        </w:tc>
        <w:tc>
          <w:tcPr>
            <w:tcW w:w="567" w:type="dxa"/>
            <w:tcBorders>
              <w:left w:val="single" w:sz="12" w:space="0" w:color="auto"/>
              <w:bottom w:val="single" w:sz="12" w:space="0" w:color="auto"/>
            </w:tcBorders>
            <w:vAlign w:val="center"/>
          </w:tcPr>
          <w:p w14:paraId="13A8A28E" w14:textId="77777777" w:rsidR="0005512A" w:rsidRPr="0038797A" w:rsidRDefault="0005512A" w:rsidP="00965E16">
            <w:pPr>
              <w:keepNext/>
              <w:spacing w:before="120" w:after="120"/>
              <w:jc w:val="center"/>
              <w:rPr>
                <w:sz w:val="20"/>
              </w:rPr>
            </w:pPr>
            <w:r w:rsidRPr="0038797A">
              <w:rPr>
                <w:sz w:val="20"/>
              </w:rPr>
              <w:t>22.7</w:t>
            </w:r>
          </w:p>
        </w:tc>
        <w:tc>
          <w:tcPr>
            <w:tcW w:w="709" w:type="dxa"/>
            <w:tcBorders>
              <w:bottom w:val="single" w:sz="12" w:space="0" w:color="auto"/>
            </w:tcBorders>
            <w:vAlign w:val="center"/>
          </w:tcPr>
          <w:p w14:paraId="4770E1F3" w14:textId="77777777" w:rsidR="0005512A" w:rsidRPr="0038797A" w:rsidRDefault="0005512A" w:rsidP="00965E16">
            <w:pPr>
              <w:keepNext/>
              <w:spacing w:before="120" w:after="120"/>
              <w:jc w:val="center"/>
              <w:rPr>
                <w:sz w:val="20"/>
              </w:rPr>
            </w:pPr>
            <w:r w:rsidRPr="0038797A">
              <w:rPr>
                <w:sz w:val="20"/>
              </w:rPr>
              <w:t>22.5 (-0.9)</w:t>
            </w:r>
          </w:p>
        </w:tc>
        <w:tc>
          <w:tcPr>
            <w:tcW w:w="850" w:type="dxa"/>
            <w:tcBorders>
              <w:bottom w:val="single" w:sz="12" w:space="0" w:color="auto"/>
            </w:tcBorders>
            <w:vAlign w:val="center"/>
          </w:tcPr>
          <w:p w14:paraId="5099023D" w14:textId="77777777" w:rsidR="0005512A" w:rsidRPr="0063605E" w:rsidRDefault="0005512A" w:rsidP="00965E16">
            <w:pPr>
              <w:keepNext/>
              <w:spacing w:before="120" w:after="120"/>
              <w:jc w:val="center"/>
              <w:rPr>
                <w:sz w:val="20"/>
                <w:szCs w:val="20"/>
              </w:rPr>
            </w:pPr>
            <w:r w:rsidRPr="0063605E">
              <w:rPr>
                <w:sz w:val="20"/>
                <w:szCs w:val="20"/>
              </w:rPr>
              <w:t>20.7*  (-8.8)</w:t>
            </w:r>
          </w:p>
        </w:tc>
        <w:tc>
          <w:tcPr>
            <w:tcW w:w="851" w:type="dxa"/>
            <w:tcBorders>
              <w:bottom w:val="single" w:sz="6" w:space="0" w:color="auto"/>
            </w:tcBorders>
            <w:shd w:val="clear" w:color="auto" w:fill="F2F2F2" w:themeFill="background1" w:themeFillShade="F2"/>
            <w:vAlign w:val="center"/>
          </w:tcPr>
          <w:p w14:paraId="18F7CBA2" w14:textId="77777777" w:rsidR="0005512A" w:rsidRPr="00E40DFE" w:rsidRDefault="0005512A" w:rsidP="00965E16">
            <w:pPr>
              <w:keepNext/>
              <w:spacing w:before="120" w:after="120"/>
              <w:jc w:val="center"/>
              <w:rPr>
                <w:sz w:val="20"/>
                <w:szCs w:val="20"/>
              </w:rPr>
            </w:pPr>
            <w:r w:rsidRPr="00E40DFE">
              <w:rPr>
                <w:sz w:val="20"/>
                <w:szCs w:val="20"/>
              </w:rPr>
              <w:t>22.7  (0)</w:t>
            </w:r>
          </w:p>
        </w:tc>
      </w:tr>
      <w:tr w:rsidR="0005512A" w:rsidRPr="00A1249E" w14:paraId="28D39C4A" w14:textId="77777777" w:rsidTr="0005512A">
        <w:tc>
          <w:tcPr>
            <w:tcW w:w="1418" w:type="dxa"/>
            <w:tcBorders>
              <w:top w:val="single" w:sz="12" w:space="0" w:color="auto"/>
              <w:left w:val="single" w:sz="12" w:space="0" w:color="auto"/>
              <w:bottom w:val="single" w:sz="12" w:space="0" w:color="auto"/>
            </w:tcBorders>
            <w:shd w:val="clear" w:color="auto" w:fill="D9D9D9" w:themeFill="background1" w:themeFillShade="D9"/>
            <w:vAlign w:val="center"/>
          </w:tcPr>
          <w:p w14:paraId="773C6439" w14:textId="77777777" w:rsidR="0005512A" w:rsidRPr="00A40882" w:rsidRDefault="0005512A" w:rsidP="00965E16">
            <w:pPr>
              <w:keepNext/>
              <w:spacing w:before="120" w:after="120"/>
              <w:jc w:val="center"/>
              <w:rPr>
                <w:sz w:val="20"/>
              </w:rPr>
            </w:pPr>
            <w:r w:rsidRPr="00C67EAD">
              <w:rPr>
                <w:sz w:val="20"/>
              </w:rPr>
              <w:t>7</w:t>
            </w:r>
          </w:p>
        </w:tc>
        <w:tc>
          <w:tcPr>
            <w:tcW w:w="567" w:type="dxa"/>
            <w:tcBorders>
              <w:top w:val="single" w:sz="12" w:space="0" w:color="auto"/>
              <w:bottom w:val="single" w:sz="12" w:space="0" w:color="auto"/>
            </w:tcBorders>
            <w:vAlign w:val="center"/>
          </w:tcPr>
          <w:p w14:paraId="62DDE8CC" w14:textId="77777777" w:rsidR="0005512A" w:rsidRPr="00E74FD6" w:rsidRDefault="0005512A" w:rsidP="00965E16">
            <w:pPr>
              <w:keepNext/>
              <w:spacing w:before="120" w:after="120"/>
              <w:jc w:val="center"/>
              <w:rPr>
                <w:b/>
                <w:sz w:val="20"/>
              </w:rPr>
            </w:pPr>
            <w:r w:rsidRPr="00E74FD6">
              <w:rPr>
                <w:b/>
                <w:sz w:val="20"/>
              </w:rPr>
              <w:t>23.0</w:t>
            </w:r>
          </w:p>
        </w:tc>
        <w:tc>
          <w:tcPr>
            <w:tcW w:w="708" w:type="dxa"/>
            <w:tcBorders>
              <w:top w:val="single" w:sz="12" w:space="0" w:color="auto"/>
              <w:bottom w:val="single" w:sz="12" w:space="0" w:color="auto"/>
            </w:tcBorders>
            <w:vAlign w:val="center"/>
          </w:tcPr>
          <w:p w14:paraId="7638D151" w14:textId="77777777" w:rsidR="0005512A" w:rsidRPr="000405A4" w:rsidRDefault="0005512A" w:rsidP="00965E16">
            <w:pPr>
              <w:keepNext/>
              <w:spacing w:before="120" w:after="120"/>
              <w:jc w:val="center"/>
              <w:rPr>
                <w:b/>
                <w:sz w:val="20"/>
              </w:rPr>
            </w:pPr>
            <w:r w:rsidRPr="000405A4">
              <w:rPr>
                <w:b/>
                <w:sz w:val="20"/>
              </w:rPr>
              <w:t>23.1 (0.4)</w:t>
            </w:r>
          </w:p>
        </w:tc>
        <w:tc>
          <w:tcPr>
            <w:tcW w:w="709" w:type="dxa"/>
            <w:tcBorders>
              <w:top w:val="single" w:sz="12" w:space="0" w:color="auto"/>
              <w:bottom w:val="single" w:sz="12" w:space="0" w:color="auto"/>
            </w:tcBorders>
            <w:vAlign w:val="center"/>
          </w:tcPr>
          <w:p w14:paraId="7CC31040" w14:textId="77777777" w:rsidR="0005512A" w:rsidRPr="000405A4" w:rsidRDefault="0005512A" w:rsidP="00965E16">
            <w:pPr>
              <w:keepNext/>
              <w:spacing w:before="120" w:after="120"/>
              <w:jc w:val="center"/>
              <w:rPr>
                <w:b/>
                <w:sz w:val="20"/>
              </w:rPr>
            </w:pPr>
            <w:r w:rsidRPr="000405A4">
              <w:rPr>
                <w:b/>
                <w:sz w:val="20"/>
              </w:rPr>
              <w:t>22.9 (-0.4)</w:t>
            </w:r>
          </w:p>
        </w:tc>
        <w:tc>
          <w:tcPr>
            <w:tcW w:w="851" w:type="dxa"/>
            <w:tcBorders>
              <w:top w:val="single" w:sz="12" w:space="0" w:color="auto"/>
              <w:bottom w:val="single" w:sz="12" w:space="0" w:color="auto"/>
              <w:right w:val="single" w:sz="12" w:space="0" w:color="auto"/>
            </w:tcBorders>
            <w:vAlign w:val="center"/>
          </w:tcPr>
          <w:p w14:paraId="625362F4" w14:textId="77777777" w:rsidR="0005512A" w:rsidRPr="003E3285" w:rsidRDefault="0005512A" w:rsidP="00965E16">
            <w:pPr>
              <w:keepNext/>
              <w:spacing w:before="120" w:after="120"/>
              <w:jc w:val="center"/>
              <w:rPr>
                <w:b/>
                <w:sz w:val="20"/>
              </w:rPr>
            </w:pPr>
            <w:r w:rsidRPr="003E3285">
              <w:rPr>
                <w:b/>
                <w:sz w:val="20"/>
              </w:rPr>
              <w:t>22.6    (-1.7)</w:t>
            </w:r>
          </w:p>
        </w:tc>
        <w:tc>
          <w:tcPr>
            <w:tcW w:w="850" w:type="dxa"/>
            <w:tcBorders>
              <w:top w:val="single" w:sz="6" w:space="0" w:color="auto"/>
              <w:left w:val="single" w:sz="12" w:space="0" w:color="auto"/>
              <w:bottom w:val="single" w:sz="6" w:space="0" w:color="auto"/>
              <w:right w:val="single" w:sz="12" w:space="0" w:color="auto"/>
            </w:tcBorders>
            <w:shd w:val="clear" w:color="auto" w:fill="F2F2F2" w:themeFill="background1" w:themeFillShade="F2"/>
            <w:vAlign w:val="center"/>
          </w:tcPr>
          <w:p w14:paraId="340826A6" w14:textId="77777777" w:rsidR="0005512A" w:rsidRPr="00FE6D86" w:rsidRDefault="0005512A" w:rsidP="00965E16">
            <w:pPr>
              <w:keepNext/>
              <w:spacing w:before="120" w:after="120"/>
              <w:jc w:val="center"/>
              <w:rPr>
                <w:sz w:val="20"/>
              </w:rPr>
            </w:pPr>
            <w:r w:rsidRPr="00FE6D86">
              <w:rPr>
                <w:sz w:val="20"/>
              </w:rPr>
              <w:t>22.9    (-0.4)</w:t>
            </w:r>
          </w:p>
        </w:tc>
        <w:tc>
          <w:tcPr>
            <w:tcW w:w="567" w:type="dxa"/>
            <w:tcBorders>
              <w:top w:val="single" w:sz="12" w:space="0" w:color="auto"/>
              <w:left w:val="single" w:sz="12" w:space="0" w:color="auto"/>
              <w:bottom w:val="single" w:sz="12" w:space="0" w:color="auto"/>
            </w:tcBorders>
            <w:vAlign w:val="center"/>
          </w:tcPr>
          <w:p w14:paraId="37BF7962" w14:textId="77777777" w:rsidR="0005512A" w:rsidRPr="00FE6D86" w:rsidRDefault="0005512A" w:rsidP="00965E16">
            <w:pPr>
              <w:keepNext/>
              <w:spacing w:before="120" w:after="120"/>
              <w:jc w:val="center"/>
              <w:rPr>
                <w:b/>
                <w:sz w:val="20"/>
              </w:rPr>
            </w:pPr>
            <w:r w:rsidRPr="00FE6D86">
              <w:rPr>
                <w:b/>
                <w:sz w:val="20"/>
              </w:rPr>
              <w:t>23.3</w:t>
            </w:r>
          </w:p>
        </w:tc>
        <w:tc>
          <w:tcPr>
            <w:tcW w:w="709" w:type="dxa"/>
            <w:tcBorders>
              <w:top w:val="single" w:sz="12" w:space="0" w:color="auto"/>
              <w:bottom w:val="single" w:sz="12" w:space="0" w:color="auto"/>
            </w:tcBorders>
            <w:vAlign w:val="center"/>
          </w:tcPr>
          <w:p w14:paraId="47A07E97" w14:textId="77777777" w:rsidR="0005512A" w:rsidRPr="0038797A" w:rsidRDefault="0005512A" w:rsidP="00965E16">
            <w:pPr>
              <w:keepNext/>
              <w:spacing w:before="120" w:after="120"/>
              <w:jc w:val="center"/>
              <w:rPr>
                <w:b/>
                <w:sz w:val="20"/>
              </w:rPr>
            </w:pPr>
            <w:r w:rsidRPr="0038797A">
              <w:rPr>
                <w:b/>
                <w:sz w:val="20"/>
              </w:rPr>
              <w:t>23.2 (-0.4)</w:t>
            </w:r>
          </w:p>
        </w:tc>
        <w:tc>
          <w:tcPr>
            <w:tcW w:w="850" w:type="dxa"/>
            <w:tcBorders>
              <w:top w:val="single" w:sz="12" w:space="0" w:color="auto"/>
              <w:bottom w:val="single" w:sz="12" w:space="0" w:color="auto"/>
              <w:right w:val="single" w:sz="12" w:space="0" w:color="auto"/>
            </w:tcBorders>
            <w:vAlign w:val="center"/>
          </w:tcPr>
          <w:p w14:paraId="73254676" w14:textId="77777777" w:rsidR="0005512A" w:rsidRPr="0038797A" w:rsidRDefault="0005512A" w:rsidP="00965E16">
            <w:pPr>
              <w:keepNext/>
              <w:spacing w:before="120" w:after="120"/>
              <w:jc w:val="center"/>
              <w:rPr>
                <w:b/>
                <w:sz w:val="20"/>
              </w:rPr>
            </w:pPr>
            <w:r w:rsidRPr="0038797A">
              <w:rPr>
                <w:b/>
                <w:sz w:val="20"/>
              </w:rPr>
              <w:t>22.3    (-4.3)</w:t>
            </w:r>
          </w:p>
        </w:tc>
        <w:tc>
          <w:tcPr>
            <w:tcW w:w="851" w:type="dxa"/>
            <w:tcBorders>
              <w:top w:val="single" w:sz="6" w:space="0" w:color="auto"/>
              <w:left w:val="single" w:sz="12" w:space="0" w:color="auto"/>
              <w:bottom w:val="single" w:sz="6" w:space="0" w:color="auto"/>
              <w:right w:val="single" w:sz="6" w:space="0" w:color="auto"/>
            </w:tcBorders>
            <w:shd w:val="clear" w:color="auto" w:fill="F2F2F2" w:themeFill="background1" w:themeFillShade="F2"/>
            <w:vAlign w:val="center"/>
          </w:tcPr>
          <w:p w14:paraId="780D1460" w14:textId="77777777" w:rsidR="0005512A" w:rsidRPr="0063605E" w:rsidRDefault="0005512A" w:rsidP="00965E16">
            <w:pPr>
              <w:keepNext/>
              <w:spacing w:before="120" w:after="120"/>
              <w:jc w:val="center"/>
              <w:rPr>
                <w:sz w:val="20"/>
                <w:szCs w:val="20"/>
              </w:rPr>
            </w:pPr>
            <w:r w:rsidRPr="0063605E">
              <w:rPr>
                <w:sz w:val="20"/>
                <w:szCs w:val="20"/>
              </w:rPr>
              <w:t>22.7    (-2.6)</w:t>
            </w:r>
          </w:p>
        </w:tc>
      </w:tr>
      <w:tr w:rsidR="0005512A" w:rsidRPr="00A1249E" w14:paraId="6F80D08F" w14:textId="77777777" w:rsidTr="0005512A">
        <w:tc>
          <w:tcPr>
            <w:tcW w:w="1418" w:type="dxa"/>
            <w:tcBorders>
              <w:top w:val="single" w:sz="12" w:space="0" w:color="auto"/>
            </w:tcBorders>
            <w:shd w:val="clear" w:color="auto" w:fill="D9D9D9" w:themeFill="background1" w:themeFillShade="D9"/>
            <w:vAlign w:val="center"/>
          </w:tcPr>
          <w:p w14:paraId="591F8EA2" w14:textId="77777777" w:rsidR="0005512A" w:rsidRPr="00A40882" w:rsidRDefault="0005512A" w:rsidP="00965E16">
            <w:pPr>
              <w:keepNext/>
              <w:spacing w:before="120" w:after="120"/>
              <w:jc w:val="center"/>
              <w:rPr>
                <w:sz w:val="20"/>
              </w:rPr>
            </w:pPr>
            <w:r w:rsidRPr="00C67EAD">
              <w:rPr>
                <w:sz w:val="20"/>
              </w:rPr>
              <w:t>8</w:t>
            </w:r>
          </w:p>
        </w:tc>
        <w:tc>
          <w:tcPr>
            <w:tcW w:w="567" w:type="dxa"/>
            <w:tcBorders>
              <w:top w:val="single" w:sz="12" w:space="0" w:color="auto"/>
            </w:tcBorders>
            <w:vAlign w:val="center"/>
          </w:tcPr>
          <w:p w14:paraId="2AAFCF32" w14:textId="77777777" w:rsidR="0005512A" w:rsidRPr="00E74FD6" w:rsidRDefault="0005512A" w:rsidP="00965E16">
            <w:pPr>
              <w:keepNext/>
              <w:spacing w:before="120" w:after="120"/>
              <w:jc w:val="center"/>
              <w:rPr>
                <w:sz w:val="20"/>
              </w:rPr>
            </w:pPr>
            <w:r w:rsidRPr="00E74FD6">
              <w:rPr>
                <w:sz w:val="20"/>
              </w:rPr>
              <w:t>22.8</w:t>
            </w:r>
          </w:p>
        </w:tc>
        <w:tc>
          <w:tcPr>
            <w:tcW w:w="708" w:type="dxa"/>
            <w:tcBorders>
              <w:top w:val="single" w:sz="12" w:space="0" w:color="auto"/>
            </w:tcBorders>
            <w:vAlign w:val="center"/>
          </w:tcPr>
          <w:p w14:paraId="35AC6BAF" w14:textId="77777777" w:rsidR="0005512A" w:rsidRPr="000405A4" w:rsidRDefault="0005512A" w:rsidP="00965E16">
            <w:pPr>
              <w:keepNext/>
              <w:spacing w:before="120" w:after="120"/>
              <w:jc w:val="center"/>
              <w:rPr>
                <w:sz w:val="20"/>
              </w:rPr>
            </w:pPr>
            <w:r w:rsidRPr="000405A4">
              <w:rPr>
                <w:sz w:val="20"/>
              </w:rPr>
              <w:t>22.7 (-0.4)</w:t>
            </w:r>
          </w:p>
        </w:tc>
        <w:tc>
          <w:tcPr>
            <w:tcW w:w="709" w:type="dxa"/>
            <w:tcBorders>
              <w:top w:val="single" w:sz="12" w:space="0" w:color="auto"/>
            </w:tcBorders>
            <w:vAlign w:val="center"/>
          </w:tcPr>
          <w:p w14:paraId="32ABED18" w14:textId="77777777" w:rsidR="0005512A" w:rsidRPr="000405A4" w:rsidRDefault="0005512A" w:rsidP="00965E16">
            <w:pPr>
              <w:keepNext/>
              <w:spacing w:before="120" w:after="120"/>
              <w:jc w:val="center"/>
              <w:rPr>
                <w:sz w:val="20"/>
              </w:rPr>
            </w:pPr>
            <w:r w:rsidRPr="000405A4">
              <w:rPr>
                <w:sz w:val="20"/>
              </w:rPr>
              <w:t>22.4 (-1.8)</w:t>
            </w:r>
          </w:p>
        </w:tc>
        <w:tc>
          <w:tcPr>
            <w:tcW w:w="851" w:type="dxa"/>
            <w:tcBorders>
              <w:top w:val="single" w:sz="12" w:space="0" w:color="auto"/>
            </w:tcBorders>
            <w:vAlign w:val="center"/>
          </w:tcPr>
          <w:p w14:paraId="08B3875E" w14:textId="77777777" w:rsidR="0005512A" w:rsidRPr="003E3285" w:rsidRDefault="0005512A" w:rsidP="00965E16">
            <w:pPr>
              <w:keepNext/>
              <w:spacing w:before="120" w:after="120"/>
              <w:jc w:val="center"/>
              <w:rPr>
                <w:sz w:val="20"/>
              </w:rPr>
            </w:pPr>
            <w:r w:rsidRPr="003E3285">
              <w:rPr>
                <w:sz w:val="20"/>
              </w:rPr>
              <w:t>21.6    (-5.3)</w:t>
            </w:r>
          </w:p>
        </w:tc>
        <w:tc>
          <w:tcPr>
            <w:tcW w:w="850" w:type="dxa"/>
            <w:tcBorders>
              <w:top w:val="single" w:sz="6" w:space="0" w:color="auto"/>
              <w:right w:val="single" w:sz="12" w:space="0" w:color="auto"/>
            </w:tcBorders>
            <w:shd w:val="clear" w:color="auto" w:fill="F2F2F2" w:themeFill="background1" w:themeFillShade="F2"/>
            <w:vAlign w:val="center"/>
          </w:tcPr>
          <w:p w14:paraId="6A5CC5DC" w14:textId="77777777" w:rsidR="0005512A" w:rsidRPr="00FE6D86" w:rsidRDefault="0005512A" w:rsidP="00965E16">
            <w:pPr>
              <w:keepNext/>
              <w:spacing w:before="120" w:after="120"/>
              <w:jc w:val="center"/>
              <w:rPr>
                <w:sz w:val="20"/>
              </w:rPr>
            </w:pPr>
            <w:r w:rsidRPr="00FE6D86">
              <w:rPr>
                <w:sz w:val="20"/>
              </w:rPr>
              <w:t>23.0 (0.9)</w:t>
            </w:r>
          </w:p>
        </w:tc>
        <w:tc>
          <w:tcPr>
            <w:tcW w:w="567" w:type="dxa"/>
            <w:tcBorders>
              <w:top w:val="single" w:sz="12" w:space="0" w:color="auto"/>
              <w:left w:val="single" w:sz="12" w:space="0" w:color="auto"/>
            </w:tcBorders>
            <w:vAlign w:val="center"/>
          </w:tcPr>
          <w:p w14:paraId="041F8947" w14:textId="77777777" w:rsidR="0005512A" w:rsidRPr="0038797A" w:rsidRDefault="0005512A" w:rsidP="00965E16">
            <w:pPr>
              <w:keepNext/>
              <w:spacing w:before="120" w:after="120"/>
              <w:jc w:val="center"/>
              <w:rPr>
                <w:sz w:val="20"/>
              </w:rPr>
            </w:pPr>
            <w:r w:rsidRPr="0038797A">
              <w:rPr>
                <w:sz w:val="20"/>
              </w:rPr>
              <w:t>23.2</w:t>
            </w:r>
          </w:p>
        </w:tc>
        <w:tc>
          <w:tcPr>
            <w:tcW w:w="709" w:type="dxa"/>
            <w:tcBorders>
              <w:top w:val="single" w:sz="12" w:space="0" w:color="auto"/>
            </w:tcBorders>
            <w:vAlign w:val="center"/>
          </w:tcPr>
          <w:p w14:paraId="48E2220A" w14:textId="77777777" w:rsidR="0005512A" w:rsidRPr="0038797A" w:rsidRDefault="0005512A" w:rsidP="00965E16">
            <w:pPr>
              <w:keepNext/>
              <w:spacing w:before="120" w:after="120"/>
              <w:jc w:val="center"/>
              <w:rPr>
                <w:sz w:val="20"/>
              </w:rPr>
            </w:pPr>
            <w:r w:rsidRPr="0038797A">
              <w:rPr>
                <w:sz w:val="20"/>
              </w:rPr>
              <w:t>22.7 (-2.2)</w:t>
            </w:r>
          </w:p>
        </w:tc>
        <w:tc>
          <w:tcPr>
            <w:tcW w:w="850" w:type="dxa"/>
            <w:tcBorders>
              <w:top w:val="single" w:sz="12" w:space="0" w:color="auto"/>
            </w:tcBorders>
            <w:vAlign w:val="center"/>
          </w:tcPr>
          <w:p w14:paraId="2640AAC8" w14:textId="77777777" w:rsidR="0005512A" w:rsidRPr="0063605E" w:rsidRDefault="0005512A" w:rsidP="00965E16">
            <w:pPr>
              <w:keepNext/>
              <w:spacing w:before="120" w:after="120"/>
              <w:jc w:val="center"/>
              <w:rPr>
                <w:sz w:val="20"/>
                <w:szCs w:val="20"/>
              </w:rPr>
            </w:pPr>
            <w:r w:rsidRPr="0063605E">
              <w:rPr>
                <w:sz w:val="20"/>
                <w:szCs w:val="20"/>
              </w:rPr>
              <w:t>21.2*  (-8.6)</w:t>
            </w:r>
          </w:p>
        </w:tc>
        <w:tc>
          <w:tcPr>
            <w:tcW w:w="851" w:type="dxa"/>
            <w:tcBorders>
              <w:top w:val="single" w:sz="6" w:space="0" w:color="auto"/>
            </w:tcBorders>
            <w:shd w:val="clear" w:color="auto" w:fill="F2F2F2" w:themeFill="background1" w:themeFillShade="F2"/>
            <w:vAlign w:val="center"/>
          </w:tcPr>
          <w:p w14:paraId="19E489A2" w14:textId="77777777" w:rsidR="0005512A" w:rsidRPr="00E40DFE" w:rsidRDefault="0005512A" w:rsidP="00965E16">
            <w:pPr>
              <w:keepNext/>
              <w:spacing w:before="120" w:after="120"/>
              <w:jc w:val="center"/>
              <w:rPr>
                <w:sz w:val="20"/>
                <w:szCs w:val="20"/>
              </w:rPr>
            </w:pPr>
            <w:r w:rsidRPr="00E40DFE">
              <w:rPr>
                <w:sz w:val="20"/>
                <w:szCs w:val="20"/>
              </w:rPr>
              <w:t>22.8    (-1.7)</w:t>
            </w:r>
          </w:p>
        </w:tc>
      </w:tr>
      <w:tr w:rsidR="0005512A" w:rsidRPr="00A1249E" w14:paraId="0ECD0577" w14:textId="77777777" w:rsidTr="0005512A">
        <w:tc>
          <w:tcPr>
            <w:tcW w:w="1418" w:type="dxa"/>
            <w:tcBorders>
              <w:bottom w:val="single" w:sz="12" w:space="0" w:color="auto"/>
            </w:tcBorders>
            <w:shd w:val="clear" w:color="auto" w:fill="D9D9D9" w:themeFill="background1" w:themeFillShade="D9"/>
            <w:vAlign w:val="center"/>
          </w:tcPr>
          <w:p w14:paraId="3BCDED71" w14:textId="77777777" w:rsidR="0005512A" w:rsidRPr="00A40882" w:rsidRDefault="0005512A" w:rsidP="00965E16">
            <w:pPr>
              <w:keepNext/>
              <w:spacing w:before="120" w:after="120"/>
              <w:jc w:val="center"/>
              <w:rPr>
                <w:sz w:val="20"/>
              </w:rPr>
            </w:pPr>
            <w:r w:rsidRPr="00C67EAD">
              <w:rPr>
                <w:sz w:val="20"/>
              </w:rPr>
              <w:t>9</w:t>
            </w:r>
          </w:p>
        </w:tc>
        <w:tc>
          <w:tcPr>
            <w:tcW w:w="567" w:type="dxa"/>
            <w:tcBorders>
              <w:bottom w:val="single" w:sz="12" w:space="0" w:color="auto"/>
            </w:tcBorders>
            <w:vAlign w:val="center"/>
          </w:tcPr>
          <w:p w14:paraId="661AECAD" w14:textId="77777777" w:rsidR="0005512A" w:rsidRPr="00E74FD6" w:rsidRDefault="0005512A" w:rsidP="00965E16">
            <w:pPr>
              <w:keepNext/>
              <w:spacing w:before="120" w:after="120"/>
              <w:jc w:val="center"/>
              <w:rPr>
                <w:sz w:val="20"/>
              </w:rPr>
            </w:pPr>
            <w:r w:rsidRPr="00E74FD6">
              <w:rPr>
                <w:sz w:val="20"/>
              </w:rPr>
              <w:t>23.2</w:t>
            </w:r>
          </w:p>
        </w:tc>
        <w:tc>
          <w:tcPr>
            <w:tcW w:w="708" w:type="dxa"/>
            <w:tcBorders>
              <w:bottom w:val="single" w:sz="12" w:space="0" w:color="auto"/>
            </w:tcBorders>
            <w:vAlign w:val="center"/>
          </w:tcPr>
          <w:p w14:paraId="31F6A6E1" w14:textId="77777777" w:rsidR="0005512A" w:rsidRPr="000405A4" w:rsidRDefault="0005512A" w:rsidP="00965E16">
            <w:pPr>
              <w:keepNext/>
              <w:spacing w:before="120" w:after="120"/>
              <w:jc w:val="center"/>
              <w:rPr>
                <w:sz w:val="20"/>
              </w:rPr>
            </w:pPr>
            <w:r w:rsidRPr="000405A4">
              <w:rPr>
                <w:sz w:val="20"/>
              </w:rPr>
              <w:t>23.0 (-0.9)</w:t>
            </w:r>
          </w:p>
        </w:tc>
        <w:tc>
          <w:tcPr>
            <w:tcW w:w="709" w:type="dxa"/>
            <w:tcBorders>
              <w:bottom w:val="single" w:sz="12" w:space="0" w:color="auto"/>
            </w:tcBorders>
            <w:vAlign w:val="center"/>
          </w:tcPr>
          <w:p w14:paraId="5E6CCD25" w14:textId="77777777" w:rsidR="0005512A" w:rsidRPr="000405A4" w:rsidRDefault="0005512A" w:rsidP="00965E16">
            <w:pPr>
              <w:keepNext/>
              <w:spacing w:before="120" w:after="120"/>
              <w:jc w:val="center"/>
              <w:rPr>
                <w:sz w:val="20"/>
              </w:rPr>
            </w:pPr>
            <w:r w:rsidRPr="000405A4">
              <w:rPr>
                <w:sz w:val="20"/>
              </w:rPr>
              <w:t>22.9 (-1.3)</w:t>
            </w:r>
          </w:p>
        </w:tc>
        <w:tc>
          <w:tcPr>
            <w:tcW w:w="851" w:type="dxa"/>
            <w:tcBorders>
              <w:bottom w:val="single" w:sz="12" w:space="0" w:color="auto"/>
            </w:tcBorders>
            <w:vAlign w:val="center"/>
          </w:tcPr>
          <w:p w14:paraId="0F06E241" w14:textId="77777777" w:rsidR="0005512A" w:rsidRPr="003E3285" w:rsidRDefault="0005512A" w:rsidP="00965E16">
            <w:pPr>
              <w:keepNext/>
              <w:spacing w:before="120" w:after="120"/>
              <w:jc w:val="center"/>
              <w:rPr>
                <w:sz w:val="20"/>
              </w:rPr>
            </w:pPr>
            <w:r w:rsidRPr="003E3285">
              <w:rPr>
                <w:sz w:val="20"/>
              </w:rPr>
              <w:t>22.3    (-3.9)</w:t>
            </w:r>
          </w:p>
        </w:tc>
        <w:tc>
          <w:tcPr>
            <w:tcW w:w="850" w:type="dxa"/>
            <w:tcBorders>
              <w:bottom w:val="single" w:sz="12" w:space="0" w:color="auto"/>
              <w:right w:val="single" w:sz="12" w:space="0" w:color="auto"/>
            </w:tcBorders>
            <w:shd w:val="clear" w:color="auto" w:fill="F2F2F2" w:themeFill="background1" w:themeFillShade="F2"/>
            <w:vAlign w:val="center"/>
          </w:tcPr>
          <w:p w14:paraId="16229AFA" w14:textId="77777777" w:rsidR="0005512A" w:rsidRPr="00FE6D86" w:rsidRDefault="0005512A" w:rsidP="00965E16">
            <w:pPr>
              <w:keepNext/>
              <w:spacing w:before="120" w:after="120"/>
              <w:jc w:val="center"/>
              <w:rPr>
                <w:sz w:val="20"/>
              </w:rPr>
            </w:pPr>
            <w:r w:rsidRPr="00FE6D86">
              <w:rPr>
                <w:sz w:val="20"/>
              </w:rPr>
              <w:t>23.2  (0)</w:t>
            </w:r>
          </w:p>
        </w:tc>
        <w:tc>
          <w:tcPr>
            <w:tcW w:w="567" w:type="dxa"/>
            <w:tcBorders>
              <w:left w:val="single" w:sz="12" w:space="0" w:color="auto"/>
              <w:bottom w:val="single" w:sz="12" w:space="0" w:color="auto"/>
            </w:tcBorders>
            <w:vAlign w:val="center"/>
          </w:tcPr>
          <w:p w14:paraId="48A0279C" w14:textId="77777777" w:rsidR="0005512A" w:rsidRPr="00FE6D86" w:rsidRDefault="0005512A" w:rsidP="00965E16">
            <w:pPr>
              <w:keepNext/>
              <w:spacing w:before="120" w:after="120"/>
              <w:jc w:val="center"/>
              <w:rPr>
                <w:sz w:val="20"/>
              </w:rPr>
            </w:pPr>
            <w:r w:rsidRPr="00FE6D86">
              <w:rPr>
                <w:sz w:val="20"/>
              </w:rPr>
              <w:t>23.7</w:t>
            </w:r>
          </w:p>
        </w:tc>
        <w:tc>
          <w:tcPr>
            <w:tcW w:w="709" w:type="dxa"/>
            <w:tcBorders>
              <w:bottom w:val="single" w:sz="12" w:space="0" w:color="auto"/>
            </w:tcBorders>
            <w:vAlign w:val="center"/>
          </w:tcPr>
          <w:p w14:paraId="431C6DC1" w14:textId="77777777" w:rsidR="0005512A" w:rsidRPr="0038797A" w:rsidRDefault="0005512A" w:rsidP="00965E16">
            <w:pPr>
              <w:keepNext/>
              <w:spacing w:before="120" w:after="120"/>
              <w:jc w:val="center"/>
              <w:rPr>
                <w:sz w:val="20"/>
              </w:rPr>
            </w:pPr>
            <w:r w:rsidRPr="0038797A">
              <w:rPr>
                <w:sz w:val="20"/>
              </w:rPr>
              <w:t>23.3 (-1.7)</w:t>
            </w:r>
          </w:p>
        </w:tc>
        <w:tc>
          <w:tcPr>
            <w:tcW w:w="850" w:type="dxa"/>
            <w:tcBorders>
              <w:bottom w:val="single" w:sz="12" w:space="0" w:color="auto"/>
            </w:tcBorders>
            <w:vAlign w:val="center"/>
          </w:tcPr>
          <w:p w14:paraId="34AB5609" w14:textId="77777777" w:rsidR="0005512A" w:rsidRPr="0038797A" w:rsidRDefault="0005512A" w:rsidP="00965E16">
            <w:pPr>
              <w:keepNext/>
              <w:spacing w:before="120" w:after="120"/>
              <w:jc w:val="center"/>
              <w:rPr>
                <w:sz w:val="20"/>
              </w:rPr>
            </w:pPr>
            <w:r w:rsidRPr="0038797A">
              <w:rPr>
                <w:sz w:val="20"/>
              </w:rPr>
              <w:t>22.1*  (-6.8)</w:t>
            </w:r>
          </w:p>
        </w:tc>
        <w:tc>
          <w:tcPr>
            <w:tcW w:w="851" w:type="dxa"/>
            <w:tcBorders>
              <w:bottom w:val="single" w:sz="12" w:space="0" w:color="auto"/>
            </w:tcBorders>
            <w:shd w:val="clear" w:color="auto" w:fill="F2F2F2" w:themeFill="background1" w:themeFillShade="F2"/>
            <w:vAlign w:val="center"/>
          </w:tcPr>
          <w:p w14:paraId="2C1077B4" w14:textId="77777777" w:rsidR="0005512A" w:rsidRPr="0063605E" w:rsidRDefault="0005512A" w:rsidP="00965E16">
            <w:pPr>
              <w:keepNext/>
              <w:spacing w:before="120" w:after="120"/>
              <w:jc w:val="center"/>
              <w:rPr>
                <w:sz w:val="20"/>
                <w:szCs w:val="20"/>
              </w:rPr>
            </w:pPr>
            <w:r w:rsidRPr="0063605E">
              <w:rPr>
                <w:sz w:val="20"/>
                <w:szCs w:val="20"/>
              </w:rPr>
              <w:t>23.1    (-2.5)</w:t>
            </w:r>
          </w:p>
        </w:tc>
      </w:tr>
      <w:tr w:rsidR="0005512A" w:rsidRPr="00A1249E" w14:paraId="000B28C3" w14:textId="77777777" w:rsidTr="0005512A">
        <w:tc>
          <w:tcPr>
            <w:tcW w:w="1418" w:type="dxa"/>
            <w:tcBorders>
              <w:top w:val="single" w:sz="12" w:space="0" w:color="auto"/>
              <w:left w:val="single" w:sz="12" w:space="0" w:color="auto"/>
              <w:bottom w:val="single" w:sz="12" w:space="0" w:color="auto"/>
            </w:tcBorders>
            <w:shd w:val="clear" w:color="auto" w:fill="D9D9D9" w:themeFill="background1" w:themeFillShade="D9"/>
            <w:vAlign w:val="center"/>
          </w:tcPr>
          <w:p w14:paraId="6A576E3C" w14:textId="77777777" w:rsidR="0005512A" w:rsidRPr="00A40882" w:rsidRDefault="0005512A" w:rsidP="00965E16">
            <w:pPr>
              <w:keepNext/>
              <w:spacing w:before="120" w:after="120"/>
              <w:jc w:val="center"/>
              <w:rPr>
                <w:sz w:val="20"/>
              </w:rPr>
            </w:pPr>
            <w:r w:rsidRPr="00C67EAD">
              <w:rPr>
                <w:sz w:val="20"/>
              </w:rPr>
              <w:t>14</w:t>
            </w:r>
          </w:p>
        </w:tc>
        <w:tc>
          <w:tcPr>
            <w:tcW w:w="567" w:type="dxa"/>
            <w:tcBorders>
              <w:top w:val="single" w:sz="12" w:space="0" w:color="auto"/>
              <w:bottom w:val="single" w:sz="12" w:space="0" w:color="auto"/>
            </w:tcBorders>
            <w:vAlign w:val="center"/>
          </w:tcPr>
          <w:p w14:paraId="372CE2FE" w14:textId="77777777" w:rsidR="0005512A" w:rsidRPr="00E74FD6" w:rsidRDefault="0005512A" w:rsidP="00965E16">
            <w:pPr>
              <w:keepNext/>
              <w:spacing w:before="120" w:after="120"/>
              <w:jc w:val="center"/>
              <w:rPr>
                <w:b/>
                <w:sz w:val="20"/>
              </w:rPr>
            </w:pPr>
            <w:r w:rsidRPr="00E74FD6">
              <w:rPr>
                <w:b/>
                <w:sz w:val="20"/>
              </w:rPr>
              <w:t>23.6</w:t>
            </w:r>
          </w:p>
        </w:tc>
        <w:tc>
          <w:tcPr>
            <w:tcW w:w="708" w:type="dxa"/>
            <w:tcBorders>
              <w:top w:val="single" w:sz="12" w:space="0" w:color="auto"/>
              <w:bottom w:val="single" w:sz="12" w:space="0" w:color="auto"/>
            </w:tcBorders>
            <w:vAlign w:val="center"/>
          </w:tcPr>
          <w:p w14:paraId="500CF307" w14:textId="77777777" w:rsidR="0005512A" w:rsidRPr="000405A4" w:rsidRDefault="0005512A" w:rsidP="00965E16">
            <w:pPr>
              <w:keepNext/>
              <w:spacing w:before="120" w:after="120"/>
              <w:jc w:val="center"/>
              <w:rPr>
                <w:b/>
                <w:sz w:val="20"/>
              </w:rPr>
            </w:pPr>
            <w:r w:rsidRPr="000405A4">
              <w:rPr>
                <w:b/>
                <w:sz w:val="20"/>
              </w:rPr>
              <w:t>23.6 (0)</w:t>
            </w:r>
          </w:p>
        </w:tc>
        <w:tc>
          <w:tcPr>
            <w:tcW w:w="709" w:type="dxa"/>
            <w:tcBorders>
              <w:top w:val="single" w:sz="12" w:space="0" w:color="auto"/>
              <w:bottom w:val="single" w:sz="12" w:space="0" w:color="auto"/>
            </w:tcBorders>
            <w:vAlign w:val="center"/>
          </w:tcPr>
          <w:p w14:paraId="1BD43BB2" w14:textId="77777777" w:rsidR="0005512A" w:rsidRPr="000405A4" w:rsidRDefault="0005512A" w:rsidP="00965E16">
            <w:pPr>
              <w:keepNext/>
              <w:spacing w:before="120" w:after="120"/>
              <w:jc w:val="center"/>
              <w:rPr>
                <w:b/>
                <w:sz w:val="20"/>
              </w:rPr>
            </w:pPr>
            <w:r w:rsidRPr="000405A4">
              <w:rPr>
                <w:b/>
                <w:sz w:val="20"/>
              </w:rPr>
              <w:t>23.3 (-1.3)</w:t>
            </w:r>
          </w:p>
        </w:tc>
        <w:tc>
          <w:tcPr>
            <w:tcW w:w="851" w:type="dxa"/>
            <w:tcBorders>
              <w:top w:val="single" w:sz="12" w:space="0" w:color="auto"/>
              <w:bottom w:val="single" w:sz="12" w:space="0" w:color="auto"/>
            </w:tcBorders>
            <w:vAlign w:val="center"/>
          </w:tcPr>
          <w:p w14:paraId="3802E193" w14:textId="77777777" w:rsidR="0005512A" w:rsidRPr="003E3285" w:rsidRDefault="0005512A" w:rsidP="00965E16">
            <w:pPr>
              <w:keepNext/>
              <w:spacing w:before="120" w:after="120"/>
              <w:jc w:val="center"/>
              <w:rPr>
                <w:b/>
                <w:sz w:val="20"/>
              </w:rPr>
            </w:pPr>
            <w:r w:rsidRPr="003E3285">
              <w:rPr>
                <w:b/>
                <w:sz w:val="20"/>
              </w:rPr>
              <w:t>23.0    (-2.5)</w:t>
            </w:r>
          </w:p>
        </w:tc>
        <w:tc>
          <w:tcPr>
            <w:tcW w:w="850" w:type="dxa"/>
            <w:tcBorders>
              <w:top w:val="single" w:sz="12" w:space="0" w:color="auto"/>
              <w:bottom w:val="single" w:sz="12" w:space="0" w:color="auto"/>
              <w:right w:val="single" w:sz="12" w:space="0" w:color="auto"/>
            </w:tcBorders>
            <w:shd w:val="clear" w:color="auto" w:fill="F2F2F2" w:themeFill="background1" w:themeFillShade="F2"/>
            <w:vAlign w:val="center"/>
          </w:tcPr>
          <w:p w14:paraId="619489EF" w14:textId="77777777" w:rsidR="0005512A" w:rsidRPr="00FE6D86" w:rsidRDefault="0005512A" w:rsidP="00965E16">
            <w:pPr>
              <w:keepNext/>
              <w:spacing w:before="120" w:after="120"/>
              <w:jc w:val="center"/>
              <w:rPr>
                <w:b/>
                <w:sz w:val="20"/>
              </w:rPr>
            </w:pPr>
            <w:r w:rsidRPr="00FE6D86">
              <w:rPr>
                <w:b/>
                <w:sz w:val="20"/>
              </w:rPr>
              <w:t>23.7 (0.4)</w:t>
            </w:r>
          </w:p>
        </w:tc>
        <w:tc>
          <w:tcPr>
            <w:tcW w:w="567" w:type="dxa"/>
            <w:tcBorders>
              <w:top w:val="single" w:sz="12" w:space="0" w:color="auto"/>
              <w:left w:val="single" w:sz="12" w:space="0" w:color="auto"/>
              <w:bottom w:val="single" w:sz="12" w:space="0" w:color="auto"/>
            </w:tcBorders>
            <w:vAlign w:val="center"/>
          </w:tcPr>
          <w:p w14:paraId="1A7C853F" w14:textId="77777777" w:rsidR="0005512A" w:rsidRPr="00FE6D86" w:rsidRDefault="0005512A" w:rsidP="00965E16">
            <w:pPr>
              <w:keepNext/>
              <w:spacing w:before="120" w:after="120"/>
              <w:jc w:val="center"/>
              <w:rPr>
                <w:b/>
                <w:sz w:val="20"/>
              </w:rPr>
            </w:pPr>
            <w:r w:rsidRPr="00FE6D86">
              <w:rPr>
                <w:b/>
                <w:sz w:val="20"/>
              </w:rPr>
              <w:t>24.1</w:t>
            </w:r>
          </w:p>
        </w:tc>
        <w:tc>
          <w:tcPr>
            <w:tcW w:w="709" w:type="dxa"/>
            <w:tcBorders>
              <w:top w:val="single" w:sz="12" w:space="0" w:color="auto"/>
              <w:bottom w:val="single" w:sz="12" w:space="0" w:color="auto"/>
            </w:tcBorders>
            <w:vAlign w:val="center"/>
          </w:tcPr>
          <w:p w14:paraId="3610792F" w14:textId="77777777" w:rsidR="0005512A" w:rsidRPr="0038797A" w:rsidRDefault="0005512A" w:rsidP="00965E16">
            <w:pPr>
              <w:keepNext/>
              <w:spacing w:before="120" w:after="120"/>
              <w:jc w:val="center"/>
              <w:rPr>
                <w:b/>
                <w:sz w:val="20"/>
              </w:rPr>
            </w:pPr>
            <w:r w:rsidRPr="0038797A">
              <w:rPr>
                <w:b/>
                <w:sz w:val="20"/>
              </w:rPr>
              <w:t>23.9 (-0.8)</w:t>
            </w:r>
          </w:p>
        </w:tc>
        <w:tc>
          <w:tcPr>
            <w:tcW w:w="850" w:type="dxa"/>
            <w:tcBorders>
              <w:top w:val="single" w:sz="12" w:space="0" w:color="auto"/>
              <w:bottom w:val="single" w:sz="12" w:space="0" w:color="auto"/>
            </w:tcBorders>
            <w:vAlign w:val="center"/>
          </w:tcPr>
          <w:p w14:paraId="3105DBDD" w14:textId="77777777" w:rsidR="0005512A" w:rsidRPr="0038797A" w:rsidRDefault="0005512A" w:rsidP="00965E16">
            <w:pPr>
              <w:keepNext/>
              <w:spacing w:before="120" w:after="120"/>
              <w:jc w:val="center"/>
              <w:rPr>
                <w:b/>
                <w:sz w:val="20"/>
              </w:rPr>
            </w:pPr>
            <w:r w:rsidRPr="0038797A">
              <w:rPr>
                <w:b/>
                <w:sz w:val="20"/>
              </w:rPr>
              <w:t>23.0    (-4.6)</w:t>
            </w:r>
          </w:p>
        </w:tc>
        <w:tc>
          <w:tcPr>
            <w:tcW w:w="851" w:type="dxa"/>
            <w:tcBorders>
              <w:top w:val="single" w:sz="12" w:space="0" w:color="auto"/>
              <w:bottom w:val="single" w:sz="12" w:space="0" w:color="auto"/>
              <w:right w:val="single" w:sz="12" w:space="0" w:color="auto"/>
            </w:tcBorders>
            <w:shd w:val="clear" w:color="auto" w:fill="F2F2F2" w:themeFill="background1" w:themeFillShade="F2"/>
            <w:vAlign w:val="center"/>
          </w:tcPr>
          <w:p w14:paraId="48D07451" w14:textId="77777777" w:rsidR="0005512A" w:rsidRPr="00E40DFE" w:rsidRDefault="0005512A" w:rsidP="00965E16">
            <w:pPr>
              <w:keepNext/>
              <w:spacing w:before="120" w:after="120"/>
              <w:jc w:val="center"/>
              <w:rPr>
                <w:b/>
                <w:sz w:val="20"/>
                <w:szCs w:val="20"/>
              </w:rPr>
            </w:pPr>
            <w:r w:rsidRPr="0063605E">
              <w:rPr>
                <w:b/>
                <w:sz w:val="20"/>
                <w:szCs w:val="20"/>
              </w:rPr>
              <w:t>23.4    (-2</w:t>
            </w:r>
            <w:r w:rsidRPr="00E40DFE">
              <w:rPr>
                <w:b/>
                <w:sz w:val="20"/>
                <w:szCs w:val="20"/>
              </w:rPr>
              <w:t>.9)</w:t>
            </w:r>
          </w:p>
        </w:tc>
      </w:tr>
      <w:tr w:rsidR="0005512A" w:rsidRPr="00A1249E" w14:paraId="6F6F5143" w14:textId="77777777" w:rsidTr="0005512A">
        <w:tc>
          <w:tcPr>
            <w:tcW w:w="1418" w:type="dxa"/>
            <w:tcBorders>
              <w:top w:val="single" w:sz="12" w:space="0" w:color="auto"/>
            </w:tcBorders>
            <w:shd w:val="clear" w:color="auto" w:fill="D9D9D9" w:themeFill="background1" w:themeFillShade="D9"/>
            <w:vAlign w:val="center"/>
          </w:tcPr>
          <w:p w14:paraId="47277271" w14:textId="77777777" w:rsidR="0005512A" w:rsidRPr="00A40882" w:rsidRDefault="0005512A" w:rsidP="00965E16">
            <w:pPr>
              <w:keepNext/>
              <w:spacing w:before="120" w:after="120"/>
              <w:jc w:val="center"/>
              <w:rPr>
                <w:sz w:val="20"/>
              </w:rPr>
            </w:pPr>
            <w:r w:rsidRPr="00C67EAD">
              <w:rPr>
                <w:sz w:val="20"/>
              </w:rPr>
              <w:t>15</w:t>
            </w:r>
          </w:p>
        </w:tc>
        <w:tc>
          <w:tcPr>
            <w:tcW w:w="567" w:type="dxa"/>
            <w:tcBorders>
              <w:top w:val="single" w:sz="12" w:space="0" w:color="auto"/>
            </w:tcBorders>
            <w:vAlign w:val="center"/>
          </w:tcPr>
          <w:p w14:paraId="4F5E3C55" w14:textId="77777777" w:rsidR="0005512A" w:rsidRPr="00E74FD6" w:rsidRDefault="0005512A" w:rsidP="00965E16">
            <w:pPr>
              <w:keepNext/>
              <w:spacing w:before="120" w:after="120"/>
              <w:jc w:val="center"/>
              <w:rPr>
                <w:sz w:val="20"/>
              </w:rPr>
            </w:pPr>
            <w:r w:rsidRPr="00E74FD6">
              <w:rPr>
                <w:sz w:val="20"/>
              </w:rPr>
              <w:t>23.5</w:t>
            </w:r>
          </w:p>
        </w:tc>
        <w:tc>
          <w:tcPr>
            <w:tcW w:w="708" w:type="dxa"/>
            <w:tcBorders>
              <w:top w:val="single" w:sz="12" w:space="0" w:color="auto"/>
            </w:tcBorders>
            <w:vAlign w:val="center"/>
          </w:tcPr>
          <w:p w14:paraId="6D3D63D7" w14:textId="77777777" w:rsidR="0005512A" w:rsidRPr="000405A4" w:rsidRDefault="0005512A" w:rsidP="00965E16">
            <w:pPr>
              <w:keepNext/>
              <w:spacing w:before="120" w:after="120"/>
              <w:jc w:val="center"/>
              <w:rPr>
                <w:sz w:val="20"/>
              </w:rPr>
            </w:pPr>
            <w:r w:rsidRPr="000405A4">
              <w:rPr>
                <w:sz w:val="20"/>
              </w:rPr>
              <w:t>23.3 (-0.9)</w:t>
            </w:r>
          </w:p>
        </w:tc>
        <w:tc>
          <w:tcPr>
            <w:tcW w:w="709" w:type="dxa"/>
            <w:tcBorders>
              <w:top w:val="single" w:sz="12" w:space="0" w:color="auto"/>
            </w:tcBorders>
            <w:vAlign w:val="center"/>
          </w:tcPr>
          <w:p w14:paraId="672C1C93" w14:textId="77777777" w:rsidR="0005512A" w:rsidRPr="000405A4" w:rsidRDefault="0005512A" w:rsidP="00965E16">
            <w:pPr>
              <w:keepNext/>
              <w:spacing w:before="120" w:after="120"/>
              <w:jc w:val="center"/>
              <w:rPr>
                <w:sz w:val="20"/>
              </w:rPr>
            </w:pPr>
            <w:r w:rsidRPr="000405A4">
              <w:rPr>
                <w:sz w:val="20"/>
              </w:rPr>
              <w:t>23.0 (-2.1)</w:t>
            </w:r>
          </w:p>
        </w:tc>
        <w:tc>
          <w:tcPr>
            <w:tcW w:w="851" w:type="dxa"/>
            <w:tcBorders>
              <w:top w:val="single" w:sz="12" w:space="0" w:color="auto"/>
            </w:tcBorders>
            <w:vAlign w:val="center"/>
          </w:tcPr>
          <w:p w14:paraId="22511BC8" w14:textId="77777777" w:rsidR="0005512A" w:rsidRPr="003E3285" w:rsidRDefault="0005512A" w:rsidP="00965E16">
            <w:pPr>
              <w:keepNext/>
              <w:spacing w:before="120" w:after="120"/>
              <w:jc w:val="center"/>
              <w:rPr>
                <w:sz w:val="20"/>
              </w:rPr>
            </w:pPr>
            <w:r w:rsidRPr="003E3285">
              <w:rPr>
                <w:sz w:val="20"/>
              </w:rPr>
              <w:t>21.9 * (-6.8)</w:t>
            </w:r>
          </w:p>
        </w:tc>
        <w:tc>
          <w:tcPr>
            <w:tcW w:w="850" w:type="dxa"/>
            <w:tcBorders>
              <w:top w:val="single" w:sz="12" w:space="0" w:color="auto"/>
              <w:right w:val="single" w:sz="12" w:space="0" w:color="auto"/>
            </w:tcBorders>
            <w:shd w:val="clear" w:color="auto" w:fill="F2F2F2" w:themeFill="background1" w:themeFillShade="F2"/>
            <w:vAlign w:val="center"/>
          </w:tcPr>
          <w:p w14:paraId="1CA37C1C" w14:textId="77777777" w:rsidR="0005512A" w:rsidRPr="00FE6D86" w:rsidRDefault="0005512A" w:rsidP="00965E16">
            <w:pPr>
              <w:keepNext/>
              <w:spacing w:before="120" w:after="120"/>
              <w:jc w:val="center"/>
              <w:rPr>
                <w:sz w:val="20"/>
              </w:rPr>
            </w:pPr>
            <w:r w:rsidRPr="00FE6D86">
              <w:rPr>
                <w:sz w:val="20"/>
              </w:rPr>
              <w:t>22.5**      (-4.3)</w:t>
            </w:r>
          </w:p>
        </w:tc>
        <w:tc>
          <w:tcPr>
            <w:tcW w:w="567" w:type="dxa"/>
            <w:tcBorders>
              <w:top w:val="single" w:sz="12" w:space="0" w:color="auto"/>
              <w:left w:val="single" w:sz="12" w:space="0" w:color="auto"/>
            </w:tcBorders>
            <w:vAlign w:val="center"/>
          </w:tcPr>
          <w:p w14:paraId="46DCF758" w14:textId="77777777" w:rsidR="0005512A" w:rsidRPr="00FE6D86" w:rsidRDefault="0005512A" w:rsidP="00965E16">
            <w:pPr>
              <w:keepNext/>
              <w:spacing w:before="120" w:after="120"/>
              <w:jc w:val="center"/>
              <w:rPr>
                <w:sz w:val="20"/>
              </w:rPr>
            </w:pPr>
            <w:r w:rsidRPr="00FE6D86">
              <w:rPr>
                <w:sz w:val="20"/>
              </w:rPr>
              <w:t>24.1</w:t>
            </w:r>
          </w:p>
        </w:tc>
        <w:tc>
          <w:tcPr>
            <w:tcW w:w="709" w:type="dxa"/>
            <w:tcBorders>
              <w:top w:val="single" w:sz="12" w:space="0" w:color="auto"/>
            </w:tcBorders>
            <w:vAlign w:val="center"/>
          </w:tcPr>
          <w:p w14:paraId="2609B526" w14:textId="77777777" w:rsidR="0005512A" w:rsidRPr="0038797A" w:rsidRDefault="0005512A" w:rsidP="00965E16">
            <w:pPr>
              <w:keepNext/>
              <w:spacing w:before="120" w:after="120"/>
              <w:jc w:val="center"/>
              <w:rPr>
                <w:sz w:val="20"/>
              </w:rPr>
            </w:pPr>
            <w:r w:rsidRPr="0038797A">
              <w:rPr>
                <w:sz w:val="20"/>
              </w:rPr>
              <w:t>23.4 (-2.9)</w:t>
            </w:r>
          </w:p>
        </w:tc>
        <w:tc>
          <w:tcPr>
            <w:tcW w:w="850" w:type="dxa"/>
            <w:tcBorders>
              <w:top w:val="single" w:sz="12" w:space="0" w:color="auto"/>
            </w:tcBorders>
            <w:vAlign w:val="center"/>
          </w:tcPr>
          <w:p w14:paraId="5D7745E6" w14:textId="77777777" w:rsidR="0005512A" w:rsidRPr="0038797A" w:rsidRDefault="0005512A" w:rsidP="00965E16">
            <w:pPr>
              <w:keepNext/>
              <w:spacing w:before="120" w:after="120"/>
              <w:jc w:val="center"/>
              <w:rPr>
                <w:sz w:val="20"/>
              </w:rPr>
            </w:pPr>
            <w:r w:rsidRPr="0038797A">
              <w:rPr>
                <w:sz w:val="20"/>
              </w:rPr>
              <w:t>21.6*  (-10.4)</w:t>
            </w:r>
          </w:p>
        </w:tc>
        <w:tc>
          <w:tcPr>
            <w:tcW w:w="851" w:type="dxa"/>
            <w:tcBorders>
              <w:top w:val="single" w:sz="12" w:space="0" w:color="auto"/>
            </w:tcBorders>
            <w:shd w:val="clear" w:color="auto" w:fill="F2F2F2" w:themeFill="background1" w:themeFillShade="F2"/>
            <w:vAlign w:val="center"/>
          </w:tcPr>
          <w:p w14:paraId="43C17341" w14:textId="77777777" w:rsidR="0005512A" w:rsidRPr="0063605E" w:rsidRDefault="0005512A" w:rsidP="00965E16">
            <w:pPr>
              <w:keepNext/>
              <w:spacing w:before="120" w:after="120"/>
              <w:jc w:val="center"/>
              <w:rPr>
                <w:sz w:val="20"/>
                <w:szCs w:val="20"/>
              </w:rPr>
            </w:pPr>
            <w:r w:rsidRPr="0063605E">
              <w:rPr>
                <w:sz w:val="20"/>
                <w:szCs w:val="20"/>
              </w:rPr>
              <w:t>22.1#  (-8.3)</w:t>
            </w:r>
          </w:p>
        </w:tc>
      </w:tr>
      <w:tr w:rsidR="0005512A" w:rsidRPr="00A1249E" w14:paraId="52D9E126" w14:textId="77777777" w:rsidTr="0005512A">
        <w:tc>
          <w:tcPr>
            <w:tcW w:w="1418" w:type="dxa"/>
            <w:shd w:val="clear" w:color="auto" w:fill="D9D9D9" w:themeFill="background1" w:themeFillShade="D9"/>
            <w:vAlign w:val="center"/>
          </w:tcPr>
          <w:p w14:paraId="1C8D7094" w14:textId="77777777" w:rsidR="0005512A" w:rsidRPr="00A40882" w:rsidRDefault="0005512A" w:rsidP="00965E16">
            <w:pPr>
              <w:keepNext/>
              <w:spacing w:before="120" w:after="120"/>
              <w:jc w:val="center"/>
              <w:rPr>
                <w:sz w:val="20"/>
              </w:rPr>
            </w:pPr>
            <w:r w:rsidRPr="00C67EAD">
              <w:rPr>
                <w:sz w:val="20"/>
              </w:rPr>
              <w:t>16</w:t>
            </w:r>
          </w:p>
        </w:tc>
        <w:tc>
          <w:tcPr>
            <w:tcW w:w="567" w:type="dxa"/>
            <w:vAlign w:val="center"/>
          </w:tcPr>
          <w:p w14:paraId="79248D58" w14:textId="77777777" w:rsidR="0005512A" w:rsidRPr="00E74FD6" w:rsidRDefault="0005512A" w:rsidP="00965E16">
            <w:pPr>
              <w:keepNext/>
              <w:spacing w:before="120" w:after="120"/>
              <w:jc w:val="center"/>
              <w:rPr>
                <w:sz w:val="20"/>
              </w:rPr>
            </w:pPr>
            <w:r w:rsidRPr="00E74FD6">
              <w:rPr>
                <w:sz w:val="20"/>
              </w:rPr>
              <w:t>23.7</w:t>
            </w:r>
          </w:p>
        </w:tc>
        <w:tc>
          <w:tcPr>
            <w:tcW w:w="708" w:type="dxa"/>
            <w:vAlign w:val="center"/>
          </w:tcPr>
          <w:p w14:paraId="0A4F4FED" w14:textId="77777777" w:rsidR="0005512A" w:rsidRPr="000405A4" w:rsidRDefault="0005512A" w:rsidP="00965E16">
            <w:pPr>
              <w:keepNext/>
              <w:spacing w:before="120" w:after="120"/>
              <w:jc w:val="center"/>
              <w:rPr>
                <w:sz w:val="20"/>
              </w:rPr>
            </w:pPr>
            <w:r w:rsidRPr="000405A4">
              <w:rPr>
                <w:sz w:val="20"/>
              </w:rPr>
              <w:t>23.5 (-0.8)</w:t>
            </w:r>
          </w:p>
        </w:tc>
        <w:tc>
          <w:tcPr>
            <w:tcW w:w="709" w:type="dxa"/>
            <w:vAlign w:val="center"/>
          </w:tcPr>
          <w:p w14:paraId="1FB9DA64" w14:textId="77777777" w:rsidR="0005512A" w:rsidRPr="000405A4" w:rsidRDefault="0005512A" w:rsidP="00965E16">
            <w:pPr>
              <w:keepNext/>
              <w:spacing w:before="120" w:after="120"/>
              <w:jc w:val="center"/>
              <w:rPr>
                <w:sz w:val="20"/>
              </w:rPr>
            </w:pPr>
            <w:r w:rsidRPr="000405A4">
              <w:rPr>
                <w:sz w:val="20"/>
              </w:rPr>
              <w:t>23.5 (-0.8)</w:t>
            </w:r>
          </w:p>
        </w:tc>
        <w:tc>
          <w:tcPr>
            <w:tcW w:w="851" w:type="dxa"/>
            <w:vAlign w:val="center"/>
          </w:tcPr>
          <w:p w14:paraId="37FBF702" w14:textId="77777777" w:rsidR="0005512A" w:rsidRPr="003E3285" w:rsidRDefault="0005512A" w:rsidP="00965E16">
            <w:pPr>
              <w:keepNext/>
              <w:spacing w:before="120" w:after="120"/>
              <w:jc w:val="center"/>
              <w:rPr>
                <w:sz w:val="20"/>
              </w:rPr>
            </w:pPr>
            <w:r w:rsidRPr="003E3285">
              <w:rPr>
                <w:sz w:val="20"/>
              </w:rPr>
              <w:t>22.6    (-4.6)</w:t>
            </w:r>
          </w:p>
        </w:tc>
        <w:tc>
          <w:tcPr>
            <w:tcW w:w="850" w:type="dxa"/>
            <w:tcBorders>
              <w:right w:val="single" w:sz="12" w:space="0" w:color="auto"/>
            </w:tcBorders>
            <w:shd w:val="clear" w:color="auto" w:fill="F2F2F2" w:themeFill="background1" w:themeFillShade="F2"/>
            <w:vAlign w:val="center"/>
          </w:tcPr>
          <w:p w14:paraId="583FE8E8" w14:textId="77777777" w:rsidR="0005512A" w:rsidRPr="00FE6D86" w:rsidRDefault="0005512A" w:rsidP="00965E16">
            <w:pPr>
              <w:keepNext/>
              <w:spacing w:before="120" w:after="120"/>
              <w:jc w:val="center"/>
              <w:rPr>
                <w:sz w:val="20"/>
              </w:rPr>
            </w:pPr>
            <w:r w:rsidRPr="00FE6D86">
              <w:rPr>
                <w:sz w:val="20"/>
              </w:rPr>
              <w:t>23.3    (-1.7)</w:t>
            </w:r>
          </w:p>
        </w:tc>
        <w:tc>
          <w:tcPr>
            <w:tcW w:w="567" w:type="dxa"/>
            <w:tcBorders>
              <w:left w:val="single" w:sz="12" w:space="0" w:color="auto"/>
            </w:tcBorders>
            <w:vAlign w:val="center"/>
          </w:tcPr>
          <w:p w14:paraId="26D6FCAD" w14:textId="77777777" w:rsidR="0005512A" w:rsidRPr="00FE6D86" w:rsidRDefault="0005512A" w:rsidP="00965E16">
            <w:pPr>
              <w:keepNext/>
              <w:spacing w:before="120" w:after="120"/>
              <w:jc w:val="center"/>
              <w:rPr>
                <w:sz w:val="20"/>
              </w:rPr>
            </w:pPr>
            <w:r w:rsidRPr="00FE6D86">
              <w:rPr>
                <w:sz w:val="20"/>
              </w:rPr>
              <w:t>24.4</w:t>
            </w:r>
          </w:p>
        </w:tc>
        <w:tc>
          <w:tcPr>
            <w:tcW w:w="709" w:type="dxa"/>
            <w:vAlign w:val="center"/>
          </w:tcPr>
          <w:p w14:paraId="20A83E02" w14:textId="77777777" w:rsidR="0005512A" w:rsidRPr="0038797A" w:rsidRDefault="0005512A" w:rsidP="00965E16">
            <w:pPr>
              <w:keepNext/>
              <w:spacing w:before="120" w:after="120"/>
              <w:jc w:val="center"/>
              <w:rPr>
                <w:sz w:val="20"/>
              </w:rPr>
            </w:pPr>
            <w:r w:rsidRPr="0038797A">
              <w:rPr>
                <w:sz w:val="20"/>
              </w:rPr>
              <w:t>23.9 (-2.0)</w:t>
            </w:r>
          </w:p>
        </w:tc>
        <w:tc>
          <w:tcPr>
            <w:tcW w:w="850" w:type="dxa"/>
            <w:vAlign w:val="center"/>
          </w:tcPr>
          <w:p w14:paraId="715F9F4D" w14:textId="77777777" w:rsidR="0005512A" w:rsidRPr="0038797A" w:rsidRDefault="0005512A" w:rsidP="00965E16">
            <w:pPr>
              <w:keepNext/>
              <w:spacing w:before="120" w:after="120"/>
              <w:jc w:val="center"/>
              <w:rPr>
                <w:sz w:val="20"/>
              </w:rPr>
            </w:pPr>
            <w:r w:rsidRPr="0038797A">
              <w:rPr>
                <w:sz w:val="20"/>
              </w:rPr>
              <w:t>22.5*  (-7.8)</w:t>
            </w:r>
          </w:p>
        </w:tc>
        <w:tc>
          <w:tcPr>
            <w:tcW w:w="851" w:type="dxa"/>
            <w:shd w:val="clear" w:color="auto" w:fill="F2F2F2" w:themeFill="background1" w:themeFillShade="F2"/>
            <w:vAlign w:val="center"/>
          </w:tcPr>
          <w:p w14:paraId="7C6F3F3C" w14:textId="77777777" w:rsidR="0005512A" w:rsidRPr="0063605E" w:rsidRDefault="0005512A" w:rsidP="00965E16">
            <w:pPr>
              <w:keepNext/>
              <w:spacing w:before="120" w:after="120"/>
              <w:jc w:val="center"/>
              <w:rPr>
                <w:sz w:val="20"/>
                <w:szCs w:val="20"/>
              </w:rPr>
            </w:pPr>
            <w:r w:rsidRPr="0063605E">
              <w:rPr>
                <w:sz w:val="20"/>
                <w:szCs w:val="20"/>
              </w:rPr>
              <w:t>22.6** (-7.4)</w:t>
            </w:r>
          </w:p>
        </w:tc>
      </w:tr>
      <w:tr w:rsidR="0005512A" w:rsidRPr="00A1249E" w14:paraId="12DFEACF" w14:textId="77777777" w:rsidTr="0005512A">
        <w:tc>
          <w:tcPr>
            <w:tcW w:w="1418" w:type="dxa"/>
            <w:shd w:val="clear" w:color="auto" w:fill="D9D9D9" w:themeFill="background1" w:themeFillShade="D9"/>
            <w:vAlign w:val="center"/>
          </w:tcPr>
          <w:p w14:paraId="0B9F4E7E" w14:textId="77777777" w:rsidR="0005512A" w:rsidRPr="00A40882" w:rsidRDefault="0005512A" w:rsidP="00965E16">
            <w:pPr>
              <w:keepNext/>
              <w:spacing w:before="120" w:after="120"/>
              <w:jc w:val="center"/>
              <w:rPr>
                <w:sz w:val="20"/>
              </w:rPr>
            </w:pPr>
            <w:r w:rsidRPr="00C67EAD">
              <w:rPr>
                <w:sz w:val="20"/>
              </w:rPr>
              <w:t>21</w:t>
            </w:r>
          </w:p>
        </w:tc>
        <w:tc>
          <w:tcPr>
            <w:tcW w:w="567" w:type="dxa"/>
            <w:vAlign w:val="center"/>
          </w:tcPr>
          <w:p w14:paraId="7992E986" w14:textId="77777777" w:rsidR="0005512A" w:rsidRPr="00E74FD6" w:rsidRDefault="0005512A" w:rsidP="00965E16">
            <w:pPr>
              <w:keepNext/>
              <w:spacing w:before="120" w:after="120"/>
              <w:jc w:val="center"/>
              <w:rPr>
                <w:sz w:val="20"/>
              </w:rPr>
            </w:pPr>
            <w:r w:rsidRPr="00E74FD6">
              <w:rPr>
                <w:sz w:val="20"/>
              </w:rPr>
              <w:t>24.3</w:t>
            </w:r>
          </w:p>
        </w:tc>
        <w:tc>
          <w:tcPr>
            <w:tcW w:w="708" w:type="dxa"/>
            <w:vAlign w:val="center"/>
          </w:tcPr>
          <w:p w14:paraId="1415AAE6" w14:textId="77777777" w:rsidR="0005512A" w:rsidRPr="000405A4" w:rsidRDefault="0005512A" w:rsidP="00965E16">
            <w:pPr>
              <w:keepNext/>
              <w:spacing w:before="120" w:after="120"/>
              <w:jc w:val="center"/>
              <w:rPr>
                <w:sz w:val="20"/>
              </w:rPr>
            </w:pPr>
            <w:r w:rsidRPr="000405A4">
              <w:rPr>
                <w:sz w:val="20"/>
              </w:rPr>
              <w:t>24.2 (-0.4)</w:t>
            </w:r>
          </w:p>
        </w:tc>
        <w:tc>
          <w:tcPr>
            <w:tcW w:w="709" w:type="dxa"/>
            <w:vAlign w:val="center"/>
          </w:tcPr>
          <w:p w14:paraId="1E49FEB7" w14:textId="77777777" w:rsidR="0005512A" w:rsidRPr="003E3285" w:rsidRDefault="0005512A" w:rsidP="00965E16">
            <w:pPr>
              <w:keepNext/>
              <w:spacing w:before="120" w:after="120"/>
              <w:jc w:val="center"/>
              <w:rPr>
                <w:sz w:val="20"/>
              </w:rPr>
            </w:pPr>
            <w:r w:rsidRPr="000405A4">
              <w:rPr>
                <w:sz w:val="20"/>
              </w:rPr>
              <w:t>23.9 (-1.6)</w:t>
            </w:r>
          </w:p>
        </w:tc>
        <w:tc>
          <w:tcPr>
            <w:tcW w:w="851" w:type="dxa"/>
            <w:vAlign w:val="center"/>
          </w:tcPr>
          <w:p w14:paraId="17BD7F0F" w14:textId="77777777" w:rsidR="0005512A" w:rsidRPr="00FE6D86" w:rsidRDefault="0005512A" w:rsidP="00965E16">
            <w:pPr>
              <w:keepNext/>
              <w:spacing w:before="120" w:after="120"/>
              <w:jc w:val="center"/>
              <w:rPr>
                <w:sz w:val="20"/>
              </w:rPr>
            </w:pPr>
            <w:r w:rsidRPr="00FE6D86">
              <w:rPr>
                <w:sz w:val="20"/>
              </w:rPr>
              <w:t>23.5    (-3.3)</w:t>
            </w:r>
          </w:p>
        </w:tc>
        <w:tc>
          <w:tcPr>
            <w:tcW w:w="850" w:type="dxa"/>
            <w:tcBorders>
              <w:right w:val="single" w:sz="12" w:space="0" w:color="auto"/>
            </w:tcBorders>
            <w:shd w:val="clear" w:color="auto" w:fill="F2F2F2" w:themeFill="background1" w:themeFillShade="F2"/>
            <w:vAlign w:val="center"/>
          </w:tcPr>
          <w:p w14:paraId="5BC02E5A" w14:textId="77777777" w:rsidR="0005512A" w:rsidRPr="00FE6D86" w:rsidRDefault="0005512A" w:rsidP="00965E16">
            <w:pPr>
              <w:keepNext/>
              <w:spacing w:before="120" w:after="120"/>
              <w:jc w:val="center"/>
              <w:rPr>
                <w:sz w:val="20"/>
              </w:rPr>
            </w:pPr>
            <w:r w:rsidRPr="00FE6D86">
              <w:rPr>
                <w:sz w:val="20"/>
              </w:rPr>
              <w:t>24.2    (-0.4)</w:t>
            </w:r>
          </w:p>
        </w:tc>
        <w:tc>
          <w:tcPr>
            <w:tcW w:w="567" w:type="dxa"/>
            <w:tcBorders>
              <w:left w:val="single" w:sz="12" w:space="0" w:color="auto"/>
            </w:tcBorders>
            <w:vAlign w:val="center"/>
          </w:tcPr>
          <w:p w14:paraId="76BF0C9B" w14:textId="77777777" w:rsidR="0005512A" w:rsidRPr="0038797A" w:rsidRDefault="0005512A" w:rsidP="00965E16">
            <w:pPr>
              <w:keepNext/>
              <w:spacing w:before="120" w:after="120"/>
              <w:jc w:val="center"/>
              <w:rPr>
                <w:sz w:val="20"/>
              </w:rPr>
            </w:pPr>
            <w:r w:rsidRPr="0038797A">
              <w:rPr>
                <w:sz w:val="20"/>
              </w:rPr>
              <w:t>24.9</w:t>
            </w:r>
          </w:p>
        </w:tc>
        <w:tc>
          <w:tcPr>
            <w:tcW w:w="709" w:type="dxa"/>
            <w:vAlign w:val="center"/>
          </w:tcPr>
          <w:p w14:paraId="1A539551" w14:textId="77777777" w:rsidR="0005512A" w:rsidRPr="0038797A" w:rsidRDefault="0005512A" w:rsidP="00965E16">
            <w:pPr>
              <w:keepNext/>
              <w:spacing w:before="120" w:after="120"/>
              <w:jc w:val="center"/>
              <w:rPr>
                <w:sz w:val="20"/>
              </w:rPr>
            </w:pPr>
            <w:r w:rsidRPr="0038797A">
              <w:rPr>
                <w:sz w:val="20"/>
              </w:rPr>
              <w:t>24.4 (-2.0)</w:t>
            </w:r>
          </w:p>
        </w:tc>
        <w:tc>
          <w:tcPr>
            <w:tcW w:w="850" w:type="dxa"/>
            <w:vAlign w:val="center"/>
          </w:tcPr>
          <w:p w14:paraId="1393F369" w14:textId="77777777" w:rsidR="0005512A" w:rsidRPr="0063605E" w:rsidRDefault="0005512A" w:rsidP="00965E16">
            <w:pPr>
              <w:keepNext/>
              <w:spacing w:before="120" w:after="120"/>
              <w:jc w:val="center"/>
              <w:rPr>
                <w:sz w:val="20"/>
                <w:szCs w:val="20"/>
              </w:rPr>
            </w:pPr>
            <w:r w:rsidRPr="0063605E">
              <w:rPr>
                <w:sz w:val="20"/>
                <w:szCs w:val="20"/>
              </w:rPr>
              <w:t>23.7    (-4.8)</w:t>
            </w:r>
          </w:p>
        </w:tc>
        <w:tc>
          <w:tcPr>
            <w:tcW w:w="851" w:type="dxa"/>
            <w:shd w:val="clear" w:color="auto" w:fill="F2F2F2" w:themeFill="background1" w:themeFillShade="F2"/>
            <w:vAlign w:val="center"/>
          </w:tcPr>
          <w:p w14:paraId="2DEDB25A" w14:textId="77777777" w:rsidR="0005512A" w:rsidRPr="00E40DFE" w:rsidRDefault="0005512A" w:rsidP="00965E16">
            <w:pPr>
              <w:keepNext/>
              <w:spacing w:before="120" w:after="120"/>
              <w:jc w:val="center"/>
              <w:rPr>
                <w:sz w:val="20"/>
                <w:szCs w:val="20"/>
              </w:rPr>
            </w:pPr>
            <w:r w:rsidRPr="00E40DFE">
              <w:rPr>
                <w:sz w:val="20"/>
                <w:szCs w:val="20"/>
              </w:rPr>
              <w:t>23.9    (-4.0)</w:t>
            </w:r>
          </w:p>
        </w:tc>
      </w:tr>
    </w:tbl>
    <w:p w14:paraId="333FBEF2" w14:textId="77777777" w:rsidR="0005512A" w:rsidRPr="002B2CFC" w:rsidRDefault="0005512A" w:rsidP="00965E16">
      <w:pPr>
        <w:keepNext/>
        <w:rPr>
          <w:sz w:val="20"/>
          <w:szCs w:val="24"/>
        </w:rPr>
      </w:pPr>
      <w:r w:rsidRPr="002B2CFC">
        <w:rPr>
          <w:sz w:val="20"/>
          <w:szCs w:val="24"/>
        </w:rPr>
        <w:t>For statistical analyses, control group 1was compared to groups 2,</w:t>
      </w:r>
      <w:r>
        <w:rPr>
          <w:sz w:val="20"/>
          <w:szCs w:val="24"/>
        </w:rPr>
        <w:t xml:space="preserve"> </w:t>
      </w:r>
      <w:r w:rsidRPr="002B2CFC">
        <w:rPr>
          <w:sz w:val="20"/>
          <w:szCs w:val="24"/>
        </w:rPr>
        <w:t xml:space="preserve">3 and 4; control group 1 was compared to positive control group 5. Control group 6 was compared to groups 7 and 8; control group 6 was compared to positive control group 9. </w:t>
      </w:r>
      <w:r w:rsidRPr="002B2CFC">
        <w:rPr>
          <w:b/>
          <w:sz w:val="20"/>
          <w:szCs w:val="24"/>
        </w:rPr>
        <w:t>BOLD</w:t>
      </w:r>
      <w:r w:rsidRPr="002B2CFC">
        <w:rPr>
          <w:sz w:val="20"/>
          <w:szCs w:val="24"/>
        </w:rPr>
        <w:t xml:space="preserve"> figures indicate the day of dosing. Note MPTP groups were only dosed on Day 14.</w:t>
      </w:r>
    </w:p>
    <w:p w14:paraId="2F8D2926" w14:textId="77777777" w:rsidR="0005512A" w:rsidRPr="002B2CFC" w:rsidRDefault="0005512A" w:rsidP="00965E16">
      <w:pPr>
        <w:keepNext/>
        <w:rPr>
          <w:sz w:val="20"/>
          <w:szCs w:val="24"/>
        </w:rPr>
      </w:pPr>
      <w:r w:rsidRPr="002B2CFC">
        <w:rPr>
          <w:sz w:val="20"/>
          <w:szCs w:val="24"/>
        </w:rPr>
        <w:t>* Statistically significantly different from control group 1 at 0.01 (Dunnett’s test)</w:t>
      </w:r>
    </w:p>
    <w:p w14:paraId="55706B79" w14:textId="77777777" w:rsidR="0005512A" w:rsidRPr="002B2CFC" w:rsidRDefault="0005512A" w:rsidP="00965E16">
      <w:pPr>
        <w:keepNext/>
        <w:rPr>
          <w:sz w:val="20"/>
          <w:szCs w:val="24"/>
        </w:rPr>
      </w:pPr>
      <w:r w:rsidRPr="002B2CFC">
        <w:rPr>
          <w:sz w:val="20"/>
          <w:szCs w:val="24"/>
        </w:rPr>
        <w:t># Statistically</w:t>
      </w:r>
      <w:r>
        <w:rPr>
          <w:sz w:val="20"/>
          <w:szCs w:val="24"/>
        </w:rPr>
        <w:t xml:space="preserve"> s</w:t>
      </w:r>
      <w:r w:rsidRPr="002B2CFC">
        <w:rPr>
          <w:sz w:val="20"/>
          <w:szCs w:val="24"/>
        </w:rPr>
        <w:t>ignificantly different from control group 1 at 0.01 (two-sample t-test)</w:t>
      </w:r>
    </w:p>
    <w:p w14:paraId="796744F7" w14:textId="0B297216" w:rsidR="0005512A" w:rsidRPr="002B2CFC" w:rsidRDefault="0005512A" w:rsidP="00965E16">
      <w:pPr>
        <w:keepNext/>
        <w:rPr>
          <w:sz w:val="20"/>
          <w:szCs w:val="24"/>
        </w:rPr>
      </w:pPr>
      <w:r w:rsidRPr="002B2CFC">
        <w:rPr>
          <w:sz w:val="20"/>
          <w:szCs w:val="24"/>
        </w:rPr>
        <w:t>** Statistically significantly different from control group 1 at 0.05 (two-sample t-test)</w:t>
      </w:r>
    </w:p>
    <w:p w14:paraId="09CDB8D6" w14:textId="77777777" w:rsidR="0005512A" w:rsidRPr="002B2CFC" w:rsidRDefault="0005512A" w:rsidP="0005512A">
      <w:pPr>
        <w:rPr>
          <w:sz w:val="20"/>
          <w:szCs w:val="24"/>
        </w:rPr>
      </w:pPr>
    </w:p>
    <w:p w14:paraId="34389C05" w14:textId="77777777" w:rsidR="0005512A" w:rsidRPr="00C111A1" w:rsidRDefault="0005512A" w:rsidP="0005512A">
      <w:pPr>
        <w:keepNext/>
        <w:spacing w:after="120"/>
        <w:rPr>
          <w:b/>
          <w:bCs/>
          <w:sz w:val="20"/>
        </w:rPr>
      </w:pPr>
      <w:bookmarkStart w:id="95" w:name="_Ref413062001"/>
      <w:bookmarkStart w:id="96" w:name="_Ref459037591"/>
      <w:r w:rsidRPr="00C111A1">
        <w:rPr>
          <w:b/>
          <w:bCs/>
          <w:sz w:val="20"/>
        </w:rPr>
        <w:lastRenderedPageBreak/>
        <w:t xml:space="preserve">Table </w:t>
      </w:r>
      <w:r w:rsidR="00897462" w:rsidRPr="00C111A1">
        <w:rPr>
          <w:b/>
          <w:bCs/>
          <w:sz w:val="20"/>
        </w:rPr>
        <w:fldChar w:fldCharType="begin"/>
      </w:r>
      <w:r w:rsidRPr="00C111A1">
        <w:rPr>
          <w:b/>
          <w:bCs/>
          <w:sz w:val="20"/>
        </w:rPr>
        <w:instrText xml:space="preserve"> SEQ Table \* ARABIC </w:instrText>
      </w:r>
      <w:r w:rsidR="00897462" w:rsidRPr="00C111A1">
        <w:rPr>
          <w:b/>
          <w:bCs/>
          <w:sz w:val="20"/>
        </w:rPr>
        <w:fldChar w:fldCharType="separate"/>
      </w:r>
      <w:r w:rsidR="000E54B2">
        <w:rPr>
          <w:b/>
          <w:bCs/>
          <w:noProof/>
          <w:sz w:val="20"/>
        </w:rPr>
        <w:t>18</w:t>
      </w:r>
      <w:r w:rsidR="00897462" w:rsidRPr="00C111A1">
        <w:rPr>
          <w:b/>
          <w:bCs/>
          <w:sz w:val="20"/>
        </w:rPr>
        <w:fldChar w:fldCharType="end"/>
      </w:r>
      <w:bookmarkEnd w:id="95"/>
      <w:r w:rsidRPr="00C111A1">
        <w:rPr>
          <w:b/>
          <w:bCs/>
          <w:sz w:val="20"/>
        </w:rPr>
        <w:t>. Summary of body weight changes</w:t>
      </w:r>
      <w:bookmarkEnd w:id="96"/>
    </w:p>
    <w:tbl>
      <w:tblPr>
        <w:tblStyle w:val="TableGrid2"/>
        <w:tblW w:w="0" w:type="auto"/>
        <w:tblInd w:w="250" w:type="dxa"/>
        <w:tblLayout w:type="fixed"/>
        <w:tblLook w:val="04A0" w:firstRow="1" w:lastRow="0" w:firstColumn="1" w:lastColumn="0" w:noHBand="0" w:noVBand="1"/>
      </w:tblPr>
      <w:tblGrid>
        <w:gridCol w:w="1418"/>
        <w:gridCol w:w="567"/>
        <w:gridCol w:w="708"/>
        <w:gridCol w:w="709"/>
        <w:gridCol w:w="709"/>
        <w:gridCol w:w="850"/>
        <w:gridCol w:w="709"/>
        <w:gridCol w:w="709"/>
        <w:gridCol w:w="709"/>
        <w:gridCol w:w="850"/>
      </w:tblGrid>
      <w:tr w:rsidR="0005512A" w:rsidRPr="00A52AE9" w14:paraId="167F0A87" w14:textId="77777777" w:rsidTr="0005512A">
        <w:tc>
          <w:tcPr>
            <w:tcW w:w="1418" w:type="dxa"/>
            <w:shd w:val="clear" w:color="auto" w:fill="D9D9D9" w:themeFill="background1" w:themeFillShade="D9"/>
            <w:vAlign w:val="center"/>
          </w:tcPr>
          <w:p w14:paraId="7AC64115" w14:textId="77777777" w:rsidR="0005512A" w:rsidRPr="002B2CFC" w:rsidRDefault="0005512A" w:rsidP="0005512A">
            <w:pPr>
              <w:keepNext/>
              <w:spacing w:before="120" w:after="120"/>
              <w:jc w:val="center"/>
              <w:rPr>
                <w:b/>
                <w:sz w:val="20"/>
                <w:szCs w:val="24"/>
              </w:rPr>
            </w:pPr>
            <w:r w:rsidRPr="002B2CFC">
              <w:rPr>
                <w:b/>
                <w:sz w:val="20"/>
                <w:szCs w:val="24"/>
              </w:rPr>
              <w:t>Mean bw change (g)</w:t>
            </w:r>
          </w:p>
        </w:tc>
        <w:tc>
          <w:tcPr>
            <w:tcW w:w="6520" w:type="dxa"/>
            <w:gridSpan w:val="9"/>
            <w:shd w:val="clear" w:color="auto" w:fill="D9D9D9" w:themeFill="background1" w:themeFillShade="D9"/>
            <w:vAlign w:val="center"/>
          </w:tcPr>
          <w:p w14:paraId="22BBB798" w14:textId="77777777" w:rsidR="0005512A" w:rsidRPr="006A42B1" w:rsidRDefault="0005512A" w:rsidP="0005512A">
            <w:pPr>
              <w:keepNext/>
              <w:spacing w:before="120" w:after="120"/>
              <w:jc w:val="center"/>
              <w:rPr>
                <w:b/>
                <w:sz w:val="20"/>
                <w:szCs w:val="24"/>
                <w:lang w:val="de-DE"/>
              </w:rPr>
            </w:pPr>
            <w:r w:rsidRPr="006A42B1">
              <w:rPr>
                <w:b/>
                <w:sz w:val="20"/>
                <w:szCs w:val="24"/>
                <w:lang w:val="de-DE"/>
              </w:rPr>
              <w:t>Dose (mg/kg bw/dose)</w:t>
            </w:r>
          </w:p>
        </w:tc>
      </w:tr>
      <w:tr w:rsidR="0005512A" w:rsidRPr="002B2CFC" w14:paraId="57153A5A" w14:textId="77777777" w:rsidTr="0005512A">
        <w:tc>
          <w:tcPr>
            <w:tcW w:w="1418" w:type="dxa"/>
            <w:tcBorders>
              <w:bottom w:val="single" w:sz="4" w:space="0" w:color="auto"/>
            </w:tcBorders>
            <w:shd w:val="clear" w:color="auto" w:fill="D9D9D9" w:themeFill="background1" w:themeFillShade="D9"/>
            <w:vAlign w:val="center"/>
          </w:tcPr>
          <w:p w14:paraId="22C39B63" w14:textId="77777777" w:rsidR="0005512A" w:rsidRPr="002B2CFC" w:rsidRDefault="0005512A" w:rsidP="0005512A">
            <w:pPr>
              <w:spacing w:before="120" w:after="120"/>
              <w:jc w:val="center"/>
              <w:rPr>
                <w:b/>
                <w:sz w:val="20"/>
                <w:szCs w:val="24"/>
              </w:rPr>
            </w:pPr>
            <w:r w:rsidRPr="002B2CFC">
              <w:rPr>
                <w:b/>
                <w:sz w:val="20"/>
                <w:szCs w:val="24"/>
              </w:rPr>
              <w:t>Group</w:t>
            </w:r>
          </w:p>
        </w:tc>
        <w:tc>
          <w:tcPr>
            <w:tcW w:w="567" w:type="dxa"/>
            <w:tcBorders>
              <w:bottom w:val="single" w:sz="4" w:space="0" w:color="auto"/>
            </w:tcBorders>
            <w:shd w:val="clear" w:color="auto" w:fill="D9D9D9" w:themeFill="background1" w:themeFillShade="D9"/>
            <w:vAlign w:val="center"/>
          </w:tcPr>
          <w:p w14:paraId="452CDD3C" w14:textId="77777777" w:rsidR="0005512A" w:rsidRPr="002B2CFC" w:rsidRDefault="0005512A" w:rsidP="0005512A">
            <w:pPr>
              <w:spacing w:before="120" w:after="120"/>
              <w:jc w:val="center"/>
              <w:rPr>
                <w:b/>
                <w:sz w:val="20"/>
                <w:szCs w:val="24"/>
              </w:rPr>
            </w:pPr>
            <w:r w:rsidRPr="002B2CFC">
              <w:rPr>
                <w:b/>
                <w:sz w:val="20"/>
                <w:szCs w:val="24"/>
              </w:rPr>
              <w:t>1</w:t>
            </w:r>
          </w:p>
        </w:tc>
        <w:tc>
          <w:tcPr>
            <w:tcW w:w="708" w:type="dxa"/>
            <w:tcBorders>
              <w:bottom w:val="single" w:sz="4" w:space="0" w:color="auto"/>
            </w:tcBorders>
            <w:shd w:val="clear" w:color="auto" w:fill="D9D9D9" w:themeFill="background1" w:themeFillShade="D9"/>
            <w:vAlign w:val="center"/>
          </w:tcPr>
          <w:p w14:paraId="65303072" w14:textId="77777777" w:rsidR="0005512A" w:rsidRPr="002B2CFC" w:rsidRDefault="0005512A" w:rsidP="0005512A">
            <w:pPr>
              <w:spacing w:before="120" w:after="120"/>
              <w:jc w:val="center"/>
              <w:rPr>
                <w:b/>
                <w:sz w:val="20"/>
                <w:szCs w:val="24"/>
              </w:rPr>
            </w:pPr>
            <w:r w:rsidRPr="002B2CFC">
              <w:rPr>
                <w:b/>
                <w:sz w:val="20"/>
                <w:szCs w:val="24"/>
              </w:rPr>
              <w:t>2</w:t>
            </w:r>
          </w:p>
        </w:tc>
        <w:tc>
          <w:tcPr>
            <w:tcW w:w="709" w:type="dxa"/>
            <w:tcBorders>
              <w:bottom w:val="single" w:sz="4" w:space="0" w:color="auto"/>
            </w:tcBorders>
            <w:shd w:val="clear" w:color="auto" w:fill="D9D9D9" w:themeFill="background1" w:themeFillShade="D9"/>
            <w:vAlign w:val="center"/>
          </w:tcPr>
          <w:p w14:paraId="04BF639A" w14:textId="77777777" w:rsidR="0005512A" w:rsidRPr="002B2CFC" w:rsidRDefault="0005512A" w:rsidP="0005512A">
            <w:pPr>
              <w:spacing w:before="120" w:after="120"/>
              <w:jc w:val="center"/>
              <w:rPr>
                <w:b/>
                <w:sz w:val="20"/>
                <w:szCs w:val="24"/>
              </w:rPr>
            </w:pPr>
            <w:r w:rsidRPr="002B2CFC">
              <w:rPr>
                <w:b/>
                <w:sz w:val="20"/>
                <w:szCs w:val="24"/>
              </w:rPr>
              <w:t>3</w:t>
            </w:r>
          </w:p>
        </w:tc>
        <w:tc>
          <w:tcPr>
            <w:tcW w:w="709" w:type="dxa"/>
            <w:tcBorders>
              <w:bottom w:val="single" w:sz="4" w:space="0" w:color="auto"/>
            </w:tcBorders>
            <w:shd w:val="clear" w:color="auto" w:fill="D9D9D9" w:themeFill="background1" w:themeFillShade="D9"/>
            <w:vAlign w:val="center"/>
          </w:tcPr>
          <w:p w14:paraId="3D5CCAC9" w14:textId="77777777" w:rsidR="0005512A" w:rsidRPr="002B2CFC" w:rsidRDefault="0005512A" w:rsidP="0005512A">
            <w:pPr>
              <w:spacing w:before="120" w:after="120"/>
              <w:jc w:val="center"/>
              <w:rPr>
                <w:b/>
                <w:sz w:val="20"/>
                <w:szCs w:val="24"/>
              </w:rPr>
            </w:pPr>
            <w:r w:rsidRPr="002B2CFC">
              <w:rPr>
                <w:b/>
                <w:sz w:val="20"/>
                <w:szCs w:val="24"/>
              </w:rPr>
              <w:t>4</w:t>
            </w:r>
          </w:p>
        </w:tc>
        <w:tc>
          <w:tcPr>
            <w:tcW w:w="850" w:type="dxa"/>
            <w:tcBorders>
              <w:bottom w:val="single" w:sz="4" w:space="0" w:color="auto"/>
              <w:right w:val="single" w:sz="12" w:space="0" w:color="auto"/>
            </w:tcBorders>
            <w:shd w:val="clear" w:color="auto" w:fill="D9D9D9" w:themeFill="background1" w:themeFillShade="D9"/>
            <w:vAlign w:val="center"/>
          </w:tcPr>
          <w:p w14:paraId="2BDC5192" w14:textId="77777777" w:rsidR="0005512A" w:rsidRPr="002B2CFC" w:rsidRDefault="0005512A" w:rsidP="0005512A">
            <w:pPr>
              <w:spacing w:before="120" w:after="120"/>
              <w:jc w:val="center"/>
              <w:rPr>
                <w:b/>
                <w:sz w:val="20"/>
                <w:szCs w:val="24"/>
              </w:rPr>
            </w:pPr>
            <w:r w:rsidRPr="002B2CFC">
              <w:rPr>
                <w:b/>
                <w:sz w:val="20"/>
                <w:szCs w:val="24"/>
              </w:rPr>
              <w:t>5</w:t>
            </w:r>
          </w:p>
        </w:tc>
        <w:tc>
          <w:tcPr>
            <w:tcW w:w="709" w:type="dxa"/>
            <w:tcBorders>
              <w:left w:val="single" w:sz="12" w:space="0" w:color="auto"/>
              <w:bottom w:val="single" w:sz="4" w:space="0" w:color="auto"/>
            </w:tcBorders>
            <w:shd w:val="clear" w:color="auto" w:fill="D9D9D9" w:themeFill="background1" w:themeFillShade="D9"/>
            <w:vAlign w:val="center"/>
          </w:tcPr>
          <w:p w14:paraId="3E320BA1" w14:textId="77777777" w:rsidR="0005512A" w:rsidRPr="002B2CFC" w:rsidRDefault="0005512A" w:rsidP="0005512A">
            <w:pPr>
              <w:spacing w:before="120" w:after="120"/>
              <w:jc w:val="center"/>
              <w:rPr>
                <w:b/>
                <w:sz w:val="20"/>
                <w:szCs w:val="24"/>
              </w:rPr>
            </w:pPr>
            <w:r w:rsidRPr="002B2CFC">
              <w:rPr>
                <w:b/>
                <w:sz w:val="20"/>
                <w:szCs w:val="24"/>
              </w:rPr>
              <w:t>6</w:t>
            </w:r>
          </w:p>
        </w:tc>
        <w:tc>
          <w:tcPr>
            <w:tcW w:w="709" w:type="dxa"/>
            <w:tcBorders>
              <w:bottom w:val="single" w:sz="4" w:space="0" w:color="auto"/>
            </w:tcBorders>
            <w:shd w:val="clear" w:color="auto" w:fill="D9D9D9" w:themeFill="background1" w:themeFillShade="D9"/>
            <w:vAlign w:val="center"/>
          </w:tcPr>
          <w:p w14:paraId="20F5052B" w14:textId="77777777" w:rsidR="0005512A" w:rsidRPr="002B2CFC" w:rsidRDefault="0005512A" w:rsidP="0005512A">
            <w:pPr>
              <w:spacing w:before="120" w:after="120"/>
              <w:jc w:val="center"/>
              <w:rPr>
                <w:b/>
                <w:sz w:val="20"/>
                <w:szCs w:val="24"/>
              </w:rPr>
            </w:pPr>
            <w:r w:rsidRPr="002B2CFC">
              <w:rPr>
                <w:b/>
                <w:sz w:val="20"/>
                <w:szCs w:val="24"/>
              </w:rPr>
              <w:t>7</w:t>
            </w:r>
          </w:p>
        </w:tc>
        <w:tc>
          <w:tcPr>
            <w:tcW w:w="709" w:type="dxa"/>
            <w:tcBorders>
              <w:bottom w:val="single" w:sz="4" w:space="0" w:color="auto"/>
            </w:tcBorders>
            <w:shd w:val="clear" w:color="auto" w:fill="D9D9D9" w:themeFill="background1" w:themeFillShade="D9"/>
            <w:vAlign w:val="center"/>
          </w:tcPr>
          <w:p w14:paraId="72D408C0" w14:textId="77777777" w:rsidR="0005512A" w:rsidRPr="002B2CFC" w:rsidRDefault="0005512A" w:rsidP="0005512A">
            <w:pPr>
              <w:spacing w:before="120" w:after="120"/>
              <w:jc w:val="center"/>
              <w:rPr>
                <w:b/>
                <w:sz w:val="20"/>
                <w:szCs w:val="24"/>
              </w:rPr>
            </w:pPr>
            <w:r w:rsidRPr="002B2CFC">
              <w:rPr>
                <w:b/>
                <w:sz w:val="20"/>
                <w:szCs w:val="24"/>
              </w:rPr>
              <w:t>8</w:t>
            </w:r>
          </w:p>
        </w:tc>
        <w:tc>
          <w:tcPr>
            <w:tcW w:w="850" w:type="dxa"/>
            <w:tcBorders>
              <w:bottom w:val="single" w:sz="4" w:space="0" w:color="auto"/>
            </w:tcBorders>
            <w:shd w:val="clear" w:color="auto" w:fill="D9D9D9" w:themeFill="background1" w:themeFillShade="D9"/>
            <w:vAlign w:val="center"/>
          </w:tcPr>
          <w:p w14:paraId="4B60AE8D" w14:textId="77777777" w:rsidR="0005512A" w:rsidRPr="002B2CFC" w:rsidRDefault="0005512A" w:rsidP="0005512A">
            <w:pPr>
              <w:spacing w:before="120" w:after="120"/>
              <w:jc w:val="center"/>
              <w:rPr>
                <w:b/>
                <w:sz w:val="20"/>
                <w:szCs w:val="24"/>
              </w:rPr>
            </w:pPr>
            <w:r w:rsidRPr="002B2CFC">
              <w:rPr>
                <w:b/>
                <w:sz w:val="20"/>
                <w:szCs w:val="24"/>
              </w:rPr>
              <w:t>9</w:t>
            </w:r>
          </w:p>
        </w:tc>
      </w:tr>
      <w:tr w:rsidR="0005512A" w:rsidRPr="002B2CFC" w14:paraId="3BD6E7E5" w14:textId="77777777" w:rsidTr="0005512A">
        <w:tc>
          <w:tcPr>
            <w:tcW w:w="1418" w:type="dxa"/>
            <w:tcBorders>
              <w:bottom w:val="single" w:sz="12" w:space="0" w:color="auto"/>
            </w:tcBorders>
            <w:shd w:val="clear" w:color="auto" w:fill="D9D9D9" w:themeFill="background1" w:themeFillShade="D9"/>
            <w:vAlign w:val="center"/>
          </w:tcPr>
          <w:p w14:paraId="646C7472" w14:textId="77777777" w:rsidR="0005512A" w:rsidRPr="002B2CFC" w:rsidRDefault="0005512A" w:rsidP="0005512A">
            <w:pPr>
              <w:spacing w:before="120" w:after="120"/>
              <w:jc w:val="center"/>
              <w:rPr>
                <w:b/>
                <w:sz w:val="20"/>
                <w:szCs w:val="24"/>
              </w:rPr>
            </w:pPr>
            <w:r w:rsidRPr="002B2CFC">
              <w:rPr>
                <w:b/>
                <w:sz w:val="20"/>
                <w:szCs w:val="24"/>
              </w:rPr>
              <w:t>Study period (day)</w:t>
            </w:r>
          </w:p>
        </w:tc>
        <w:tc>
          <w:tcPr>
            <w:tcW w:w="567" w:type="dxa"/>
            <w:tcBorders>
              <w:bottom w:val="single" w:sz="12" w:space="0" w:color="auto"/>
            </w:tcBorders>
            <w:vAlign w:val="center"/>
          </w:tcPr>
          <w:p w14:paraId="2FBC2CE1" w14:textId="77777777" w:rsidR="0005512A" w:rsidRPr="002B2CFC" w:rsidRDefault="0005512A" w:rsidP="0005512A">
            <w:pPr>
              <w:spacing w:before="120" w:after="120"/>
              <w:jc w:val="center"/>
              <w:rPr>
                <w:b/>
                <w:sz w:val="20"/>
                <w:szCs w:val="24"/>
              </w:rPr>
            </w:pPr>
            <w:r w:rsidRPr="002B2CFC">
              <w:rPr>
                <w:b/>
                <w:sz w:val="20"/>
                <w:szCs w:val="24"/>
              </w:rPr>
              <w:t>0</w:t>
            </w:r>
          </w:p>
        </w:tc>
        <w:tc>
          <w:tcPr>
            <w:tcW w:w="708" w:type="dxa"/>
            <w:tcBorders>
              <w:bottom w:val="single" w:sz="12" w:space="0" w:color="auto"/>
            </w:tcBorders>
            <w:vAlign w:val="center"/>
          </w:tcPr>
          <w:p w14:paraId="61128A0E" w14:textId="77777777" w:rsidR="0005512A" w:rsidRPr="002B2CFC" w:rsidRDefault="0005512A" w:rsidP="0005512A">
            <w:pPr>
              <w:spacing w:before="120" w:after="120"/>
              <w:jc w:val="center"/>
              <w:rPr>
                <w:b/>
                <w:sz w:val="20"/>
                <w:szCs w:val="24"/>
              </w:rPr>
            </w:pPr>
            <w:r w:rsidRPr="002B2CFC">
              <w:rPr>
                <w:b/>
                <w:sz w:val="20"/>
                <w:szCs w:val="24"/>
              </w:rPr>
              <w:t>10</w:t>
            </w:r>
          </w:p>
        </w:tc>
        <w:tc>
          <w:tcPr>
            <w:tcW w:w="709" w:type="dxa"/>
            <w:tcBorders>
              <w:bottom w:val="single" w:sz="12" w:space="0" w:color="auto"/>
            </w:tcBorders>
            <w:vAlign w:val="center"/>
          </w:tcPr>
          <w:p w14:paraId="1F471E85" w14:textId="77777777" w:rsidR="0005512A" w:rsidRPr="002B2CFC" w:rsidRDefault="0005512A" w:rsidP="0005512A">
            <w:pPr>
              <w:spacing w:before="120" w:after="120"/>
              <w:jc w:val="center"/>
              <w:rPr>
                <w:b/>
                <w:sz w:val="20"/>
                <w:szCs w:val="24"/>
              </w:rPr>
            </w:pPr>
            <w:r w:rsidRPr="002B2CFC">
              <w:rPr>
                <w:b/>
                <w:sz w:val="20"/>
                <w:szCs w:val="24"/>
              </w:rPr>
              <w:t>15</w:t>
            </w:r>
          </w:p>
        </w:tc>
        <w:tc>
          <w:tcPr>
            <w:tcW w:w="709" w:type="dxa"/>
            <w:tcBorders>
              <w:bottom w:val="single" w:sz="12" w:space="0" w:color="auto"/>
            </w:tcBorders>
            <w:vAlign w:val="center"/>
          </w:tcPr>
          <w:p w14:paraId="066A8938" w14:textId="77777777" w:rsidR="0005512A" w:rsidRPr="002B2CFC" w:rsidRDefault="0005512A" w:rsidP="0005512A">
            <w:pPr>
              <w:spacing w:before="120" w:after="120"/>
              <w:jc w:val="center"/>
              <w:rPr>
                <w:b/>
                <w:sz w:val="20"/>
                <w:szCs w:val="24"/>
              </w:rPr>
            </w:pPr>
            <w:r w:rsidRPr="002B2CFC">
              <w:rPr>
                <w:b/>
                <w:sz w:val="20"/>
                <w:szCs w:val="24"/>
              </w:rPr>
              <w:t>25</w:t>
            </w:r>
          </w:p>
        </w:tc>
        <w:tc>
          <w:tcPr>
            <w:tcW w:w="850" w:type="dxa"/>
            <w:tcBorders>
              <w:bottom w:val="single" w:sz="12" w:space="0" w:color="auto"/>
              <w:right w:val="single" w:sz="12" w:space="0" w:color="auto"/>
            </w:tcBorders>
            <w:shd w:val="clear" w:color="auto" w:fill="F2F2F2" w:themeFill="background1" w:themeFillShade="F2"/>
            <w:vAlign w:val="center"/>
          </w:tcPr>
          <w:p w14:paraId="401EE5F6" w14:textId="77777777" w:rsidR="0005512A" w:rsidRPr="002B2CFC" w:rsidRDefault="0005512A" w:rsidP="0005512A">
            <w:pPr>
              <w:spacing w:before="120" w:after="120"/>
              <w:jc w:val="center"/>
              <w:rPr>
                <w:b/>
                <w:sz w:val="20"/>
                <w:szCs w:val="24"/>
              </w:rPr>
            </w:pPr>
            <w:r w:rsidRPr="002B2CFC">
              <w:rPr>
                <w:b/>
                <w:sz w:val="20"/>
                <w:szCs w:val="24"/>
              </w:rPr>
              <w:t>MPTP</w:t>
            </w:r>
          </w:p>
        </w:tc>
        <w:tc>
          <w:tcPr>
            <w:tcW w:w="709" w:type="dxa"/>
            <w:tcBorders>
              <w:left w:val="single" w:sz="12" w:space="0" w:color="auto"/>
              <w:bottom w:val="single" w:sz="12" w:space="0" w:color="auto"/>
            </w:tcBorders>
            <w:vAlign w:val="center"/>
          </w:tcPr>
          <w:p w14:paraId="7C68E62E" w14:textId="77777777" w:rsidR="0005512A" w:rsidRPr="002B2CFC" w:rsidRDefault="0005512A" w:rsidP="0005512A">
            <w:pPr>
              <w:spacing w:before="120" w:after="120"/>
              <w:jc w:val="center"/>
              <w:rPr>
                <w:b/>
                <w:sz w:val="20"/>
                <w:szCs w:val="24"/>
              </w:rPr>
            </w:pPr>
            <w:r w:rsidRPr="002B2CFC">
              <w:rPr>
                <w:b/>
                <w:sz w:val="20"/>
                <w:szCs w:val="24"/>
              </w:rPr>
              <w:t>0</w:t>
            </w:r>
          </w:p>
        </w:tc>
        <w:tc>
          <w:tcPr>
            <w:tcW w:w="709" w:type="dxa"/>
            <w:tcBorders>
              <w:bottom w:val="single" w:sz="12" w:space="0" w:color="auto"/>
            </w:tcBorders>
            <w:vAlign w:val="center"/>
          </w:tcPr>
          <w:p w14:paraId="5F536E6A" w14:textId="77777777" w:rsidR="0005512A" w:rsidRPr="002B2CFC" w:rsidRDefault="0005512A" w:rsidP="0005512A">
            <w:pPr>
              <w:spacing w:before="120" w:after="120"/>
              <w:jc w:val="center"/>
              <w:rPr>
                <w:b/>
                <w:sz w:val="20"/>
                <w:szCs w:val="24"/>
              </w:rPr>
            </w:pPr>
            <w:r w:rsidRPr="002B2CFC">
              <w:rPr>
                <w:b/>
                <w:sz w:val="20"/>
                <w:szCs w:val="24"/>
              </w:rPr>
              <w:t>15</w:t>
            </w:r>
          </w:p>
        </w:tc>
        <w:tc>
          <w:tcPr>
            <w:tcW w:w="709" w:type="dxa"/>
            <w:tcBorders>
              <w:bottom w:val="single" w:sz="12" w:space="0" w:color="auto"/>
            </w:tcBorders>
            <w:vAlign w:val="center"/>
          </w:tcPr>
          <w:p w14:paraId="1EBFD484" w14:textId="77777777" w:rsidR="0005512A" w:rsidRPr="002B2CFC" w:rsidRDefault="0005512A" w:rsidP="0005512A">
            <w:pPr>
              <w:spacing w:before="120" w:after="120"/>
              <w:jc w:val="center"/>
              <w:rPr>
                <w:b/>
                <w:sz w:val="20"/>
                <w:szCs w:val="24"/>
              </w:rPr>
            </w:pPr>
            <w:r w:rsidRPr="002B2CFC">
              <w:rPr>
                <w:b/>
                <w:sz w:val="20"/>
                <w:szCs w:val="24"/>
              </w:rPr>
              <w:t>25</w:t>
            </w:r>
          </w:p>
        </w:tc>
        <w:tc>
          <w:tcPr>
            <w:tcW w:w="850" w:type="dxa"/>
            <w:tcBorders>
              <w:bottom w:val="single" w:sz="12" w:space="0" w:color="auto"/>
            </w:tcBorders>
            <w:shd w:val="clear" w:color="auto" w:fill="F2F2F2" w:themeFill="background1" w:themeFillShade="F2"/>
            <w:vAlign w:val="center"/>
          </w:tcPr>
          <w:p w14:paraId="40489708" w14:textId="77777777" w:rsidR="0005512A" w:rsidRPr="002B2CFC" w:rsidRDefault="0005512A" w:rsidP="0005512A">
            <w:pPr>
              <w:spacing w:before="120" w:after="120"/>
              <w:jc w:val="center"/>
              <w:rPr>
                <w:b/>
                <w:sz w:val="20"/>
                <w:szCs w:val="24"/>
              </w:rPr>
            </w:pPr>
            <w:r w:rsidRPr="002B2CFC">
              <w:rPr>
                <w:b/>
                <w:sz w:val="20"/>
                <w:szCs w:val="24"/>
              </w:rPr>
              <w:t>MPTP</w:t>
            </w:r>
          </w:p>
        </w:tc>
      </w:tr>
      <w:tr w:rsidR="0005512A" w:rsidRPr="002B2CFC" w14:paraId="36EA0B70" w14:textId="77777777" w:rsidTr="0005512A">
        <w:tc>
          <w:tcPr>
            <w:tcW w:w="1418" w:type="dxa"/>
            <w:tcBorders>
              <w:top w:val="single" w:sz="12" w:space="0" w:color="auto"/>
            </w:tcBorders>
            <w:shd w:val="clear" w:color="auto" w:fill="D9D9D9" w:themeFill="background1" w:themeFillShade="D9"/>
            <w:vAlign w:val="center"/>
          </w:tcPr>
          <w:p w14:paraId="3E8B1BCD" w14:textId="77777777" w:rsidR="0005512A" w:rsidRPr="002B2CFC" w:rsidRDefault="0005512A" w:rsidP="0005512A">
            <w:pPr>
              <w:spacing w:before="120" w:after="120"/>
              <w:jc w:val="center"/>
              <w:rPr>
                <w:sz w:val="20"/>
                <w:szCs w:val="24"/>
              </w:rPr>
            </w:pPr>
            <w:r w:rsidRPr="002B2CFC">
              <w:rPr>
                <w:sz w:val="20"/>
                <w:szCs w:val="24"/>
              </w:rPr>
              <w:t>-14 to -7</w:t>
            </w:r>
          </w:p>
        </w:tc>
        <w:tc>
          <w:tcPr>
            <w:tcW w:w="567" w:type="dxa"/>
            <w:tcBorders>
              <w:top w:val="single" w:sz="12" w:space="0" w:color="auto"/>
            </w:tcBorders>
            <w:vAlign w:val="center"/>
          </w:tcPr>
          <w:p w14:paraId="79B6589E" w14:textId="77777777" w:rsidR="0005512A" w:rsidRPr="002B2CFC" w:rsidRDefault="0005512A" w:rsidP="0005512A">
            <w:pPr>
              <w:spacing w:before="120" w:after="120"/>
              <w:jc w:val="center"/>
              <w:rPr>
                <w:sz w:val="20"/>
                <w:szCs w:val="24"/>
              </w:rPr>
            </w:pPr>
            <w:r w:rsidRPr="002B2CFC">
              <w:rPr>
                <w:sz w:val="20"/>
                <w:szCs w:val="24"/>
              </w:rPr>
              <w:t>1.3</w:t>
            </w:r>
          </w:p>
        </w:tc>
        <w:tc>
          <w:tcPr>
            <w:tcW w:w="708" w:type="dxa"/>
            <w:tcBorders>
              <w:top w:val="single" w:sz="12" w:space="0" w:color="auto"/>
            </w:tcBorders>
            <w:vAlign w:val="center"/>
          </w:tcPr>
          <w:p w14:paraId="63729ABC" w14:textId="77777777" w:rsidR="0005512A" w:rsidRPr="002B2CFC" w:rsidRDefault="0005512A" w:rsidP="0005512A">
            <w:pPr>
              <w:spacing w:before="120" w:after="120"/>
              <w:jc w:val="center"/>
              <w:rPr>
                <w:sz w:val="20"/>
                <w:szCs w:val="24"/>
              </w:rPr>
            </w:pPr>
            <w:r w:rsidRPr="002B2CFC">
              <w:rPr>
                <w:sz w:val="20"/>
                <w:szCs w:val="24"/>
              </w:rPr>
              <w:t>0.9</w:t>
            </w:r>
          </w:p>
        </w:tc>
        <w:tc>
          <w:tcPr>
            <w:tcW w:w="709" w:type="dxa"/>
            <w:tcBorders>
              <w:top w:val="single" w:sz="12" w:space="0" w:color="auto"/>
            </w:tcBorders>
            <w:vAlign w:val="center"/>
          </w:tcPr>
          <w:p w14:paraId="3EA70985" w14:textId="77777777" w:rsidR="0005512A" w:rsidRPr="002B2CFC" w:rsidRDefault="0005512A" w:rsidP="0005512A">
            <w:pPr>
              <w:spacing w:before="120" w:after="120"/>
              <w:jc w:val="center"/>
              <w:rPr>
                <w:sz w:val="20"/>
                <w:szCs w:val="24"/>
              </w:rPr>
            </w:pPr>
            <w:r w:rsidRPr="002B2CFC">
              <w:rPr>
                <w:sz w:val="20"/>
                <w:szCs w:val="24"/>
              </w:rPr>
              <w:t>1.0</w:t>
            </w:r>
          </w:p>
        </w:tc>
        <w:tc>
          <w:tcPr>
            <w:tcW w:w="709" w:type="dxa"/>
            <w:tcBorders>
              <w:top w:val="single" w:sz="12" w:space="0" w:color="auto"/>
            </w:tcBorders>
            <w:vAlign w:val="center"/>
          </w:tcPr>
          <w:p w14:paraId="29250A63" w14:textId="77777777" w:rsidR="0005512A" w:rsidRPr="002B2CFC" w:rsidRDefault="0005512A" w:rsidP="0005512A">
            <w:pPr>
              <w:spacing w:before="120" w:after="120"/>
              <w:jc w:val="center"/>
              <w:rPr>
                <w:sz w:val="20"/>
                <w:szCs w:val="24"/>
              </w:rPr>
            </w:pPr>
            <w:r w:rsidRPr="002B2CFC">
              <w:rPr>
                <w:sz w:val="20"/>
                <w:szCs w:val="24"/>
              </w:rPr>
              <w:t>0.8</w:t>
            </w:r>
          </w:p>
        </w:tc>
        <w:tc>
          <w:tcPr>
            <w:tcW w:w="850" w:type="dxa"/>
            <w:tcBorders>
              <w:top w:val="single" w:sz="12" w:space="0" w:color="auto"/>
              <w:right w:val="single" w:sz="12" w:space="0" w:color="auto"/>
            </w:tcBorders>
            <w:shd w:val="clear" w:color="auto" w:fill="F2F2F2" w:themeFill="background1" w:themeFillShade="F2"/>
            <w:vAlign w:val="center"/>
          </w:tcPr>
          <w:p w14:paraId="0D0C2DFE" w14:textId="77777777" w:rsidR="0005512A" w:rsidRPr="002B2CFC" w:rsidRDefault="0005512A" w:rsidP="0005512A">
            <w:pPr>
              <w:spacing w:before="120" w:after="120"/>
              <w:jc w:val="center"/>
              <w:rPr>
                <w:sz w:val="20"/>
                <w:szCs w:val="24"/>
              </w:rPr>
            </w:pPr>
            <w:r w:rsidRPr="002B2CFC">
              <w:rPr>
                <w:sz w:val="20"/>
                <w:szCs w:val="24"/>
              </w:rPr>
              <w:t>0.9</w:t>
            </w:r>
          </w:p>
        </w:tc>
        <w:tc>
          <w:tcPr>
            <w:tcW w:w="709" w:type="dxa"/>
            <w:tcBorders>
              <w:top w:val="single" w:sz="12" w:space="0" w:color="auto"/>
              <w:left w:val="single" w:sz="12" w:space="0" w:color="auto"/>
            </w:tcBorders>
            <w:vAlign w:val="center"/>
          </w:tcPr>
          <w:p w14:paraId="274D1B54" w14:textId="77777777" w:rsidR="0005512A" w:rsidRPr="002B2CFC" w:rsidRDefault="0005512A" w:rsidP="0005512A">
            <w:pPr>
              <w:spacing w:before="120" w:after="120"/>
              <w:jc w:val="center"/>
              <w:rPr>
                <w:sz w:val="20"/>
                <w:szCs w:val="24"/>
              </w:rPr>
            </w:pPr>
            <w:r w:rsidRPr="002B2CFC">
              <w:rPr>
                <w:sz w:val="20"/>
                <w:szCs w:val="24"/>
              </w:rPr>
              <w:t>0.8</w:t>
            </w:r>
          </w:p>
        </w:tc>
        <w:tc>
          <w:tcPr>
            <w:tcW w:w="709" w:type="dxa"/>
            <w:tcBorders>
              <w:top w:val="single" w:sz="12" w:space="0" w:color="auto"/>
            </w:tcBorders>
            <w:vAlign w:val="center"/>
          </w:tcPr>
          <w:p w14:paraId="541E25E1" w14:textId="77777777" w:rsidR="0005512A" w:rsidRPr="002B2CFC" w:rsidRDefault="0005512A" w:rsidP="0005512A">
            <w:pPr>
              <w:spacing w:before="120" w:after="120"/>
              <w:jc w:val="center"/>
              <w:rPr>
                <w:sz w:val="20"/>
                <w:szCs w:val="24"/>
              </w:rPr>
            </w:pPr>
            <w:r w:rsidRPr="002B2CFC">
              <w:rPr>
                <w:sz w:val="20"/>
                <w:szCs w:val="24"/>
              </w:rPr>
              <w:t>1.2</w:t>
            </w:r>
          </w:p>
        </w:tc>
        <w:tc>
          <w:tcPr>
            <w:tcW w:w="709" w:type="dxa"/>
            <w:tcBorders>
              <w:top w:val="single" w:sz="12" w:space="0" w:color="auto"/>
            </w:tcBorders>
            <w:vAlign w:val="center"/>
          </w:tcPr>
          <w:p w14:paraId="23A003B4" w14:textId="77777777" w:rsidR="0005512A" w:rsidRPr="002B2CFC" w:rsidRDefault="0005512A" w:rsidP="0005512A">
            <w:pPr>
              <w:spacing w:before="120" w:after="120"/>
              <w:jc w:val="center"/>
              <w:rPr>
                <w:sz w:val="20"/>
                <w:szCs w:val="24"/>
              </w:rPr>
            </w:pPr>
            <w:r w:rsidRPr="002B2CFC">
              <w:rPr>
                <w:sz w:val="20"/>
                <w:szCs w:val="24"/>
              </w:rPr>
              <w:t>0.8</w:t>
            </w:r>
          </w:p>
        </w:tc>
        <w:tc>
          <w:tcPr>
            <w:tcW w:w="850" w:type="dxa"/>
            <w:tcBorders>
              <w:top w:val="single" w:sz="12" w:space="0" w:color="auto"/>
            </w:tcBorders>
            <w:shd w:val="clear" w:color="auto" w:fill="F2F2F2" w:themeFill="background1" w:themeFillShade="F2"/>
            <w:vAlign w:val="center"/>
          </w:tcPr>
          <w:p w14:paraId="4CBAD77F" w14:textId="77777777" w:rsidR="0005512A" w:rsidRPr="002B2CFC" w:rsidRDefault="0005512A" w:rsidP="0005512A">
            <w:pPr>
              <w:spacing w:before="120" w:after="120"/>
              <w:jc w:val="center"/>
              <w:rPr>
                <w:sz w:val="20"/>
                <w:szCs w:val="24"/>
              </w:rPr>
            </w:pPr>
            <w:r w:rsidRPr="002B2CFC">
              <w:rPr>
                <w:sz w:val="20"/>
                <w:szCs w:val="24"/>
              </w:rPr>
              <w:t>0.7</w:t>
            </w:r>
          </w:p>
        </w:tc>
      </w:tr>
      <w:tr w:rsidR="0005512A" w:rsidRPr="002B2CFC" w14:paraId="78464CCA" w14:textId="77777777" w:rsidTr="0005512A">
        <w:tc>
          <w:tcPr>
            <w:tcW w:w="1418" w:type="dxa"/>
            <w:shd w:val="clear" w:color="auto" w:fill="D9D9D9" w:themeFill="background1" w:themeFillShade="D9"/>
            <w:vAlign w:val="center"/>
          </w:tcPr>
          <w:p w14:paraId="4BC59B88" w14:textId="77777777" w:rsidR="0005512A" w:rsidRPr="002B2CFC" w:rsidRDefault="0005512A" w:rsidP="0005512A">
            <w:pPr>
              <w:spacing w:before="120" w:after="120"/>
              <w:jc w:val="center"/>
              <w:rPr>
                <w:sz w:val="20"/>
                <w:szCs w:val="24"/>
              </w:rPr>
            </w:pPr>
            <w:r w:rsidRPr="002B2CFC">
              <w:rPr>
                <w:sz w:val="20"/>
                <w:szCs w:val="24"/>
              </w:rPr>
              <w:t>-7 to 0</w:t>
            </w:r>
          </w:p>
        </w:tc>
        <w:tc>
          <w:tcPr>
            <w:tcW w:w="567" w:type="dxa"/>
            <w:vAlign w:val="center"/>
          </w:tcPr>
          <w:p w14:paraId="76EC940F" w14:textId="77777777" w:rsidR="0005512A" w:rsidRPr="002B2CFC" w:rsidRDefault="0005512A" w:rsidP="0005512A">
            <w:pPr>
              <w:spacing w:before="120" w:after="120"/>
              <w:jc w:val="center"/>
              <w:rPr>
                <w:sz w:val="20"/>
                <w:szCs w:val="24"/>
              </w:rPr>
            </w:pPr>
            <w:r w:rsidRPr="002B2CFC">
              <w:rPr>
                <w:sz w:val="20"/>
                <w:szCs w:val="24"/>
              </w:rPr>
              <w:t>1.4</w:t>
            </w:r>
          </w:p>
        </w:tc>
        <w:tc>
          <w:tcPr>
            <w:tcW w:w="708" w:type="dxa"/>
            <w:vAlign w:val="center"/>
          </w:tcPr>
          <w:p w14:paraId="6CF8F39D" w14:textId="77777777" w:rsidR="0005512A" w:rsidRPr="002B2CFC" w:rsidRDefault="0005512A" w:rsidP="0005512A">
            <w:pPr>
              <w:spacing w:before="120" w:after="120"/>
              <w:jc w:val="center"/>
              <w:rPr>
                <w:sz w:val="20"/>
                <w:szCs w:val="24"/>
              </w:rPr>
            </w:pPr>
            <w:r w:rsidRPr="002B2CFC">
              <w:rPr>
                <w:sz w:val="20"/>
                <w:szCs w:val="24"/>
              </w:rPr>
              <w:t>1.4</w:t>
            </w:r>
          </w:p>
        </w:tc>
        <w:tc>
          <w:tcPr>
            <w:tcW w:w="709" w:type="dxa"/>
            <w:vAlign w:val="center"/>
          </w:tcPr>
          <w:p w14:paraId="25A6CB18" w14:textId="77777777" w:rsidR="0005512A" w:rsidRPr="002B2CFC" w:rsidRDefault="0005512A" w:rsidP="0005512A">
            <w:pPr>
              <w:spacing w:before="120" w:after="120"/>
              <w:jc w:val="center"/>
              <w:rPr>
                <w:sz w:val="20"/>
                <w:szCs w:val="24"/>
              </w:rPr>
            </w:pPr>
            <w:r w:rsidRPr="002B2CFC">
              <w:rPr>
                <w:sz w:val="20"/>
                <w:szCs w:val="24"/>
              </w:rPr>
              <w:t>1.4</w:t>
            </w:r>
          </w:p>
        </w:tc>
        <w:tc>
          <w:tcPr>
            <w:tcW w:w="709" w:type="dxa"/>
            <w:vAlign w:val="center"/>
          </w:tcPr>
          <w:p w14:paraId="0ACA1158" w14:textId="77777777" w:rsidR="0005512A" w:rsidRPr="002B2CFC" w:rsidRDefault="0005512A" w:rsidP="0005512A">
            <w:pPr>
              <w:spacing w:before="120" w:after="120"/>
              <w:jc w:val="center"/>
              <w:rPr>
                <w:sz w:val="20"/>
                <w:szCs w:val="24"/>
              </w:rPr>
            </w:pPr>
            <w:r w:rsidRPr="002B2CFC">
              <w:rPr>
                <w:sz w:val="20"/>
                <w:szCs w:val="24"/>
              </w:rPr>
              <w:t>1.2</w:t>
            </w:r>
          </w:p>
        </w:tc>
        <w:tc>
          <w:tcPr>
            <w:tcW w:w="850" w:type="dxa"/>
            <w:tcBorders>
              <w:right w:val="single" w:sz="12" w:space="0" w:color="auto"/>
            </w:tcBorders>
            <w:shd w:val="clear" w:color="auto" w:fill="F2F2F2" w:themeFill="background1" w:themeFillShade="F2"/>
            <w:vAlign w:val="center"/>
          </w:tcPr>
          <w:p w14:paraId="0508043C" w14:textId="77777777" w:rsidR="0005512A" w:rsidRPr="002B2CFC" w:rsidRDefault="0005512A" w:rsidP="0005512A">
            <w:pPr>
              <w:spacing w:before="120" w:after="120"/>
              <w:jc w:val="center"/>
              <w:rPr>
                <w:sz w:val="20"/>
                <w:szCs w:val="24"/>
              </w:rPr>
            </w:pPr>
            <w:r w:rsidRPr="002B2CFC">
              <w:rPr>
                <w:sz w:val="20"/>
                <w:szCs w:val="24"/>
              </w:rPr>
              <w:t>1.2</w:t>
            </w:r>
          </w:p>
        </w:tc>
        <w:tc>
          <w:tcPr>
            <w:tcW w:w="709" w:type="dxa"/>
            <w:tcBorders>
              <w:left w:val="single" w:sz="12" w:space="0" w:color="auto"/>
            </w:tcBorders>
            <w:vAlign w:val="center"/>
          </w:tcPr>
          <w:p w14:paraId="1F972C2B" w14:textId="77777777" w:rsidR="0005512A" w:rsidRPr="002B2CFC" w:rsidRDefault="0005512A" w:rsidP="0005512A">
            <w:pPr>
              <w:spacing w:before="120" w:after="120"/>
              <w:jc w:val="center"/>
              <w:rPr>
                <w:sz w:val="20"/>
                <w:szCs w:val="24"/>
              </w:rPr>
            </w:pPr>
            <w:r w:rsidRPr="002B2CFC">
              <w:rPr>
                <w:sz w:val="20"/>
                <w:szCs w:val="24"/>
              </w:rPr>
              <w:t>1.1</w:t>
            </w:r>
          </w:p>
        </w:tc>
        <w:tc>
          <w:tcPr>
            <w:tcW w:w="709" w:type="dxa"/>
            <w:vAlign w:val="center"/>
          </w:tcPr>
          <w:p w14:paraId="05863435" w14:textId="77777777" w:rsidR="0005512A" w:rsidRPr="002B2CFC" w:rsidRDefault="0005512A" w:rsidP="0005512A">
            <w:pPr>
              <w:spacing w:before="120" w:after="120"/>
              <w:jc w:val="center"/>
              <w:rPr>
                <w:sz w:val="20"/>
                <w:szCs w:val="24"/>
              </w:rPr>
            </w:pPr>
            <w:r w:rsidRPr="002B2CFC">
              <w:rPr>
                <w:sz w:val="20"/>
                <w:szCs w:val="24"/>
              </w:rPr>
              <w:t>1.8##</w:t>
            </w:r>
          </w:p>
        </w:tc>
        <w:tc>
          <w:tcPr>
            <w:tcW w:w="709" w:type="dxa"/>
            <w:vAlign w:val="center"/>
          </w:tcPr>
          <w:p w14:paraId="088D8CC8" w14:textId="77777777" w:rsidR="0005512A" w:rsidRPr="002B2CFC" w:rsidRDefault="0005512A" w:rsidP="0005512A">
            <w:pPr>
              <w:spacing w:before="120" w:after="120"/>
              <w:jc w:val="center"/>
              <w:rPr>
                <w:sz w:val="20"/>
                <w:szCs w:val="24"/>
              </w:rPr>
            </w:pPr>
            <w:r w:rsidRPr="002B2CFC">
              <w:rPr>
                <w:sz w:val="20"/>
                <w:szCs w:val="24"/>
              </w:rPr>
              <w:t>1.1</w:t>
            </w:r>
          </w:p>
        </w:tc>
        <w:tc>
          <w:tcPr>
            <w:tcW w:w="850" w:type="dxa"/>
            <w:shd w:val="clear" w:color="auto" w:fill="F2F2F2" w:themeFill="background1" w:themeFillShade="F2"/>
            <w:vAlign w:val="center"/>
          </w:tcPr>
          <w:p w14:paraId="395E789F" w14:textId="77777777" w:rsidR="0005512A" w:rsidRPr="002B2CFC" w:rsidRDefault="0005512A" w:rsidP="0005512A">
            <w:pPr>
              <w:spacing w:before="120" w:after="120"/>
              <w:jc w:val="center"/>
              <w:rPr>
                <w:sz w:val="20"/>
                <w:szCs w:val="24"/>
              </w:rPr>
            </w:pPr>
            <w:r w:rsidRPr="002B2CFC">
              <w:rPr>
                <w:sz w:val="20"/>
                <w:szCs w:val="24"/>
              </w:rPr>
              <w:t>1.2</w:t>
            </w:r>
          </w:p>
        </w:tc>
      </w:tr>
      <w:tr w:rsidR="0005512A" w:rsidRPr="002B2CFC" w14:paraId="267521DD" w14:textId="77777777" w:rsidTr="0005512A">
        <w:tc>
          <w:tcPr>
            <w:tcW w:w="1418" w:type="dxa"/>
            <w:shd w:val="clear" w:color="auto" w:fill="D9D9D9" w:themeFill="background1" w:themeFillShade="D9"/>
            <w:vAlign w:val="center"/>
          </w:tcPr>
          <w:p w14:paraId="3BFCEA34" w14:textId="77777777" w:rsidR="0005512A" w:rsidRPr="002B2CFC" w:rsidRDefault="0005512A" w:rsidP="0005512A">
            <w:pPr>
              <w:spacing w:before="120" w:after="120"/>
              <w:jc w:val="center"/>
              <w:rPr>
                <w:sz w:val="20"/>
                <w:szCs w:val="24"/>
              </w:rPr>
            </w:pPr>
            <w:r w:rsidRPr="002B2CFC">
              <w:rPr>
                <w:sz w:val="20"/>
                <w:szCs w:val="24"/>
              </w:rPr>
              <w:t>0 to 1</w:t>
            </w:r>
          </w:p>
        </w:tc>
        <w:tc>
          <w:tcPr>
            <w:tcW w:w="567" w:type="dxa"/>
            <w:vAlign w:val="center"/>
          </w:tcPr>
          <w:p w14:paraId="70B19A70" w14:textId="77777777" w:rsidR="0005512A" w:rsidRPr="002B2CFC" w:rsidRDefault="0005512A" w:rsidP="0005512A">
            <w:pPr>
              <w:spacing w:before="120" w:after="120"/>
              <w:jc w:val="center"/>
              <w:rPr>
                <w:sz w:val="20"/>
                <w:szCs w:val="24"/>
              </w:rPr>
            </w:pPr>
            <w:r w:rsidRPr="002B2CFC">
              <w:rPr>
                <w:sz w:val="20"/>
                <w:szCs w:val="24"/>
              </w:rPr>
              <w:t>-0.3</w:t>
            </w:r>
          </w:p>
        </w:tc>
        <w:tc>
          <w:tcPr>
            <w:tcW w:w="708" w:type="dxa"/>
            <w:vAlign w:val="center"/>
          </w:tcPr>
          <w:p w14:paraId="687EBAD0" w14:textId="77777777" w:rsidR="0005512A" w:rsidRPr="002B2CFC" w:rsidRDefault="0005512A" w:rsidP="0005512A">
            <w:pPr>
              <w:spacing w:before="120" w:after="120"/>
              <w:jc w:val="center"/>
              <w:rPr>
                <w:sz w:val="20"/>
                <w:szCs w:val="24"/>
              </w:rPr>
            </w:pPr>
            <w:r w:rsidRPr="002B2CFC">
              <w:rPr>
                <w:sz w:val="20"/>
                <w:szCs w:val="24"/>
              </w:rPr>
              <w:t>-0.5</w:t>
            </w:r>
          </w:p>
        </w:tc>
        <w:tc>
          <w:tcPr>
            <w:tcW w:w="709" w:type="dxa"/>
            <w:vAlign w:val="center"/>
          </w:tcPr>
          <w:p w14:paraId="60D1AEC7" w14:textId="77777777" w:rsidR="0005512A" w:rsidRPr="002B2CFC" w:rsidRDefault="0005512A" w:rsidP="0005512A">
            <w:pPr>
              <w:spacing w:before="120" w:after="120"/>
              <w:jc w:val="center"/>
              <w:rPr>
                <w:sz w:val="20"/>
                <w:szCs w:val="24"/>
              </w:rPr>
            </w:pPr>
            <w:r w:rsidRPr="002B2CFC">
              <w:rPr>
                <w:sz w:val="20"/>
                <w:szCs w:val="24"/>
              </w:rPr>
              <w:t>-0.9*</w:t>
            </w:r>
          </w:p>
        </w:tc>
        <w:tc>
          <w:tcPr>
            <w:tcW w:w="709" w:type="dxa"/>
            <w:vAlign w:val="center"/>
          </w:tcPr>
          <w:p w14:paraId="672AF3BD" w14:textId="77777777" w:rsidR="0005512A" w:rsidRPr="002B2CFC" w:rsidRDefault="0005512A" w:rsidP="0005512A">
            <w:pPr>
              <w:spacing w:before="120" w:after="120"/>
              <w:jc w:val="center"/>
              <w:rPr>
                <w:sz w:val="20"/>
                <w:szCs w:val="24"/>
              </w:rPr>
            </w:pPr>
            <w:r w:rsidRPr="002B2CFC">
              <w:rPr>
                <w:sz w:val="20"/>
                <w:szCs w:val="24"/>
              </w:rPr>
              <w:t>-2.6*</w:t>
            </w:r>
          </w:p>
        </w:tc>
        <w:tc>
          <w:tcPr>
            <w:tcW w:w="850" w:type="dxa"/>
            <w:tcBorders>
              <w:right w:val="single" w:sz="12" w:space="0" w:color="auto"/>
            </w:tcBorders>
            <w:shd w:val="clear" w:color="auto" w:fill="F2F2F2" w:themeFill="background1" w:themeFillShade="F2"/>
            <w:vAlign w:val="center"/>
          </w:tcPr>
          <w:p w14:paraId="75D585A1" w14:textId="77777777" w:rsidR="0005512A" w:rsidRPr="002B2CFC" w:rsidRDefault="0005512A" w:rsidP="0005512A">
            <w:pPr>
              <w:spacing w:before="120" w:after="120"/>
              <w:jc w:val="center"/>
              <w:rPr>
                <w:sz w:val="20"/>
                <w:szCs w:val="24"/>
              </w:rPr>
            </w:pPr>
            <w:r w:rsidRPr="002B2CFC">
              <w:rPr>
                <w:sz w:val="20"/>
                <w:szCs w:val="24"/>
              </w:rPr>
              <w:t>0.0**</w:t>
            </w:r>
          </w:p>
        </w:tc>
        <w:tc>
          <w:tcPr>
            <w:tcW w:w="709" w:type="dxa"/>
            <w:tcBorders>
              <w:left w:val="single" w:sz="12" w:space="0" w:color="auto"/>
            </w:tcBorders>
            <w:vAlign w:val="center"/>
          </w:tcPr>
          <w:p w14:paraId="1B7467E1" w14:textId="77777777" w:rsidR="0005512A" w:rsidRPr="002B2CFC" w:rsidRDefault="0005512A" w:rsidP="0005512A">
            <w:pPr>
              <w:spacing w:before="120" w:after="120"/>
              <w:jc w:val="center"/>
              <w:rPr>
                <w:sz w:val="20"/>
                <w:szCs w:val="24"/>
              </w:rPr>
            </w:pPr>
            <w:r w:rsidRPr="002B2CFC">
              <w:rPr>
                <w:sz w:val="20"/>
                <w:szCs w:val="24"/>
              </w:rPr>
              <w:t>0.3</w:t>
            </w:r>
          </w:p>
        </w:tc>
        <w:tc>
          <w:tcPr>
            <w:tcW w:w="709" w:type="dxa"/>
            <w:vAlign w:val="center"/>
          </w:tcPr>
          <w:p w14:paraId="5BC1D5EA" w14:textId="77777777" w:rsidR="0005512A" w:rsidRPr="002B2CFC" w:rsidRDefault="0005512A" w:rsidP="0005512A">
            <w:pPr>
              <w:spacing w:before="120" w:after="120"/>
              <w:jc w:val="center"/>
              <w:rPr>
                <w:sz w:val="20"/>
                <w:szCs w:val="24"/>
              </w:rPr>
            </w:pPr>
            <w:r w:rsidRPr="002B2CFC">
              <w:rPr>
                <w:sz w:val="20"/>
                <w:szCs w:val="24"/>
              </w:rPr>
              <w:t>-0.4*</w:t>
            </w:r>
          </w:p>
        </w:tc>
        <w:tc>
          <w:tcPr>
            <w:tcW w:w="709" w:type="dxa"/>
            <w:vAlign w:val="center"/>
          </w:tcPr>
          <w:p w14:paraId="36384E2C" w14:textId="77777777" w:rsidR="0005512A" w:rsidRPr="002B2CFC" w:rsidRDefault="0005512A" w:rsidP="0005512A">
            <w:pPr>
              <w:spacing w:before="120" w:after="120"/>
              <w:jc w:val="center"/>
              <w:rPr>
                <w:sz w:val="20"/>
                <w:szCs w:val="24"/>
              </w:rPr>
            </w:pPr>
            <w:r w:rsidRPr="002B2CFC">
              <w:rPr>
                <w:sz w:val="20"/>
                <w:szCs w:val="24"/>
              </w:rPr>
              <w:t>-2.8*</w:t>
            </w:r>
          </w:p>
        </w:tc>
        <w:tc>
          <w:tcPr>
            <w:tcW w:w="850" w:type="dxa"/>
            <w:shd w:val="clear" w:color="auto" w:fill="F2F2F2" w:themeFill="background1" w:themeFillShade="F2"/>
            <w:vAlign w:val="center"/>
          </w:tcPr>
          <w:p w14:paraId="291BB17F" w14:textId="77777777" w:rsidR="0005512A" w:rsidRPr="002B2CFC" w:rsidRDefault="0005512A" w:rsidP="0005512A">
            <w:pPr>
              <w:spacing w:before="120" w:after="120"/>
              <w:jc w:val="center"/>
              <w:rPr>
                <w:sz w:val="20"/>
                <w:szCs w:val="24"/>
              </w:rPr>
            </w:pPr>
            <w:r w:rsidRPr="002B2CFC">
              <w:rPr>
                <w:sz w:val="20"/>
                <w:szCs w:val="24"/>
              </w:rPr>
              <w:t>0.3</w:t>
            </w:r>
          </w:p>
        </w:tc>
      </w:tr>
      <w:tr w:rsidR="0005512A" w:rsidRPr="002B2CFC" w14:paraId="1FBE8D3A" w14:textId="77777777" w:rsidTr="0005512A">
        <w:tc>
          <w:tcPr>
            <w:tcW w:w="1418" w:type="dxa"/>
            <w:shd w:val="clear" w:color="auto" w:fill="D9D9D9" w:themeFill="background1" w:themeFillShade="D9"/>
            <w:vAlign w:val="center"/>
          </w:tcPr>
          <w:p w14:paraId="76A0F51F" w14:textId="77777777" w:rsidR="0005512A" w:rsidRPr="002B2CFC" w:rsidRDefault="0005512A" w:rsidP="0005512A">
            <w:pPr>
              <w:spacing w:before="120" w:after="120"/>
              <w:jc w:val="center"/>
              <w:rPr>
                <w:sz w:val="20"/>
                <w:szCs w:val="24"/>
              </w:rPr>
            </w:pPr>
            <w:r w:rsidRPr="002B2CFC">
              <w:rPr>
                <w:sz w:val="20"/>
                <w:szCs w:val="24"/>
              </w:rPr>
              <w:t>1-2</w:t>
            </w:r>
          </w:p>
        </w:tc>
        <w:tc>
          <w:tcPr>
            <w:tcW w:w="567" w:type="dxa"/>
            <w:vAlign w:val="center"/>
          </w:tcPr>
          <w:p w14:paraId="17E89E4D" w14:textId="77777777" w:rsidR="0005512A" w:rsidRPr="002B2CFC" w:rsidRDefault="0005512A" w:rsidP="0005512A">
            <w:pPr>
              <w:spacing w:before="120" w:after="120"/>
              <w:jc w:val="center"/>
              <w:rPr>
                <w:sz w:val="20"/>
                <w:szCs w:val="24"/>
              </w:rPr>
            </w:pPr>
            <w:r w:rsidRPr="002B2CFC">
              <w:rPr>
                <w:sz w:val="20"/>
                <w:szCs w:val="24"/>
              </w:rPr>
              <w:t>0.3</w:t>
            </w:r>
          </w:p>
        </w:tc>
        <w:tc>
          <w:tcPr>
            <w:tcW w:w="708" w:type="dxa"/>
            <w:vAlign w:val="center"/>
          </w:tcPr>
          <w:p w14:paraId="520DA326" w14:textId="77777777" w:rsidR="0005512A" w:rsidRPr="002B2CFC" w:rsidRDefault="0005512A" w:rsidP="0005512A">
            <w:pPr>
              <w:spacing w:before="120" w:after="120"/>
              <w:jc w:val="center"/>
              <w:rPr>
                <w:sz w:val="20"/>
                <w:szCs w:val="24"/>
              </w:rPr>
            </w:pPr>
            <w:r w:rsidRPr="002B2CFC">
              <w:rPr>
                <w:sz w:val="20"/>
                <w:szCs w:val="24"/>
              </w:rPr>
              <w:t>0.3</w:t>
            </w:r>
          </w:p>
        </w:tc>
        <w:tc>
          <w:tcPr>
            <w:tcW w:w="709" w:type="dxa"/>
            <w:vAlign w:val="center"/>
          </w:tcPr>
          <w:p w14:paraId="7038C4F7" w14:textId="77777777" w:rsidR="0005512A" w:rsidRPr="002B2CFC" w:rsidRDefault="0005512A" w:rsidP="0005512A">
            <w:pPr>
              <w:spacing w:before="120" w:after="120"/>
              <w:jc w:val="center"/>
              <w:rPr>
                <w:sz w:val="20"/>
                <w:szCs w:val="24"/>
              </w:rPr>
            </w:pPr>
            <w:r w:rsidRPr="002B2CFC">
              <w:rPr>
                <w:sz w:val="20"/>
                <w:szCs w:val="24"/>
              </w:rPr>
              <w:t>0.4</w:t>
            </w:r>
          </w:p>
        </w:tc>
        <w:tc>
          <w:tcPr>
            <w:tcW w:w="709" w:type="dxa"/>
            <w:vAlign w:val="center"/>
          </w:tcPr>
          <w:p w14:paraId="4CE9219B" w14:textId="77777777" w:rsidR="0005512A" w:rsidRPr="002B2CFC" w:rsidRDefault="0005512A" w:rsidP="0005512A">
            <w:pPr>
              <w:spacing w:before="120" w:after="120"/>
              <w:jc w:val="center"/>
              <w:rPr>
                <w:sz w:val="20"/>
                <w:szCs w:val="24"/>
              </w:rPr>
            </w:pPr>
            <w:r w:rsidRPr="002B2CFC">
              <w:rPr>
                <w:sz w:val="20"/>
                <w:szCs w:val="24"/>
              </w:rPr>
              <w:t>1.2*</w:t>
            </w:r>
          </w:p>
        </w:tc>
        <w:tc>
          <w:tcPr>
            <w:tcW w:w="850" w:type="dxa"/>
            <w:tcBorders>
              <w:right w:val="single" w:sz="12" w:space="0" w:color="auto"/>
            </w:tcBorders>
            <w:shd w:val="clear" w:color="auto" w:fill="F2F2F2" w:themeFill="background1" w:themeFillShade="F2"/>
            <w:vAlign w:val="center"/>
          </w:tcPr>
          <w:p w14:paraId="26BB041D" w14:textId="77777777" w:rsidR="0005512A" w:rsidRPr="002B2CFC" w:rsidRDefault="0005512A" w:rsidP="0005512A">
            <w:pPr>
              <w:spacing w:before="120" w:after="120"/>
              <w:jc w:val="center"/>
              <w:rPr>
                <w:sz w:val="20"/>
                <w:szCs w:val="24"/>
              </w:rPr>
            </w:pPr>
            <w:r w:rsidRPr="002B2CFC">
              <w:rPr>
                <w:sz w:val="20"/>
                <w:szCs w:val="24"/>
              </w:rPr>
              <w:t>0.1**</w:t>
            </w:r>
          </w:p>
        </w:tc>
        <w:tc>
          <w:tcPr>
            <w:tcW w:w="709" w:type="dxa"/>
            <w:tcBorders>
              <w:left w:val="single" w:sz="12" w:space="0" w:color="auto"/>
            </w:tcBorders>
            <w:vAlign w:val="center"/>
          </w:tcPr>
          <w:p w14:paraId="6F9986FA" w14:textId="77777777" w:rsidR="0005512A" w:rsidRPr="002B2CFC" w:rsidRDefault="0005512A" w:rsidP="0005512A">
            <w:pPr>
              <w:spacing w:before="120" w:after="120"/>
              <w:jc w:val="center"/>
              <w:rPr>
                <w:sz w:val="20"/>
                <w:szCs w:val="24"/>
              </w:rPr>
            </w:pPr>
            <w:r w:rsidRPr="002B2CFC">
              <w:rPr>
                <w:sz w:val="20"/>
                <w:szCs w:val="24"/>
              </w:rPr>
              <w:t>-0.1</w:t>
            </w:r>
          </w:p>
        </w:tc>
        <w:tc>
          <w:tcPr>
            <w:tcW w:w="709" w:type="dxa"/>
            <w:vAlign w:val="center"/>
          </w:tcPr>
          <w:p w14:paraId="6FDC18BB" w14:textId="77777777" w:rsidR="0005512A" w:rsidRPr="002B2CFC" w:rsidRDefault="0005512A" w:rsidP="0005512A">
            <w:pPr>
              <w:spacing w:before="120" w:after="120"/>
              <w:jc w:val="center"/>
              <w:rPr>
                <w:sz w:val="20"/>
                <w:szCs w:val="24"/>
              </w:rPr>
            </w:pPr>
            <w:r w:rsidRPr="002B2CFC">
              <w:rPr>
                <w:sz w:val="20"/>
                <w:szCs w:val="24"/>
              </w:rPr>
              <w:t>0.4</w:t>
            </w:r>
          </w:p>
        </w:tc>
        <w:tc>
          <w:tcPr>
            <w:tcW w:w="709" w:type="dxa"/>
            <w:vAlign w:val="center"/>
          </w:tcPr>
          <w:p w14:paraId="69ADBE22" w14:textId="77777777" w:rsidR="0005512A" w:rsidRPr="002B2CFC" w:rsidRDefault="0005512A" w:rsidP="0005512A">
            <w:pPr>
              <w:spacing w:before="120" w:after="120"/>
              <w:jc w:val="center"/>
              <w:rPr>
                <w:sz w:val="20"/>
                <w:szCs w:val="24"/>
              </w:rPr>
            </w:pPr>
            <w:r w:rsidRPr="002B2CFC">
              <w:rPr>
                <w:sz w:val="20"/>
                <w:szCs w:val="24"/>
              </w:rPr>
              <w:t>1.2*</w:t>
            </w:r>
          </w:p>
        </w:tc>
        <w:tc>
          <w:tcPr>
            <w:tcW w:w="850" w:type="dxa"/>
            <w:shd w:val="clear" w:color="auto" w:fill="F2F2F2" w:themeFill="background1" w:themeFillShade="F2"/>
            <w:vAlign w:val="center"/>
          </w:tcPr>
          <w:p w14:paraId="49641676" w14:textId="77777777" w:rsidR="0005512A" w:rsidRPr="002B2CFC" w:rsidRDefault="0005512A" w:rsidP="0005512A">
            <w:pPr>
              <w:spacing w:before="120" w:after="120"/>
              <w:jc w:val="center"/>
              <w:rPr>
                <w:sz w:val="20"/>
                <w:szCs w:val="24"/>
              </w:rPr>
            </w:pPr>
            <w:r w:rsidRPr="002B2CFC">
              <w:rPr>
                <w:sz w:val="20"/>
                <w:szCs w:val="24"/>
              </w:rPr>
              <w:t>-0.1</w:t>
            </w:r>
          </w:p>
        </w:tc>
      </w:tr>
      <w:tr w:rsidR="0005512A" w:rsidRPr="002B2CFC" w14:paraId="6EE33A57" w14:textId="77777777" w:rsidTr="0005512A">
        <w:tc>
          <w:tcPr>
            <w:tcW w:w="1418" w:type="dxa"/>
            <w:shd w:val="clear" w:color="auto" w:fill="D9D9D9" w:themeFill="background1" w:themeFillShade="D9"/>
            <w:vAlign w:val="center"/>
          </w:tcPr>
          <w:p w14:paraId="6C3CB42C" w14:textId="77777777" w:rsidR="0005512A" w:rsidRPr="002B2CFC" w:rsidRDefault="0005512A" w:rsidP="0005512A">
            <w:pPr>
              <w:spacing w:before="120" w:after="120"/>
              <w:jc w:val="center"/>
              <w:rPr>
                <w:sz w:val="20"/>
                <w:szCs w:val="24"/>
              </w:rPr>
            </w:pPr>
            <w:r w:rsidRPr="002B2CFC">
              <w:rPr>
                <w:sz w:val="20"/>
                <w:szCs w:val="24"/>
              </w:rPr>
              <w:t>2 to 7</w:t>
            </w:r>
          </w:p>
        </w:tc>
        <w:tc>
          <w:tcPr>
            <w:tcW w:w="567" w:type="dxa"/>
            <w:vAlign w:val="center"/>
          </w:tcPr>
          <w:p w14:paraId="6FD8EE79" w14:textId="77777777" w:rsidR="0005512A" w:rsidRPr="002B2CFC" w:rsidRDefault="0005512A" w:rsidP="0005512A">
            <w:pPr>
              <w:spacing w:before="120" w:after="120"/>
              <w:jc w:val="center"/>
              <w:rPr>
                <w:sz w:val="20"/>
                <w:szCs w:val="24"/>
              </w:rPr>
            </w:pPr>
            <w:r w:rsidRPr="002B2CFC">
              <w:rPr>
                <w:sz w:val="20"/>
                <w:szCs w:val="24"/>
              </w:rPr>
              <w:t>0.3</w:t>
            </w:r>
          </w:p>
        </w:tc>
        <w:tc>
          <w:tcPr>
            <w:tcW w:w="708" w:type="dxa"/>
            <w:vAlign w:val="center"/>
          </w:tcPr>
          <w:p w14:paraId="704186C6" w14:textId="77777777" w:rsidR="0005512A" w:rsidRPr="002B2CFC" w:rsidRDefault="0005512A" w:rsidP="0005512A">
            <w:pPr>
              <w:spacing w:before="120" w:after="120"/>
              <w:jc w:val="center"/>
              <w:rPr>
                <w:sz w:val="20"/>
                <w:szCs w:val="24"/>
              </w:rPr>
            </w:pPr>
            <w:r w:rsidRPr="002B2CFC">
              <w:rPr>
                <w:sz w:val="20"/>
                <w:szCs w:val="24"/>
              </w:rPr>
              <w:t>0.5</w:t>
            </w:r>
          </w:p>
        </w:tc>
        <w:tc>
          <w:tcPr>
            <w:tcW w:w="709" w:type="dxa"/>
            <w:vAlign w:val="center"/>
          </w:tcPr>
          <w:p w14:paraId="1CDC4CA6" w14:textId="77777777" w:rsidR="0005512A" w:rsidRPr="002B2CFC" w:rsidRDefault="0005512A" w:rsidP="0005512A">
            <w:pPr>
              <w:spacing w:before="120" w:after="120"/>
              <w:jc w:val="center"/>
              <w:rPr>
                <w:sz w:val="20"/>
                <w:szCs w:val="24"/>
              </w:rPr>
            </w:pPr>
            <w:r w:rsidRPr="002B2CFC">
              <w:rPr>
                <w:sz w:val="20"/>
                <w:szCs w:val="24"/>
              </w:rPr>
              <w:t>0.5</w:t>
            </w:r>
          </w:p>
        </w:tc>
        <w:tc>
          <w:tcPr>
            <w:tcW w:w="709" w:type="dxa"/>
            <w:vAlign w:val="center"/>
          </w:tcPr>
          <w:p w14:paraId="4A753360" w14:textId="77777777" w:rsidR="0005512A" w:rsidRPr="002B2CFC" w:rsidRDefault="0005512A" w:rsidP="0005512A">
            <w:pPr>
              <w:spacing w:before="120" w:after="120"/>
              <w:jc w:val="center"/>
              <w:rPr>
                <w:sz w:val="20"/>
                <w:szCs w:val="24"/>
              </w:rPr>
            </w:pPr>
            <w:r w:rsidRPr="002B2CFC">
              <w:rPr>
                <w:sz w:val="20"/>
                <w:szCs w:val="24"/>
              </w:rPr>
              <w:t>1.4*</w:t>
            </w:r>
          </w:p>
        </w:tc>
        <w:tc>
          <w:tcPr>
            <w:tcW w:w="850" w:type="dxa"/>
            <w:tcBorders>
              <w:right w:val="single" w:sz="12" w:space="0" w:color="auto"/>
            </w:tcBorders>
            <w:shd w:val="clear" w:color="auto" w:fill="F2F2F2" w:themeFill="background1" w:themeFillShade="F2"/>
            <w:vAlign w:val="center"/>
          </w:tcPr>
          <w:p w14:paraId="0D40D720" w14:textId="77777777" w:rsidR="0005512A" w:rsidRPr="002B2CFC" w:rsidRDefault="0005512A" w:rsidP="0005512A">
            <w:pPr>
              <w:spacing w:before="120" w:after="120"/>
              <w:jc w:val="center"/>
              <w:rPr>
                <w:sz w:val="20"/>
                <w:szCs w:val="24"/>
              </w:rPr>
            </w:pPr>
            <w:r w:rsidRPr="002B2CFC">
              <w:rPr>
                <w:sz w:val="20"/>
                <w:szCs w:val="24"/>
              </w:rPr>
              <w:t>0.4</w:t>
            </w:r>
          </w:p>
        </w:tc>
        <w:tc>
          <w:tcPr>
            <w:tcW w:w="709" w:type="dxa"/>
            <w:tcBorders>
              <w:left w:val="single" w:sz="12" w:space="0" w:color="auto"/>
            </w:tcBorders>
            <w:vAlign w:val="center"/>
          </w:tcPr>
          <w:p w14:paraId="0B8993A9" w14:textId="77777777" w:rsidR="0005512A" w:rsidRPr="002B2CFC" w:rsidRDefault="0005512A" w:rsidP="0005512A">
            <w:pPr>
              <w:spacing w:before="120" w:after="120"/>
              <w:jc w:val="center"/>
              <w:rPr>
                <w:sz w:val="20"/>
                <w:szCs w:val="24"/>
              </w:rPr>
            </w:pPr>
            <w:r w:rsidRPr="002B2CFC">
              <w:rPr>
                <w:sz w:val="20"/>
                <w:szCs w:val="24"/>
              </w:rPr>
              <w:t>0.6</w:t>
            </w:r>
          </w:p>
        </w:tc>
        <w:tc>
          <w:tcPr>
            <w:tcW w:w="709" w:type="dxa"/>
            <w:vAlign w:val="center"/>
          </w:tcPr>
          <w:p w14:paraId="37F2743D" w14:textId="77777777" w:rsidR="0005512A" w:rsidRPr="002B2CFC" w:rsidRDefault="0005512A" w:rsidP="0005512A">
            <w:pPr>
              <w:spacing w:before="120" w:after="120"/>
              <w:jc w:val="center"/>
              <w:rPr>
                <w:sz w:val="20"/>
                <w:szCs w:val="24"/>
              </w:rPr>
            </w:pPr>
            <w:r w:rsidRPr="002B2CFC">
              <w:rPr>
                <w:sz w:val="20"/>
                <w:szCs w:val="24"/>
              </w:rPr>
              <w:t>0.7</w:t>
            </w:r>
          </w:p>
        </w:tc>
        <w:tc>
          <w:tcPr>
            <w:tcW w:w="709" w:type="dxa"/>
            <w:vAlign w:val="center"/>
          </w:tcPr>
          <w:p w14:paraId="6B622AB0" w14:textId="77777777" w:rsidR="0005512A" w:rsidRPr="002B2CFC" w:rsidRDefault="0005512A" w:rsidP="0005512A">
            <w:pPr>
              <w:spacing w:before="120" w:after="120"/>
              <w:jc w:val="center"/>
              <w:rPr>
                <w:sz w:val="20"/>
                <w:szCs w:val="24"/>
              </w:rPr>
            </w:pPr>
            <w:r w:rsidRPr="002B2CFC">
              <w:rPr>
                <w:sz w:val="20"/>
                <w:szCs w:val="24"/>
              </w:rPr>
              <w:t>1.6*</w:t>
            </w:r>
          </w:p>
        </w:tc>
        <w:tc>
          <w:tcPr>
            <w:tcW w:w="850" w:type="dxa"/>
            <w:shd w:val="clear" w:color="auto" w:fill="F2F2F2" w:themeFill="background1" w:themeFillShade="F2"/>
            <w:vAlign w:val="center"/>
          </w:tcPr>
          <w:p w14:paraId="300C9CAC" w14:textId="77777777" w:rsidR="0005512A" w:rsidRPr="002B2CFC" w:rsidRDefault="0005512A" w:rsidP="0005512A">
            <w:pPr>
              <w:spacing w:before="120" w:after="120"/>
              <w:jc w:val="center"/>
              <w:rPr>
                <w:sz w:val="20"/>
                <w:szCs w:val="24"/>
              </w:rPr>
            </w:pPr>
            <w:r w:rsidRPr="002B2CFC">
              <w:rPr>
                <w:sz w:val="20"/>
                <w:szCs w:val="24"/>
              </w:rPr>
              <w:t>0.0**</w:t>
            </w:r>
          </w:p>
        </w:tc>
      </w:tr>
      <w:tr w:rsidR="0005512A" w:rsidRPr="002B2CFC" w14:paraId="0BEF3128" w14:textId="77777777" w:rsidTr="0005512A">
        <w:tc>
          <w:tcPr>
            <w:tcW w:w="1418" w:type="dxa"/>
            <w:shd w:val="clear" w:color="auto" w:fill="D9D9D9" w:themeFill="background1" w:themeFillShade="D9"/>
            <w:vAlign w:val="center"/>
          </w:tcPr>
          <w:p w14:paraId="1E41FCDD" w14:textId="77777777" w:rsidR="0005512A" w:rsidRPr="002B2CFC" w:rsidRDefault="0005512A" w:rsidP="0005512A">
            <w:pPr>
              <w:spacing w:before="120" w:after="120"/>
              <w:jc w:val="center"/>
              <w:rPr>
                <w:sz w:val="20"/>
                <w:szCs w:val="24"/>
              </w:rPr>
            </w:pPr>
            <w:r w:rsidRPr="002B2CFC">
              <w:rPr>
                <w:sz w:val="20"/>
                <w:szCs w:val="24"/>
              </w:rPr>
              <w:t>7 to 8</w:t>
            </w:r>
          </w:p>
        </w:tc>
        <w:tc>
          <w:tcPr>
            <w:tcW w:w="567" w:type="dxa"/>
            <w:vAlign w:val="center"/>
          </w:tcPr>
          <w:p w14:paraId="648E7B6E" w14:textId="77777777" w:rsidR="0005512A" w:rsidRPr="002B2CFC" w:rsidRDefault="0005512A" w:rsidP="0005512A">
            <w:pPr>
              <w:spacing w:before="120" w:after="120"/>
              <w:jc w:val="center"/>
              <w:rPr>
                <w:sz w:val="20"/>
                <w:szCs w:val="24"/>
              </w:rPr>
            </w:pPr>
            <w:r w:rsidRPr="002B2CFC">
              <w:rPr>
                <w:sz w:val="20"/>
                <w:szCs w:val="24"/>
              </w:rPr>
              <w:t>-0.2</w:t>
            </w:r>
          </w:p>
        </w:tc>
        <w:tc>
          <w:tcPr>
            <w:tcW w:w="708" w:type="dxa"/>
            <w:vAlign w:val="center"/>
          </w:tcPr>
          <w:p w14:paraId="4922204C" w14:textId="77777777" w:rsidR="0005512A" w:rsidRPr="002B2CFC" w:rsidRDefault="0005512A" w:rsidP="0005512A">
            <w:pPr>
              <w:spacing w:before="120" w:after="120"/>
              <w:jc w:val="center"/>
              <w:rPr>
                <w:sz w:val="20"/>
                <w:szCs w:val="24"/>
              </w:rPr>
            </w:pPr>
            <w:r w:rsidRPr="002B2CFC">
              <w:rPr>
                <w:sz w:val="20"/>
                <w:szCs w:val="24"/>
              </w:rPr>
              <w:t>-0.4</w:t>
            </w:r>
          </w:p>
        </w:tc>
        <w:tc>
          <w:tcPr>
            <w:tcW w:w="709" w:type="dxa"/>
            <w:vAlign w:val="center"/>
          </w:tcPr>
          <w:p w14:paraId="3D3DEEAF" w14:textId="77777777" w:rsidR="0005512A" w:rsidRPr="002B2CFC" w:rsidRDefault="0005512A" w:rsidP="0005512A">
            <w:pPr>
              <w:spacing w:before="120" w:after="120"/>
              <w:jc w:val="center"/>
              <w:rPr>
                <w:sz w:val="20"/>
                <w:szCs w:val="24"/>
              </w:rPr>
            </w:pPr>
            <w:r w:rsidRPr="002B2CFC">
              <w:rPr>
                <w:sz w:val="20"/>
                <w:szCs w:val="24"/>
              </w:rPr>
              <w:t>-0.5</w:t>
            </w:r>
          </w:p>
        </w:tc>
        <w:tc>
          <w:tcPr>
            <w:tcW w:w="709" w:type="dxa"/>
            <w:vAlign w:val="center"/>
          </w:tcPr>
          <w:p w14:paraId="0BFA78B5" w14:textId="77777777" w:rsidR="0005512A" w:rsidRPr="002B2CFC" w:rsidRDefault="0005512A" w:rsidP="0005512A">
            <w:pPr>
              <w:spacing w:before="120" w:after="120"/>
              <w:jc w:val="center"/>
              <w:rPr>
                <w:sz w:val="20"/>
                <w:szCs w:val="24"/>
              </w:rPr>
            </w:pPr>
            <w:r w:rsidRPr="002B2CFC">
              <w:rPr>
                <w:sz w:val="20"/>
                <w:szCs w:val="24"/>
              </w:rPr>
              <w:t>-1.0*</w:t>
            </w:r>
          </w:p>
        </w:tc>
        <w:tc>
          <w:tcPr>
            <w:tcW w:w="850" w:type="dxa"/>
            <w:tcBorders>
              <w:right w:val="single" w:sz="12" w:space="0" w:color="auto"/>
            </w:tcBorders>
            <w:shd w:val="clear" w:color="auto" w:fill="F2F2F2" w:themeFill="background1" w:themeFillShade="F2"/>
            <w:vAlign w:val="center"/>
          </w:tcPr>
          <w:p w14:paraId="22F57605" w14:textId="77777777" w:rsidR="0005512A" w:rsidRPr="002B2CFC" w:rsidRDefault="0005512A" w:rsidP="0005512A">
            <w:pPr>
              <w:spacing w:before="120" w:after="120"/>
              <w:jc w:val="center"/>
              <w:rPr>
                <w:sz w:val="20"/>
                <w:szCs w:val="24"/>
              </w:rPr>
            </w:pPr>
            <w:r w:rsidRPr="002B2CFC">
              <w:rPr>
                <w:sz w:val="20"/>
                <w:szCs w:val="24"/>
              </w:rPr>
              <w:t>0.0</w:t>
            </w:r>
          </w:p>
        </w:tc>
        <w:tc>
          <w:tcPr>
            <w:tcW w:w="709" w:type="dxa"/>
            <w:tcBorders>
              <w:left w:val="single" w:sz="12" w:space="0" w:color="auto"/>
            </w:tcBorders>
            <w:vAlign w:val="center"/>
          </w:tcPr>
          <w:p w14:paraId="3DBD757C" w14:textId="77777777" w:rsidR="0005512A" w:rsidRPr="002B2CFC" w:rsidRDefault="0005512A" w:rsidP="0005512A">
            <w:pPr>
              <w:spacing w:before="120" w:after="120"/>
              <w:jc w:val="center"/>
              <w:rPr>
                <w:sz w:val="20"/>
                <w:szCs w:val="24"/>
              </w:rPr>
            </w:pPr>
            <w:r w:rsidRPr="002B2CFC">
              <w:rPr>
                <w:sz w:val="20"/>
                <w:szCs w:val="24"/>
              </w:rPr>
              <w:t>-0.1</w:t>
            </w:r>
          </w:p>
        </w:tc>
        <w:tc>
          <w:tcPr>
            <w:tcW w:w="709" w:type="dxa"/>
            <w:vAlign w:val="center"/>
          </w:tcPr>
          <w:p w14:paraId="2850DD75" w14:textId="77777777" w:rsidR="0005512A" w:rsidRPr="002B2CFC" w:rsidRDefault="0005512A" w:rsidP="0005512A">
            <w:pPr>
              <w:spacing w:before="120" w:after="120"/>
              <w:jc w:val="center"/>
              <w:rPr>
                <w:sz w:val="20"/>
                <w:szCs w:val="24"/>
              </w:rPr>
            </w:pPr>
            <w:r w:rsidRPr="002B2CFC">
              <w:rPr>
                <w:sz w:val="20"/>
                <w:szCs w:val="24"/>
              </w:rPr>
              <w:t>-0.6*</w:t>
            </w:r>
          </w:p>
        </w:tc>
        <w:tc>
          <w:tcPr>
            <w:tcW w:w="709" w:type="dxa"/>
            <w:vAlign w:val="center"/>
          </w:tcPr>
          <w:p w14:paraId="414C88F3" w14:textId="77777777" w:rsidR="0005512A" w:rsidRPr="002B2CFC" w:rsidRDefault="0005512A" w:rsidP="0005512A">
            <w:pPr>
              <w:spacing w:before="120" w:after="120"/>
              <w:jc w:val="center"/>
              <w:rPr>
                <w:sz w:val="20"/>
                <w:szCs w:val="24"/>
              </w:rPr>
            </w:pPr>
            <w:r w:rsidRPr="002B2CFC">
              <w:rPr>
                <w:sz w:val="20"/>
                <w:szCs w:val="24"/>
              </w:rPr>
              <w:t>-1.1*</w:t>
            </w:r>
          </w:p>
        </w:tc>
        <w:tc>
          <w:tcPr>
            <w:tcW w:w="850" w:type="dxa"/>
            <w:shd w:val="clear" w:color="auto" w:fill="F2F2F2" w:themeFill="background1" w:themeFillShade="F2"/>
            <w:vAlign w:val="center"/>
          </w:tcPr>
          <w:p w14:paraId="302EBC01" w14:textId="77777777" w:rsidR="0005512A" w:rsidRPr="002B2CFC" w:rsidRDefault="0005512A" w:rsidP="0005512A">
            <w:pPr>
              <w:spacing w:before="120" w:after="120"/>
              <w:jc w:val="center"/>
              <w:rPr>
                <w:sz w:val="20"/>
                <w:szCs w:val="24"/>
              </w:rPr>
            </w:pPr>
            <w:r w:rsidRPr="002B2CFC">
              <w:rPr>
                <w:sz w:val="20"/>
                <w:szCs w:val="24"/>
              </w:rPr>
              <w:t>0.1</w:t>
            </w:r>
          </w:p>
        </w:tc>
      </w:tr>
      <w:tr w:rsidR="0005512A" w:rsidRPr="002B2CFC" w14:paraId="46AB8755" w14:textId="77777777" w:rsidTr="0005512A">
        <w:tc>
          <w:tcPr>
            <w:tcW w:w="1418" w:type="dxa"/>
            <w:shd w:val="clear" w:color="auto" w:fill="D9D9D9" w:themeFill="background1" w:themeFillShade="D9"/>
            <w:vAlign w:val="center"/>
          </w:tcPr>
          <w:p w14:paraId="723D873F" w14:textId="77777777" w:rsidR="0005512A" w:rsidRPr="002B2CFC" w:rsidRDefault="0005512A" w:rsidP="0005512A">
            <w:pPr>
              <w:spacing w:before="120" w:after="120"/>
              <w:jc w:val="center"/>
              <w:rPr>
                <w:sz w:val="20"/>
                <w:szCs w:val="24"/>
              </w:rPr>
            </w:pPr>
            <w:r w:rsidRPr="002B2CFC">
              <w:rPr>
                <w:sz w:val="20"/>
                <w:szCs w:val="24"/>
              </w:rPr>
              <w:t>8 to 9</w:t>
            </w:r>
          </w:p>
        </w:tc>
        <w:tc>
          <w:tcPr>
            <w:tcW w:w="567" w:type="dxa"/>
            <w:vAlign w:val="center"/>
          </w:tcPr>
          <w:p w14:paraId="3D7A732C" w14:textId="77777777" w:rsidR="0005512A" w:rsidRPr="002B2CFC" w:rsidRDefault="0005512A" w:rsidP="0005512A">
            <w:pPr>
              <w:spacing w:before="120" w:after="120"/>
              <w:jc w:val="center"/>
              <w:rPr>
                <w:sz w:val="20"/>
                <w:szCs w:val="24"/>
              </w:rPr>
            </w:pPr>
            <w:r w:rsidRPr="002B2CFC">
              <w:rPr>
                <w:sz w:val="20"/>
                <w:szCs w:val="24"/>
              </w:rPr>
              <w:t>0.4</w:t>
            </w:r>
          </w:p>
        </w:tc>
        <w:tc>
          <w:tcPr>
            <w:tcW w:w="708" w:type="dxa"/>
            <w:vAlign w:val="center"/>
          </w:tcPr>
          <w:p w14:paraId="1DA13F6B" w14:textId="77777777" w:rsidR="0005512A" w:rsidRPr="002B2CFC" w:rsidRDefault="0005512A" w:rsidP="0005512A">
            <w:pPr>
              <w:spacing w:before="120" w:after="120"/>
              <w:jc w:val="center"/>
              <w:rPr>
                <w:sz w:val="20"/>
                <w:szCs w:val="24"/>
              </w:rPr>
            </w:pPr>
            <w:r w:rsidRPr="002B2CFC">
              <w:rPr>
                <w:sz w:val="20"/>
                <w:szCs w:val="24"/>
              </w:rPr>
              <w:t>0.3</w:t>
            </w:r>
          </w:p>
        </w:tc>
        <w:tc>
          <w:tcPr>
            <w:tcW w:w="709" w:type="dxa"/>
            <w:vAlign w:val="center"/>
          </w:tcPr>
          <w:p w14:paraId="4E0ABCF1" w14:textId="77777777" w:rsidR="0005512A" w:rsidRPr="002B2CFC" w:rsidRDefault="0005512A" w:rsidP="0005512A">
            <w:pPr>
              <w:spacing w:before="120" w:after="120"/>
              <w:jc w:val="center"/>
              <w:rPr>
                <w:sz w:val="20"/>
                <w:szCs w:val="24"/>
              </w:rPr>
            </w:pPr>
            <w:r w:rsidRPr="002B2CFC">
              <w:rPr>
                <w:sz w:val="20"/>
                <w:szCs w:val="24"/>
              </w:rPr>
              <w:t>0.4</w:t>
            </w:r>
          </w:p>
        </w:tc>
        <w:tc>
          <w:tcPr>
            <w:tcW w:w="709" w:type="dxa"/>
            <w:vAlign w:val="center"/>
          </w:tcPr>
          <w:p w14:paraId="0CFF57EC" w14:textId="77777777" w:rsidR="0005512A" w:rsidRPr="002B2CFC" w:rsidRDefault="0005512A" w:rsidP="0005512A">
            <w:pPr>
              <w:spacing w:before="120" w:after="120"/>
              <w:jc w:val="center"/>
              <w:rPr>
                <w:sz w:val="20"/>
                <w:szCs w:val="24"/>
              </w:rPr>
            </w:pPr>
            <w:r w:rsidRPr="002B2CFC">
              <w:rPr>
                <w:sz w:val="20"/>
                <w:szCs w:val="24"/>
              </w:rPr>
              <w:t>0.6##</w:t>
            </w:r>
          </w:p>
        </w:tc>
        <w:tc>
          <w:tcPr>
            <w:tcW w:w="850" w:type="dxa"/>
            <w:tcBorders>
              <w:right w:val="single" w:sz="12" w:space="0" w:color="auto"/>
            </w:tcBorders>
            <w:shd w:val="clear" w:color="auto" w:fill="F2F2F2" w:themeFill="background1" w:themeFillShade="F2"/>
            <w:vAlign w:val="center"/>
          </w:tcPr>
          <w:p w14:paraId="3ADCC191" w14:textId="77777777" w:rsidR="0005512A" w:rsidRPr="002B2CFC" w:rsidRDefault="0005512A" w:rsidP="0005512A">
            <w:pPr>
              <w:spacing w:before="120" w:after="120"/>
              <w:jc w:val="center"/>
              <w:rPr>
                <w:sz w:val="20"/>
                <w:szCs w:val="24"/>
              </w:rPr>
            </w:pPr>
            <w:r w:rsidRPr="002B2CFC">
              <w:rPr>
                <w:sz w:val="20"/>
                <w:szCs w:val="24"/>
              </w:rPr>
              <w:t>0.2</w:t>
            </w:r>
          </w:p>
        </w:tc>
        <w:tc>
          <w:tcPr>
            <w:tcW w:w="709" w:type="dxa"/>
            <w:tcBorders>
              <w:left w:val="single" w:sz="12" w:space="0" w:color="auto"/>
            </w:tcBorders>
            <w:vAlign w:val="center"/>
          </w:tcPr>
          <w:p w14:paraId="41FAA06E" w14:textId="77777777" w:rsidR="0005512A" w:rsidRPr="002B2CFC" w:rsidRDefault="0005512A" w:rsidP="0005512A">
            <w:pPr>
              <w:spacing w:before="120" w:after="120"/>
              <w:jc w:val="center"/>
              <w:rPr>
                <w:sz w:val="20"/>
                <w:szCs w:val="24"/>
              </w:rPr>
            </w:pPr>
            <w:r w:rsidRPr="002B2CFC">
              <w:rPr>
                <w:sz w:val="20"/>
                <w:szCs w:val="24"/>
              </w:rPr>
              <w:t>0.5</w:t>
            </w:r>
          </w:p>
        </w:tc>
        <w:tc>
          <w:tcPr>
            <w:tcW w:w="709" w:type="dxa"/>
            <w:vAlign w:val="center"/>
          </w:tcPr>
          <w:p w14:paraId="46E9841C" w14:textId="77777777" w:rsidR="0005512A" w:rsidRPr="002B2CFC" w:rsidRDefault="0005512A" w:rsidP="0005512A">
            <w:pPr>
              <w:spacing w:before="120" w:after="120"/>
              <w:jc w:val="center"/>
              <w:rPr>
                <w:sz w:val="20"/>
                <w:szCs w:val="24"/>
              </w:rPr>
            </w:pPr>
            <w:r w:rsidRPr="002B2CFC">
              <w:rPr>
                <w:sz w:val="20"/>
                <w:szCs w:val="24"/>
              </w:rPr>
              <w:t>0.7</w:t>
            </w:r>
          </w:p>
        </w:tc>
        <w:tc>
          <w:tcPr>
            <w:tcW w:w="709" w:type="dxa"/>
            <w:vAlign w:val="center"/>
          </w:tcPr>
          <w:p w14:paraId="077E1272" w14:textId="77777777" w:rsidR="0005512A" w:rsidRPr="002B2CFC" w:rsidRDefault="0005512A" w:rsidP="0005512A">
            <w:pPr>
              <w:spacing w:before="120" w:after="120"/>
              <w:jc w:val="center"/>
              <w:rPr>
                <w:sz w:val="20"/>
                <w:szCs w:val="24"/>
              </w:rPr>
            </w:pPr>
            <w:r w:rsidRPr="002B2CFC">
              <w:rPr>
                <w:sz w:val="20"/>
                <w:szCs w:val="24"/>
              </w:rPr>
              <w:t>0.8##</w:t>
            </w:r>
          </w:p>
        </w:tc>
        <w:tc>
          <w:tcPr>
            <w:tcW w:w="850" w:type="dxa"/>
            <w:shd w:val="clear" w:color="auto" w:fill="F2F2F2" w:themeFill="background1" w:themeFillShade="F2"/>
            <w:vAlign w:val="center"/>
          </w:tcPr>
          <w:p w14:paraId="0A9664F3" w14:textId="77777777" w:rsidR="0005512A" w:rsidRPr="002B2CFC" w:rsidRDefault="0005512A" w:rsidP="0005512A">
            <w:pPr>
              <w:spacing w:before="120" w:after="120"/>
              <w:jc w:val="center"/>
              <w:rPr>
                <w:sz w:val="20"/>
                <w:szCs w:val="24"/>
              </w:rPr>
            </w:pPr>
            <w:r w:rsidRPr="002B2CFC">
              <w:rPr>
                <w:sz w:val="20"/>
                <w:szCs w:val="24"/>
              </w:rPr>
              <w:t>0.3</w:t>
            </w:r>
          </w:p>
        </w:tc>
      </w:tr>
      <w:tr w:rsidR="0005512A" w:rsidRPr="002B2CFC" w14:paraId="477A5FCD" w14:textId="77777777" w:rsidTr="0005512A">
        <w:tc>
          <w:tcPr>
            <w:tcW w:w="1418" w:type="dxa"/>
            <w:shd w:val="clear" w:color="auto" w:fill="D9D9D9" w:themeFill="background1" w:themeFillShade="D9"/>
            <w:vAlign w:val="center"/>
          </w:tcPr>
          <w:p w14:paraId="3D73A58A" w14:textId="77777777" w:rsidR="0005512A" w:rsidRPr="002B2CFC" w:rsidRDefault="0005512A" w:rsidP="0005512A">
            <w:pPr>
              <w:spacing w:before="120" w:after="120"/>
              <w:jc w:val="center"/>
              <w:rPr>
                <w:sz w:val="20"/>
                <w:szCs w:val="24"/>
              </w:rPr>
            </w:pPr>
            <w:r w:rsidRPr="002B2CFC">
              <w:rPr>
                <w:sz w:val="20"/>
                <w:szCs w:val="24"/>
              </w:rPr>
              <w:t>9 to 14</w:t>
            </w:r>
          </w:p>
        </w:tc>
        <w:tc>
          <w:tcPr>
            <w:tcW w:w="567" w:type="dxa"/>
            <w:vAlign w:val="center"/>
          </w:tcPr>
          <w:p w14:paraId="18A27AEC" w14:textId="77777777" w:rsidR="0005512A" w:rsidRPr="002B2CFC" w:rsidRDefault="0005512A" w:rsidP="0005512A">
            <w:pPr>
              <w:spacing w:before="120" w:after="120"/>
              <w:jc w:val="center"/>
              <w:rPr>
                <w:sz w:val="20"/>
                <w:szCs w:val="24"/>
              </w:rPr>
            </w:pPr>
            <w:r w:rsidRPr="002B2CFC">
              <w:rPr>
                <w:sz w:val="20"/>
                <w:szCs w:val="24"/>
              </w:rPr>
              <w:t>0.4</w:t>
            </w:r>
          </w:p>
        </w:tc>
        <w:tc>
          <w:tcPr>
            <w:tcW w:w="708" w:type="dxa"/>
            <w:vAlign w:val="center"/>
          </w:tcPr>
          <w:p w14:paraId="2C5276C5" w14:textId="77777777" w:rsidR="0005512A" w:rsidRPr="002B2CFC" w:rsidRDefault="0005512A" w:rsidP="0005512A">
            <w:pPr>
              <w:spacing w:before="120" w:after="120"/>
              <w:jc w:val="center"/>
              <w:rPr>
                <w:sz w:val="20"/>
                <w:szCs w:val="24"/>
              </w:rPr>
            </w:pPr>
            <w:r w:rsidRPr="002B2CFC">
              <w:rPr>
                <w:sz w:val="20"/>
                <w:szCs w:val="24"/>
              </w:rPr>
              <w:t>0.6</w:t>
            </w:r>
          </w:p>
        </w:tc>
        <w:tc>
          <w:tcPr>
            <w:tcW w:w="709" w:type="dxa"/>
            <w:vAlign w:val="center"/>
          </w:tcPr>
          <w:p w14:paraId="72A31E88" w14:textId="77777777" w:rsidR="0005512A" w:rsidRPr="002B2CFC" w:rsidRDefault="0005512A" w:rsidP="0005512A">
            <w:pPr>
              <w:spacing w:before="120" w:after="120"/>
              <w:jc w:val="center"/>
              <w:rPr>
                <w:sz w:val="20"/>
                <w:szCs w:val="24"/>
              </w:rPr>
            </w:pPr>
            <w:r w:rsidRPr="002B2CFC">
              <w:rPr>
                <w:sz w:val="20"/>
                <w:szCs w:val="24"/>
              </w:rPr>
              <w:t>0.5</w:t>
            </w:r>
          </w:p>
        </w:tc>
        <w:tc>
          <w:tcPr>
            <w:tcW w:w="709" w:type="dxa"/>
            <w:vAlign w:val="center"/>
          </w:tcPr>
          <w:p w14:paraId="76D745BB" w14:textId="77777777" w:rsidR="0005512A" w:rsidRPr="002B2CFC" w:rsidRDefault="0005512A" w:rsidP="0005512A">
            <w:pPr>
              <w:spacing w:before="120" w:after="120"/>
              <w:jc w:val="center"/>
              <w:rPr>
                <w:sz w:val="20"/>
                <w:szCs w:val="24"/>
              </w:rPr>
            </w:pPr>
            <w:r w:rsidRPr="002B2CFC">
              <w:rPr>
                <w:sz w:val="20"/>
                <w:szCs w:val="24"/>
              </w:rPr>
              <w:t>0.7</w:t>
            </w:r>
          </w:p>
        </w:tc>
        <w:tc>
          <w:tcPr>
            <w:tcW w:w="850" w:type="dxa"/>
            <w:tcBorders>
              <w:right w:val="single" w:sz="12" w:space="0" w:color="auto"/>
            </w:tcBorders>
            <w:shd w:val="clear" w:color="auto" w:fill="F2F2F2" w:themeFill="background1" w:themeFillShade="F2"/>
            <w:vAlign w:val="center"/>
          </w:tcPr>
          <w:p w14:paraId="3B9B20BA" w14:textId="77777777" w:rsidR="0005512A" w:rsidRPr="002B2CFC" w:rsidRDefault="0005512A" w:rsidP="0005512A">
            <w:pPr>
              <w:spacing w:before="120" w:after="120"/>
              <w:jc w:val="center"/>
              <w:rPr>
                <w:sz w:val="20"/>
                <w:szCs w:val="24"/>
              </w:rPr>
            </w:pPr>
            <w:r w:rsidRPr="002B2CFC">
              <w:rPr>
                <w:sz w:val="20"/>
                <w:szCs w:val="24"/>
              </w:rPr>
              <w:t>0.5</w:t>
            </w:r>
          </w:p>
        </w:tc>
        <w:tc>
          <w:tcPr>
            <w:tcW w:w="709" w:type="dxa"/>
            <w:tcBorders>
              <w:left w:val="single" w:sz="12" w:space="0" w:color="auto"/>
            </w:tcBorders>
            <w:vAlign w:val="center"/>
          </w:tcPr>
          <w:p w14:paraId="49435AE8" w14:textId="77777777" w:rsidR="0005512A" w:rsidRPr="002B2CFC" w:rsidRDefault="0005512A" w:rsidP="0005512A">
            <w:pPr>
              <w:spacing w:before="120" w:after="120"/>
              <w:jc w:val="center"/>
              <w:rPr>
                <w:sz w:val="20"/>
                <w:szCs w:val="24"/>
              </w:rPr>
            </w:pPr>
            <w:r w:rsidRPr="002B2CFC">
              <w:rPr>
                <w:sz w:val="20"/>
                <w:szCs w:val="24"/>
              </w:rPr>
              <w:t>0.4</w:t>
            </w:r>
          </w:p>
        </w:tc>
        <w:tc>
          <w:tcPr>
            <w:tcW w:w="709" w:type="dxa"/>
            <w:vAlign w:val="center"/>
          </w:tcPr>
          <w:p w14:paraId="3803603B" w14:textId="77777777" w:rsidR="0005512A" w:rsidRPr="002B2CFC" w:rsidRDefault="0005512A" w:rsidP="0005512A">
            <w:pPr>
              <w:spacing w:before="120" w:after="120"/>
              <w:jc w:val="center"/>
              <w:rPr>
                <w:sz w:val="20"/>
                <w:szCs w:val="24"/>
              </w:rPr>
            </w:pPr>
            <w:r w:rsidRPr="002B2CFC">
              <w:rPr>
                <w:sz w:val="20"/>
                <w:szCs w:val="24"/>
              </w:rPr>
              <w:t>0.6</w:t>
            </w:r>
          </w:p>
        </w:tc>
        <w:tc>
          <w:tcPr>
            <w:tcW w:w="709" w:type="dxa"/>
            <w:vAlign w:val="center"/>
          </w:tcPr>
          <w:p w14:paraId="748F8B20" w14:textId="77777777" w:rsidR="0005512A" w:rsidRPr="002B2CFC" w:rsidRDefault="0005512A" w:rsidP="0005512A">
            <w:pPr>
              <w:spacing w:before="120" w:after="120"/>
              <w:jc w:val="center"/>
              <w:rPr>
                <w:sz w:val="20"/>
                <w:szCs w:val="24"/>
              </w:rPr>
            </w:pPr>
            <w:r w:rsidRPr="002B2CFC">
              <w:rPr>
                <w:sz w:val="20"/>
                <w:szCs w:val="24"/>
              </w:rPr>
              <w:t>1.0*</w:t>
            </w:r>
          </w:p>
        </w:tc>
        <w:tc>
          <w:tcPr>
            <w:tcW w:w="850" w:type="dxa"/>
            <w:shd w:val="clear" w:color="auto" w:fill="F2F2F2" w:themeFill="background1" w:themeFillShade="F2"/>
            <w:vAlign w:val="center"/>
          </w:tcPr>
          <w:p w14:paraId="41D946B5" w14:textId="77777777" w:rsidR="0005512A" w:rsidRPr="002B2CFC" w:rsidRDefault="0005512A" w:rsidP="0005512A">
            <w:pPr>
              <w:spacing w:before="120" w:after="120"/>
              <w:jc w:val="center"/>
              <w:rPr>
                <w:sz w:val="20"/>
                <w:szCs w:val="24"/>
              </w:rPr>
            </w:pPr>
            <w:r w:rsidRPr="002B2CFC">
              <w:rPr>
                <w:sz w:val="20"/>
                <w:szCs w:val="24"/>
              </w:rPr>
              <w:t>0.3</w:t>
            </w:r>
          </w:p>
        </w:tc>
      </w:tr>
      <w:tr w:rsidR="0005512A" w:rsidRPr="002B2CFC" w14:paraId="210F8B53" w14:textId="77777777" w:rsidTr="0005512A">
        <w:tc>
          <w:tcPr>
            <w:tcW w:w="1418" w:type="dxa"/>
            <w:shd w:val="clear" w:color="auto" w:fill="D9D9D9" w:themeFill="background1" w:themeFillShade="D9"/>
            <w:vAlign w:val="center"/>
          </w:tcPr>
          <w:p w14:paraId="3CBA1157" w14:textId="77777777" w:rsidR="0005512A" w:rsidRPr="002B2CFC" w:rsidRDefault="0005512A" w:rsidP="0005512A">
            <w:pPr>
              <w:spacing w:before="120" w:after="120"/>
              <w:jc w:val="center"/>
              <w:rPr>
                <w:sz w:val="20"/>
                <w:szCs w:val="24"/>
              </w:rPr>
            </w:pPr>
            <w:r w:rsidRPr="002B2CFC">
              <w:rPr>
                <w:sz w:val="20"/>
                <w:szCs w:val="24"/>
              </w:rPr>
              <w:t>14 to 15</w:t>
            </w:r>
          </w:p>
        </w:tc>
        <w:tc>
          <w:tcPr>
            <w:tcW w:w="567" w:type="dxa"/>
            <w:vAlign w:val="center"/>
          </w:tcPr>
          <w:p w14:paraId="49381697" w14:textId="77777777" w:rsidR="0005512A" w:rsidRPr="002B2CFC" w:rsidRDefault="0005512A" w:rsidP="0005512A">
            <w:pPr>
              <w:spacing w:before="120" w:after="120"/>
              <w:jc w:val="center"/>
              <w:rPr>
                <w:sz w:val="20"/>
                <w:szCs w:val="24"/>
              </w:rPr>
            </w:pPr>
            <w:r w:rsidRPr="002B2CFC">
              <w:rPr>
                <w:sz w:val="20"/>
                <w:szCs w:val="24"/>
              </w:rPr>
              <w:t>-0.1</w:t>
            </w:r>
          </w:p>
        </w:tc>
        <w:tc>
          <w:tcPr>
            <w:tcW w:w="708" w:type="dxa"/>
            <w:vAlign w:val="center"/>
          </w:tcPr>
          <w:p w14:paraId="07C76C7C" w14:textId="77777777" w:rsidR="0005512A" w:rsidRPr="002B2CFC" w:rsidRDefault="0005512A" w:rsidP="0005512A">
            <w:pPr>
              <w:spacing w:before="120" w:after="120"/>
              <w:jc w:val="center"/>
              <w:rPr>
                <w:sz w:val="20"/>
                <w:szCs w:val="24"/>
              </w:rPr>
            </w:pPr>
            <w:r w:rsidRPr="002B2CFC">
              <w:rPr>
                <w:sz w:val="20"/>
                <w:szCs w:val="24"/>
              </w:rPr>
              <w:t>-0.3</w:t>
            </w:r>
          </w:p>
        </w:tc>
        <w:tc>
          <w:tcPr>
            <w:tcW w:w="709" w:type="dxa"/>
            <w:vAlign w:val="center"/>
          </w:tcPr>
          <w:p w14:paraId="08998B6B" w14:textId="77777777" w:rsidR="0005512A" w:rsidRPr="002B2CFC" w:rsidRDefault="0005512A" w:rsidP="0005512A">
            <w:pPr>
              <w:spacing w:before="120" w:after="120"/>
              <w:jc w:val="center"/>
              <w:rPr>
                <w:sz w:val="20"/>
                <w:szCs w:val="24"/>
              </w:rPr>
            </w:pPr>
            <w:r w:rsidRPr="002B2CFC">
              <w:rPr>
                <w:sz w:val="20"/>
                <w:szCs w:val="24"/>
              </w:rPr>
              <w:t>-0.3</w:t>
            </w:r>
          </w:p>
        </w:tc>
        <w:tc>
          <w:tcPr>
            <w:tcW w:w="709" w:type="dxa"/>
            <w:vAlign w:val="center"/>
          </w:tcPr>
          <w:p w14:paraId="05864E75" w14:textId="77777777" w:rsidR="0005512A" w:rsidRPr="002B2CFC" w:rsidRDefault="0005512A" w:rsidP="0005512A">
            <w:pPr>
              <w:spacing w:before="120" w:after="120"/>
              <w:jc w:val="center"/>
              <w:rPr>
                <w:sz w:val="20"/>
                <w:szCs w:val="24"/>
              </w:rPr>
            </w:pPr>
            <w:r w:rsidRPr="002B2CFC">
              <w:rPr>
                <w:sz w:val="20"/>
                <w:szCs w:val="24"/>
              </w:rPr>
              <w:t>-1.0*</w:t>
            </w:r>
          </w:p>
        </w:tc>
        <w:tc>
          <w:tcPr>
            <w:tcW w:w="850" w:type="dxa"/>
            <w:tcBorders>
              <w:right w:val="single" w:sz="12" w:space="0" w:color="auto"/>
            </w:tcBorders>
            <w:shd w:val="clear" w:color="auto" w:fill="F2F2F2" w:themeFill="background1" w:themeFillShade="F2"/>
            <w:vAlign w:val="center"/>
          </w:tcPr>
          <w:p w14:paraId="0C7C9607" w14:textId="77777777" w:rsidR="0005512A" w:rsidRPr="002B2CFC" w:rsidRDefault="0005512A" w:rsidP="0005512A">
            <w:pPr>
              <w:spacing w:before="120" w:after="120"/>
              <w:jc w:val="center"/>
              <w:rPr>
                <w:sz w:val="20"/>
                <w:szCs w:val="24"/>
              </w:rPr>
            </w:pPr>
            <w:r w:rsidRPr="002B2CFC">
              <w:rPr>
                <w:sz w:val="20"/>
                <w:szCs w:val="24"/>
              </w:rPr>
              <w:t>-1.2#</w:t>
            </w:r>
          </w:p>
        </w:tc>
        <w:tc>
          <w:tcPr>
            <w:tcW w:w="709" w:type="dxa"/>
            <w:tcBorders>
              <w:left w:val="single" w:sz="12" w:space="0" w:color="auto"/>
            </w:tcBorders>
            <w:vAlign w:val="center"/>
          </w:tcPr>
          <w:p w14:paraId="229454E0" w14:textId="77777777" w:rsidR="0005512A" w:rsidRPr="002B2CFC" w:rsidRDefault="0005512A" w:rsidP="0005512A">
            <w:pPr>
              <w:spacing w:before="120" w:after="120"/>
              <w:jc w:val="center"/>
              <w:rPr>
                <w:sz w:val="20"/>
                <w:szCs w:val="24"/>
              </w:rPr>
            </w:pPr>
            <w:r w:rsidRPr="002B2CFC">
              <w:rPr>
                <w:sz w:val="20"/>
                <w:szCs w:val="24"/>
              </w:rPr>
              <w:t>0.1</w:t>
            </w:r>
          </w:p>
        </w:tc>
        <w:tc>
          <w:tcPr>
            <w:tcW w:w="709" w:type="dxa"/>
            <w:vAlign w:val="center"/>
          </w:tcPr>
          <w:p w14:paraId="2F88D00C" w14:textId="77777777" w:rsidR="0005512A" w:rsidRPr="002B2CFC" w:rsidRDefault="0005512A" w:rsidP="0005512A">
            <w:pPr>
              <w:spacing w:before="120" w:after="120"/>
              <w:jc w:val="center"/>
              <w:rPr>
                <w:sz w:val="20"/>
                <w:szCs w:val="24"/>
              </w:rPr>
            </w:pPr>
            <w:r w:rsidRPr="002B2CFC">
              <w:rPr>
                <w:sz w:val="20"/>
                <w:szCs w:val="24"/>
              </w:rPr>
              <w:t>-0.5</w:t>
            </w:r>
          </w:p>
        </w:tc>
        <w:tc>
          <w:tcPr>
            <w:tcW w:w="709" w:type="dxa"/>
            <w:vAlign w:val="center"/>
          </w:tcPr>
          <w:p w14:paraId="2EA21874" w14:textId="77777777" w:rsidR="0005512A" w:rsidRPr="002B2CFC" w:rsidRDefault="0005512A" w:rsidP="0005512A">
            <w:pPr>
              <w:spacing w:before="120" w:after="120"/>
              <w:jc w:val="center"/>
              <w:rPr>
                <w:sz w:val="20"/>
                <w:szCs w:val="24"/>
              </w:rPr>
            </w:pPr>
            <w:r w:rsidRPr="002B2CFC">
              <w:rPr>
                <w:sz w:val="20"/>
                <w:szCs w:val="24"/>
              </w:rPr>
              <w:t>-1.4*</w:t>
            </w:r>
          </w:p>
        </w:tc>
        <w:tc>
          <w:tcPr>
            <w:tcW w:w="850" w:type="dxa"/>
            <w:shd w:val="clear" w:color="auto" w:fill="F2F2F2" w:themeFill="background1" w:themeFillShade="F2"/>
            <w:vAlign w:val="center"/>
          </w:tcPr>
          <w:p w14:paraId="1B90E78B" w14:textId="77777777" w:rsidR="0005512A" w:rsidRPr="002B2CFC" w:rsidRDefault="0005512A" w:rsidP="0005512A">
            <w:pPr>
              <w:spacing w:before="120" w:after="120"/>
              <w:jc w:val="center"/>
              <w:rPr>
                <w:sz w:val="20"/>
                <w:szCs w:val="24"/>
              </w:rPr>
            </w:pPr>
            <w:r w:rsidRPr="002B2CFC">
              <w:rPr>
                <w:sz w:val="20"/>
                <w:szCs w:val="24"/>
              </w:rPr>
              <w:t>-1.3#</w:t>
            </w:r>
          </w:p>
        </w:tc>
      </w:tr>
      <w:tr w:rsidR="0005512A" w:rsidRPr="002B2CFC" w14:paraId="013BBE54" w14:textId="77777777" w:rsidTr="0005512A">
        <w:tc>
          <w:tcPr>
            <w:tcW w:w="1418" w:type="dxa"/>
            <w:shd w:val="clear" w:color="auto" w:fill="D9D9D9" w:themeFill="background1" w:themeFillShade="D9"/>
            <w:vAlign w:val="center"/>
          </w:tcPr>
          <w:p w14:paraId="6C60C218" w14:textId="77777777" w:rsidR="0005512A" w:rsidRPr="002B2CFC" w:rsidRDefault="0005512A" w:rsidP="0005512A">
            <w:pPr>
              <w:spacing w:before="120" w:after="120"/>
              <w:jc w:val="center"/>
              <w:rPr>
                <w:sz w:val="20"/>
                <w:szCs w:val="24"/>
              </w:rPr>
            </w:pPr>
            <w:r w:rsidRPr="002B2CFC">
              <w:rPr>
                <w:sz w:val="20"/>
                <w:szCs w:val="24"/>
              </w:rPr>
              <w:t>15 to 16</w:t>
            </w:r>
          </w:p>
        </w:tc>
        <w:tc>
          <w:tcPr>
            <w:tcW w:w="567" w:type="dxa"/>
            <w:vAlign w:val="center"/>
          </w:tcPr>
          <w:p w14:paraId="570315D8" w14:textId="77777777" w:rsidR="0005512A" w:rsidRPr="002B2CFC" w:rsidRDefault="0005512A" w:rsidP="0005512A">
            <w:pPr>
              <w:spacing w:before="120" w:after="120"/>
              <w:jc w:val="center"/>
              <w:rPr>
                <w:sz w:val="20"/>
                <w:szCs w:val="24"/>
              </w:rPr>
            </w:pPr>
            <w:r w:rsidRPr="002B2CFC">
              <w:rPr>
                <w:sz w:val="20"/>
                <w:szCs w:val="24"/>
              </w:rPr>
              <w:t>0.2</w:t>
            </w:r>
          </w:p>
        </w:tc>
        <w:tc>
          <w:tcPr>
            <w:tcW w:w="708" w:type="dxa"/>
            <w:vAlign w:val="center"/>
          </w:tcPr>
          <w:p w14:paraId="2C69D484" w14:textId="77777777" w:rsidR="0005512A" w:rsidRPr="002B2CFC" w:rsidRDefault="0005512A" w:rsidP="0005512A">
            <w:pPr>
              <w:spacing w:before="120" w:after="120"/>
              <w:jc w:val="center"/>
              <w:rPr>
                <w:sz w:val="20"/>
                <w:szCs w:val="24"/>
              </w:rPr>
            </w:pPr>
            <w:r w:rsidRPr="002B2CFC">
              <w:rPr>
                <w:sz w:val="20"/>
                <w:szCs w:val="24"/>
              </w:rPr>
              <w:t>0.2</w:t>
            </w:r>
          </w:p>
        </w:tc>
        <w:tc>
          <w:tcPr>
            <w:tcW w:w="709" w:type="dxa"/>
            <w:vAlign w:val="center"/>
          </w:tcPr>
          <w:p w14:paraId="730A85A5" w14:textId="77777777" w:rsidR="0005512A" w:rsidRPr="002B2CFC" w:rsidRDefault="0005512A" w:rsidP="0005512A">
            <w:pPr>
              <w:spacing w:before="120" w:after="120"/>
              <w:jc w:val="center"/>
              <w:rPr>
                <w:sz w:val="20"/>
                <w:szCs w:val="24"/>
              </w:rPr>
            </w:pPr>
            <w:r w:rsidRPr="002B2CFC">
              <w:rPr>
                <w:sz w:val="20"/>
                <w:szCs w:val="24"/>
              </w:rPr>
              <w:t>0.4</w:t>
            </w:r>
          </w:p>
        </w:tc>
        <w:tc>
          <w:tcPr>
            <w:tcW w:w="709" w:type="dxa"/>
            <w:vAlign w:val="center"/>
          </w:tcPr>
          <w:p w14:paraId="75B605E5" w14:textId="77777777" w:rsidR="0005512A" w:rsidRPr="002B2CFC" w:rsidRDefault="0005512A" w:rsidP="0005512A">
            <w:pPr>
              <w:spacing w:before="120" w:after="120"/>
              <w:jc w:val="center"/>
              <w:rPr>
                <w:sz w:val="20"/>
                <w:szCs w:val="24"/>
              </w:rPr>
            </w:pPr>
            <w:r w:rsidRPr="002B2CFC">
              <w:rPr>
                <w:sz w:val="20"/>
                <w:szCs w:val="24"/>
              </w:rPr>
              <w:t>0.7*</w:t>
            </w:r>
          </w:p>
        </w:tc>
        <w:tc>
          <w:tcPr>
            <w:tcW w:w="850" w:type="dxa"/>
            <w:tcBorders>
              <w:right w:val="single" w:sz="12" w:space="0" w:color="auto"/>
            </w:tcBorders>
            <w:shd w:val="clear" w:color="auto" w:fill="F2F2F2" w:themeFill="background1" w:themeFillShade="F2"/>
            <w:vAlign w:val="center"/>
          </w:tcPr>
          <w:p w14:paraId="630D253D" w14:textId="77777777" w:rsidR="0005512A" w:rsidRPr="002B2CFC" w:rsidRDefault="0005512A" w:rsidP="0005512A">
            <w:pPr>
              <w:spacing w:before="120" w:after="120"/>
              <w:jc w:val="center"/>
              <w:rPr>
                <w:sz w:val="20"/>
                <w:szCs w:val="24"/>
              </w:rPr>
            </w:pPr>
            <w:r w:rsidRPr="002B2CFC">
              <w:rPr>
                <w:sz w:val="20"/>
                <w:szCs w:val="24"/>
              </w:rPr>
              <w:t>0.8#</w:t>
            </w:r>
          </w:p>
        </w:tc>
        <w:tc>
          <w:tcPr>
            <w:tcW w:w="709" w:type="dxa"/>
            <w:tcBorders>
              <w:left w:val="single" w:sz="12" w:space="0" w:color="auto"/>
            </w:tcBorders>
            <w:vAlign w:val="center"/>
          </w:tcPr>
          <w:p w14:paraId="0A5A8987" w14:textId="77777777" w:rsidR="0005512A" w:rsidRPr="002B2CFC" w:rsidRDefault="0005512A" w:rsidP="0005512A">
            <w:pPr>
              <w:spacing w:before="120" w:after="120"/>
              <w:jc w:val="center"/>
              <w:rPr>
                <w:sz w:val="20"/>
                <w:szCs w:val="24"/>
              </w:rPr>
            </w:pPr>
            <w:r w:rsidRPr="002B2CFC">
              <w:rPr>
                <w:sz w:val="20"/>
                <w:szCs w:val="24"/>
              </w:rPr>
              <w:t>0.3</w:t>
            </w:r>
          </w:p>
        </w:tc>
        <w:tc>
          <w:tcPr>
            <w:tcW w:w="709" w:type="dxa"/>
            <w:vAlign w:val="center"/>
          </w:tcPr>
          <w:p w14:paraId="4E5AB6E4" w14:textId="77777777" w:rsidR="0005512A" w:rsidRPr="002B2CFC" w:rsidRDefault="0005512A" w:rsidP="0005512A">
            <w:pPr>
              <w:spacing w:before="120" w:after="120"/>
              <w:jc w:val="center"/>
              <w:rPr>
                <w:sz w:val="20"/>
                <w:szCs w:val="24"/>
              </w:rPr>
            </w:pPr>
            <w:r w:rsidRPr="002B2CFC">
              <w:rPr>
                <w:sz w:val="20"/>
                <w:szCs w:val="24"/>
              </w:rPr>
              <w:t>0.6</w:t>
            </w:r>
          </w:p>
        </w:tc>
        <w:tc>
          <w:tcPr>
            <w:tcW w:w="709" w:type="dxa"/>
            <w:vAlign w:val="center"/>
          </w:tcPr>
          <w:p w14:paraId="0927212C" w14:textId="77777777" w:rsidR="0005512A" w:rsidRPr="002B2CFC" w:rsidRDefault="0005512A" w:rsidP="0005512A">
            <w:pPr>
              <w:spacing w:before="120" w:after="120"/>
              <w:jc w:val="center"/>
              <w:rPr>
                <w:sz w:val="20"/>
                <w:szCs w:val="24"/>
              </w:rPr>
            </w:pPr>
            <w:r w:rsidRPr="002B2CFC">
              <w:rPr>
                <w:sz w:val="20"/>
                <w:szCs w:val="24"/>
              </w:rPr>
              <w:t>0.9</w:t>
            </w:r>
          </w:p>
        </w:tc>
        <w:tc>
          <w:tcPr>
            <w:tcW w:w="850" w:type="dxa"/>
            <w:shd w:val="clear" w:color="auto" w:fill="F2F2F2" w:themeFill="background1" w:themeFillShade="F2"/>
            <w:vAlign w:val="center"/>
          </w:tcPr>
          <w:p w14:paraId="3D304E61" w14:textId="77777777" w:rsidR="0005512A" w:rsidRPr="002B2CFC" w:rsidRDefault="0005512A" w:rsidP="0005512A">
            <w:pPr>
              <w:spacing w:before="120" w:after="120"/>
              <w:jc w:val="center"/>
              <w:rPr>
                <w:sz w:val="20"/>
                <w:szCs w:val="24"/>
              </w:rPr>
            </w:pPr>
            <w:r w:rsidRPr="002B2CFC">
              <w:rPr>
                <w:sz w:val="20"/>
                <w:szCs w:val="24"/>
              </w:rPr>
              <w:t>0.5</w:t>
            </w:r>
          </w:p>
        </w:tc>
      </w:tr>
      <w:tr w:rsidR="0005512A" w:rsidRPr="002B2CFC" w14:paraId="2D04AE1D" w14:textId="77777777" w:rsidTr="0005512A">
        <w:tc>
          <w:tcPr>
            <w:tcW w:w="1418" w:type="dxa"/>
            <w:tcBorders>
              <w:bottom w:val="single" w:sz="12" w:space="0" w:color="auto"/>
            </w:tcBorders>
            <w:shd w:val="clear" w:color="auto" w:fill="D9D9D9" w:themeFill="background1" w:themeFillShade="D9"/>
            <w:vAlign w:val="center"/>
          </w:tcPr>
          <w:p w14:paraId="6C013CE2" w14:textId="77777777" w:rsidR="0005512A" w:rsidRPr="002B2CFC" w:rsidRDefault="0005512A" w:rsidP="0005512A">
            <w:pPr>
              <w:spacing w:before="120" w:after="120"/>
              <w:jc w:val="center"/>
              <w:rPr>
                <w:sz w:val="20"/>
                <w:szCs w:val="24"/>
              </w:rPr>
            </w:pPr>
            <w:r w:rsidRPr="002B2CFC">
              <w:rPr>
                <w:sz w:val="20"/>
                <w:szCs w:val="24"/>
              </w:rPr>
              <w:t>16 to 21</w:t>
            </w:r>
          </w:p>
        </w:tc>
        <w:tc>
          <w:tcPr>
            <w:tcW w:w="567" w:type="dxa"/>
            <w:tcBorders>
              <w:bottom w:val="single" w:sz="12" w:space="0" w:color="auto"/>
            </w:tcBorders>
            <w:vAlign w:val="center"/>
          </w:tcPr>
          <w:p w14:paraId="068995EE" w14:textId="77777777" w:rsidR="0005512A" w:rsidRPr="002B2CFC" w:rsidRDefault="0005512A" w:rsidP="0005512A">
            <w:pPr>
              <w:spacing w:before="120" w:after="120"/>
              <w:jc w:val="center"/>
              <w:rPr>
                <w:sz w:val="20"/>
                <w:szCs w:val="24"/>
              </w:rPr>
            </w:pPr>
            <w:r w:rsidRPr="002B2CFC">
              <w:rPr>
                <w:sz w:val="20"/>
                <w:szCs w:val="24"/>
              </w:rPr>
              <w:t>0.6</w:t>
            </w:r>
          </w:p>
        </w:tc>
        <w:tc>
          <w:tcPr>
            <w:tcW w:w="708" w:type="dxa"/>
            <w:tcBorders>
              <w:bottom w:val="single" w:sz="12" w:space="0" w:color="auto"/>
            </w:tcBorders>
            <w:vAlign w:val="center"/>
          </w:tcPr>
          <w:p w14:paraId="674972CC" w14:textId="77777777" w:rsidR="0005512A" w:rsidRPr="002B2CFC" w:rsidRDefault="0005512A" w:rsidP="0005512A">
            <w:pPr>
              <w:spacing w:before="120" w:after="120"/>
              <w:jc w:val="center"/>
              <w:rPr>
                <w:sz w:val="20"/>
                <w:szCs w:val="24"/>
              </w:rPr>
            </w:pPr>
            <w:r w:rsidRPr="002B2CFC">
              <w:rPr>
                <w:sz w:val="20"/>
                <w:szCs w:val="24"/>
              </w:rPr>
              <w:t>0.7</w:t>
            </w:r>
          </w:p>
        </w:tc>
        <w:tc>
          <w:tcPr>
            <w:tcW w:w="709" w:type="dxa"/>
            <w:tcBorders>
              <w:bottom w:val="single" w:sz="12" w:space="0" w:color="auto"/>
            </w:tcBorders>
            <w:vAlign w:val="center"/>
          </w:tcPr>
          <w:p w14:paraId="07C5E3D0" w14:textId="77777777" w:rsidR="0005512A" w:rsidRPr="002B2CFC" w:rsidRDefault="0005512A" w:rsidP="0005512A">
            <w:pPr>
              <w:spacing w:before="120" w:after="120"/>
              <w:jc w:val="center"/>
              <w:rPr>
                <w:sz w:val="20"/>
                <w:szCs w:val="24"/>
              </w:rPr>
            </w:pPr>
            <w:r w:rsidRPr="002B2CFC">
              <w:rPr>
                <w:sz w:val="20"/>
                <w:szCs w:val="24"/>
              </w:rPr>
              <w:t>0.4</w:t>
            </w:r>
          </w:p>
        </w:tc>
        <w:tc>
          <w:tcPr>
            <w:tcW w:w="709" w:type="dxa"/>
            <w:tcBorders>
              <w:bottom w:val="single" w:sz="12" w:space="0" w:color="auto"/>
            </w:tcBorders>
            <w:vAlign w:val="center"/>
          </w:tcPr>
          <w:p w14:paraId="4DC16506" w14:textId="77777777" w:rsidR="0005512A" w:rsidRPr="002B2CFC" w:rsidRDefault="0005512A" w:rsidP="0005512A">
            <w:pPr>
              <w:spacing w:before="120" w:after="120"/>
              <w:jc w:val="center"/>
              <w:rPr>
                <w:sz w:val="20"/>
                <w:szCs w:val="24"/>
              </w:rPr>
            </w:pPr>
            <w:r w:rsidRPr="002B2CFC">
              <w:rPr>
                <w:sz w:val="20"/>
                <w:szCs w:val="24"/>
              </w:rPr>
              <w:t>0.9##</w:t>
            </w:r>
          </w:p>
        </w:tc>
        <w:tc>
          <w:tcPr>
            <w:tcW w:w="850" w:type="dxa"/>
            <w:tcBorders>
              <w:bottom w:val="single" w:sz="12" w:space="0" w:color="auto"/>
              <w:right w:val="single" w:sz="12" w:space="0" w:color="auto"/>
            </w:tcBorders>
            <w:shd w:val="clear" w:color="auto" w:fill="F2F2F2" w:themeFill="background1" w:themeFillShade="F2"/>
            <w:vAlign w:val="center"/>
          </w:tcPr>
          <w:p w14:paraId="0F4D7571" w14:textId="77777777" w:rsidR="0005512A" w:rsidRPr="002B2CFC" w:rsidRDefault="0005512A" w:rsidP="0005512A">
            <w:pPr>
              <w:spacing w:before="120" w:after="120"/>
              <w:jc w:val="center"/>
              <w:rPr>
                <w:sz w:val="20"/>
                <w:szCs w:val="24"/>
              </w:rPr>
            </w:pPr>
            <w:r w:rsidRPr="002B2CFC">
              <w:rPr>
                <w:sz w:val="20"/>
                <w:szCs w:val="24"/>
              </w:rPr>
              <w:t>0.9**</w:t>
            </w:r>
          </w:p>
        </w:tc>
        <w:tc>
          <w:tcPr>
            <w:tcW w:w="709" w:type="dxa"/>
            <w:tcBorders>
              <w:left w:val="single" w:sz="12" w:space="0" w:color="auto"/>
              <w:bottom w:val="single" w:sz="12" w:space="0" w:color="auto"/>
            </w:tcBorders>
            <w:vAlign w:val="center"/>
          </w:tcPr>
          <w:p w14:paraId="299F36DC" w14:textId="77777777" w:rsidR="0005512A" w:rsidRPr="002B2CFC" w:rsidRDefault="0005512A" w:rsidP="0005512A">
            <w:pPr>
              <w:spacing w:before="120" w:after="120"/>
              <w:jc w:val="center"/>
              <w:rPr>
                <w:sz w:val="20"/>
                <w:szCs w:val="24"/>
              </w:rPr>
            </w:pPr>
            <w:r w:rsidRPr="002B2CFC">
              <w:rPr>
                <w:sz w:val="20"/>
                <w:szCs w:val="24"/>
              </w:rPr>
              <w:t>0.5</w:t>
            </w:r>
          </w:p>
        </w:tc>
        <w:tc>
          <w:tcPr>
            <w:tcW w:w="709" w:type="dxa"/>
            <w:tcBorders>
              <w:bottom w:val="single" w:sz="12" w:space="0" w:color="auto"/>
            </w:tcBorders>
            <w:vAlign w:val="center"/>
          </w:tcPr>
          <w:p w14:paraId="5C086259" w14:textId="77777777" w:rsidR="0005512A" w:rsidRPr="002B2CFC" w:rsidRDefault="0005512A" w:rsidP="0005512A">
            <w:pPr>
              <w:spacing w:before="120" w:after="120"/>
              <w:jc w:val="center"/>
              <w:rPr>
                <w:sz w:val="20"/>
                <w:szCs w:val="24"/>
              </w:rPr>
            </w:pPr>
            <w:r w:rsidRPr="002B2CFC">
              <w:rPr>
                <w:sz w:val="20"/>
                <w:szCs w:val="24"/>
              </w:rPr>
              <w:t>0.5</w:t>
            </w:r>
          </w:p>
        </w:tc>
        <w:tc>
          <w:tcPr>
            <w:tcW w:w="709" w:type="dxa"/>
            <w:tcBorders>
              <w:bottom w:val="single" w:sz="12" w:space="0" w:color="auto"/>
            </w:tcBorders>
            <w:vAlign w:val="center"/>
          </w:tcPr>
          <w:p w14:paraId="48B1D4A9" w14:textId="77777777" w:rsidR="0005512A" w:rsidRPr="002B2CFC" w:rsidRDefault="0005512A" w:rsidP="0005512A">
            <w:pPr>
              <w:spacing w:before="120" w:after="120"/>
              <w:jc w:val="center"/>
              <w:rPr>
                <w:sz w:val="20"/>
                <w:szCs w:val="24"/>
              </w:rPr>
            </w:pPr>
            <w:r w:rsidRPr="002B2CFC">
              <w:rPr>
                <w:sz w:val="20"/>
                <w:szCs w:val="24"/>
              </w:rPr>
              <w:t>1.2*</w:t>
            </w:r>
          </w:p>
        </w:tc>
        <w:tc>
          <w:tcPr>
            <w:tcW w:w="850" w:type="dxa"/>
            <w:tcBorders>
              <w:bottom w:val="single" w:sz="12" w:space="0" w:color="auto"/>
            </w:tcBorders>
            <w:shd w:val="clear" w:color="auto" w:fill="F2F2F2" w:themeFill="background1" w:themeFillShade="F2"/>
            <w:vAlign w:val="center"/>
          </w:tcPr>
          <w:p w14:paraId="6938398C" w14:textId="77777777" w:rsidR="0005512A" w:rsidRPr="002B2CFC" w:rsidRDefault="0005512A" w:rsidP="0005512A">
            <w:pPr>
              <w:spacing w:before="120" w:after="120"/>
              <w:jc w:val="center"/>
              <w:rPr>
                <w:sz w:val="20"/>
                <w:szCs w:val="24"/>
              </w:rPr>
            </w:pPr>
            <w:r w:rsidRPr="002B2CFC">
              <w:rPr>
                <w:sz w:val="20"/>
                <w:szCs w:val="24"/>
              </w:rPr>
              <w:t>1.3**</w:t>
            </w:r>
          </w:p>
        </w:tc>
      </w:tr>
      <w:tr w:rsidR="0005512A" w:rsidRPr="002B2CFC" w14:paraId="5A1E1D4E" w14:textId="77777777" w:rsidTr="0005512A">
        <w:tc>
          <w:tcPr>
            <w:tcW w:w="1418" w:type="dxa"/>
            <w:tcBorders>
              <w:top w:val="single" w:sz="12" w:space="0" w:color="auto"/>
            </w:tcBorders>
            <w:shd w:val="clear" w:color="auto" w:fill="D9D9D9" w:themeFill="background1" w:themeFillShade="D9"/>
            <w:vAlign w:val="center"/>
          </w:tcPr>
          <w:p w14:paraId="27986AD9" w14:textId="77777777" w:rsidR="0005512A" w:rsidRPr="002B2CFC" w:rsidRDefault="0005512A" w:rsidP="0005512A">
            <w:pPr>
              <w:spacing w:before="120" w:after="120"/>
              <w:jc w:val="center"/>
              <w:rPr>
                <w:sz w:val="20"/>
                <w:szCs w:val="24"/>
              </w:rPr>
            </w:pPr>
            <w:r w:rsidRPr="002B2CFC">
              <w:rPr>
                <w:sz w:val="20"/>
                <w:szCs w:val="24"/>
              </w:rPr>
              <w:t>0 to 21</w:t>
            </w:r>
          </w:p>
        </w:tc>
        <w:tc>
          <w:tcPr>
            <w:tcW w:w="567" w:type="dxa"/>
            <w:tcBorders>
              <w:top w:val="single" w:sz="12" w:space="0" w:color="auto"/>
            </w:tcBorders>
            <w:vAlign w:val="center"/>
          </w:tcPr>
          <w:p w14:paraId="1D47D848" w14:textId="77777777" w:rsidR="0005512A" w:rsidRPr="002B2CFC" w:rsidRDefault="0005512A" w:rsidP="0005512A">
            <w:pPr>
              <w:spacing w:before="120" w:after="120"/>
              <w:jc w:val="center"/>
              <w:rPr>
                <w:sz w:val="20"/>
                <w:szCs w:val="24"/>
              </w:rPr>
            </w:pPr>
            <w:r w:rsidRPr="002B2CFC">
              <w:rPr>
                <w:sz w:val="20"/>
                <w:szCs w:val="24"/>
              </w:rPr>
              <w:t>1.6</w:t>
            </w:r>
          </w:p>
        </w:tc>
        <w:tc>
          <w:tcPr>
            <w:tcW w:w="708" w:type="dxa"/>
            <w:tcBorders>
              <w:top w:val="single" w:sz="12" w:space="0" w:color="auto"/>
            </w:tcBorders>
            <w:vAlign w:val="center"/>
          </w:tcPr>
          <w:p w14:paraId="684106A3" w14:textId="77777777" w:rsidR="0005512A" w:rsidRPr="002B2CFC" w:rsidRDefault="0005512A" w:rsidP="0005512A">
            <w:pPr>
              <w:spacing w:before="120" w:after="120"/>
              <w:jc w:val="center"/>
              <w:rPr>
                <w:sz w:val="20"/>
                <w:szCs w:val="24"/>
              </w:rPr>
            </w:pPr>
            <w:r w:rsidRPr="002B2CFC">
              <w:rPr>
                <w:sz w:val="20"/>
                <w:szCs w:val="24"/>
              </w:rPr>
              <w:t>1.5</w:t>
            </w:r>
          </w:p>
        </w:tc>
        <w:tc>
          <w:tcPr>
            <w:tcW w:w="709" w:type="dxa"/>
            <w:tcBorders>
              <w:top w:val="single" w:sz="12" w:space="0" w:color="auto"/>
            </w:tcBorders>
            <w:vAlign w:val="center"/>
          </w:tcPr>
          <w:p w14:paraId="21A89C2B" w14:textId="77777777" w:rsidR="0005512A" w:rsidRPr="002B2CFC" w:rsidRDefault="0005512A" w:rsidP="0005512A">
            <w:pPr>
              <w:spacing w:before="120" w:after="120"/>
              <w:jc w:val="center"/>
              <w:rPr>
                <w:sz w:val="20"/>
                <w:szCs w:val="24"/>
              </w:rPr>
            </w:pPr>
            <w:r w:rsidRPr="002B2CFC">
              <w:rPr>
                <w:sz w:val="20"/>
                <w:szCs w:val="24"/>
              </w:rPr>
              <w:t>1.0##</w:t>
            </w:r>
          </w:p>
        </w:tc>
        <w:tc>
          <w:tcPr>
            <w:tcW w:w="709" w:type="dxa"/>
            <w:tcBorders>
              <w:top w:val="single" w:sz="12" w:space="0" w:color="auto"/>
            </w:tcBorders>
            <w:vAlign w:val="center"/>
          </w:tcPr>
          <w:p w14:paraId="5C7BE840" w14:textId="77777777" w:rsidR="0005512A" w:rsidRPr="002B2CFC" w:rsidRDefault="0005512A" w:rsidP="0005512A">
            <w:pPr>
              <w:spacing w:before="120" w:after="120"/>
              <w:jc w:val="center"/>
              <w:rPr>
                <w:sz w:val="20"/>
                <w:szCs w:val="24"/>
              </w:rPr>
            </w:pPr>
            <w:r w:rsidRPr="002B2CFC">
              <w:rPr>
                <w:sz w:val="20"/>
                <w:szCs w:val="24"/>
              </w:rPr>
              <w:t>0.9##</w:t>
            </w:r>
          </w:p>
        </w:tc>
        <w:tc>
          <w:tcPr>
            <w:tcW w:w="850" w:type="dxa"/>
            <w:tcBorders>
              <w:top w:val="single" w:sz="12" w:space="0" w:color="auto"/>
              <w:right w:val="single" w:sz="12" w:space="0" w:color="auto"/>
            </w:tcBorders>
            <w:shd w:val="clear" w:color="auto" w:fill="F2F2F2" w:themeFill="background1" w:themeFillShade="F2"/>
            <w:vAlign w:val="center"/>
          </w:tcPr>
          <w:p w14:paraId="1889B5CB" w14:textId="77777777" w:rsidR="0005512A" w:rsidRPr="002B2CFC" w:rsidRDefault="0005512A" w:rsidP="0005512A">
            <w:pPr>
              <w:spacing w:before="120" w:after="120"/>
              <w:jc w:val="center"/>
              <w:rPr>
                <w:sz w:val="20"/>
                <w:szCs w:val="24"/>
              </w:rPr>
            </w:pPr>
            <w:r w:rsidRPr="002B2CFC">
              <w:rPr>
                <w:sz w:val="20"/>
                <w:szCs w:val="24"/>
              </w:rPr>
              <w:t>1.8</w:t>
            </w:r>
          </w:p>
        </w:tc>
        <w:tc>
          <w:tcPr>
            <w:tcW w:w="709" w:type="dxa"/>
            <w:tcBorders>
              <w:top w:val="single" w:sz="12" w:space="0" w:color="auto"/>
              <w:left w:val="single" w:sz="12" w:space="0" w:color="auto"/>
            </w:tcBorders>
            <w:vAlign w:val="center"/>
          </w:tcPr>
          <w:p w14:paraId="760FFEB7" w14:textId="77777777" w:rsidR="0005512A" w:rsidRPr="002B2CFC" w:rsidRDefault="0005512A" w:rsidP="0005512A">
            <w:pPr>
              <w:spacing w:before="120" w:after="120"/>
              <w:jc w:val="center"/>
              <w:rPr>
                <w:sz w:val="20"/>
                <w:szCs w:val="24"/>
              </w:rPr>
            </w:pPr>
            <w:r w:rsidRPr="002B2CFC">
              <w:rPr>
                <w:sz w:val="20"/>
                <w:szCs w:val="24"/>
              </w:rPr>
              <w:t>2.5</w:t>
            </w:r>
          </w:p>
        </w:tc>
        <w:tc>
          <w:tcPr>
            <w:tcW w:w="709" w:type="dxa"/>
            <w:tcBorders>
              <w:top w:val="single" w:sz="12" w:space="0" w:color="auto"/>
            </w:tcBorders>
            <w:vAlign w:val="center"/>
          </w:tcPr>
          <w:p w14:paraId="5EABA7BE" w14:textId="77777777" w:rsidR="0005512A" w:rsidRPr="002B2CFC" w:rsidRDefault="0005512A" w:rsidP="0005512A">
            <w:pPr>
              <w:spacing w:before="120" w:after="120"/>
              <w:jc w:val="center"/>
              <w:rPr>
                <w:sz w:val="20"/>
                <w:szCs w:val="24"/>
              </w:rPr>
            </w:pPr>
            <w:r w:rsidRPr="002B2CFC">
              <w:rPr>
                <w:sz w:val="20"/>
                <w:szCs w:val="24"/>
              </w:rPr>
              <w:t>1.8</w:t>
            </w:r>
          </w:p>
        </w:tc>
        <w:tc>
          <w:tcPr>
            <w:tcW w:w="709" w:type="dxa"/>
            <w:tcBorders>
              <w:top w:val="single" w:sz="12" w:space="0" w:color="auto"/>
            </w:tcBorders>
            <w:vAlign w:val="center"/>
          </w:tcPr>
          <w:p w14:paraId="7A4F0833" w14:textId="77777777" w:rsidR="0005512A" w:rsidRPr="002B2CFC" w:rsidRDefault="0005512A" w:rsidP="0005512A">
            <w:pPr>
              <w:spacing w:before="120" w:after="120"/>
              <w:jc w:val="center"/>
              <w:rPr>
                <w:sz w:val="20"/>
                <w:szCs w:val="24"/>
              </w:rPr>
            </w:pPr>
            <w:r w:rsidRPr="002B2CFC">
              <w:rPr>
                <w:sz w:val="20"/>
                <w:szCs w:val="24"/>
              </w:rPr>
              <w:t>1.4*</w:t>
            </w:r>
          </w:p>
        </w:tc>
        <w:tc>
          <w:tcPr>
            <w:tcW w:w="850" w:type="dxa"/>
            <w:tcBorders>
              <w:top w:val="single" w:sz="12" w:space="0" w:color="auto"/>
            </w:tcBorders>
            <w:shd w:val="clear" w:color="auto" w:fill="F2F2F2" w:themeFill="background1" w:themeFillShade="F2"/>
            <w:vAlign w:val="center"/>
          </w:tcPr>
          <w:p w14:paraId="44FA871C" w14:textId="77777777" w:rsidR="0005512A" w:rsidRPr="002B2CFC" w:rsidRDefault="0005512A" w:rsidP="0005512A">
            <w:pPr>
              <w:spacing w:before="120" w:after="120"/>
              <w:jc w:val="center"/>
              <w:rPr>
                <w:sz w:val="20"/>
                <w:szCs w:val="24"/>
              </w:rPr>
            </w:pPr>
            <w:r w:rsidRPr="002B2CFC">
              <w:rPr>
                <w:sz w:val="20"/>
                <w:szCs w:val="24"/>
              </w:rPr>
              <w:t>1.4#</w:t>
            </w:r>
          </w:p>
        </w:tc>
      </w:tr>
    </w:tbl>
    <w:p w14:paraId="505714E6" w14:textId="77777777" w:rsidR="0005512A" w:rsidRPr="002B2CFC" w:rsidRDefault="0005512A" w:rsidP="0005512A">
      <w:pPr>
        <w:rPr>
          <w:sz w:val="20"/>
          <w:szCs w:val="24"/>
        </w:rPr>
      </w:pPr>
      <w:r w:rsidRPr="002B2CFC">
        <w:rPr>
          <w:sz w:val="20"/>
          <w:szCs w:val="24"/>
        </w:rPr>
        <w:t>For statistical analyses, control group 1was compared to groups 2,</w:t>
      </w:r>
      <w:r>
        <w:rPr>
          <w:sz w:val="20"/>
          <w:szCs w:val="24"/>
        </w:rPr>
        <w:t xml:space="preserve"> </w:t>
      </w:r>
      <w:r w:rsidRPr="002B2CFC">
        <w:rPr>
          <w:sz w:val="20"/>
          <w:szCs w:val="24"/>
        </w:rPr>
        <w:t xml:space="preserve">3 and 4; control group 1 was compared to positive control group 5. Control group 6 was compared to groups 7 and 8; control group 6 was compared to positive control group 9. </w:t>
      </w:r>
    </w:p>
    <w:p w14:paraId="37C9940C" w14:textId="77777777" w:rsidR="0005512A" w:rsidRPr="002B2CFC" w:rsidRDefault="0005512A" w:rsidP="0005512A">
      <w:pPr>
        <w:rPr>
          <w:sz w:val="20"/>
          <w:szCs w:val="24"/>
        </w:rPr>
      </w:pPr>
      <w:r w:rsidRPr="002B2CFC">
        <w:rPr>
          <w:sz w:val="20"/>
          <w:szCs w:val="24"/>
        </w:rPr>
        <w:t>Groups 1-4 and 6-8 were treated on days 0, 7 and 14. Groups 5 and 9 (MPTP) were only dosed on day 14.</w:t>
      </w:r>
    </w:p>
    <w:p w14:paraId="4B4157B1" w14:textId="77777777" w:rsidR="0005512A" w:rsidRPr="002B2CFC" w:rsidRDefault="0005512A" w:rsidP="0005512A">
      <w:pPr>
        <w:rPr>
          <w:sz w:val="20"/>
          <w:szCs w:val="24"/>
        </w:rPr>
      </w:pPr>
      <w:r w:rsidRPr="002B2CFC">
        <w:rPr>
          <w:sz w:val="20"/>
          <w:szCs w:val="24"/>
        </w:rPr>
        <w:t>* Statistically significantly different from vehicle control group at 0.01 (Dunnett’s test)</w:t>
      </w:r>
    </w:p>
    <w:p w14:paraId="24CDF825" w14:textId="77777777" w:rsidR="0005512A" w:rsidRPr="002B2CFC" w:rsidRDefault="0005512A" w:rsidP="0005512A">
      <w:pPr>
        <w:rPr>
          <w:sz w:val="20"/>
          <w:szCs w:val="24"/>
        </w:rPr>
      </w:pPr>
      <w:r w:rsidRPr="002B2CFC">
        <w:rPr>
          <w:sz w:val="20"/>
          <w:szCs w:val="24"/>
        </w:rPr>
        <w:t># Statistically significantly different from vehicle control group at 0.01 ( two-sample t-test)</w:t>
      </w:r>
    </w:p>
    <w:p w14:paraId="0CB56AED" w14:textId="77777777" w:rsidR="0005512A" w:rsidRPr="002B2CFC" w:rsidRDefault="0005512A" w:rsidP="0005512A">
      <w:pPr>
        <w:rPr>
          <w:sz w:val="20"/>
          <w:szCs w:val="24"/>
        </w:rPr>
      </w:pPr>
      <w:r w:rsidRPr="002B2CFC">
        <w:rPr>
          <w:sz w:val="20"/>
          <w:szCs w:val="24"/>
        </w:rPr>
        <w:t>** Statistically significantly different from vehicle control group at 0.05 (two-sample t-test)</w:t>
      </w:r>
    </w:p>
    <w:p w14:paraId="26D3C484" w14:textId="77777777" w:rsidR="0005512A" w:rsidRDefault="0005512A" w:rsidP="0005512A">
      <w:pPr>
        <w:rPr>
          <w:sz w:val="20"/>
          <w:szCs w:val="24"/>
        </w:rPr>
      </w:pPr>
      <w:r w:rsidRPr="002B2CFC">
        <w:rPr>
          <w:sz w:val="20"/>
          <w:szCs w:val="24"/>
        </w:rPr>
        <w:t>## Statistically significantly different from vehicle control group at 0.05 (Dunnett’s test)</w:t>
      </w:r>
    </w:p>
    <w:p w14:paraId="2526BB32" w14:textId="77777777" w:rsidR="0005512A" w:rsidRPr="002B2CFC" w:rsidRDefault="0005512A" w:rsidP="0005512A">
      <w:pPr>
        <w:rPr>
          <w:sz w:val="20"/>
          <w:szCs w:val="24"/>
        </w:rPr>
      </w:pPr>
    </w:p>
    <w:p w14:paraId="59E82C54" w14:textId="03D5A992" w:rsidR="00436573" w:rsidRDefault="0005512A" w:rsidP="00C34954">
      <w:pPr>
        <w:rPr>
          <w:szCs w:val="24"/>
        </w:rPr>
      </w:pPr>
      <w:r w:rsidRPr="002B2CFC">
        <w:rPr>
          <w:szCs w:val="24"/>
        </w:rPr>
        <w:t xml:space="preserve">Body weight of positive control mice fluctuated  prior to the day of dosing (study day 14). Following dosing, both groups </w:t>
      </w:r>
      <w:r>
        <w:rPr>
          <w:szCs w:val="24"/>
        </w:rPr>
        <w:t xml:space="preserve">lost </w:t>
      </w:r>
      <w:r w:rsidRPr="002B2CFC">
        <w:rPr>
          <w:szCs w:val="24"/>
        </w:rPr>
        <w:t xml:space="preserve">body weight until the day of sacrifice (up to -8.3% on day 15), however this was only statistically significantly reduced for the first day or two. The overall body weight change (day 0-21) was statistically significantly reduced for one of the groups (group 9) only, however absolute body weight at day 21 was only slightly reduced and not statistically significantly different from control groups (-0.4% and -4%) </w:t>
      </w:r>
      <w:r w:rsidRPr="006E0A02">
        <w:rPr>
          <w:szCs w:val="24"/>
        </w:rPr>
        <w:t>(</w:t>
      </w:r>
      <w:r w:rsidR="00F07346">
        <w:fldChar w:fldCharType="begin"/>
      </w:r>
      <w:r w:rsidR="00F07346">
        <w:instrText xml:space="preserve"> REF _Ref413062001 \h  \* MERGEFORMAT </w:instrText>
      </w:r>
      <w:r w:rsidR="00F07346">
        <w:fldChar w:fldCharType="separate"/>
      </w:r>
      <w:r w:rsidR="000E54B2" w:rsidRPr="000E54B2">
        <w:rPr>
          <w:bCs/>
          <w:szCs w:val="24"/>
        </w:rPr>
        <w:t xml:space="preserve">Table </w:t>
      </w:r>
      <w:r w:rsidR="000E54B2" w:rsidRPr="000E54B2">
        <w:rPr>
          <w:bCs/>
          <w:noProof/>
          <w:szCs w:val="24"/>
        </w:rPr>
        <w:t>18</w:t>
      </w:r>
      <w:r w:rsidR="00F07346">
        <w:fldChar w:fldCharType="end"/>
      </w:r>
      <w:r w:rsidR="00714492">
        <w:t xml:space="preserve"> </w:t>
      </w:r>
      <w:r w:rsidR="003A31EB">
        <w:fldChar w:fldCharType="begin"/>
      </w:r>
      <w:r w:rsidR="003A31EB">
        <w:instrText xml:space="preserve"> REF _Ref459037591 \p </w:instrText>
      </w:r>
      <w:r w:rsidR="003A31EB">
        <w:fldChar w:fldCharType="separate"/>
      </w:r>
      <w:r w:rsidR="000E54B2">
        <w:t>above</w:t>
      </w:r>
      <w:r w:rsidR="003A31EB">
        <w:fldChar w:fldCharType="end"/>
      </w:r>
      <w:r w:rsidRPr="002B2CFC">
        <w:rPr>
          <w:szCs w:val="24"/>
        </w:rPr>
        <w:t>).</w:t>
      </w:r>
    </w:p>
    <w:p w14:paraId="3AF97113" w14:textId="7BFAB87C" w:rsidR="0005512A" w:rsidRDefault="0005512A" w:rsidP="00E439AD">
      <w:pPr>
        <w:rPr>
          <w:szCs w:val="24"/>
        </w:rPr>
      </w:pPr>
      <w:r w:rsidRPr="002B2CFC">
        <w:rPr>
          <w:szCs w:val="24"/>
        </w:rPr>
        <w:t>Food consumption for mice treated with 10 or 15 mg/kg bw/dose were similar to control animals (</w:t>
      </w:r>
      <w:r w:rsidR="00F07346">
        <w:fldChar w:fldCharType="begin"/>
      </w:r>
      <w:r w:rsidR="00F07346">
        <w:instrText xml:space="preserve"> REF _Ref410218860 \h  \* MERGEFORMAT </w:instrText>
      </w:r>
      <w:r w:rsidR="00F07346">
        <w:fldChar w:fldCharType="separate"/>
      </w:r>
      <w:r w:rsidR="000E54B2" w:rsidRPr="000E54B2">
        <w:rPr>
          <w:szCs w:val="24"/>
        </w:rPr>
        <w:t xml:space="preserve">Table </w:t>
      </w:r>
      <w:r w:rsidR="000E54B2" w:rsidRPr="000E54B2">
        <w:rPr>
          <w:noProof/>
          <w:szCs w:val="24"/>
        </w:rPr>
        <w:t>19</w:t>
      </w:r>
      <w:r w:rsidR="00F07346">
        <w:fldChar w:fldCharType="end"/>
      </w:r>
      <w:r w:rsidR="00714492">
        <w:t xml:space="preserve"> </w:t>
      </w:r>
      <w:r w:rsidR="003A31EB">
        <w:fldChar w:fldCharType="begin"/>
      </w:r>
      <w:r w:rsidR="003A31EB">
        <w:instrText xml:space="preserve"> REF _Ref459037606 \p </w:instrText>
      </w:r>
      <w:r w:rsidR="003A31EB">
        <w:fldChar w:fldCharType="separate"/>
      </w:r>
      <w:r w:rsidR="000E54B2">
        <w:t>below</w:t>
      </w:r>
      <w:r w:rsidR="003A31EB">
        <w:fldChar w:fldCharType="end"/>
      </w:r>
      <w:r w:rsidRPr="002B2CFC">
        <w:rPr>
          <w:szCs w:val="24"/>
        </w:rPr>
        <w:t xml:space="preserve">). At 25 mg/kg bw/dose, food consumption was statistically significantly reduced following the first and second doses (group 4) or for the first dose only (group 8). This mirrors the findings in mean body weight losses. </w:t>
      </w:r>
      <w:r>
        <w:rPr>
          <w:szCs w:val="24"/>
        </w:rPr>
        <w:t>Overall intake for the entire treatment period was</w:t>
      </w:r>
      <w:r w:rsidRPr="002B2CFC">
        <w:rPr>
          <w:szCs w:val="24"/>
        </w:rPr>
        <w:t xml:space="preserve"> similar to control values. Positive control groups showed a statistically</w:t>
      </w:r>
      <w:r>
        <w:rPr>
          <w:szCs w:val="24"/>
        </w:rPr>
        <w:t xml:space="preserve"> </w:t>
      </w:r>
      <w:r>
        <w:rPr>
          <w:szCs w:val="24"/>
        </w:rPr>
        <w:lastRenderedPageBreak/>
        <w:t>significantly</w:t>
      </w:r>
      <w:r w:rsidRPr="002B2CFC">
        <w:rPr>
          <w:szCs w:val="24"/>
        </w:rPr>
        <w:t xml:space="preserve"> lower mean food consumption following treatment, corresponding to body weight loss for this period. The overall food consumption was similar to controls. A treatment-related effect on food consumption was noted at 25 mg/kg</w:t>
      </w:r>
      <w:r>
        <w:rPr>
          <w:szCs w:val="24"/>
        </w:rPr>
        <w:t>.0</w:t>
      </w:r>
      <w:r w:rsidRPr="002B2CFC">
        <w:rPr>
          <w:szCs w:val="24"/>
        </w:rPr>
        <w:t xml:space="preserve"> bw/dose paraquat and 10 mg/kg bw/dose MPTP.</w:t>
      </w:r>
    </w:p>
    <w:p w14:paraId="0E73C896" w14:textId="77777777" w:rsidR="005A10DF" w:rsidRPr="002B2CFC" w:rsidRDefault="005A10DF" w:rsidP="00E439AD">
      <w:pPr>
        <w:rPr>
          <w:szCs w:val="24"/>
        </w:rPr>
      </w:pPr>
    </w:p>
    <w:p w14:paraId="0AE2DE70" w14:textId="77777777" w:rsidR="0005512A" w:rsidRPr="00C111A1" w:rsidRDefault="0005512A" w:rsidP="00E439AD">
      <w:pPr>
        <w:spacing w:after="120"/>
        <w:rPr>
          <w:b/>
          <w:sz w:val="20"/>
        </w:rPr>
      </w:pPr>
      <w:bookmarkStart w:id="97" w:name="_Ref410218860"/>
      <w:bookmarkStart w:id="98" w:name="_Ref459037606"/>
      <w:r w:rsidRPr="00C111A1">
        <w:rPr>
          <w:b/>
          <w:sz w:val="20"/>
        </w:rPr>
        <w:t xml:space="preserve">Table </w:t>
      </w:r>
      <w:r w:rsidR="00897462" w:rsidRPr="00C111A1">
        <w:rPr>
          <w:b/>
          <w:sz w:val="20"/>
        </w:rPr>
        <w:fldChar w:fldCharType="begin"/>
      </w:r>
      <w:r w:rsidRPr="00C111A1">
        <w:rPr>
          <w:b/>
          <w:sz w:val="20"/>
        </w:rPr>
        <w:instrText xml:space="preserve"> SEQ Table \* ARABIC </w:instrText>
      </w:r>
      <w:r w:rsidR="00897462" w:rsidRPr="00C111A1">
        <w:rPr>
          <w:b/>
          <w:sz w:val="20"/>
        </w:rPr>
        <w:fldChar w:fldCharType="separate"/>
      </w:r>
      <w:r w:rsidR="000E54B2">
        <w:rPr>
          <w:b/>
          <w:noProof/>
          <w:sz w:val="20"/>
        </w:rPr>
        <w:t>19</w:t>
      </w:r>
      <w:r w:rsidR="00897462" w:rsidRPr="00C111A1">
        <w:rPr>
          <w:b/>
          <w:sz w:val="20"/>
        </w:rPr>
        <w:fldChar w:fldCharType="end"/>
      </w:r>
      <w:bookmarkEnd w:id="97"/>
      <w:r w:rsidRPr="00C111A1">
        <w:rPr>
          <w:b/>
          <w:sz w:val="20"/>
        </w:rPr>
        <w:t>. Mean food consumption (g/animal/day)</w:t>
      </w:r>
      <w:bookmarkEnd w:id="98"/>
    </w:p>
    <w:tbl>
      <w:tblPr>
        <w:tblStyle w:val="TableGrid2"/>
        <w:tblW w:w="0" w:type="auto"/>
        <w:tblInd w:w="250" w:type="dxa"/>
        <w:tblLayout w:type="fixed"/>
        <w:tblLook w:val="04A0" w:firstRow="1" w:lastRow="0" w:firstColumn="1" w:lastColumn="0" w:noHBand="0" w:noVBand="1"/>
      </w:tblPr>
      <w:tblGrid>
        <w:gridCol w:w="1418"/>
        <w:gridCol w:w="567"/>
        <w:gridCol w:w="708"/>
        <w:gridCol w:w="709"/>
        <w:gridCol w:w="709"/>
        <w:gridCol w:w="850"/>
        <w:gridCol w:w="709"/>
        <w:gridCol w:w="709"/>
        <w:gridCol w:w="709"/>
        <w:gridCol w:w="850"/>
      </w:tblGrid>
      <w:tr w:rsidR="0005512A" w:rsidRPr="00A52AE9" w14:paraId="33DC905C" w14:textId="77777777" w:rsidTr="0005512A">
        <w:tc>
          <w:tcPr>
            <w:tcW w:w="1418" w:type="dxa"/>
            <w:shd w:val="clear" w:color="auto" w:fill="D9D9D9" w:themeFill="background1" w:themeFillShade="D9"/>
            <w:vAlign w:val="center"/>
          </w:tcPr>
          <w:p w14:paraId="3C7C2E27" w14:textId="77777777" w:rsidR="0005512A" w:rsidRPr="002B2CFC" w:rsidRDefault="0005512A" w:rsidP="0005512A">
            <w:pPr>
              <w:spacing w:before="120" w:after="120"/>
              <w:jc w:val="center"/>
              <w:rPr>
                <w:b/>
                <w:sz w:val="20"/>
                <w:szCs w:val="24"/>
              </w:rPr>
            </w:pPr>
            <w:r w:rsidRPr="002B2CFC">
              <w:rPr>
                <w:b/>
                <w:sz w:val="20"/>
                <w:szCs w:val="24"/>
              </w:rPr>
              <w:t>Mean food consumption (g/animal/d)</w:t>
            </w:r>
          </w:p>
        </w:tc>
        <w:tc>
          <w:tcPr>
            <w:tcW w:w="6520" w:type="dxa"/>
            <w:gridSpan w:val="9"/>
            <w:shd w:val="clear" w:color="auto" w:fill="D9D9D9" w:themeFill="background1" w:themeFillShade="D9"/>
            <w:vAlign w:val="center"/>
          </w:tcPr>
          <w:p w14:paraId="0303623E" w14:textId="77777777" w:rsidR="0005512A" w:rsidRPr="006A42B1" w:rsidRDefault="0005512A" w:rsidP="0005512A">
            <w:pPr>
              <w:spacing w:before="120" w:after="120"/>
              <w:jc w:val="center"/>
              <w:rPr>
                <w:b/>
                <w:sz w:val="20"/>
                <w:szCs w:val="24"/>
                <w:lang w:val="de-DE"/>
              </w:rPr>
            </w:pPr>
            <w:r w:rsidRPr="006A42B1">
              <w:rPr>
                <w:b/>
                <w:sz w:val="20"/>
                <w:szCs w:val="24"/>
                <w:lang w:val="de-DE"/>
              </w:rPr>
              <w:t>Dose (mg/kg bw/dose)</w:t>
            </w:r>
          </w:p>
        </w:tc>
      </w:tr>
      <w:tr w:rsidR="0005512A" w:rsidRPr="002B2CFC" w14:paraId="44731AF1" w14:textId="77777777" w:rsidTr="0005512A">
        <w:tc>
          <w:tcPr>
            <w:tcW w:w="1418" w:type="dxa"/>
            <w:tcBorders>
              <w:bottom w:val="single" w:sz="4" w:space="0" w:color="auto"/>
            </w:tcBorders>
            <w:shd w:val="clear" w:color="auto" w:fill="D9D9D9" w:themeFill="background1" w:themeFillShade="D9"/>
            <w:vAlign w:val="center"/>
          </w:tcPr>
          <w:p w14:paraId="2F9AD6DE" w14:textId="77777777" w:rsidR="0005512A" w:rsidRPr="002B2CFC" w:rsidRDefault="0005512A" w:rsidP="0005512A">
            <w:pPr>
              <w:spacing w:before="120" w:after="120"/>
              <w:jc w:val="center"/>
              <w:rPr>
                <w:b/>
                <w:sz w:val="20"/>
                <w:szCs w:val="24"/>
              </w:rPr>
            </w:pPr>
            <w:r w:rsidRPr="002B2CFC">
              <w:rPr>
                <w:b/>
                <w:sz w:val="20"/>
                <w:szCs w:val="24"/>
              </w:rPr>
              <w:t>Group</w:t>
            </w:r>
          </w:p>
        </w:tc>
        <w:tc>
          <w:tcPr>
            <w:tcW w:w="567" w:type="dxa"/>
            <w:tcBorders>
              <w:bottom w:val="single" w:sz="4" w:space="0" w:color="auto"/>
            </w:tcBorders>
            <w:shd w:val="clear" w:color="auto" w:fill="D9D9D9" w:themeFill="background1" w:themeFillShade="D9"/>
            <w:vAlign w:val="center"/>
          </w:tcPr>
          <w:p w14:paraId="6231CB07" w14:textId="77777777" w:rsidR="0005512A" w:rsidRPr="002B2CFC" w:rsidRDefault="0005512A" w:rsidP="0005512A">
            <w:pPr>
              <w:spacing w:before="120" w:after="120"/>
              <w:jc w:val="center"/>
              <w:rPr>
                <w:b/>
                <w:sz w:val="20"/>
                <w:szCs w:val="24"/>
              </w:rPr>
            </w:pPr>
            <w:r w:rsidRPr="002B2CFC">
              <w:rPr>
                <w:b/>
                <w:sz w:val="20"/>
                <w:szCs w:val="24"/>
              </w:rPr>
              <w:t>1</w:t>
            </w:r>
          </w:p>
        </w:tc>
        <w:tc>
          <w:tcPr>
            <w:tcW w:w="708" w:type="dxa"/>
            <w:tcBorders>
              <w:bottom w:val="single" w:sz="4" w:space="0" w:color="auto"/>
            </w:tcBorders>
            <w:shd w:val="clear" w:color="auto" w:fill="D9D9D9" w:themeFill="background1" w:themeFillShade="D9"/>
            <w:vAlign w:val="center"/>
          </w:tcPr>
          <w:p w14:paraId="2B46B737" w14:textId="77777777" w:rsidR="0005512A" w:rsidRPr="002B2CFC" w:rsidRDefault="0005512A" w:rsidP="0005512A">
            <w:pPr>
              <w:spacing w:before="120" w:after="120"/>
              <w:jc w:val="center"/>
              <w:rPr>
                <w:b/>
                <w:sz w:val="20"/>
                <w:szCs w:val="24"/>
              </w:rPr>
            </w:pPr>
            <w:r w:rsidRPr="002B2CFC">
              <w:rPr>
                <w:b/>
                <w:sz w:val="20"/>
                <w:szCs w:val="24"/>
              </w:rPr>
              <w:t>2</w:t>
            </w:r>
          </w:p>
        </w:tc>
        <w:tc>
          <w:tcPr>
            <w:tcW w:w="709" w:type="dxa"/>
            <w:tcBorders>
              <w:bottom w:val="single" w:sz="4" w:space="0" w:color="auto"/>
            </w:tcBorders>
            <w:shd w:val="clear" w:color="auto" w:fill="D9D9D9" w:themeFill="background1" w:themeFillShade="D9"/>
            <w:vAlign w:val="center"/>
          </w:tcPr>
          <w:p w14:paraId="52EF937E" w14:textId="77777777" w:rsidR="0005512A" w:rsidRPr="002B2CFC" w:rsidRDefault="0005512A" w:rsidP="0005512A">
            <w:pPr>
              <w:spacing w:before="120" w:after="120"/>
              <w:jc w:val="center"/>
              <w:rPr>
                <w:b/>
                <w:sz w:val="20"/>
                <w:szCs w:val="24"/>
              </w:rPr>
            </w:pPr>
            <w:r w:rsidRPr="002B2CFC">
              <w:rPr>
                <w:b/>
                <w:sz w:val="20"/>
                <w:szCs w:val="24"/>
              </w:rPr>
              <w:t>3</w:t>
            </w:r>
          </w:p>
        </w:tc>
        <w:tc>
          <w:tcPr>
            <w:tcW w:w="709" w:type="dxa"/>
            <w:tcBorders>
              <w:bottom w:val="single" w:sz="4" w:space="0" w:color="auto"/>
            </w:tcBorders>
            <w:shd w:val="clear" w:color="auto" w:fill="D9D9D9" w:themeFill="background1" w:themeFillShade="D9"/>
            <w:vAlign w:val="center"/>
          </w:tcPr>
          <w:p w14:paraId="4BFA32CC" w14:textId="77777777" w:rsidR="0005512A" w:rsidRPr="002B2CFC" w:rsidRDefault="0005512A" w:rsidP="0005512A">
            <w:pPr>
              <w:spacing w:before="120" w:after="120"/>
              <w:jc w:val="center"/>
              <w:rPr>
                <w:b/>
                <w:sz w:val="20"/>
                <w:szCs w:val="24"/>
              </w:rPr>
            </w:pPr>
            <w:r w:rsidRPr="002B2CFC">
              <w:rPr>
                <w:b/>
                <w:sz w:val="20"/>
                <w:szCs w:val="24"/>
              </w:rPr>
              <w:t>4</w:t>
            </w:r>
          </w:p>
        </w:tc>
        <w:tc>
          <w:tcPr>
            <w:tcW w:w="850" w:type="dxa"/>
            <w:tcBorders>
              <w:bottom w:val="single" w:sz="4" w:space="0" w:color="auto"/>
              <w:right w:val="single" w:sz="12" w:space="0" w:color="auto"/>
            </w:tcBorders>
            <w:shd w:val="clear" w:color="auto" w:fill="D9D9D9" w:themeFill="background1" w:themeFillShade="D9"/>
            <w:vAlign w:val="center"/>
          </w:tcPr>
          <w:p w14:paraId="587B96C5" w14:textId="77777777" w:rsidR="0005512A" w:rsidRPr="002B2CFC" w:rsidRDefault="0005512A" w:rsidP="0005512A">
            <w:pPr>
              <w:spacing w:before="120" w:after="120"/>
              <w:jc w:val="center"/>
              <w:rPr>
                <w:b/>
                <w:sz w:val="20"/>
                <w:szCs w:val="24"/>
              </w:rPr>
            </w:pPr>
            <w:r w:rsidRPr="002B2CFC">
              <w:rPr>
                <w:b/>
                <w:sz w:val="20"/>
                <w:szCs w:val="24"/>
              </w:rPr>
              <w:t>5</w:t>
            </w:r>
          </w:p>
        </w:tc>
        <w:tc>
          <w:tcPr>
            <w:tcW w:w="709" w:type="dxa"/>
            <w:tcBorders>
              <w:left w:val="single" w:sz="12" w:space="0" w:color="auto"/>
              <w:bottom w:val="single" w:sz="4" w:space="0" w:color="auto"/>
            </w:tcBorders>
            <w:shd w:val="clear" w:color="auto" w:fill="D9D9D9" w:themeFill="background1" w:themeFillShade="D9"/>
            <w:vAlign w:val="center"/>
          </w:tcPr>
          <w:p w14:paraId="1853FB88" w14:textId="77777777" w:rsidR="0005512A" w:rsidRPr="002B2CFC" w:rsidRDefault="0005512A" w:rsidP="0005512A">
            <w:pPr>
              <w:spacing w:before="120" w:after="120"/>
              <w:jc w:val="center"/>
              <w:rPr>
                <w:b/>
                <w:sz w:val="20"/>
                <w:szCs w:val="24"/>
              </w:rPr>
            </w:pPr>
            <w:r w:rsidRPr="002B2CFC">
              <w:rPr>
                <w:b/>
                <w:sz w:val="20"/>
                <w:szCs w:val="24"/>
              </w:rPr>
              <w:t>6</w:t>
            </w:r>
          </w:p>
        </w:tc>
        <w:tc>
          <w:tcPr>
            <w:tcW w:w="709" w:type="dxa"/>
            <w:tcBorders>
              <w:bottom w:val="single" w:sz="4" w:space="0" w:color="auto"/>
            </w:tcBorders>
            <w:shd w:val="clear" w:color="auto" w:fill="D9D9D9" w:themeFill="background1" w:themeFillShade="D9"/>
            <w:vAlign w:val="center"/>
          </w:tcPr>
          <w:p w14:paraId="68E53C76" w14:textId="77777777" w:rsidR="0005512A" w:rsidRPr="002B2CFC" w:rsidRDefault="0005512A" w:rsidP="0005512A">
            <w:pPr>
              <w:spacing w:before="120" w:after="120"/>
              <w:jc w:val="center"/>
              <w:rPr>
                <w:b/>
                <w:sz w:val="20"/>
                <w:szCs w:val="24"/>
              </w:rPr>
            </w:pPr>
            <w:r w:rsidRPr="002B2CFC">
              <w:rPr>
                <w:b/>
                <w:sz w:val="20"/>
                <w:szCs w:val="24"/>
              </w:rPr>
              <w:t>7</w:t>
            </w:r>
          </w:p>
        </w:tc>
        <w:tc>
          <w:tcPr>
            <w:tcW w:w="709" w:type="dxa"/>
            <w:tcBorders>
              <w:bottom w:val="single" w:sz="4" w:space="0" w:color="auto"/>
            </w:tcBorders>
            <w:shd w:val="clear" w:color="auto" w:fill="D9D9D9" w:themeFill="background1" w:themeFillShade="D9"/>
            <w:vAlign w:val="center"/>
          </w:tcPr>
          <w:p w14:paraId="3D4D7394" w14:textId="77777777" w:rsidR="0005512A" w:rsidRPr="002B2CFC" w:rsidRDefault="0005512A" w:rsidP="0005512A">
            <w:pPr>
              <w:spacing w:before="120" w:after="120"/>
              <w:jc w:val="center"/>
              <w:rPr>
                <w:b/>
                <w:sz w:val="20"/>
                <w:szCs w:val="24"/>
              </w:rPr>
            </w:pPr>
            <w:r w:rsidRPr="002B2CFC">
              <w:rPr>
                <w:b/>
                <w:sz w:val="20"/>
                <w:szCs w:val="24"/>
              </w:rPr>
              <w:t>8</w:t>
            </w:r>
          </w:p>
        </w:tc>
        <w:tc>
          <w:tcPr>
            <w:tcW w:w="850" w:type="dxa"/>
            <w:tcBorders>
              <w:bottom w:val="single" w:sz="4" w:space="0" w:color="auto"/>
            </w:tcBorders>
            <w:shd w:val="clear" w:color="auto" w:fill="D9D9D9" w:themeFill="background1" w:themeFillShade="D9"/>
            <w:vAlign w:val="center"/>
          </w:tcPr>
          <w:p w14:paraId="5F57C024" w14:textId="77777777" w:rsidR="0005512A" w:rsidRPr="002B2CFC" w:rsidRDefault="0005512A" w:rsidP="0005512A">
            <w:pPr>
              <w:spacing w:before="120" w:after="120"/>
              <w:jc w:val="center"/>
              <w:rPr>
                <w:b/>
                <w:sz w:val="20"/>
                <w:szCs w:val="24"/>
              </w:rPr>
            </w:pPr>
            <w:r w:rsidRPr="002B2CFC">
              <w:rPr>
                <w:b/>
                <w:sz w:val="20"/>
                <w:szCs w:val="24"/>
              </w:rPr>
              <w:t>9</w:t>
            </w:r>
          </w:p>
        </w:tc>
      </w:tr>
      <w:tr w:rsidR="0005512A" w:rsidRPr="002B2CFC" w14:paraId="45437921" w14:textId="77777777" w:rsidTr="0005512A">
        <w:tc>
          <w:tcPr>
            <w:tcW w:w="1418" w:type="dxa"/>
            <w:tcBorders>
              <w:bottom w:val="single" w:sz="12" w:space="0" w:color="auto"/>
            </w:tcBorders>
            <w:shd w:val="clear" w:color="auto" w:fill="D9D9D9" w:themeFill="background1" w:themeFillShade="D9"/>
            <w:vAlign w:val="center"/>
          </w:tcPr>
          <w:p w14:paraId="0EDD5EAE" w14:textId="77777777" w:rsidR="0005512A" w:rsidRPr="002B2CFC" w:rsidRDefault="0005512A" w:rsidP="0005512A">
            <w:pPr>
              <w:spacing w:before="120" w:after="120"/>
              <w:jc w:val="center"/>
              <w:rPr>
                <w:b/>
                <w:sz w:val="20"/>
                <w:szCs w:val="24"/>
              </w:rPr>
            </w:pPr>
            <w:r w:rsidRPr="002B2CFC">
              <w:rPr>
                <w:b/>
                <w:sz w:val="20"/>
                <w:szCs w:val="24"/>
              </w:rPr>
              <w:t>Study period (day)</w:t>
            </w:r>
          </w:p>
        </w:tc>
        <w:tc>
          <w:tcPr>
            <w:tcW w:w="567" w:type="dxa"/>
            <w:tcBorders>
              <w:bottom w:val="single" w:sz="12" w:space="0" w:color="auto"/>
            </w:tcBorders>
            <w:vAlign w:val="center"/>
          </w:tcPr>
          <w:p w14:paraId="5D85E57E" w14:textId="77777777" w:rsidR="0005512A" w:rsidRPr="002B2CFC" w:rsidRDefault="0005512A" w:rsidP="0005512A">
            <w:pPr>
              <w:spacing w:before="120" w:after="120"/>
              <w:jc w:val="center"/>
              <w:rPr>
                <w:b/>
                <w:sz w:val="20"/>
                <w:szCs w:val="24"/>
              </w:rPr>
            </w:pPr>
            <w:r w:rsidRPr="002B2CFC">
              <w:rPr>
                <w:b/>
                <w:sz w:val="20"/>
                <w:szCs w:val="24"/>
              </w:rPr>
              <w:t>0</w:t>
            </w:r>
          </w:p>
        </w:tc>
        <w:tc>
          <w:tcPr>
            <w:tcW w:w="708" w:type="dxa"/>
            <w:tcBorders>
              <w:bottom w:val="single" w:sz="12" w:space="0" w:color="auto"/>
            </w:tcBorders>
            <w:vAlign w:val="center"/>
          </w:tcPr>
          <w:p w14:paraId="74C1FA06" w14:textId="77777777" w:rsidR="0005512A" w:rsidRPr="002B2CFC" w:rsidRDefault="0005512A" w:rsidP="0005512A">
            <w:pPr>
              <w:spacing w:before="120" w:after="120"/>
              <w:jc w:val="center"/>
              <w:rPr>
                <w:b/>
                <w:sz w:val="20"/>
                <w:szCs w:val="24"/>
              </w:rPr>
            </w:pPr>
            <w:r w:rsidRPr="002B2CFC">
              <w:rPr>
                <w:b/>
                <w:sz w:val="20"/>
                <w:szCs w:val="24"/>
              </w:rPr>
              <w:t>10</w:t>
            </w:r>
          </w:p>
        </w:tc>
        <w:tc>
          <w:tcPr>
            <w:tcW w:w="709" w:type="dxa"/>
            <w:tcBorders>
              <w:bottom w:val="single" w:sz="12" w:space="0" w:color="auto"/>
            </w:tcBorders>
            <w:vAlign w:val="center"/>
          </w:tcPr>
          <w:p w14:paraId="50A19D8F" w14:textId="77777777" w:rsidR="0005512A" w:rsidRPr="002B2CFC" w:rsidRDefault="0005512A" w:rsidP="0005512A">
            <w:pPr>
              <w:spacing w:before="120" w:after="120"/>
              <w:jc w:val="center"/>
              <w:rPr>
                <w:b/>
                <w:sz w:val="20"/>
                <w:szCs w:val="24"/>
              </w:rPr>
            </w:pPr>
            <w:r w:rsidRPr="002B2CFC">
              <w:rPr>
                <w:b/>
                <w:sz w:val="20"/>
                <w:szCs w:val="24"/>
              </w:rPr>
              <w:t>15</w:t>
            </w:r>
          </w:p>
        </w:tc>
        <w:tc>
          <w:tcPr>
            <w:tcW w:w="709" w:type="dxa"/>
            <w:tcBorders>
              <w:bottom w:val="single" w:sz="12" w:space="0" w:color="auto"/>
            </w:tcBorders>
            <w:vAlign w:val="center"/>
          </w:tcPr>
          <w:p w14:paraId="632647A5" w14:textId="77777777" w:rsidR="0005512A" w:rsidRPr="002B2CFC" w:rsidRDefault="0005512A" w:rsidP="0005512A">
            <w:pPr>
              <w:spacing w:before="120" w:after="120"/>
              <w:jc w:val="center"/>
              <w:rPr>
                <w:b/>
                <w:sz w:val="20"/>
                <w:szCs w:val="24"/>
              </w:rPr>
            </w:pPr>
            <w:r w:rsidRPr="002B2CFC">
              <w:rPr>
                <w:b/>
                <w:sz w:val="20"/>
                <w:szCs w:val="24"/>
              </w:rPr>
              <w:t>25</w:t>
            </w:r>
          </w:p>
        </w:tc>
        <w:tc>
          <w:tcPr>
            <w:tcW w:w="850" w:type="dxa"/>
            <w:tcBorders>
              <w:bottom w:val="single" w:sz="12" w:space="0" w:color="auto"/>
              <w:right w:val="single" w:sz="12" w:space="0" w:color="auto"/>
            </w:tcBorders>
            <w:shd w:val="clear" w:color="auto" w:fill="F2F2F2" w:themeFill="background1" w:themeFillShade="F2"/>
            <w:vAlign w:val="center"/>
          </w:tcPr>
          <w:p w14:paraId="4E9776D5" w14:textId="77777777" w:rsidR="0005512A" w:rsidRPr="002B2CFC" w:rsidRDefault="0005512A" w:rsidP="0005512A">
            <w:pPr>
              <w:spacing w:before="120" w:after="120"/>
              <w:jc w:val="center"/>
              <w:rPr>
                <w:b/>
                <w:sz w:val="20"/>
                <w:szCs w:val="24"/>
              </w:rPr>
            </w:pPr>
            <w:r w:rsidRPr="002B2CFC">
              <w:rPr>
                <w:b/>
                <w:sz w:val="20"/>
                <w:szCs w:val="24"/>
              </w:rPr>
              <w:t>MPTP</w:t>
            </w:r>
          </w:p>
        </w:tc>
        <w:tc>
          <w:tcPr>
            <w:tcW w:w="709" w:type="dxa"/>
            <w:tcBorders>
              <w:left w:val="single" w:sz="12" w:space="0" w:color="auto"/>
              <w:bottom w:val="single" w:sz="12" w:space="0" w:color="auto"/>
            </w:tcBorders>
            <w:vAlign w:val="center"/>
          </w:tcPr>
          <w:p w14:paraId="23B6A6D1" w14:textId="77777777" w:rsidR="0005512A" w:rsidRPr="002B2CFC" w:rsidRDefault="0005512A" w:rsidP="0005512A">
            <w:pPr>
              <w:spacing w:before="120" w:after="120"/>
              <w:jc w:val="center"/>
              <w:rPr>
                <w:b/>
                <w:sz w:val="20"/>
                <w:szCs w:val="24"/>
              </w:rPr>
            </w:pPr>
            <w:r w:rsidRPr="002B2CFC">
              <w:rPr>
                <w:b/>
                <w:sz w:val="20"/>
                <w:szCs w:val="24"/>
              </w:rPr>
              <w:t>0</w:t>
            </w:r>
          </w:p>
        </w:tc>
        <w:tc>
          <w:tcPr>
            <w:tcW w:w="709" w:type="dxa"/>
            <w:tcBorders>
              <w:bottom w:val="single" w:sz="12" w:space="0" w:color="auto"/>
            </w:tcBorders>
            <w:vAlign w:val="center"/>
          </w:tcPr>
          <w:p w14:paraId="312A66CF" w14:textId="77777777" w:rsidR="0005512A" w:rsidRPr="002B2CFC" w:rsidRDefault="0005512A" w:rsidP="0005512A">
            <w:pPr>
              <w:spacing w:before="120" w:after="120"/>
              <w:jc w:val="center"/>
              <w:rPr>
                <w:b/>
                <w:sz w:val="20"/>
                <w:szCs w:val="24"/>
              </w:rPr>
            </w:pPr>
            <w:r w:rsidRPr="002B2CFC">
              <w:rPr>
                <w:b/>
                <w:sz w:val="20"/>
                <w:szCs w:val="24"/>
              </w:rPr>
              <w:t>15</w:t>
            </w:r>
          </w:p>
        </w:tc>
        <w:tc>
          <w:tcPr>
            <w:tcW w:w="709" w:type="dxa"/>
            <w:tcBorders>
              <w:bottom w:val="single" w:sz="12" w:space="0" w:color="auto"/>
            </w:tcBorders>
            <w:vAlign w:val="center"/>
          </w:tcPr>
          <w:p w14:paraId="42B6E698" w14:textId="77777777" w:rsidR="0005512A" w:rsidRPr="002B2CFC" w:rsidRDefault="0005512A" w:rsidP="0005512A">
            <w:pPr>
              <w:spacing w:before="120" w:after="120"/>
              <w:jc w:val="center"/>
              <w:rPr>
                <w:b/>
                <w:sz w:val="20"/>
                <w:szCs w:val="24"/>
              </w:rPr>
            </w:pPr>
            <w:r w:rsidRPr="002B2CFC">
              <w:rPr>
                <w:b/>
                <w:sz w:val="20"/>
                <w:szCs w:val="24"/>
              </w:rPr>
              <w:t>25</w:t>
            </w:r>
          </w:p>
        </w:tc>
        <w:tc>
          <w:tcPr>
            <w:tcW w:w="850" w:type="dxa"/>
            <w:tcBorders>
              <w:bottom w:val="single" w:sz="12" w:space="0" w:color="auto"/>
            </w:tcBorders>
            <w:shd w:val="clear" w:color="auto" w:fill="F2F2F2" w:themeFill="background1" w:themeFillShade="F2"/>
            <w:vAlign w:val="center"/>
          </w:tcPr>
          <w:p w14:paraId="7DB9356C" w14:textId="77777777" w:rsidR="0005512A" w:rsidRPr="002B2CFC" w:rsidRDefault="0005512A" w:rsidP="0005512A">
            <w:pPr>
              <w:spacing w:before="120" w:after="120"/>
              <w:jc w:val="center"/>
              <w:rPr>
                <w:b/>
                <w:sz w:val="20"/>
                <w:szCs w:val="24"/>
              </w:rPr>
            </w:pPr>
            <w:r w:rsidRPr="002B2CFC">
              <w:rPr>
                <w:b/>
                <w:sz w:val="20"/>
                <w:szCs w:val="24"/>
              </w:rPr>
              <w:t>MPTP</w:t>
            </w:r>
          </w:p>
        </w:tc>
      </w:tr>
      <w:tr w:rsidR="0005512A" w:rsidRPr="002B2CFC" w14:paraId="47974F71" w14:textId="77777777" w:rsidTr="0005512A">
        <w:tc>
          <w:tcPr>
            <w:tcW w:w="1418" w:type="dxa"/>
            <w:tcBorders>
              <w:top w:val="single" w:sz="12" w:space="0" w:color="auto"/>
            </w:tcBorders>
            <w:shd w:val="clear" w:color="auto" w:fill="D9D9D9" w:themeFill="background1" w:themeFillShade="D9"/>
            <w:vAlign w:val="center"/>
          </w:tcPr>
          <w:p w14:paraId="488ABB6F" w14:textId="77777777" w:rsidR="0005512A" w:rsidRPr="002B2CFC" w:rsidRDefault="0005512A" w:rsidP="0005512A">
            <w:pPr>
              <w:spacing w:before="120" w:after="120"/>
              <w:jc w:val="center"/>
              <w:rPr>
                <w:sz w:val="20"/>
                <w:szCs w:val="24"/>
              </w:rPr>
            </w:pPr>
            <w:r w:rsidRPr="002B2CFC">
              <w:rPr>
                <w:sz w:val="20"/>
                <w:szCs w:val="24"/>
              </w:rPr>
              <w:t>-14 to -7</w:t>
            </w:r>
          </w:p>
        </w:tc>
        <w:tc>
          <w:tcPr>
            <w:tcW w:w="567" w:type="dxa"/>
            <w:tcBorders>
              <w:top w:val="single" w:sz="12" w:space="0" w:color="auto"/>
            </w:tcBorders>
            <w:vAlign w:val="center"/>
          </w:tcPr>
          <w:p w14:paraId="0D456001" w14:textId="77777777" w:rsidR="0005512A" w:rsidRPr="002B2CFC" w:rsidRDefault="0005512A" w:rsidP="0005512A">
            <w:pPr>
              <w:spacing w:before="120" w:after="120"/>
              <w:jc w:val="center"/>
              <w:rPr>
                <w:sz w:val="20"/>
                <w:szCs w:val="24"/>
              </w:rPr>
            </w:pPr>
            <w:r w:rsidRPr="002B2CFC">
              <w:rPr>
                <w:sz w:val="20"/>
                <w:szCs w:val="24"/>
              </w:rPr>
              <w:t>4.3</w:t>
            </w:r>
          </w:p>
        </w:tc>
        <w:tc>
          <w:tcPr>
            <w:tcW w:w="708" w:type="dxa"/>
            <w:tcBorders>
              <w:top w:val="single" w:sz="12" w:space="0" w:color="auto"/>
            </w:tcBorders>
            <w:vAlign w:val="center"/>
          </w:tcPr>
          <w:p w14:paraId="3980AF33" w14:textId="77777777" w:rsidR="0005512A" w:rsidRPr="002B2CFC" w:rsidRDefault="0005512A" w:rsidP="0005512A">
            <w:pPr>
              <w:spacing w:before="120" w:after="120"/>
              <w:jc w:val="center"/>
              <w:rPr>
                <w:sz w:val="20"/>
                <w:szCs w:val="24"/>
              </w:rPr>
            </w:pPr>
            <w:r w:rsidRPr="002B2CFC">
              <w:rPr>
                <w:sz w:val="20"/>
                <w:szCs w:val="24"/>
              </w:rPr>
              <w:t>4.4</w:t>
            </w:r>
          </w:p>
        </w:tc>
        <w:tc>
          <w:tcPr>
            <w:tcW w:w="709" w:type="dxa"/>
            <w:tcBorders>
              <w:top w:val="single" w:sz="12" w:space="0" w:color="auto"/>
            </w:tcBorders>
            <w:vAlign w:val="center"/>
          </w:tcPr>
          <w:p w14:paraId="18CE1125" w14:textId="77777777" w:rsidR="0005512A" w:rsidRPr="002B2CFC" w:rsidRDefault="0005512A" w:rsidP="0005512A">
            <w:pPr>
              <w:spacing w:before="120" w:after="120"/>
              <w:jc w:val="center"/>
              <w:rPr>
                <w:sz w:val="20"/>
                <w:szCs w:val="24"/>
              </w:rPr>
            </w:pPr>
            <w:r w:rsidRPr="002B2CFC">
              <w:rPr>
                <w:sz w:val="20"/>
                <w:szCs w:val="24"/>
              </w:rPr>
              <w:t>4.4</w:t>
            </w:r>
          </w:p>
        </w:tc>
        <w:tc>
          <w:tcPr>
            <w:tcW w:w="709" w:type="dxa"/>
            <w:tcBorders>
              <w:top w:val="single" w:sz="12" w:space="0" w:color="auto"/>
            </w:tcBorders>
            <w:vAlign w:val="center"/>
          </w:tcPr>
          <w:p w14:paraId="34747536" w14:textId="77777777" w:rsidR="0005512A" w:rsidRPr="002B2CFC" w:rsidRDefault="0005512A" w:rsidP="0005512A">
            <w:pPr>
              <w:spacing w:before="120" w:after="120"/>
              <w:jc w:val="center"/>
              <w:rPr>
                <w:sz w:val="20"/>
                <w:szCs w:val="24"/>
              </w:rPr>
            </w:pPr>
            <w:r w:rsidRPr="002B2CFC">
              <w:rPr>
                <w:sz w:val="20"/>
                <w:szCs w:val="24"/>
              </w:rPr>
              <w:t>4.3</w:t>
            </w:r>
          </w:p>
        </w:tc>
        <w:tc>
          <w:tcPr>
            <w:tcW w:w="850" w:type="dxa"/>
            <w:tcBorders>
              <w:top w:val="single" w:sz="12" w:space="0" w:color="auto"/>
              <w:right w:val="single" w:sz="12" w:space="0" w:color="auto"/>
            </w:tcBorders>
            <w:shd w:val="clear" w:color="auto" w:fill="F2F2F2" w:themeFill="background1" w:themeFillShade="F2"/>
            <w:vAlign w:val="center"/>
          </w:tcPr>
          <w:p w14:paraId="72C15801" w14:textId="77777777" w:rsidR="0005512A" w:rsidRPr="002B2CFC" w:rsidRDefault="0005512A" w:rsidP="0005512A">
            <w:pPr>
              <w:spacing w:before="120" w:after="120"/>
              <w:jc w:val="center"/>
              <w:rPr>
                <w:sz w:val="20"/>
                <w:szCs w:val="24"/>
              </w:rPr>
            </w:pPr>
            <w:r w:rsidRPr="002B2CFC">
              <w:rPr>
                <w:sz w:val="20"/>
                <w:szCs w:val="24"/>
              </w:rPr>
              <w:t>4.3</w:t>
            </w:r>
          </w:p>
        </w:tc>
        <w:tc>
          <w:tcPr>
            <w:tcW w:w="709" w:type="dxa"/>
            <w:tcBorders>
              <w:top w:val="single" w:sz="12" w:space="0" w:color="auto"/>
              <w:left w:val="single" w:sz="12" w:space="0" w:color="auto"/>
            </w:tcBorders>
            <w:vAlign w:val="center"/>
          </w:tcPr>
          <w:p w14:paraId="7E5A11D3" w14:textId="77777777" w:rsidR="0005512A" w:rsidRPr="002B2CFC" w:rsidRDefault="0005512A" w:rsidP="0005512A">
            <w:pPr>
              <w:spacing w:before="120" w:after="120"/>
              <w:jc w:val="center"/>
              <w:rPr>
                <w:sz w:val="20"/>
                <w:szCs w:val="24"/>
              </w:rPr>
            </w:pPr>
            <w:r w:rsidRPr="002B2CFC">
              <w:rPr>
                <w:sz w:val="20"/>
                <w:szCs w:val="24"/>
              </w:rPr>
              <w:t>4.4</w:t>
            </w:r>
          </w:p>
        </w:tc>
        <w:tc>
          <w:tcPr>
            <w:tcW w:w="709" w:type="dxa"/>
            <w:tcBorders>
              <w:top w:val="single" w:sz="12" w:space="0" w:color="auto"/>
            </w:tcBorders>
            <w:vAlign w:val="center"/>
          </w:tcPr>
          <w:p w14:paraId="606AC868" w14:textId="77777777" w:rsidR="0005512A" w:rsidRPr="002B2CFC" w:rsidRDefault="0005512A" w:rsidP="0005512A">
            <w:pPr>
              <w:spacing w:before="120" w:after="120"/>
              <w:jc w:val="center"/>
              <w:rPr>
                <w:sz w:val="20"/>
                <w:szCs w:val="24"/>
              </w:rPr>
            </w:pPr>
            <w:r w:rsidRPr="002B2CFC">
              <w:rPr>
                <w:sz w:val="20"/>
                <w:szCs w:val="24"/>
              </w:rPr>
              <w:t>4.3</w:t>
            </w:r>
          </w:p>
        </w:tc>
        <w:tc>
          <w:tcPr>
            <w:tcW w:w="709" w:type="dxa"/>
            <w:tcBorders>
              <w:top w:val="single" w:sz="12" w:space="0" w:color="auto"/>
            </w:tcBorders>
            <w:vAlign w:val="center"/>
          </w:tcPr>
          <w:p w14:paraId="7B972840" w14:textId="77777777" w:rsidR="0005512A" w:rsidRPr="002B2CFC" w:rsidRDefault="0005512A" w:rsidP="0005512A">
            <w:pPr>
              <w:spacing w:before="120" w:after="120"/>
              <w:jc w:val="center"/>
              <w:rPr>
                <w:sz w:val="20"/>
                <w:szCs w:val="24"/>
              </w:rPr>
            </w:pPr>
            <w:r w:rsidRPr="002B2CFC">
              <w:rPr>
                <w:sz w:val="20"/>
                <w:szCs w:val="24"/>
              </w:rPr>
              <w:t>4.3</w:t>
            </w:r>
          </w:p>
        </w:tc>
        <w:tc>
          <w:tcPr>
            <w:tcW w:w="850" w:type="dxa"/>
            <w:tcBorders>
              <w:top w:val="single" w:sz="12" w:space="0" w:color="auto"/>
            </w:tcBorders>
            <w:shd w:val="clear" w:color="auto" w:fill="F2F2F2" w:themeFill="background1" w:themeFillShade="F2"/>
            <w:vAlign w:val="center"/>
          </w:tcPr>
          <w:p w14:paraId="70F023B8" w14:textId="77777777" w:rsidR="0005512A" w:rsidRPr="002B2CFC" w:rsidRDefault="0005512A" w:rsidP="0005512A">
            <w:pPr>
              <w:spacing w:before="120" w:after="120"/>
              <w:jc w:val="center"/>
              <w:rPr>
                <w:sz w:val="20"/>
                <w:szCs w:val="24"/>
              </w:rPr>
            </w:pPr>
            <w:r w:rsidRPr="002B2CFC">
              <w:rPr>
                <w:sz w:val="20"/>
                <w:szCs w:val="24"/>
              </w:rPr>
              <w:t>4.2</w:t>
            </w:r>
          </w:p>
        </w:tc>
      </w:tr>
      <w:tr w:rsidR="0005512A" w:rsidRPr="002B2CFC" w14:paraId="111C6937" w14:textId="77777777" w:rsidTr="0005512A">
        <w:tc>
          <w:tcPr>
            <w:tcW w:w="1418" w:type="dxa"/>
            <w:shd w:val="clear" w:color="auto" w:fill="D9D9D9" w:themeFill="background1" w:themeFillShade="D9"/>
            <w:vAlign w:val="center"/>
          </w:tcPr>
          <w:p w14:paraId="12CF76CC" w14:textId="77777777" w:rsidR="0005512A" w:rsidRPr="002B2CFC" w:rsidRDefault="0005512A" w:rsidP="0005512A">
            <w:pPr>
              <w:spacing w:before="120" w:after="120"/>
              <w:jc w:val="center"/>
              <w:rPr>
                <w:sz w:val="20"/>
                <w:szCs w:val="24"/>
              </w:rPr>
            </w:pPr>
            <w:r w:rsidRPr="002B2CFC">
              <w:rPr>
                <w:sz w:val="20"/>
                <w:szCs w:val="24"/>
              </w:rPr>
              <w:t>-7 to 0</w:t>
            </w:r>
          </w:p>
        </w:tc>
        <w:tc>
          <w:tcPr>
            <w:tcW w:w="567" w:type="dxa"/>
            <w:vAlign w:val="center"/>
          </w:tcPr>
          <w:p w14:paraId="3C0D344B" w14:textId="77777777" w:rsidR="0005512A" w:rsidRPr="002B2CFC" w:rsidRDefault="0005512A" w:rsidP="0005512A">
            <w:pPr>
              <w:spacing w:before="120" w:after="120"/>
              <w:jc w:val="center"/>
              <w:rPr>
                <w:sz w:val="20"/>
                <w:szCs w:val="24"/>
              </w:rPr>
            </w:pPr>
            <w:r w:rsidRPr="002B2CFC">
              <w:rPr>
                <w:sz w:val="20"/>
                <w:szCs w:val="24"/>
              </w:rPr>
              <w:t>5.6</w:t>
            </w:r>
          </w:p>
        </w:tc>
        <w:tc>
          <w:tcPr>
            <w:tcW w:w="708" w:type="dxa"/>
            <w:vAlign w:val="center"/>
          </w:tcPr>
          <w:p w14:paraId="619C0653" w14:textId="77777777" w:rsidR="0005512A" w:rsidRPr="002B2CFC" w:rsidRDefault="0005512A" w:rsidP="0005512A">
            <w:pPr>
              <w:spacing w:before="120" w:after="120"/>
              <w:jc w:val="center"/>
              <w:rPr>
                <w:sz w:val="20"/>
                <w:szCs w:val="24"/>
              </w:rPr>
            </w:pPr>
            <w:r w:rsidRPr="002B2CFC">
              <w:rPr>
                <w:sz w:val="20"/>
                <w:szCs w:val="24"/>
              </w:rPr>
              <w:t>5.4</w:t>
            </w:r>
          </w:p>
        </w:tc>
        <w:tc>
          <w:tcPr>
            <w:tcW w:w="709" w:type="dxa"/>
            <w:vAlign w:val="center"/>
          </w:tcPr>
          <w:p w14:paraId="39AB7944" w14:textId="77777777" w:rsidR="0005512A" w:rsidRPr="002B2CFC" w:rsidRDefault="0005512A" w:rsidP="0005512A">
            <w:pPr>
              <w:spacing w:before="120" w:after="120"/>
              <w:jc w:val="center"/>
              <w:rPr>
                <w:sz w:val="20"/>
                <w:szCs w:val="24"/>
              </w:rPr>
            </w:pPr>
            <w:r w:rsidRPr="002B2CFC">
              <w:rPr>
                <w:sz w:val="20"/>
                <w:szCs w:val="24"/>
              </w:rPr>
              <w:t>5.0</w:t>
            </w:r>
          </w:p>
        </w:tc>
        <w:tc>
          <w:tcPr>
            <w:tcW w:w="709" w:type="dxa"/>
            <w:vAlign w:val="center"/>
          </w:tcPr>
          <w:p w14:paraId="0257FAC0" w14:textId="77777777" w:rsidR="0005512A" w:rsidRPr="002B2CFC" w:rsidRDefault="0005512A" w:rsidP="0005512A">
            <w:pPr>
              <w:spacing w:before="120" w:after="120"/>
              <w:jc w:val="center"/>
              <w:rPr>
                <w:sz w:val="20"/>
                <w:szCs w:val="24"/>
              </w:rPr>
            </w:pPr>
            <w:r w:rsidRPr="002B2CFC">
              <w:rPr>
                <w:sz w:val="20"/>
                <w:szCs w:val="24"/>
              </w:rPr>
              <w:t>5.3</w:t>
            </w:r>
          </w:p>
        </w:tc>
        <w:tc>
          <w:tcPr>
            <w:tcW w:w="850" w:type="dxa"/>
            <w:tcBorders>
              <w:right w:val="single" w:sz="12" w:space="0" w:color="auto"/>
            </w:tcBorders>
            <w:shd w:val="clear" w:color="auto" w:fill="F2F2F2" w:themeFill="background1" w:themeFillShade="F2"/>
            <w:vAlign w:val="center"/>
          </w:tcPr>
          <w:p w14:paraId="043B5173" w14:textId="77777777" w:rsidR="0005512A" w:rsidRPr="002B2CFC" w:rsidRDefault="0005512A" w:rsidP="0005512A">
            <w:pPr>
              <w:spacing w:before="120" w:after="120"/>
              <w:jc w:val="center"/>
              <w:rPr>
                <w:sz w:val="20"/>
                <w:szCs w:val="24"/>
              </w:rPr>
            </w:pPr>
            <w:r w:rsidRPr="002B2CFC">
              <w:rPr>
                <w:sz w:val="20"/>
                <w:szCs w:val="24"/>
              </w:rPr>
              <w:t>5.2</w:t>
            </w:r>
          </w:p>
        </w:tc>
        <w:tc>
          <w:tcPr>
            <w:tcW w:w="709" w:type="dxa"/>
            <w:tcBorders>
              <w:left w:val="single" w:sz="12" w:space="0" w:color="auto"/>
            </w:tcBorders>
            <w:vAlign w:val="center"/>
          </w:tcPr>
          <w:p w14:paraId="72B05702" w14:textId="77777777" w:rsidR="0005512A" w:rsidRPr="002B2CFC" w:rsidRDefault="0005512A" w:rsidP="0005512A">
            <w:pPr>
              <w:spacing w:before="120" w:after="120"/>
              <w:jc w:val="center"/>
              <w:rPr>
                <w:sz w:val="20"/>
                <w:szCs w:val="24"/>
              </w:rPr>
            </w:pPr>
            <w:r w:rsidRPr="002B2CFC">
              <w:rPr>
                <w:sz w:val="20"/>
                <w:szCs w:val="24"/>
              </w:rPr>
              <w:t>4.9</w:t>
            </w:r>
          </w:p>
        </w:tc>
        <w:tc>
          <w:tcPr>
            <w:tcW w:w="709" w:type="dxa"/>
            <w:vAlign w:val="center"/>
          </w:tcPr>
          <w:p w14:paraId="7206DB54" w14:textId="77777777" w:rsidR="0005512A" w:rsidRPr="002B2CFC" w:rsidRDefault="0005512A" w:rsidP="0005512A">
            <w:pPr>
              <w:spacing w:before="120" w:after="120"/>
              <w:jc w:val="center"/>
              <w:rPr>
                <w:sz w:val="20"/>
                <w:szCs w:val="24"/>
              </w:rPr>
            </w:pPr>
            <w:r w:rsidRPr="002B2CFC">
              <w:rPr>
                <w:sz w:val="20"/>
                <w:szCs w:val="24"/>
              </w:rPr>
              <w:t>5.5</w:t>
            </w:r>
          </w:p>
        </w:tc>
        <w:tc>
          <w:tcPr>
            <w:tcW w:w="709" w:type="dxa"/>
            <w:vAlign w:val="center"/>
          </w:tcPr>
          <w:p w14:paraId="0C1920ED" w14:textId="77777777" w:rsidR="0005512A" w:rsidRPr="002B2CFC" w:rsidRDefault="0005512A" w:rsidP="0005512A">
            <w:pPr>
              <w:spacing w:before="120" w:after="120"/>
              <w:jc w:val="center"/>
              <w:rPr>
                <w:sz w:val="20"/>
                <w:szCs w:val="24"/>
              </w:rPr>
            </w:pPr>
            <w:r w:rsidRPr="002B2CFC">
              <w:rPr>
                <w:sz w:val="20"/>
                <w:szCs w:val="24"/>
              </w:rPr>
              <w:t>5.4</w:t>
            </w:r>
          </w:p>
        </w:tc>
        <w:tc>
          <w:tcPr>
            <w:tcW w:w="850" w:type="dxa"/>
            <w:shd w:val="clear" w:color="auto" w:fill="F2F2F2" w:themeFill="background1" w:themeFillShade="F2"/>
            <w:vAlign w:val="center"/>
          </w:tcPr>
          <w:p w14:paraId="3B10DDDE" w14:textId="77777777" w:rsidR="0005512A" w:rsidRPr="002B2CFC" w:rsidRDefault="0005512A" w:rsidP="0005512A">
            <w:pPr>
              <w:spacing w:before="120" w:after="120"/>
              <w:jc w:val="center"/>
              <w:rPr>
                <w:sz w:val="20"/>
                <w:szCs w:val="24"/>
              </w:rPr>
            </w:pPr>
            <w:r w:rsidRPr="002B2CFC">
              <w:rPr>
                <w:sz w:val="20"/>
                <w:szCs w:val="24"/>
              </w:rPr>
              <w:t>4.8</w:t>
            </w:r>
          </w:p>
        </w:tc>
      </w:tr>
      <w:tr w:rsidR="0005512A" w:rsidRPr="002B2CFC" w14:paraId="68A12D95" w14:textId="77777777" w:rsidTr="0005512A">
        <w:tc>
          <w:tcPr>
            <w:tcW w:w="1418" w:type="dxa"/>
            <w:shd w:val="clear" w:color="auto" w:fill="D9D9D9" w:themeFill="background1" w:themeFillShade="D9"/>
            <w:vAlign w:val="center"/>
          </w:tcPr>
          <w:p w14:paraId="09FD151C" w14:textId="77777777" w:rsidR="0005512A" w:rsidRPr="002B2CFC" w:rsidRDefault="0005512A" w:rsidP="0005512A">
            <w:pPr>
              <w:spacing w:before="120" w:after="120"/>
              <w:jc w:val="center"/>
              <w:rPr>
                <w:sz w:val="20"/>
                <w:szCs w:val="24"/>
              </w:rPr>
            </w:pPr>
            <w:r w:rsidRPr="002B2CFC">
              <w:rPr>
                <w:sz w:val="20"/>
                <w:szCs w:val="24"/>
              </w:rPr>
              <w:t>0 to 1</w:t>
            </w:r>
          </w:p>
        </w:tc>
        <w:tc>
          <w:tcPr>
            <w:tcW w:w="567" w:type="dxa"/>
            <w:vAlign w:val="center"/>
          </w:tcPr>
          <w:p w14:paraId="4D1F9A81" w14:textId="77777777" w:rsidR="0005512A" w:rsidRPr="002B2CFC" w:rsidRDefault="0005512A" w:rsidP="0005512A">
            <w:pPr>
              <w:spacing w:before="120" w:after="120"/>
              <w:jc w:val="center"/>
              <w:rPr>
                <w:sz w:val="20"/>
                <w:szCs w:val="24"/>
              </w:rPr>
            </w:pPr>
            <w:r w:rsidRPr="002B2CFC">
              <w:rPr>
                <w:sz w:val="20"/>
                <w:szCs w:val="24"/>
              </w:rPr>
              <w:t>4.5</w:t>
            </w:r>
          </w:p>
        </w:tc>
        <w:tc>
          <w:tcPr>
            <w:tcW w:w="708" w:type="dxa"/>
            <w:vAlign w:val="center"/>
          </w:tcPr>
          <w:p w14:paraId="50771DB4" w14:textId="77777777" w:rsidR="0005512A" w:rsidRPr="002B2CFC" w:rsidRDefault="0005512A" w:rsidP="0005512A">
            <w:pPr>
              <w:spacing w:before="120" w:after="120"/>
              <w:jc w:val="center"/>
              <w:rPr>
                <w:sz w:val="20"/>
                <w:szCs w:val="24"/>
              </w:rPr>
            </w:pPr>
            <w:r w:rsidRPr="002B2CFC">
              <w:rPr>
                <w:sz w:val="20"/>
                <w:szCs w:val="24"/>
              </w:rPr>
              <w:t>4.8</w:t>
            </w:r>
          </w:p>
        </w:tc>
        <w:tc>
          <w:tcPr>
            <w:tcW w:w="709" w:type="dxa"/>
            <w:vAlign w:val="center"/>
          </w:tcPr>
          <w:p w14:paraId="04BB703D" w14:textId="77777777" w:rsidR="0005512A" w:rsidRPr="002B2CFC" w:rsidRDefault="0005512A" w:rsidP="0005512A">
            <w:pPr>
              <w:spacing w:before="120" w:after="120"/>
              <w:jc w:val="center"/>
              <w:rPr>
                <w:sz w:val="20"/>
                <w:szCs w:val="24"/>
              </w:rPr>
            </w:pPr>
            <w:r w:rsidRPr="002B2CFC">
              <w:rPr>
                <w:sz w:val="20"/>
                <w:szCs w:val="24"/>
              </w:rPr>
              <w:t>4.6</w:t>
            </w:r>
          </w:p>
        </w:tc>
        <w:tc>
          <w:tcPr>
            <w:tcW w:w="709" w:type="dxa"/>
            <w:vAlign w:val="center"/>
          </w:tcPr>
          <w:p w14:paraId="25CD9294" w14:textId="77777777" w:rsidR="0005512A" w:rsidRPr="002B2CFC" w:rsidRDefault="0005512A" w:rsidP="0005512A">
            <w:pPr>
              <w:spacing w:before="120" w:after="120"/>
              <w:jc w:val="center"/>
              <w:rPr>
                <w:sz w:val="20"/>
                <w:szCs w:val="24"/>
              </w:rPr>
            </w:pPr>
            <w:r w:rsidRPr="002B2CFC">
              <w:rPr>
                <w:sz w:val="20"/>
                <w:szCs w:val="24"/>
              </w:rPr>
              <w:t>3.2##</w:t>
            </w:r>
          </w:p>
        </w:tc>
        <w:tc>
          <w:tcPr>
            <w:tcW w:w="850" w:type="dxa"/>
            <w:tcBorders>
              <w:right w:val="single" w:sz="12" w:space="0" w:color="auto"/>
            </w:tcBorders>
            <w:shd w:val="clear" w:color="auto" w:fill="F2F2F2" w:themeFill="background1" w:themeFillShade="F2"/>
            <w:vAlign w:val="center"/>
          </w:tcPr>
          <w:p w14:paraId="5A7CF701" w14:textId="77777777" w:rsidR="0005512A" w:rsidRPr="002B2CFC" w:rsidRDefault="0005512A" w:rsidP="0005512A">
            <w:pPr>
              <w:spacing w:before="120" w:after="120"/>
              <w:jc w:val="center"/>
              <w:rPr>
                <w:sz w:val="20"/>
                <w:szCs w:val="24"/>
              </w:rPr>
            </w:pPr>
            <w:r w:rsidRPr="002B2CFC">
              <w:rPr>
                <w:sz w:val="20"/>
                <w:szCs w:val="24"/>
              </w:rPr>
              <w:t>5.4**</w:t>
            </w:r>
          </w:p>
        </w:tc>
        <w:tc>
          <w:tcPr>
            <w:tcW w:w="709" w:type="dxa"/>
            <w:tcBorders>
              <w:left w:val="single" w:sz="12" w:space="0" w:color="auto"/>
            </w:tcBorders>
            <w:vAlign w:val="center"/>
          </w:tcPr>
          <w:p w14:paraId="071CC6E5" w14:textId="77777777" w:rsidR="0005512A" w:rsidRPr="002B2CFC" w:rsidRDefault="0005512A" w:rsidP="0005512A">
            <w:pPr>
              <w:spacing w:before="120" w:after="120"/>
              <w:jc w:val="center"/>
              <w:rPr>
                <w:sz w:val="20"/>
                <w:szCs w:val="24"/>
              </w:rPr>
            </w:pPr>
            <w:r w:rsidRPr="002B2CFC">
              <w:rPr>
                <w:sz w:val="20"/>
                <w:szCs w:val="24"/>
              </w:rPr>
              <w:t>4.4</w:t>
            </w:r>
          </w:p>
        </w:tc>
        <w:tc>
          <w:tcPr>
            <w:tcW w:w="709" w:type="dxa"/>
            <w:vAlign w:val="center"/>
          </w:tcPr>
          <w:p w14:paraId="7606F762" w14:textId="77777777" w:rsidR="0005512A" w:rsidRPr="002B2CFC" w:rsidRDefault="0005512A" w:rsidP="0005512A">
            <w:pPr>
              <w:spacing w:before="120" w:after="120"/>
              <w:jc w:val="center"/>
              <w:rPr>
                <w:sz w:val="20"/>
                <w:szCs w:val="24"/>
              </w:rPr>
            </w:pPr>
            <w:r w:rsidRPr="002B2CFC">
              <w:rPr>
                <w:sz w:val="20"/>
                <w:szCs w:val="24"/>
              </w:rPr>
              <w:t>4.9</w:t>
            </w:r>
          </w:p>
        </w:tc>
        <w:tc>
          <w:tcPr>
            <w:tcW w:w="709" w:type="dxa"/>
            <w:vAlign w:val="center"/>
          </w:tcPr>
          <w:p w14:paraId="044D73A6" w14:textId="77777777" w:rsidR="0005512A" w:rsidRPr="002B2CFC" w:rsidRDefault="0005512A" w:rsidP="0005512A">
            <w:pPr>
              <w:spacing w:before="120" w:after="120"/>
              <w:jc w:val="center"/>
              <w:rPr>
                <w:sz w:val="20"/>
                <w:szCs w:val="24"/>
              </w:rPr>
            </w:pPr>
            <w:r w:rsidRPr="002B2CFC">
              <w:rPr>
                <w:sz w:val="20"/>
                <w:szCs w:val="24"/>
              </w:rPr>
              <w:t>2.1*</w:t>
            </w:r>
          </w:p>
        </w:tc>
        <w:tc>
          <w:tcPr>
            <w:tcW w:w="850" w:type="dxa"/>
            <w:shd w:val="clear" w:color="auto" w:fill="F2F2F2" w:themeFill="background1" w:themeFillShade="F2"/>
            <w:vAlign w:val="center"/>
          </w:tcPr>
          <w:p w14:paraId="2A5A6353" w14:textId="77777777" w:rsidR="0005512A" w:rsidRPr="002B2CFC" w:rsidRDefault="0005512A" w:rsidP="0005512A">
            <w:pPr>
              <w:spacing w:before="120" w:after="120"/>
              <w:jc w:val="center"/>
              <w:rPr>
                <w:sz w:val="20"/>
                <w:szCs w:val="24"/>
              </w:rPr>
            </w:pPr>
            <w:r w:rsidRPr="002B2CFC">
              <w:rPr>
                <w:sz w:val="20"/>
                <w:szCs w:val="24"/>
              </w:rPr>
              <w:t>5.0</w:t>
            </w:r>
          </w:p>
        </w:tc>
      </w:tr>
      <w:tr w:rsidR="0005512A" w:rsidRPr="002B2CFC" w14:paraId="3C6EEA2C" w14:textId="77777777" w:rsidTr="0005512A">
        <w:tc>
          <w:tcPr>
            <w:tcW w:w="1418" w:type="dxa"/>
            <w:shd w:val="clear" w:color="auto" w:fill="D9D9D9" w:themeFill="background1" w:themeFillShade="D9"/>
            <w:vAlign w:val="center"/>
          </w:tcPr>
          <w:p w14:paraId="0A5EA372" w14:textId="77777777" w:rsidR="0005512A" w:rsidRPr="002B2CFC" w:rsidRDefault="0005512A" w:rsidP="0005512A">
            <w:pPr>
              <w:spacing w:before="120" w:after="120"/>
              <w:jc w:val="center"/>
              <w:rPr>
                <w:sz w:val="20"/>
                <w:szCs w:val="24"/>
              </w:rPr>
            </w:pPr>
            <w:r w:rsidRPr="002B2CFC">
              <w:rPr>
                <w:sz w:val="20"/>
                <w:szCs w:val="24"/>
              </w:rPr>
              <w:t>1-2</w:t>
            </w:r>
          </w:p>
        </w:tc>
        <w:tc>
          <w:tcPr>
            <w:tcW w:w="567" w:type="dxa"/>
            <w:vAlign w:val="center"/>
          </w:tcPr>
          <w:p w14:paraId="6BB0F89F" w14:textId="77777777" w:rsidR="0005512A" w:rsidRPr="002B2CFC" w:rsidRDefault="0005512A" w:rsidP="0005512A">
            <w:pPr>
              <w:spacing w:before="120" w:after="120"/>
              <w:jc w:val="center"/>
              <w:rPr>
                <w:sz w:val="20"/>
                <w:szCs w:val="24"/>
              </w:rPr>
            </w:pPr>
            <w:r w:rsidRPr="002B2CFC">
              <w:rPr>
                <w:sz w:val="20"/>
                <w:szCs w:val="24"/>
              </w:rPr>
              <w:t>4.9</w:t>
            </w:r>
          </w:p>
        </w:tc>
        <w:tc>
          <w:tcPr>
            <w:tcW w:w="708" w:type="dxa"/>
            <w:vAlign w:val="center"/>
          </w:tcPr>
          <w:p w14:paraId="7F3ECC0B" w14:textId="77777777" w:rsidR="0005512A" w:rsidRPr="002B2CFC" w:rsidRDefault="0005512A" w:rsidP="0005512A">
            <w:pPr>
              <w:spacing w:before="120" w:after="120"/>
              <w:jc w:val="center"/>
              <w:rPr>
                <w:sz w:val="20"/>
                <w:szCs w:val="24"/>
              </w:rPr>
            </w:pPr>
            <w:r w:rsidRPr="002B2CFC">
              <w:rPr>
                <w:sz w:val="20"/>
                <w:szCs w:val="24"/>
              </w:rPr>
              <w:t>4.9</w:t>
            </w:r>
          </w:p>
        </w:tc>
        <w:tc>
          <w:tcPr>
            <w:tcW w:w="709" w:type="dxa"/>
            <w:vAlign w:val="center"/>
          </w:tcPr>
          <w:p w14:paraId="2726AB92" w14:textId="77777777" w:rsidR="0005512A" w:rsidRPr="002B2CFC" w:rsidRDefault="0005512A" w:rsidP="0005512A">
            <w:pPr>
              <w:spacing w:before="120" w:after="120"/>
              <w:jc w:val="center"/>
              <w:rPr>
                <w:sz w:val="20"/>
                <w:szCs w:val="24"/>
              </w:rPr>
            </w:pPr>
            <w:r w:rsidRPr="002B2CFC">
              <w:rPr>
                <w:sz w:val="20"/>
                <w:szCs w:val="24"/>
              </w:rPr>
              <w:t>4.4</w:t>
            </w:r>
          </w:p>
        </w:tc>
        <w:tc>
          <w:tcPr>
            <w:tcW w:w="709" w:type="dxa"/>
            <w:vAlign w:val="center"/>
          </w:tcPr>
          <w:p w14:paraId="1190D755" w14:textId="77777777" w:rsidR="0005512A" w:rsidRPr="002B2CFC" w:rsidRDefault="0005512A" w:rsidP="0005512A">
            <w:pPr>
              <w:spacing w:before="120" w:after="120"/>
              <w:jc w:val="center"/>
              <w:rPr>
                <w:sz w:val="20"/>
                <w:szCs w:val="24"/>
              </w:rPr>
            </w:pPr>
            <w:r w:rsidRPr="002B2CFC">
              <w:rPr>
                <w:sz w:val="20"/>
                <w:szCs w:val="24"/>
              </w:rPr>
              <w:t>4.7</w:t>
            </w:r>
          </w:p>
        </w:tc>
        <w:tc>
          <w:tcPr>
            <w:tcW w:w="850" w:type="dxa"/>
            <w:tcBorders>
              <w:right w:val="single" w:sz="12" w:space="0" w:color="auto"/>
            </w:tcBorders>
            <w:shd w:val="clear" w:color="auto" w:fill="F2F2F2" w:themeFill="background1" w:themeFillShade="F2"/>
            <w:vAlign w:val="center"/>
          </w:tcPr>
          <w:p w14:paraId="7CA1A2CE" w14:textId="77777777" w:rsidR="0005512A" w:rsidRPr="002B2CFC" w:rsidRDefault="0005512A" w:rsidP="0005512A">
            <w:pPr>
              <w:spacing w:before="120" w:after="120"/>
              <w:jc w:val="center"/>
              <w:rPr>
                <w:sz w:val="20"/>
                <w:szCs w:val="24"/>
              </w:rPr>
            </w:pPr>
            <w:r w:rsidRPr="002B2CFC">
              <w:rPr>
                <w:sz w:val="20"/>
                <w:szCs w:val="24"/>
              </w:rPr>
              <w:t>5.0</w:t>
            </w:r>
          </w:p>
        </w:tc>
        <w:tc>
          <w:tcPr>
            <w:tcW w:w="709" w:type="dxa"/>
            <w:tcBorders>
              <w:left w:val="single" w:sz="12" w:space="0" w:color="auto"/>
            </w:tcBorders>
            <w:vAlign w:val="center"/>
          </w:tcPr>
          <w:p w14:paraId="5FEFAB40" w14:textId="77777777" w:rsidR="0005512A" w:rsidRPr="002B2CFC" w:rsidRDefault="0005512A" w:rsidP="0005512A">
            <w:pPr>
              <w:spacing w:before="120" w:after="120"/>
              <w:jc w:val="center"/>
              <w:rPr>
                <w:sz w:val="20"/>
                <w:szCs w:val="24"/>
              </w:rPr>
            </w:pPr>
            <w:r w:rsidRPr="002B2CFC">
              <w:rPr>
                <w:sz w:val="20"/>
                <w:szCs w:val="24"/>
              </w:rPr>
              <w:t>4.9</w:t>
            </w:r>
          </w:p>
        </w:tc>
        <w:tc>
          <w:tcPr>
            <w:tcW w:w="709" w:type="dxa"/>
            <w:vAlign w:val="center"/>
          </w:tcPr>
          <w:p w14:paraId="08899E2E" w14:textId="77777777" w:rsidR="0005512A" w:rsidRPr="002B2CFC" w:rsidRDefault="0005512A" w:rsidP="0005512A">
            <w:pPr>
              <w:spacing w:before="120" w:after="120"/>
              <w:jc w:val="center"/>
              <w:rPr>
                <w:sz w:val="20"/>
                <w:szCs w:val="24"/>
              </w:rPr>
            </w:pPr>
            <w:r w:rsidRPr="002B2CFC">
              <w:rPr>
                <w:sz w:val="20"/>
                <w:szCs w:val="24"/>
              </w:rPr>
              <w:t>5.4</w:t>
            </w:r>
          </w:p>
        </w:tc>
        <w:tc>
          <w:tcPr>
            <w:tcW w:w="709" w:type="dxa"/>
            <w:vAlign w:val="center"/>
          </w:tcPr>
          <w:p w14:paraId="2285FBB7" w14:textId="77777777" w:rsidR="0005512A" w:rsidRPr="002B2CFC" w:rsidRDefault="0005512A" w:rsidP="0005512A">
            <w:pPr>
              <w:spacing w:before="120" w:after="120"/>
              <w:jc w:val="center"/>
              <w:rPr>
                <w:sz w:val="20"/>
                <w:szCs w:val="24"/>
              </w:rPr>
            </w:pPr>
            <w:r w:rsidRPr="002B2CFC">
              <w:rPr>
                <w:sz w:val="20"/>
                <w:szCs w:val="24"/>
              </w:rPr>
              <w:t>4.3</w:t>
            </w:r>
          </w:p>
        </w:tc>
        <w:tc>
          <w:tcPr>
            <w:tcW w:w="850" w:type="dxa"/>
            <w:shd w:val="clear" w:color="auto" w:fill="F2F2F2" w:themeFill="background1" w:themeFillShade="F2"/>
            <w:vAlign w:val="center"/>
          </w:tcPr>
          <w:p w14:paraId="09166D61" w14:textId="77777777" w:rsidR="0005512A" w:rsidRPr="002B2CFC" w:rsidRDefault="0005512A" w:rsidP="0005512A">
            <w:pPr>
              <w:spacing w:before="120" w:after="120"/>
              <w:jc w:val="center"/>
              <w:rPr>
                <w:sz w:val="20"/>
                <w:szCs w:val="24"/>
              </w:rPr>
            </w:pPr>
            <w:r w:rsidRPr="002B2CFC">
              <w:rPr>
                <w:sz w:val="20"/>
                <w:szCs w:val="24"/>
              </w:rPr>
              <w:t>4.8</w:t>
            </w:r>
          </w:p>
        </w:tc>
      </w:tr>
      <w:tr w:rsidR="0005512A" w:rsidRPr="002B2CFC" w14:paraId="1386D391" w14:textId="77777777" w:rsidTr="0005512A">
        <w:tc>
          <w:tcPr>
            <w:tcW w:w="1418" w:type="dxa"/>
            <w:shd w:val="clear" w:color="auto" w:fill="D9D9D9" w:themeFill="background1" w:themeFillShade="D9"/>
            <w:vAlign w:val="center"/>
          </w:tcPr>
          <w:p w14:paraId="061A5BDA" w14:textId="77777777" w:rsidR="0005512A" w:rsidRPr="002B2CFC" w:rsidRDefault="0005512A" w:rsidP="0005512A">
            <w:pPr>
              <w:spacing w:before="120" w:after="120"/>
              <w:jc w:val="center"/>
              <w:rPr>
                <w:sz w:val="20"/>
                <w:szCs w:val="24"/>
              </w:rPr>
            </w:pPr>
            <w:r w:rsidRPr="002B2CFC">
              <w:rPr>
                <w:sz w:val="20"/>
                <w:szCs w:val="24"/>
              </w:rPr>
              <w:t>2 to 7</w:t>
            </w:r>
          </w:p>
        </w:tc>
        <w:tc>
          <w:tcPr>
            <w:tcW w:w="567" w:type="dxa"/>
            <w:vAlign w:val="center"/>
          </w:tcPr>
          <w:p w14:paraId="3C4260B6" w14:textId="77777777" w:rsidR="0005512A" w:rsidRPr="002B2CFC" w:rsidRDefault="0005512A" w:rsidP="0005512A">
            <w:pPr>
              <w:spacing w:before="120" w:after="120"/>
              <w:jc w:val="center"/>
              <w:rPr>
                <w:sz w:val="20"/>
                <w:szCs w:val="24"/>
              </w:rPr>
            </w:pPr>
            <w:r w:rsidRPr="002B2CFC">
              <w:rPr>
                <w:sz w:val="20"/>
                <w:szCs w:val="24"/>
              </w:rPr>
              <w:t>4.9</w:t>
            </w:r>
          </w:p>
        </w:tc>
        <w:tc>
          <w:tcPr>
            <w:tcW w:w="708" w:type="dxa"/>
            <w:vAlign w:val="center"/>
          </w:tcPr>
          <w:p w14:paraId="5984E787" w14:textId="77777777" w:rsidR="0005512A" w:rsidRPr="002B2CFC" w:rsidRDefault="0005512A" w:rsidP="0005512A">
            <w:pPr>
              <w:spacing w:before="120" w:after="120"/>
              <w:jc w:val="center"/>
              <w:rPr>
                <w:sz w:val="20"/>
                <w:szCs w:val="24"/>
              </w:rPr>
            </w:pPr>
            <w:r w:rsidRPr="002B2CFC">
              <w:rPr>
                <w:sz w:val="20"/>
                <w:szCs w:val="24"/>
              </w:rPr>
              <w:t>5.5</w:t>
            </w:r>
          </w:p>
        </w:tc>
        <w:tc>
          <w:tcPr>
            <w:tcW w:w="709" w:type="dxa"/>
            <w:vAlign w:val="center"/>
          </w:tcPr>
          <w:p w14:paraId="5AB315D6" w14:textId="77777777" w:rsidR="0005512A" w:rsidRPr="002B2CFC" w:rsidRDefault="0005512A" w:rsidP="0005512A">
            <w:pPr>
              <w:spacing w:before="120" w:after="120"/>
              <w:jc w:val="center"/>
              <w:rPr>
                <w:sz w:val="20"/>
                <w:szCs w:val="24"/>
              </w:rPr>
            </w:pPr>
            <w:r w:rsidRPr="002B2CFC">
              <w:rPr>
                <w:sz w:val="20"/>
                <w:szCs w:val="24"/>
              </w:rPr>
              <w:t>5.2</w:t>
            </w:r>
          </w:p>
        </w:tc>
        <w:tc>
          <w:tcPr>
            <w:tcW w:w="709" w:type="dxa"/>
            <w:vAlign w:val="center"/>
          </w:tcPr>
          <w:p w14:paraId="23598CE2" w14:textId="77777777" w:rsidR="0005512A" w:rsidRPr="002B2CFC" w:rsidRDefault="0005512A" w:rsidP="0005512A">
            <w:pPr>
              <w:spacing w:before="120" w:after="120"/>
              <w:jc w:val="center"/>
              <w:rPr>
                <w:sz w:val="20"/>
                <w:szCs w:val="24"/>
              </w:rPr>
            </w:pPr>
            <w:r w:rsidRPr="002B2CFC">
              <w:rPr>
                <w:sz w:val="20"/>
                <w:szCs w:val="24"/>
              </w:rPr>
              <w:t>5.4</w:t>
            </w:r>
          </w:p>
        </w:tc>
        <w:tc>
          <w:tcPr>
            <w:tcW w:w="850" w:type="dxa"/>
            <w:tcBorders>
              <w:right w:val="single" w:sz="12" w:space="0" w:color="auto"/>
            </w:tcBorders>
            <w:shd w:val="clear" w:color="auto" w:fill="F2F2F2" w:themeFill="background1" w:themeFillShade="F2"/>
            <w:vAlign w:val="center"/>
          </w:tcPr>
          <w:p w14:paraId="3D7E8149" w14:textId="77777777" w:rsidR="0005512A" w:rsidRPr="002B2CFC" w:rsidRDefault="0005512A" w:rsidP="0005512A">
            <w:pPr>
              <w:spacing w:before="120" w:after="120"/>
              <w:jc w:val="center"/>
              <w:rPr>
                <w:sz w:val="20"/>
                <w:szCs w:val="24"/>
              </w:rPr>
            </w:pPr>
            <w:r w:rsidRPr="002B2CFC">
              <w:rPr>
                <w:sz w:val="20"/>
                <w:szCs w:val="24"/>
              </w:rPr>
              <w:t>4.9</w:t>
            </w:r>
          </w:p>
        </w:tc>
        <w:tc>
          <w:tcPr>
            <w:tcW w:w="709" w:type="dxa"/>
            <w:tcBorders>
              <w:left w:val="single" w:sz="12" w:space="0" w:color="auto"/>
            </w:tcBorders>
            <w:vAlign w:val="center"/>
          </w:tcPr>
          <w:p w14:paraId="3932966D" w14:textId="77777777" w:rsidR="0005512A" w:rsidRPr="002B2CFC" w:rsidRDefault="0005512A" w:rsidP="0005512A">
            <w:pPr>
              <w:spacing w:before="120" w:after="120"/>
              <w:jc w:val="center"/>
              <w:rPr>
                <w:sz w:val="20"/>
                <w:szCs w:val="24"/>
              </w:rPr>
            </w:pPr>
            <w:r w:rsidRPr="002B2CFC">
              <w:rPr>
                <w:sz w:val="20"/>
                <w:szCs w:val="24"/>
              </w:rPr>
              <w:t>4.7</w:t>
            </w:r>
          </w:p>
        </w:tc>
        <w:tc>
          <w:tcPr>
            <w:tcW w:w="709" w:type="dxa"/>
            <w:vAlign w:val="center"/>
          </w:tcPr>
          <w:p w14:paraId="64C1A352" w14:textId="77777777" w:rsidR="0005512A" w:rsidRPr="002B2CFC" w:rsidRDefault="0005512A" w:rsidP="0005512A">
            <w:pPr>
              <w:spacing w:before="120" w:after="120"/>
              <w:jc w:val="center"/>
              <w:rPr>
                <w:sz w:val="20"/>
                <w:szCs w:val="24"/>
              </w:rPr>
            </w:pPr>
            <w:r w:rsidRPr="002B2CFC">
              <w:rPr>
                <w:sz w:val="20"/>
                <w:szCs w:val="24"/>
              </w:rPr>
              <w:t>5.9</w:t>
            </w:r>
          </w:p>
        </w:tc>
        <w:tc>
          <w:tcPr>
            <w:tcW w:w="709" w:type="dxa"/>
            <w:vAlign w:val="center"/>
          </w:tcPr>
          <w:p w14:paraId="73A364D1" w14:textId="77777777" w:rsidR="0005512A" w:rsidRPr="002B2CFC" w:rsidRDefault="0005512A" w:rsidP="0005512A">
            <w:pPr>
              <w:spacing w:before="120" w:after="120"/>
              <w:jc w:val="center"/>
              <w:rPr>
                <w:sz w:val="20"/>
                <w:szCs w:val="24"/>
              </w:rPr>
            </w:pPr>
            <w:r w:rsidRPr="002B2CFC">
              <w:rPr>
                <w:sz w:val="20"/>
                <w:szCs w:val="24"/>
              </w:rPr>
              <w:t>6.1##</w:t>
            </w:r>
          </w:p>
        </w:tc>
        <w:tc>
          <w:tcPr>
            <w:tcW w:w="850" w:type="dxa"/>
            <w:shd w:val="clear" w:color="auto" w:fill="F2F2F2" w:themeFill="background1" w:themeFillShade="F2"/>
            <w:vAlign w:val="center"/>
          </w:tcPr>
          <w:p w14:paraId="5E5F9292" w14:textId="77777777" w:rsidR="0005512A" w:rsidRPr="002B2CFC" w:rsidRDefault="0005512A" w:rsidP="0005512A">
            <w:pPr>
              <w:spacing w:before="120" w:after="120"/>
              <w:jc w:val="center"/>
              <w:rPr>
                <w:sz w:val="20"/>
                <w:szCs w:val="24"/>
              </w:rPr>
            </w:pPr>
            <w:r w:rsidRPr="002B2CFC">
              <w:rPr>
                <w:sz w:val="20"/>
                <w:szCs w:val="24"/>
              </w:rPr>
              <w:t>4.7</w:t>
            </w:r>
          </w:p>
        </w:tc>
      </w:tr>
      <w:tr w:rsidR="0005512A" w:rsidRPr="002B2CFC" w14:paraId="59C8471E" w14:textId="77777777" w:rsidTr="0005512A">
        <w:tc>
          <w:tcPr>
            <w:tcW w:w="1418" w:type="dxa"/>
            <w:shd w:val="clear" w:color="auto" w:fill="D9D9D9" w:themeFill="background1" w:themeFillShade="D9"/>
            <w:vAlign w:val="center"/>
          </w:tcPr>
          <w:p w14:paraId="366F2410" w14:textId="77777777" w:rsidR="0005512A" w:rsidRPr="002B2CFC" w:rsidRDefault="0005512A" w:rsidP="0005512A">
            <w:pPr>
              <w:spacing w:before="120" w:after="120"/>
              <w:jc w:val="center"/>
              <w:rPr>
                <w:sz w:val="20"/>
                <w:szCs w:val="24"/>
              </w:rPr>
            </w:pPr>
            <w:r w:rsidRPr="002B2CFC">
              <w:rPr>
                <w:sz w:val="20"/>
                <w:szCs w:val="24"/>
              </w:rPr>
              <w:t>7 to 8</w:t>
            </w:r>
          </w:p>
        </w:tc>
        <w:tc>
          <w:tcPr>
            <w:tcW w:w="567" w:type="dxa"/>
            <w:vAlign w:val="center"/>
          </w:tcPr>
          <w:p w14:paraId="60C7511A" w14:textId="77777777" w:rsidR="0005512A" w:rsidRPr="002B2CFC" w:rsidRDefault="0005512A" w:rsidP="0005512A">
            <w:pPr>
              <w:spacing w:before="120" w:after="120"/>
              <w:jc w:val="center"/>
              <w:rPr>
                <w:sz w:val="20"/>
                <w:szCs w:val="24"/>
              </w:rPr>
            </w:pPr>
            <w:r w:rsidRPr="002B2CFC">
              <w:rPr>
                <w:sz w:val="20"/>
                <w:szCs w:val="24"/>
              </w:rPr>
              <w:t>4.6</w:t>
            </w:r>
          </w:p>
        </w:tc>
        <w:tc>
          <w:tcPr>
            <w:tcW w:w="708" w:type="dxa"/>
            <w:vAlign w:val="center"/>
          </w:tcPr>
          <w:p w14:paraId="597F43BC" w14:textId="77777777" w:rsidR="0005512A" w:rsidRPr="002B2CFC" w:rsidRDefault="0005512A" w:rsidP="0005512A">
            <w:pPr>
              <w:spacing w:before="120" w:after="120"/>
              <w:jc w:val="center"/>
              <w:rPr>
                <w:sz w:val="20"/>
                <w:szCs w:val="24"/>
              </w:rPr>
            </w:pPr>
            <w:r w:rsidRPr="002B2CFC">
              <w:rPr>
                <w:sz w:val="20"/>
                <w:szCs w:val="24"/>
              </w:rPr>
              <w:t>4.5</w:t>
            </w:r>
          </w:p>
        </w:tc>
        <w:tc>
          <w:tcPr>
            <w:tcW w:w="709" w:type="dxa"/>
            <w:vAlign w:val="center"/>
          </w:tcPr>
          <w:p w14:paraId="025675B7" w14:textId="77777777" w:rsidR="0005512A" w:rsidRPr="002B2CFC" w:rsidRDefault="0005512A" w:rsidP="0005512A">
            <w:pPr>
              <w:spacing w:before="120" w:after="120"/>
              <w:jc w:val="center"/>
              <w:rPr>
                <w:sz w:val="20"/>
                <w:szCs w:val="24"/>
              </w:rPr>
            </w:pPr>
            <w:r w:rsidRPr="002B2CFC">
              <w:rPr>
                <w:sz w:val="20"/>
                <w:szCs w:val="24"/>
              </w:rPr>
              <w:t>4.0</w:t>
            </w:r>
          </w:p>
        </w:tc>
        <w:tc>
          <w:tcPr>
            <w:tcW w:w="709" w:type="dxa"/>
            <w:vAlign w:val="center"/>
          </w:tcPr>
          <w:p w14:paraId="49EEAEF8" w14:textId="77777777" w:rsidR="0005512A" w:rsidRPr="002B2CFC" w:rsidRDefault="0005512A" w:rsidP="0005512A">
            <w:pPr>
              <w:spacing w:before="120" w:after="120"/>
              <w:jc w:val="center"/>
              <w:rPr>
                <w:sz w:val="20"/>
                <w:szCs w:val="24"/>
              </w:rPr>
            </w:pPr>
            <w:r w:rsidRPr="002B2CFC">
              <w:rPr>
                <w:sz w:val="20"/>
                <w:szCs w:val="24"/>
              </w:rPr>
              <w:t>3.3*</w:t>
            </w:r>
          </w:p>
        </w:tc>
        <w:tc>
          <w:tcPr>
            <w:tcW w:w="850" w:type="dxa"/>
            <w:tcBorders>
              <w:right w:val="single" w:sz="12" w:space="0" w:color="auto"/>
            </w:tcBorders>
            <w:shd w:val="clear" w:color="auto" w:fill="F2F2F2" w:themeFill="background1" w:themeFillShade="F2"/>
            <w:vAlign w:val="center"/>
          </w:tcPr>
          <w:p w14:paraId="64BB307E" w14:textId="77777777" w:rsidR="0005512A" w:rsidRPr="002B2CFC" w:rsidRDefault="0005512A" w:rsidP="0005512A">
            <w:pPr>
              <w:spacing w:before="120" w:after="120"/>
              <w:jc w:val="center"/>
              <w:rPr>
                <w:sz w:val="20"/>
                <w:szCs w:val="24"/>
              </w:rPr>
            </w:pPr>
            <w:r w:rsidRPr="002B2CFC">
              <w:rPr>
                <w:sz w:val="20"/>
                <w:szCs w:val="24"/>
              </w:rPr>
              <w:t>4.6</w:t>
            </w:r>
          </w:p>
        </w:tc>
        <w:tc>
          <w:tcPr>
            <w:tcW w:w="709" w:type="dxa"/>
            <w:tcBorders>
              <w:left w:val="single" w:sz="12" w:space="0" w:color="auto"/>
            </w:tcBorders>
            <w:vAlign w:val="center"/>
          </w:tcPr>
          <w:p w14:paraId="7C403ECA" w14:textId="77777777" w:rsidR="0005512A" w:rsidRPr="002B2CFC" w:rsidRDefault="0005512A" w:rsidP="0005512A">
            <w:pPr>
              <w:spacing w:before="120" w:after="120"/>
              <w:jc w:val="center"/>
              <w:rPr>
                <w:sz w:val="20"/>
                <w:szCs w:val="24"/>
              </w:rPr>
            </w:pPr>
            <w:r w:rsidRPr="002B2CFC">
              <w:rPr>
                <w:sz w:val="20"/>
                <w:szCs w:val="24"/>
              </w:rPr>
              <w:t>4.3</w:t>
            </w:r>
          </w:p>
        </w:tc>
        <w:tc>
          <w:tcPr>
            <w:tcW w:w="709" w:type="dxa"/>
            <w:vAlign w:val="center"/>
          </w:tcPr>
          <w:p w14:paraId="47B5D699" w14:textId="77777777" w:rsidR="0005512A" w:rsidRPr="002B2CFC" w:rsidRDefault="0005512A" w:rsidP="0005512A">
            <w:pPr>
              <w:spacing w:before="120" w:after="120"/>
              <w:jc w:val="center"/>
              <w:rPr>
                <w:sz w:val="20"/>
                <w:szCs w:val="24"/>
              </w:rPr>
            </w:pPr>
            <w:r w:rsidRPr="002B2CFC">
              <w:rPr>
                <w:sz w:val="20"/>
                <w:szCs w:val="24"/>
              </w:rPr>
              <w:t>4.9</w:t>
            </w:r>
          </w:p>
        </w:tc>
        <w:tc>
          <w:tcPr>
            <w:tcW w:w="709" w:type="dxa"/>
            <w:vAlign w:val="center"/>
          </w:tcPr>
          <w:p w14:paraId="25F6984E" w14:textId="77777777" w:rsidR="0005512A" w:rsidRPr="002B2CFC" w:rsidRDefault="0005512A" w:rsidP="0005512A">
            <w:pPr>
              <w:spacing w:before="120" w:after="120"/>
              <w:jc w:val="center"/>
              <w:rPr>
                <w:sz w:val="20"/>
                <w:szCs w:val="24"/>
              </w:rPr>
            </w:pPr>
            <w:r w:rsidRPr="002B2CFC">
              <w:rPr>
                <w:sz w:val="20"/>
                <w:szCs w:val="24"/>
              </w:rPr>
              <w:t>3.8</w:t>
            </w:r>
          </w:p>
        </w:tc>
        <w:tc>
          <w:tcPr>
            <w:tcW w:w="850" w:type="dxa"/>
            <w:shd w:val="clear" w:color="auto" w:fill="F2F2F2" w:themeFill="background1" w:themeFillShade="F2"/>
            <w:vAlign w:val="center"/>
          </w:tcPr>
          <w:p w14:paraId="003DB152" w14:textId="77777777" w:rsidR="0005512A" w:rsidRPr="002B2CFC" w:rsidRDefault="0005512A" w:rsidP="0005512A">
            <w:pPr>
              <w:spacing w:before="120" w:after="120"/>
              <w:jc w:val="center"/>
              <w:rPr>
                <w:sz w:val="20"/>
                <w:szCs w:val="24"/>
              </w:rPr>
            </w:pPr>
            <w:r w:rsidRPr="002B2CFC">
              <w:rPr>
                <w:sz w:val="20"/>
                <w:szCs w:val="24"/>
              </w:rPr>
              <w:t>5.5**</w:t>
            </w:r>
          </w:p>
        </w:tc>
      </w:tr>
      <w:tr w:rsidR="0005512A" w:rsidRPr="002B2CFC" w14:paraId="7B49D1FA" w14:textId="77777777" w:rsidTr="0005512A">
        <w:tc>
          <w:tcPr>
            <w:tcW w:w="1418" w:type="dxa"/>
            <w:shd w:val="clear" w:color="auto" w:fill="D9D9D9" w:themeFill="background1" w:themeFillShade="D9"/>
            <w:vAlign w:val="center"/>
          </w:tcPr>
          <w:p w14:paraId="735D29CE" w14:textId="77777777" w:rsidR="0005512A" w:rsidRPr="002B2CFC" w:rsidRDefault="0005512A" w:rsidP="0005512A">
            <w:pPr>
              <w:spacing w:before="120" w:after="120"/>
              <w:jc w:val="center"/>
              <w:rPr>
                <w:sz w:val="20"/>
                <w:szCs w:val="24"/>
              </w:rPr>
            </w:pPr>
            <w:r w:rsidRPr="002B2CFC">
              <w:rPr>
                <w:sz w:val="20"/>
                <w:szCs w:val="24"/>
              </w:rPr>
              <w:t>8 to 9</w:t>
            </w:r>
          </w:p>
        </w:tc>
        <w:tc>
          <w:tcPr>
            <w:tcW w:w="567" w:type="dxa"/>
            <w:vAlign w:val="center"/>
          </w:tcPr>
          <w:p w14:paraId="5819BF3E" w14:textId="77777777" w:rsidR="0005512A" w:rsidRPr="002B2CFC" w:rsidRDefault="0005512A" w:rsidP="0005512A">
            <w:pPr>
              <w:spacing w:before="120" w:after="120"/>
              <w:jc w:val="center"/>
              <w:rPr>
                <w:sz w:val="20"/>
                <w:szCs w:val="24"/>
              </w:rPr>
            </w:pPr>
            <w:r w:rsidRPr="002B2CFC">
              <w:rPr>
                <w:sz w:val="20"/>
                <w:szCs w:val="24"/>
              </w:rPr>
              <w:t>5.0</w:t>
            </w:r>
          </w:p>
        </w:tc>
        <w:tc>
          <w:tcPr>
            <w:tcW w:w="708" w:type="dxa"/>
            <w:vAlign w:val="center"/>
          </w:tcPr>
          <w:p w14:paraId="6ECA8DA7" w14:textId="77777777" w:rsidR="0005512A" w:rsidRPr="002B2CFC" w:rsidRDefault="0005512A" w:rsidP="0005512A">
            <w:pPr>
              <w:spacing w:before="120" w:after="120"/>
              <w:jc w:val="center"/>
              <w:rPr>
                <w:sz w:val="20"/>
                <w:szCs w:val="24"/>
              </w:rPr>
            </w:pPr>
            <w:r w:rsidRPr="002B2CFC">
              <w:rPr>
                <w:sz w:val="20"/>
                <w:szCs w:val="24"/>
              </w:rPr>
              <w:t>4.8</w:t>
            </w:r>
          </w:p>
        </w:tc>
        <w:tc>
          <w:tcPr>
            <w:tcW w:w="709" w:type="dxa"/>
            <w:vAlign w:val="center"/>
          </w:tcPr>
          <w:p w14:paraId="6BA94197" w14:textId="77777777" w:rsidR="0005512A" w:rsidRPr="002B2CFC" w:rsidRDefault="0005512A" w:rsidP="0005512A">
            <w:pPr>
              <w:spacing w:before="120" w:after="120"/>
              <w:jc w:val="center"/>
              <w:rPr>
                <w:sz w:val="20"/>
                <w:szCs w:val="24"/>
              </w:rPr>
            </w:pPr>
            <w:r w:rsidRPr="002B2CFC">
              <w:rPr>
                <w:sz w:val="20"/>
                <w:szCs w:val="24"/>
              </w:rPr>
              <w:t>4.3</w:t>
            </w:r>
          </w:p>
        </w:tc>
        <w:tc>
          <w:tcPr>
            <w:tcW w:w="709" w:type="dxa"/>
            <w:vAlign w:val="center"/>
          </w:tcPr>
          <w:p w14:paraId="57463CDC" w14:textId="77777777" w:rsidR="0005512A" w:rsidRPr="002B2CFC" w:rsidRDefault="0005512A" w:rsidP="0005512A">
            <w:pPr>
              <w:spacing w:before="120" w:after="120"/>
              <w:jc w:val="center"/>
              <w:rPr>
                <w:sz w:val="20"/>
                <w:szCs w:val="24"/>
              </w:rPr>
            </w:pPr>
            <w:r w:rsidRPr="002B2CFC">
              <w:rPr>
                <w:sz w:val="20"/>
                <w:szCs w:val="24"/>
              </w:rPr>
              <w:t>4.6</w:t>
            </w:r>
          </w:p>
        </w:tc>
        <w:tc>
          <w:tcPr>
            <w:tcW w:w="850" w:type="dxa"/>
            <w:tcBorders>
              <w:right w:val="single" w:sz="12" w:space="0" w:color="auto"/>
            </w:tcBorders>
            <w:shd w:val="clear" w:color="auto" w:fill="F2F2F2" w:themeFill="background1" w:themeFillShade="F2"/>
            <w:vAlign w:val="center"/>
          </w:tcPr>
          <w:p w14:paraId="3C999944" w14:textId="77777777" w:rsidR="0005512A" w:rsidRPr="002B2CFC" w:rsidRDefault="0005512A" w:rsidP="0005512A">
            <w:pPr>
              <w:spacing w:before="120" w:after="120"/>
              <w:jc w:val="center"/>
              <w:rPr>
                <w:sz w:val="20"/>
                <w:szCs w:val="24"/>
              </w:rPr>
            </w:pPr>
            <w:r w:rsidRPr="002B2CFC">
              <w:rPr>
                <w:sz w:val="20"/>
                <w:szCs w:val="24"/>
              </w:rPr>
              <w:t>4.9</w:t>
            </w:r>
          </w:p>
        </w:tc>
        <w:tc>
          <w:tcPr>
            <w:tcW w:w="709" w:type="dxa"/>
            <w:tcBorders>
              <w:left w:val="single" w:sz="12" w:space="0" w:color="auto"/>
            </w:tcBorders>
            <w:vAlign w:val="center"/>
          </w:tcPr>
          <w:p w14:paraId="6B999B45" w14:textId="77777777" w:rsidR="0005512A" w:rsidRPr="002B2CFC" w:rsidRDefault="0005512A" w:rsidP="0005512A">
            <w:pPr>
              <w:spacing w:before="120" w:after="120"/>
              <w:jc w:val="center"/>
              <w:rPr>
                <w:sz w:val="20"/>
                <w:szCs w:val="24"/>
              </w:rPr>
            </w:pPr>
            <w:r w:rsidRPr="002B2CFC">
              <w:rPr>
                <w:sz w:val="20"/>
                <w:szCs w:val="24"/>
              </w:rPr>
              <w:t>4.8</w:t>
            </w:r>
          </w:p>
        </w:tc>
        <w:tc>
          <w:tcPr>
            <w:tcW w:w="709" w:type="dxa"/>
            <w:vAlign w:val="center"/>
          </w:tcPr>
          <w:p w14:paraId="7EE69089" w14:textId="77777777" w:rsidR="0005512A" w:rsidRPr="002B2CFC" w:rsidRDefault="0005512A" w:rsidP="0005512A">
            <w:pPr>
              <w:spacing w:before="120" w:after="120"/>
              <w:jc w:val="center"/>
              <w:rPr>
                <w:sz w:val="20"/>
                <w:szCs w:val="24"/>
              </w:rPr>
            </w:pPr>
            <w:r w:rsidRPr="002B2CFC">
              <w:rPr>
                <w:sz w:val="20"/>
                <w:szCs w:val="24"/>
              </w:rPr>
              <w:t>4.3</w:t>
            </w:r>
          </w:p>
        </w:tc>
        <w:tc>
          <w:tcPr>
            <w:tcW w:w="709" w:type="dxa"/>
            <w:vAlign w:val="center"/>
          </w:tcPr>
          <w:p w14:paraId="6E43DC51" w14:textId="77777777" w:rsidR="0005512A" w:rsidRPr="002B2CFC" w:rsidRDefault="0005512A" w:rsidP="0005512A">
            <w:pPr>
              <w:spacing w:before="120" w:after="120"/>
              <w:jc w:val="center"/>
              <w:rPr>
                <w:sz w:val="20"/>
                <w:szCs w:val="24"/>
              </w:rPr>
            </w:pPr>
            <w:r w:rsidRPr="002B2CFC">
              <w:rPr>
                <w:sz w:val="20"/>
                <w:szCs w:val="24"/>
              </w:rPr>
              <w:t>4.8</w:t>
            </w:r>
          </w:p>
        </w:tc>
        <w:tc>
          <w:tcPr>
            <w:tcW w:w="850" w:type="dxa"/>
            <w:shd w:val="clear" w:color="auto" w:fill="F2F2F2" w:themeFill="background1" w:themeFillShade="F2"/>
            <w:vAlign w:val="center"/>
          </w:tcPr>
          <w:p w14:paraId="3C67F5B4" w14:textId="77777777" w:rsidR="0005512A" w:rsidRPr="002B2CFC" w:rsidRDefault="0005512A" w:rsidP="0005512A">
            <w:pPr>
              <w:spacing w:before="120" w:after="120"/>
              <w:jc w:val="center"/>
              <w:rPr>
                <w:sz w:val="20"/>
                <w:szCs w:val="24"/>
              </w:rPr>
            </w:pPr>
            <w:r w:rsidRPr="002B2CFC">
              <w:rPr>
                <w:sz w:val="20"/>
                <w:szCs w:val="24"/>
              </w:rPr>
              <w:t>5.0</w:t>
            </w:r>
          </w:p>
        </w:tc>
      </w:tr>
      <w:tr w:rsidR="0005512A" w:rsidRPr="002B2CFC" w14:paraId="665300BA" w14:textId="77777777" w:rsidTr="0005512A">
        <w:tc>
          <w:tcPr>
            <w:tcW w:w="1418" w:type="dxa"/>
            <w:shd w:val="clear" w:color="auto" w:fill="D9D9D9" w:themeFill="background1" w:themeFillShade="D9"/>
            <w:vAlign w:val="center"/>
          </w:tcPr>
          <w:p w14:paraId="5A0970FC" w14:textId="77777777" w:rsidR="0005512A" w:rsidRPr="002B2CFC" w:rsidRDefault="0005512A" w:rsidP="0005512A">
            <w:pPr>
              <w:spacing w:before="120" w:after="120"/>
              <w:jc w:val="center"/>
              <w:rPr>
                <w:sz w:val="20"/>
                <w:szCs w:val="24"/>
              </w:rPr>
            </w:pPr>
            <w:r w:rsidRPr="002B2CFC">
              <w:rPr>
                <w:sz w:val="20"/>
                <w:szCs w:val="24"/>
              </w:rPr>
              <w:t>9 to 14</w:t>
            </w:r>
          </w:p>
        </w:tc>
        <w:tc>
          <w:tcPr>
            <w:tcW w:w="567" w:type="dxa"/>
            <w:vAlign w:val="center"/>
          </w:tcPr>
          <w:p w14:paraId="3740557B" w14:textId="77777777" w:rsidR="0005512A" w:rsidRPr="002B2CFC" w:rsidRDefault="0005512A" w:rsidP="0005512A">
            <w:pPr>
              <w:spacing w:before="120" w:after="120"/>
              <w:jc w:val="center"/>
              <w:rPr>
                <w:sz w:val="20"/>
                <w:szCs w:val="24"/>
              </w:rPr>
            </w:pPr>
            <w:r w:rsidRPr="002B2CFC">
              <w:rPr>
                <w:sz w:val="20"/>
                <w:szCs w:val="24"/>
              </w:rPr>
              <w:t>5.0</w:t>
            </w:r>
          </w:p>
        </w:tc>
        <w:tc>
          <w:tcPr>
            <w:tcW w:w="708" w:type="dxa"/>
            <w:vAlign w:val="center"/>
          </w:tcPr>
          <w:p w14:paraId="3A1C12AC" w14:textId="77777777" w:rsidR="0005512A" w:rsidRPr="002B2CFC" w:rsidRDefault="0005512A" w:rsidP="0005512A">
            <w:pPr>
              <w:spacing w:before="120" w:after="120"/>
              <w:jc w:val="center"/>
              <w:rPr>
                <w:sz w:val="20"/>
                <w:szCs w:val="24"/>
              </w:rPr>
            </w:pPr>
            <w:r w:rsidRPr="002B2CFC">
              <w:rPr>
                <w:sz w:val="20"/>
                <w:szCs w:val="24"/>
              </w:rPr>
              <w:t>5.2</w:t>
            </w:r>
          </w:p>
        </w:tc>
        <w:tc>
          <w:tcPr>
            <w:tcW w:w="709" w:type="dxa"/>
            <w:vAlign w:val="center"/>
          </w:tcPr>
          <w:p w14:paraId="620512CB" w14:textId="77777777" w:rsidR="0005512A" w:rsidRPr="002B2CFC" w:rsidRDefault="0005512A" w:rsidP="0005512A">
            <w:pPr>
              <w:spacing w:before="120" w:after="120"/>
              <w:jc w:val="center"/>
              <w:rPr>
                <w:sz w:val="20"/>
                <w:szCs w:val="24"/>
              </w:rPr>
            </w:pPr>
            <w:r w:rsidRPr="002B2CFC">
              <w:rPr>
                <w:sz w:val="20"/>
                <w:szCs w:val="24"/>
              </w:rPr>
              <w:t>4.8</w:t>
            </w:r>
          </w:p>
        </w:tc>
        <w:tc>
          <w:tcPr>
            <w:tcW w:w="709" w:type="dxa"/>
            <w:vAlign w:val="center"/>
          </w:tcPr>
          <w:p w14:paraId="77AEEC6E" w14:textId="77777777" w:rsidR="0005512A" w:rsidRPr="002B2CFC" w:rsidRDefault="0005512A" w:rsidP="0005512A">
            <w:pPr>
              <w:spacing w:before="120" w:after="120"/>
              <w:jc w:val="center"/>
              <w:rPr>
                <w:sz w:val="20"/>
                <w:szCs w:val="24"/>
              </w:rPr>
            </w:pPr>
            <w:r w:rsidRPr="002B2CFC">
              <w:rPr>
                <w:sz w:val="20"/>
                <w:szCs w:val="24"/>
              </w:rPr>
              <w:t>4.8</w:t>
            </w:r>
          </w:p>
        </w:tc>
        <w:tc>
          <w:tcPr>
            <w:tcW w:w="850" w:type="dxa"/>
            <w:tcBorders>
              <w:right w:val="single" w:sz="12" w:space="0" w:color="auto"/>
            </w:tcBorders>
            <w:shd w:val="clear" w:color="auto" w:fill="F2F2F2" w:themeFill="background1" w:themeFillShade="F2"/>
            <w:vAlign w:val="center"/>
          </w:tcPr>
          <w:p w14:paraId="0CB12D61" w14:textId="77777777" w:rsidR="0005512A" w:rsidRPr="002B2CFC" w:rsidRDefault="0005512A" w:rsidP="0005512A">
            <w:pPr>
              <w:spacing w:before="120" w:after="120"/>
              <w:jc w:val="center"/>
              <w:rPr>
                <w:sz w:val="20"/>
                <w:szCs w:val="24"/>
              </w:rPr>
            </w:pPr>
            <w:r w:rsidRPr="002B2CFC">
              <w:rPr>
                <w:sz w:val="20"/>
                <w:szCs w:val="24"/>
              </w:rPr>
              <w:t>5.0</w:t>
            </w:r>
          </w:p>
        </w:tc>
        <w:tc>
          <w:tcPr>
            <w:tcW w:w="709" w:type="dxa"/>
            <w:tcBorders>
              <w:left w:val="single" w:sz="12" w:space="0" w:color="auto"/>
            </w:tcBorders>
            <w:vAlign w:val="center"/>
          </w:tcPr>
          <w:p w14:paraId="042687A2" w14:textId="77777777" w:rsidR="0005512A" w:rsidRPr="002B2CFC" w:rsidRDefault="0005512A" w:rsidP="0005512A">
            <w:pPr>
              <w:spacing w:before="120" w:after="120"/>
              <w:jc w:val="center"/>
              <w:rPr>
                <w:sz w:val="20"/>
                <w:szCs w:val="24"/>
              </w:rPr>
            </w:pPr>
            <w:r w:rsidRPr="002B2CFC">
              <w:rPr>
                <w:sz w:val="20"/>
                <w:szCs w:val="24"/>
              </w:rPr>
              <w:t>4.8</w:t>
            </w:r>
          </w:p>
        </w:tc>
        <w:tc>
          <w:tcPr>
            <w:tcW w:w="709" w:type="dxa"/>
            <w:vAlign w:val="center"/>
          </w:tcPr>
          <w:p w14:paraId="552DF777" w14:textId="77777777" w:rsidR="0005512A" w:rsidRPr="002B2CFC" w:rsidRDefault="0005512A" w:rsidP="0005512A">
            <w:pPr>
              <w:spacing w:before="120" w:after="120"/>
              <w:jc w:val="center"/>
              <w:rPr>
                <w:sz w:val="20"/>
                <w:szCs w:val="24"/>
              </w:rPr>
            </w:pPr>
            <w:r w:rsidRPr="002B2CFC">
              <w:rPr>
                <w:sz w:val="20"/>
                <w:szCs w:val="24"/>
              </w:rPr>
              <w:t>5.4</w:t>
            </w:r>
          </w:p>
        </w:tc>
        <w:tc>
          <w:tcPr>
            <w:tcW w:w="709" w:type="dxa"/>
            <w:vAlign w:val="center"/>
          </w:tcPr>
          <w:p w14:paraId="5F7B711C" w14:textId="77777777" w:rsidR="0005512A" w:rsidRPr="002B2CFC" w:rsidRDefault="0005512A" w:rsidP="0005512A">
            <w:pPr>
              <w:spacing w:before="120" w:after="120"/>
              <w:jc w:val="center"/>
              <w:rPr>
                <w:sz w:val="20"/>
                <w:szCs w:val="24"/>
              </w:rPr>
            </w:pPr>
            <w:r w:rsidRPr="002B2CFC">
              <w:rPr>
                <w:sz w:val="20"/>
                <w:szCs w:val="24"/>
              </w:rPr>
              <w:t>5.4</w:t>
            </w:r>
          </w:p>
        </w:tc>
        <w:tc>
          <w:tcPr>
            <w:tcW w:w="850" w:type="dxa"/>
            <w:shd w:val="clear" w:color="auto" w:fill="F2F2F2" w:themeFill="background1" w:themeFillShade="F2"/>
            <w:vAlign w:val="center"/>
          </w:tcPr>
          <w:p w14:paraId="1DAF3A0F" w14:textId="77777777" w:rsidR="0005512A" w:rsidRPr="002B2CFC" w:rsidRDefault="0005512A" w:rsidP="0005512A">
            <w:pPr>
              <w:spacing w:before="120" w:after="120"/>
              <w:jc w:val="center"/>
              <w:rPr>
                <w:sz w:val="20"/>
                <w:szCs w:val="24"/>
              </w:rPr>
            </w:pPr>
            <w:r w:rsidRPr="002B2CFC">
              <w:rPr>
                <w:sz w:val="20"/>
                <w:szCs w:val="24"/>
              </w:rPr>
              <w:t>4.9</w:t>
            </w:r>
          </w:p>
        </w:tc>
      </w:tr>
      <w:tr w:rsidR="0005512A" w:rsidRPr="002B2CFC" w14:paraId="4CDB86D6" w14:textId="77777777" w:rsidTr="0005512A">
        <w:tc>
          <w:tcPr>
            <w:tcW w:w="1418" w:type="dxa"/>
            <w:shd w:val="clear" w:color="auto" w:fill="D9D9D9" w:themeFill="background1" w:themeFillShade="D9"/>
            <w:vAlign w:val="center"/>
          </w:tcPr>
          <w:p w14:paraId="194FD104" w14:textId="77777777" w:rsidR="0005512A" w:rsidRPr="002B2CFC" w:rsidRDefault="0005512A" w:rsidP="0005512A">
            <w:pPr>
              <w:spacing w:before="120" w:after="120"/>
              <w:jc w:val="center"/>
              <w:rPr>
                <w:sz w:val="20"/>
                <w:szCs w:val="24"/>
              </w:rPr>
            </w:pPr>
            <w:r w:rsidRPr="002B2CFC">
              <w:rPr>
                <w:sz w:val="20"/>
                <w:szCs w:val="24"/>
              </w:rPr>
              <w:t>14 to 15</w:t>
            </w:r>
          </w:p>
        </w:tc>
        <w:tc>
          <w:tcPr>
            <w:tcW w:w="567" w:type="dxa"/>
            <w:vAlign w:val="center"/>
          </w:tcPr>
          <w:p w14:paraId="26123A15" w14:textId="77777777" w:rsidR="0005512A" w:rsidRPr="002B2CFC" w:rsidRDefault="0005512A" w:rsidP="0005512A">
            <w:pPr>
              <w:spacing w:before="120" w:after="120"/>
              <w:jc w:val="center"/>
              <w:rPr>
                <w:sz w:val="20"/>
                <w:szCs w:val="24"/>
              </w:rPr>
            </w:pPr>
            <w:r w:rsidRPr="002B2CFC">
              <w:rPr>
                <w:sz w:val="20"/>
                <w:szCs w:val="24"/>
              </w:rPr>
              <w:t>4.9</w:t>
            </w:r>
          </w:p>
        </w:tc>
        <w:tc>
          <w:tcPr>
            <w:tcW w:w="708" w:type="dxa"/>
            <w:vAlign w:val="center"/>
          </w:tcPr>
          <w:p w14:paraId="244AF0E0" w14:textId="77777777" w:rsidR="0005512A" w:rsidRPr="002B2CFC" w:rsidRDefault="0005512A" w:rsidP="0005512A">
            <w:pPr>
              <w:spacing w:before="120" w:after="120"/>
              <w:jc w:val="center"/>
              <w:rPr>
                <w:sz w:val="20"/>
                <w:szCs w:val="24"/>
              </w:rPr>
            </w:pPr>
            <w:r w:rsidRPr="002B2CFC">
              <w:rPr>
                <w:sz w:val="20"/>
                <w:szCs w:val="24"/>
              </w:rPr>
              <w:t>4.6</w:t>
            </w:r>
          </w:p>
        </w:tc>
        <w:tc>
          <w:tcPr>
            <w:tcW w:w="709" w:type="dxa"/>
            <w:vAlign w:val="center"/>
          </w:tcPr>
          <w:p w14:paraId="6A079285" w14:textId="77777777" w:rsidR="0005512A" w:rsidRPr="002B2CFC" w:rsidRDefault="0005512A" w:rsidP="0005512A">
            <w:pPr>
              <w:spacing w:before="120" w:after="120"/>
              <w:jc w:val="center"/>
              <w:rPr>
                <w:sz w:val="20"/>
                <w:szCs w:val="24"/>
              </w:rPr>
            </w:pPr>
            <w:r w:rsidRPr="002B2CFC">
              <w:rPr>
                <w:sz w:val="20"/>
                <w:szCs w:val="24"/>
              </w:rPr>
              <w:t>4.3</w:t>
            </w:r>
          </w:p>
        </w:tc>
        <w:tc>
          <w:tcPr>
            <w:tcW w:w="709" w:type="dxa"/>
            <w:vAlign w:val="center"/>
          </w:tcPr>
          <w:p w14:paraId="3F8CEDA8" w14:textId="77777777" w:rsidR="0005512A" w:rsidRPr="002B2CFC" w:rsidRDefault="0005512A" w:rsidP="0005512A">
            <w:pPr>
              <w:spacing w:before="120" w:after="120"/>
              <w:jc w:val="center"/>
              <w:rPr>
                <w:sz w:val="20"/>
                <w:szCs w:val="24"/>
              </w:rPr>
            </w:pPr>
            <w:r w:rsidRPr="002B2CFC">
              <w:rPr>
                <w:sz w:val="20"/>
                <w:szCs w:val="24"/>
              </w:rPr>
              <w:t>4.0</w:t>
            </w:r>
          </w:p>
        </w:tc>
        <w:tc>
          <w:tcPr>
            <w:tcW w:w="850" w:type="dxa"/>
            <w:tcBorders>
              <w:right w:val="single" w:sz="12" w:space="0" w:color="auto"/>
            </w:tcBorders>
            <w:shd w:val="clear" w:color="auto" w:fill="F2F2F2" w:themeFill="background1" w:themeFillShade="F2"/>
            <w:vAlign w:val="center"/>
          </w:tcPr>
          <w:p w14:paraId="1C860ABE" w14:textId="77777777" w:rsidR="0005512A" w:rsidRPr="002B2CFC" w:rsidRDefault="0005512A" w:rsidP="0005512A">
            <w:pPr>
              <w:spacing w:before="120" w:after="120"/>
              <w:jc w:val="center"/>
              <w:rPr>
                <w:sz w:val="20"/>
                <w:szCs w:val="24"/>
              </w:rPr>
            </w:pPr>
            <w:r w:rsidRPr="002B2CFC">
              <w:rPr>
                <w:sz w:val="20"/>
                <w:szCs w:val="24"/>
              </w:rPr>
              <w:t>2.3#</w:t>
            </w:r>
          </w:p>
        </w:tc>
        <w:tc>
          <w:tcPr>
            <w:tcW w:w="709" w:type="dxa"/>
            <w:tcBorders>
              <w:left w:val="single" w:sz="12" w:space="0" w:color="auto"/>
            </w:tcBorders>
            <w:vAlign w:val="center"/>
          </w:tcPr>
          <w:p w14:paraId="5D56E427" w14:textId="77777777" w:rsidR="0005512A" w:rsidRPr="002B2CFC" w:rsidRDefault="0005512A" w:rsidP="0005512A">
            <w:pPr>
              <w:spacing w:before="120" w:after="120"/>
              <w:jc w:val="center"/>
              <w:rPr>
                <w:sz w:val="20"/>
                <w:szCs w:val="24"/>
              </w:rPr>
            </w:pPr>
            <w:r w:rsidRPr="002B2CFC">
              <w:rPr>
                <w:sz w:val="20"/>
                <w:szCs w:val="24"/>
              </w:rPr>
              <w:t>4.5</w:t>
            </w:r>
          </w:p>
        </w:tc>
        <w:tc>
          <w:tcPr>
            <w:tcW w:w="709" w:type="dxa"/>
            <w:vAlign w:val="center"/>
          </w:tcPr>
          <w:p w14:paraId="697B90CB" w14:textId="77777777" w:rsidR="0005512A" w:rsidRPr="002B2CFC" w:rsidRDefault="0005512A" w:rsidP="0005512A">
            <w:pPr>
              <w:spacing w:before="120" w:after="120"/>
              <w:jc w:val="center"/>
              <w:rPr>
                <w:sz w:val="20"/>
                <w:szCs w:val="24"/>
              </w:rPr>
            </w:pPr>
            <w:r w:rsidRPr="002B2CFC">
              <w:rPr>
                <w:sz w:val="20"/>
                <w:szCs w:val="24"/>
              </w:rPr>
              <w:t>4.4</w:t>
            </w:r>
          </w:p>
        </w:tc>
        <w:tc>
          <w:tcPr>
            <w:tcW w:w="709" w:type="dxa"/>
            <w:vAlign w:val="center"/>
          </w:tcPr>
          <w:p w14:paraId="446EB9C7" w14:textId="77777777" w:rsidR="0005512A" w:rsidRPr="002B2CFC" w:rsidRDefault="0005512A" w:rsidP="0005512A">
            <w:pPr>
              <w:spacing w:before="120" w:after="120"/>
              <w:jc w:val="center"/>
              <w:rPr>
                <w:sz w:val="20"/>
                <w:szCs w:val="24"/>
              </w:rPr>
            </w:pPr>
            <w:r w:rsidRPr="002B2CFC">
              <w:rPr>
                <w:sz w:val="20"/>
                <w:szCs w:val="24"/>
              </w:rPr>
              <w:t>5.3</w:t>
            </w:r>
          </w:p>
        </w:tc>
        <w:tc>
          <w:tcPr>
            <w:tcW w:w="850" w:type="dxa"/>
            <w:shd w:val="clear" w:color="auto" w:fill="F2F2F2" w:themeFill="background1" w:themeFillShade="F2"/>
            <w:vAlign w:val="center"/>
          </w:tcPr>
          <w:p w14:paraId="66D9CEB3" w14:textId="77777777" w:rsidR="0005512A" w:rsidRPr="002B2CFC" w:rsidRDefault="0005512A" w:rsidP="0005512A">
            <w:pPr>
              <w:spacing w:before="120" w:after="120"/>
              <w:jc w:val="center"/>
              <w:rPr>
                <w:sz w:val="20"/>
                <w:szCs w:val="24"/>
              </w:rPr>
            </w:pPr>
            <w:r w:rsidRPr="002B2CFC">
              <w:rPr>
                <w:sz w:val="20"/>
                <w:szCs w:val="24"/>
              </w:rPr>
              <w:t>1.8#</w:t>
            </w:r>
          </w:p>
        </w:tc>
      </w:tr>
      <w:tr w:rsidR="0005512A" w:rsidRPr="002B2CFC" w14:paraId="59F86D40" w14:textId="77777777" w:rsidTr="0005512A">
        <w:tc>
          <w:tcPr>
            <w:tcW w:w="1418" w:type="dxa"/>
            <w:shd w:val="clear" w:color="auto" w:fill="D9D9D9" w:themeFill="background1" w:themeFillShade="D9"/>
            <w:vAlign w:val="center"/>
          </w:tcPr>
          <w:p w14:paraId="1CD0A978" w14:textId="77777777" w:rsidR="0005512A" w:rsidRPr="002B2CFC" w:rsidRDefault="0005512A" w:rsidP="0005512A">
            <w:pPr>
              <w:spacing w:before="120" w:after="120"/>
              <w:jc w:val="center"/>
              <w:rPr>
                <w:sz w:val="20"/>
                <w:szCs w:val="24"/>
              </w:rPr>
            </w:pPr>
            <w:r w:rsidRPr="002B2CFC">
              <w:rPr>
                <w:sz w:val="20"/>
                <w:szCs w:val="24"/>
              </w:rPr>
              <w:t>15 to 16</w:t>
            </w:r>
          </w:p>
        </w:tc>
        <w:tc>
          <w:tcPr>
            <w:tcW w:w="567" w:type="dxa"/>
            <w:vAlign w:val="center"/>
          </w:tcPr>
          <w:p w14:paraId="0C021F63" w14:textId="77777777" w:rsidR="0005512A" w:rsidRPr="002B2CFC" w:rsidRDefault="0005512A" w:rsidP="0005512A">
            <w:pPr>
              <w:spacing w:before="120" w:after="120"/>
              <w:jc w:val="center"/>
              <w:rPr>
                <w:sz w:val="20"/>
                <w:szCs w:val="24"/>
              </w:rPr>
            </w:pPr>
            <w:r w:rsidRPr="002B2CFC">
              <w:rPr>
                <w:sz w:val="20"/>
                <w:szCs w:val="24"/>
              </w:rPr>
              <w:t>4.7</w:t>
            </w:r>
          </w:p>
        </w:tc>
        <w:tc>
          <w:tcPr>
            <w:tcW w:w="708" w:type="dxa"/>
            <w:vAlign w:val="center"/>
          </w:tcPr>
          <w:p w14:paraId="487AD4AF" w14:textId="77777777" w:rsidR="0005512A" w:rsidRPr="002B2CFC" w:rsidRDefault="0005512A" w:rsidP="0005512A">
            <w:pPr>
              <w:spacing w:before="120" w:after="120"/>
              <w:jc w:val="center"/>
              <w:rPr>
                <w:sz w:val="20"/>
                <w:szCs w:val="24"/>
              </w:rPr>
            </w:pPr>
            <w:r w:rsidRPr="002B2CFC">
              <w:rPr>
                <w:sz w:val="20"/>
                <w:szCs w:val="24"/>
              </w:rPr>
              <w:t>4.9</w:t>
            </w:r>
          </w:p>
        </w:tc>
        <w:tc>
          <w:tcPr>
            <w:tcW w:w="709" w:type="dxa"/>
            <w:vAlign w:val="center"/>
          </w:tcPr>
          <w:p w14:paraId="2B3E0E80" w14:textId="77777777" w:rsidR="0005512A" w:rsidRPr="002B2CFC" w:rsidRDefault="0005512A" w:rsidP="0005512A">
            <w:pPr>
              <w:spacing w:before="120" w:after="120"/>
              <w:jc w:val="center"/>
              <w:rPr>
                <w:sz w:val="20"/>
                <w:szCs w:val="24"/>
              </w:rPr>
            </w:pPr>
            <w:r w:rsidRPr="002B2CFC">
              <w:rPr>
                <w:sz w:val="20"/>
                <w:szCs w:val="24"/>
              </w:rPr>
              <w:t>4.6</w:t>
            </w:r>
          </w:p>
        </w:tc>
        <w:tc>
          <w:tcPr>
            <w:tcW w:w="709" w:type="dxa"/>
            <w:vAlign w:val="center"/>
          </w:tcPr>
          <w:p w14:paraId="06BEFE93" w14:textId="77777777" w:rsidR="0005512A" w:rsidRPr="002B2CFC" w:rsidRDefault="0005512A" w:rsidP="0005512A">
            <w:pPr>
              <w:spacing w:before="120" w:after="120"/>
              <w:jc w:val="center"/>
              <w:rPr>
                <w:sz w:val="20"/>
                <w:szCs w:val="24"/>
              </w:rPr>
            </w:pPr>
            <w:r w:rsidRPr="002B2CFC">
              <w:rPr>
                <w:sz w:val="20"/>
                <w:szCs w:val="24"/>
              </w:rPr>
              <w:t>3.9</w:t>
            </w:r>
          </w:p>
        </w:tc>
        <w:tc>
          <w:tcPr>
            <w:tcW w:w="850" w:type="dxa"/>
            <w:tcBorders>
              <w:right w:val="single" w:sz="12" w:space="0" w:color="auto"/>
            </w:tcBorders>
            <w:shd w:val="clear" w:color="auto" w:fill="F2F2F2" w:themeFill="background1" w:themeFillShade="F2"/>
            <w:vAlign w:val="center"/>
          </w:tcPr>
          <w:p w14:paraId="6838F81C" w14:textId="77777777" w:rsidR="0005512A" w:rsidRPr="002B2CFC" w:rsidRDefault="0005512A" w:rsidP="0005512A">
            <w:pPr>
              <w:spacing w:before="120" w:after="120"/>
              <w:jc w:val="center"/>
              <w:rPr>
                <w:sz w:val="20"/>
                <w:szCs w:val="24"/>
              </w:rPr>
            </w:pPr>
            <w:r w:rsidRPr="002B2CFC">
              <w:rPr>
                <w:sz w:val="20"/>
                <w:szCs w:val="24"/>
              </w:rPr>
              <w:t>5.2</w:t>
            </w:r>
          </w:p>
        </w:tc>
        <w:tc>
          <w:tcPr>
            <w:tcW w:w="709" w:type="dxa"/>
            <w:tcBorders>
              <w:left w:val="single" w:sz="12" w:space="0" w:color="auto"/>
            </w:tcBorders>
            <w:vAlign w:val="center"/>
          </w:tcPr>
          <w:p w14:paraId="6C93388A" w14:textId="77777777" w:rsidR="0005512A" w:rsidRPr="002B2CFC" w:rsidRDefault="0005512A" w:rsidP="0005512A">
            <w:pPr>
              <w:spacing w:before="120" w:after="120"/>
              <w:jc w:val="center"/>
              <w:rPr>
                <w:sz w:val="20"/>
                <w:szCs w:val="24"/>
              </w:rPr>
            </w:pPr>
            <w:r w:rsidRPr="002B2CFC">
              <w:rPr>
                <w:sz w:val="20"/>
                <w:szCs w:val="24"/>
              </w:rPr>
              <w:t>5.0</w:t>
            </w:r>
          </w:p>
        </w:tc>
        <w:tc>
          <w:tcPr>
            <w:tcW w:w="709" w:type="dxa"/>
            <w:vAlign w:val="center"/>
          </w:tcPr>
          <w:p w14:paraId="66ECF553" w14:textId="77777777" w:rsidR="0005512A" w:rsidRPr="002B2CFC" w:rsidRDefault="0005512A" w:rsidP="0005512A">
            <w:pPr>
              <w:spacing w:before="120" w:after="120"/>
              <w:jc w:val="center"/>
              <w:rPr>
                <w:sz w:val="20"/>
                <w:szCs w:val="24"/>
              </w:rPr>
            </w:pPr>
            <w:r w:rsidRPr="002B2CFC">
              <w:rPr>
                <w:sz w:val="20"/>
                <w:szCs w:val="24"/>
              </w:rPr>
              <w:t>5.3</w:t>
            </w:r>
          </w:p>
        </w:tc>
        <w:tc>
          <w:tcPr>
            <w:tcW w:w="709" w:type="dxa"/>
            <w:vAlign w:val="center"/>
          </w:tcPr>
          <w:p w14:paraId="2B8C6046" w14:textId="77777777" w:rsidR="0005512A" w:rsidRPr="002B2CFC" w:rsidRDefault="0005512A" w:rsidP="0005512A">
            <w:pPr>
              <w:spacing w:before="120" w:after="120"/>
              <w:jc w:val="center"/>
              <w:rPr>
                <w:sz w:val="20"/>
                <w:szCs w:val="24"/>
              </w:rPr>
            </w:pPr>
            <w:r w:rsidRPr="002B2CFC">
              <w:rPr>
                <w:sz w:val="20"/>
                <w:szCs w:val="24"/>
              </w:rPr>
              <w:t>4.5</w:t>
            </w:r>
          </w:p>
        </w:tc>
        <w:tc>
          <w:tcPr>
            <w:tcW w:w="850" w:type="dxa"/>
            <w:shd w:val="clear" w:color="auto" w:fill="F2F2F2" w:themeFill="background1" w:themeFillShade="F2"/>
            <w:vAlign w:val="center"/>
          </w:tcPr>
          <w:p w14:paraId="43561F38" w14:textId="77777777" w:rsidR="0005512A" w:rsidRPr="002B2CFC" w:rsidRDefault="0005512A" w:rsidP="0005512A">
            <w:pPr>
              <w:spacing w:before="120" w:after="120"/>
              <w:jc w:val="center"/>
              <w:rPr>
                <w:sz w:val="20"/>
                <w:szCs w:val="24"/>
              </w:rPr>
            </w:pPr>
            <w:r w:rsidRPr="002B2CFC">
              <w:rPr>
                <w:sz w:val="20"/>
                <w:szCs w:val="24"/>
              </w:rPr>
              <w:t>4.3</w:t>
            </w:r>
          </w:p>
        </w:tc>
      </w:tr>
      <w:tr w:rsidR="0005512A" w:rsidRPr="002B2CFC" w14:paraId="5002818E" w14:textId="77777777" w:rsidTr="0005512A">
        <w:tc>
          <w:tcPr>
            <w:tcW w:w="1418" w:type="dxa"/>
            <w:tcBorders>
              <w:bottom w:val="single" w:sz="12" w:space="0" w:color="auto"/>
            </w:tcBorders>
            <w:shd w:val="clear" w:color="auto" w:fill="D9D9D9" w:themeFill="background1" w:themeFillShade="D9"/>
            <w:vAlign w:val="center"/>
          </w:tcPr>
          <w:p w14:paraId="2A841C26" w14:textId="77777777" w:rsidR="0005512A" w:rsidRPr="002B2CFC" w:rsidRDefault="0005512A" w:rsidP="0005512A">
            <w:pPr>
              <w:spacing w:before="120" w:after="120"/>
              <w:jc w:val="center"/>
              <w:rPr>
                <w:sz w:val="20"/>
                <w:szCs w:val="24"/>
              </w:rPr>
            </w:pPr>
            <w:r w:rsidRPr="002B2CFC">
              <w:rPr>
                <w:sz w:val="20"/>
                <w:szCs w:val="24"/>
              </w:rPr>
              <w:t>16 to 21</w:t>
            </w:r>
          </w:p>
        </w:tc>
        <w:tc>
          <w:tcPr>
            <w:tcW w:w="567" w:type="dxa"/>
            <w:tcBorders>
              <w:bottom w:val="single" w:sz="12" w:space="0" w:color="auto"/>
            </w:tcBorders>
            <w:vAlign w:val="center"/>
          </w:tcPr>
          <w:p w14:paraId="2938A6DD" w14:textId="77777777" w:rsidR="0005512A" w:rsidRPr="002B2CFC" w:rsidRDefault="0005512A" w:rsidP="0005512A">
            <w:pPr>
              <w:spacing w:before="120" w:after="120"/>
              <w:jc w:val="center"/>
              <w:rPr>
                <w:sz w:val="20"/>
                <w:szCs w:val="24"/>
              </w:rPr>
            </w:pPr>
            <w:r w:rsidRPr="002B2CFC">
              <w:rPr>
                <w:sz w:val="20"/>
                <w:szCs w:val="24"/>
              </w:rPr>
              <w:t>5.3</w:t>
            </w:r>
          </w:p>
        </w:tc>
        <w:tc>
          <w:tcPr>
            <w:tcW w:w="708" w:type="dxa"/>
            <w:tcBorders>
              <w:bottom w:val="single" w:sz="12" w:space="0" w:color="auto"/>
            </w:tcBorders>
            <w:vAlign w:val="center"/>
          </w:tcPr>
          <w:p w14:paraId="7D662394" w14:textId="77777777" w:rsidR="0005512A" w:rsidRPr="002B2CFC" w:rsidRDefault="0005512A" w:rsidP="0005512A">
            <w:pPr>
              <w:spacing w:before="120" w:after="120"/>
              <w:jc w:val="center"/>
              <w:rPr>
                <w:sz w:val="20"/>
                <w:szCs w:val="24"/>
              </w:rPr>
            </w:pPr>
            <w:r w:rsidRPr="002B2CFC">
              <w:rPr>
                <w:sz w:val="20"/>
                <w:szCs w:val="24"/>
              </w:rPr>
              <w:t>5.6</w:t>
            </w:r>
          </w:p>
        </w:tc>
        <w:tc>
          <w:tcPr>
            <w:tcW w:w="709" w:type="dxa"/>
            <w:tcBorders>
              <w:bottom w:val="single" w:sz="12" w:space="0" w:color="auto"/>
            </w:tcBorders>
            <w:vAlign w:val="center"/>
          </w:tcPr>
          <w:p w14:paraId="526FE6EA" w14:textId="77777777" w:rsidR="0005512A" w:rsidRPr="002B2CFC" w:rsidRDefault="0005512A" w:rsidP="0005512A">
            <w:pPr>
              <w:spacing w:before="120" w:after="120"/>
              <w:jc w:val="center"/>
              <w:rPr>
                <w:sz w:val="20"/>
                <w:szCs w:val="24"/>
              </w:rPr>
            </w:pPr>
            <w:r w:rsidRPr="002B2CFC">
              <w:rPr>
                <w:sz w:val="20"/>
                <w:szCs w:val="24"/>
              </w:rPr>
              <w:t>4.9</w:t>
            </w:r>
          </w:p>
        </w:tc>
        <w:tc>
          <w:tcPr>
            <w:tcW w:w="709" w:type="dxa"/>
            <w:tcBorders>
              <w:bottom w:val="single" w:sz="12" w:space="0" w:color="auto"/>
            </w:tcBorders>
            <w:vAlign w:val="center"/>
          </w:tcPr>
          <w:p w14:paraId="29FA8C7B" w14:textId="77777777" w:rsidR="0005512A" w:rsidRPr="002B2CFC" w:rsidRDefault="0005512A" w:rsidP="0005512A">
            <w:pPr>
              <w:spacing w:before="120" w:after="120"/>
              <w:jc w:val="center"/>
              <w:rPr>
                <w:sz w:val="20"/>
                <w:szCs w:val="24"/>
              </w:rPr>
            </w:pPr>
            <w:r w:rsidRPr="002B2CFC">
              <w:rPr>
                <w:sz w:val="20"/>
                <w:szCs w:val="24"/>
              </w:rPr>
              <w:t>5.6</w:t>
            </w:r>
          </w:p>
        </w:tc>
        <w:tc>
          <w:tcPr>
            <w:tcW w:w="850" w:type="dxa"/>
            <w:tcBorders>
              <w:bottom w:val="single" w:sz="12" w:space="0" w:color="auto"/>
              <w:right w:val="single" w:sz="12" w:space="0" w:color="auto"/>
            </w:tcBorders>
            <w:shd w:val="clear" w:color="auto" w:fill="F2F2F2" w:themeFill="background1" w:themeFillShade="F2"/>
            <w:vAlign w:val="center"/>
          </w:tcPr>
          <w:p w14:paraId="0BEC0CA0" w14:textId="77777777" w:rsidR="0005512A" w:rsidRPr="002B2CFC" w:rsidRDefault="0005512A" w:rsidP="0005512A">
            <w:pPr>
              <w:spacing w:before="120" w:after="120"/>
              <w:jc w:val="center"/>
              <w:rPr>
                <w:sz w:val="20"/>
                <w:szCs w:val="24"/>
              </w:rPr>
            </w:pPr>
            <w:r w:rsidRPr="002B2CFC">
              <w:rPr>
                <w:sz w:val="20"/>
                <w:szCs w:val="24"/>
              </w:rPr>
              <w:t>5.4</w:t>
            </w:r>
          </w:p>
        </w:tc>
        <w:tc>
          <w:tcPr>
            <w:tcW w:w="709" w:type="dxa"/>
            <w:tcBorders>
              <w:left w:val="single" w:sz="12" w:space="0" w:color="auto"/>
              <w:bottom w:val="single" w:sz="12" w:space="0" w:color="auto"/>
            </w:tcBorders>
            <w:vAlign w:val="center"/>
          </w:tcPr>
          <w:p w14:paraId="79AD039A" w14:textId="77777777" w:rsidR="0005512A" w:rsidRPr="002B2CFC" w:rsidRDefault="0005512A" w:rsidP="0005512A">
            <w:pPr>
              <w:spacing w:before="120" w:after="120"/>
              <w:jc w:val="center"/>
              <w:rPr>
                <w:sz w:val="20"/>
                <w:szCs w:val="24"/>
              </w:rPr>
            </w:pPr>
            <w:r w:rsidRPr="002B2CFC">
              <w:rPr>
                <w:sz w:val="20"/>
                <w:szCs w:val="24"/>
              </w:rPr>
              <w:t>5.3</w:t>
            </w:r>
          </w:p>
        </w:tc>
        <w:tc>
          <w:tcPr>
            <w:tcW w:w="709" w:type="dxa"/>
            <w:tcBorders>
              <w:bottom w:val="single" w:sz="12" w:space="0" w:color="auto"/>
            </w:tcBorders>
            <w:vAlign w:val="center"/>
          </w:tcPr>
          <w:p w14:paraId="7D7034F6" w14:textId="77777777" w:rsidR="0005512A" w:rsidRPr="002B2CFC" w:rsidRDefault="0005512A" w:rsidP="0005512A">
            <w:pPr>
              <w:spacing w:before="120" w:after="120"/>
              <w:jc w:val="center"/>
              <w:rPr>
                <w:sz w:val="20"/>
                <w:szCs w:val="24"/>
              </w:rPr>
            </w:pPr>
            <w:r w:rsidRPr="002B2CFC">
              <w:rPr>
                <w:sz w:val="20"/>
                <w:szCs w:val="24"/>
              </w:rPr>
              <w:t>6.1</w:t>
            </w:r>
          </w:p>
        </w:tc>
        <w:tc>
          <w:tcPr>
            <w:tcW w:w="709" w:type="dxa"/>
            <w:tcBorders>
              <w:bottom w:val="single" w:sz="12" w:space="0" w:color="auto"/>
            </w:tcBorders>
            <w:vAlign w:val="center"/>
          </w:tcPr>
          <w:p w14:paraId="54ACB1AF" w14:textId="77777777" w:rsidR="0005512A" w:rsidRPr="002B2CFC" w:rsidRDefault="0005512A" w:rsidP="0005512A">
            <w:pPr>
              <w:spacing w:before="120" w:after="120"/>
              <w:jc w:val="center"/>
              <w:rPr>
                <w:sz w:val="20"/>
                <w:szCs w:val="24"/>
              </w:rPr>
            </w:pPr>
            <w:r w:rsidRPr="002B2CFC">
              <w:rPr>
                <w:sz w:val="20"/>
                <w:szCs w:val="24"/>
              </w:rPr>
              <w:t>5.5</w:t>
            </w:r>
          </w:p>
        </w:tc>
        <w:tc>
          <w:tcPr>
            <w:tcW w:w="850" w:type="dxa"/>
            <w:tcBorders>
              <w:bottom w:val="single" w:sz="12" w:space="0" w:color="auto"/>
            </w:tcBorders>
            <w:shd w:val="clear" w:color="auto" w:fill="F2F2F2" w:themeFill="background1" w:themeFillShade="F2"/>
            <w:vAlign w:val="center"/>
          </w:tcPr>
          <w:p w14:paraId="00296B35" w14:textId="77777777" w:rsidR="0005512A" w:rsidRPr="002B2CFC" w:rsidRDefault="0005512A" w:rsidP="0005512A">
            <w:pPr>
              <w:spacing w:before="120" w:after="120"/>
              <w:jc w:val="center"/>
              <w:rPr>
                <w:sz w:val="20"/>
                <w:szCs w:val="24"/>
              </w:rPr>
            </w:pPr>
            <w:r w:rsidRPr="002B2CFC">
              <w:rPr>
                <w:sz w:val="20"/>
                <w:szCs w:val="24"/>
              </w:rPr>
              <w:t>5.1</w:t>
            </w:r>
          </w:p>
        </w:tc>
      </w:tr>
      <w:tr w:rsidR="0005512A" w:rsidRPr="002B2CFC" w14:paraId="5C38A061" w14:textId="77777777" w:rsidTr="0005512A">
        <w:tc>
          <w:tcPr>
            <w:tcW w:w="1418" w:type="dxa"/>
            <w:tcBorders>
              <w:top w:val="single" w:sz="12" w:space="0" w:color="auto"/>
            </w:tcBorders>
            <w:shd w:val="clear" w:color="auto" w:fill="D9D9D9" w:themeFill="background1" w:themeFillShade="D9"/>
            <w:vAlign w:val="center"/>
          </w:tcPr>
          <w:p w14:paraId="0B31125C" w14:textId="77777777" w:rsidR="0005512A" w:rsidRPr="002B2CFC" w:rsidRDefault="0005512A" w:rsidP="0005512A">
            <w:pPr>
              <w:spacing w:before="120" w:after="120"/>
              <w:jc w:val="center"/>
              <w:rPr>
                <w:sz w:val="20"/>
                <w:szCs w:val="24"/>
              </w:rPr>
            </w:pPr>
            <w:r w:rsidRPr="002B2CFC">
              <w:rPr>
                <w:sz w:val="20"/>
                <w:szCs w:val="24"/>
              </w:rPr>
              <w:t>0 to 21</w:t>
            </w:r>
          </w:p>
        </w:tc>
        <w:tc>
          <w:tcPr>
            <w:tcW w:w="567" w:type="dxa"/>
            <w:tcBorders>
              <w:top w:val="single" w:sz="12" w:space="0" w:color="auto"/>
            </w:tcBorders>
            <w:vAlign w:val="center"/>
          </w:tcPr>
          <w:p w14:paraId="749A1941" w14:textId="77777777" w:rsidR="0005512A" w:rsidRPr="002B2CFC" w:rsidRDefault="0005512A" w:rsidP="0005512A">
            <w:pPr>
              <w:spacing w:before="120" w:after="120"/>
              <w:jc w:val="center"/>
              <w:rPr>
                <w:sz w:val="20"/>
                <w:szCs w:val="24"/>
              </w:rPr>
            </w:pPr>
            <w:r w:rsidRPr="002B2CFC">
              <w:rPr>
                <w:sz w:val="20"/>
                <w:szCs w:val="24"/>
              </w:rPr>
              <w:t>4.9</w:t>
            </w:r>
          </w:p>
        </w:tc>
        <w:tc>
          <w:tcPr>
            <w:tcW w:w="708" w:type="dxa"/>
            <w:tcBorders>
              <w:top w:val="single" w:sz="12" w:space="0" w:color="auto"/>
            </w:tcBorders>
            <w:vAlign w:val="center"/>
          </w:tcPr>
          <w:p w14:paraId="56C7B78A" w14:textId="77777777" w:rsidR="0005512A" w:rsidRPr="002B2CFC" w:rsidRDefault="0005512A" w:rsidP="0005512A">
            <w:pPr>
              <w:spacing w:before="120" w:after="120"/>
              <w:jc w:val="center"/>
              <w:rPr>
                <w:sz w:val="20"/>
                <w:szCs w:val="24"/>
              </w:rPr>
            </w:pPr>
            <w:r w:rsidRPr="002B2CFC">
              <w:rPr>
                <w:sz w:val="20"/>
                <w:szCs w:val="24"/>
              </w:rPr>
              <w:t>5.2</w:t>
            </w:r>
          </w:p>
        </w:tc>
        <w:tc>
          <w:tcPr>
            <w:tcW w:w="709" w:type="dxa"/>
            <w:tcBorders>
              <w:top w:val="single" w:sz="12" w:space="0" w:color="auto"/>
            </w:tcBorders>
            <w:vAlign w:val="center"/>
          </w:tcPr>
          <w:p w14:paraId="46D91CBF" w14:textId="77777777" w:rsidR="0005512A" w:rsidRPr="002B2CFC" w:rsidRDefault="0005512A" w:rsidP="0005512A">
            <w:pPr>
              <w:spacing w:before="120" w:after="120"/>
              <w:jc w:val="center"/>
              <w:rPr>
                <w:sz w:val="20"/>
                <w:szCs w:val="24"/>
              </w:rPr>
            </w:pPr>
            <w:r w:rsidRPr="002B2CFC">
              <w:rPr>
                <w:sz w:val="20"/>
                <w:szCs w:val="24"/>
              </w:rPr>
              <w:t>4.8</w:t>
            </w:r>
          </w:p>
        </w:tc>
        <w:tc>
          <w:tcPr>
            <w:tcW w:w="709" w:type="dxa"/>
            <w:tcBorders>
              <w:top w:val="single" w:sz="12" w:space="0" w:color="auto"/>
            </w:tcBorders>
            <w:vAlign w:val="center"/>
          </w:tcPr>
          <w:p w14:paraId="1230AFA5" w14:textId="77777777" w:rsidR="0005512A" w:rsidRPr="002B2CFC" w:rsidRDefault="0005512A" w:rsidP="0005512A">
            <w:pPr>
              <w:spacing w:before="120" w:after="120"/>
              <w:jc w:val="center"/>
              <w:rPr>
                <w:sz w:val="20"/>
                <w:szCs w:val="24"/>
              </w:rPr>
            </w:pPr>
            <w:r w:rsidRPr="002B2CFC">
              <w:rPr>
                <w:sz w:val="20"/>
                <w:szCs w:val="24"/>
              </w:rPr>
              <w:t>4.9</w:t>
            </w:r>
          </w:p>
        </w:tc>
        <w:tc>
          <w:tcPr>
            <w:tcW w:w="850" w:type="dxa"/>
            <w:tcBorders>
              <w:top w:val="single" w:sz="12" w:space="0" w:color="auto"/>
              <w:right w:val="single" w:sz="12" w:space="0" w:color="auto"/>
            </w:tcBorders>
            <w:shd w:val="clear" w:color="auto" w:fill="F2F2F2" w:themeFill="background1" w:themeFillShade="F2"/>
            <w:vAlign w:val="center"/>
          </w:tcPr>
          <w:p w14:paraId="70CF01C3" w14:textId="77777777" w:rsidR="0005512A" w:rsidRPr="002B2CFC" w:rsidRDefault="0005512A" w:rsidP="0005512A">
            <w:pPr>
              <w:spacing w:before="120" w:after="120"/>
              <w:jc w:val="center"/>
              <w:rPr>
                <w:sz w:val="20"/>
                <w:szCs w:val="24"/>
              </w:rPr>
            </w:pPr>
            <w:r w:rsidRPr="002B2CFC">
              <w:rPr>
                <w:sz w:val="20"/>
                <w:szCs w:val="24"/>
              </w:rPr>
              <w:t>4.9</w:t>
            </w:r>
          </w:p>
        </w:tc>
        <w:tc>
          <w:tcPr>
            <w:tcW w:w="709" w:type="dxa"/>
            <w:tcBorders>
              <w:top w:val="single" w:sz="12" w:space="0" w:color="auto"/>
              <w:left w:val="single" w:sz="12" w:space="0" w:color="auto"/>
            </w:tcBorders>
            <w:vAlign w:val="center"/>
          </w:tcPr>
          <w:p w14:paraId="50839837" w14:textId="77777777" w:rsidR="0005512A" w:rsidRPr="002B2CFC" w:rsidRDefault="0005512A" w:rsidP="0005512A">
            <w:pPr>
              <w:spacing w:before="120" w:after="120"/>
              <w:jc w:val="center"/>
              <w:rPr>
                <w:sz w:val="20"/>
                <w:szCs w:val="24"/>
              </w:rPr>
            </w:pPr>
            <w:r w:rsidRPr="002B2CFC">
              <w:rPr>
                <w:sz w:val="20"/>
                <w:szCs w:val="24"/>
              </w:rPr>
              <w:t>4.8</w:t>
            </w:r>
          </w:p>
        </w:tc>
        <w:tc>
          <w:tcPr>
            <w:tcW w:w="709" w:type="dxa"/>
            <w:tcBorders>
              <w:top w:val="single" w:sz="12" w:space="0" w:color="auto"/>
            </w:tcBorders>
            <w:vAlign w:val="center"/>
          </w:tcPr>
          <w:p w14:paraId="637351EA" w14:textId="77777777" w:rsidR="0005512A" w:rsidRPr="002B2CFC" w:rsidRDefault="0005512A" w:rsidP="0005512A">
            <w:pPr>
              <w:spacing w:before="120" w:after="120"/>
              <w:jc w:val="center"/>
              <w:rPr>
                <w:sz w:val="20"/>
                <w:szCs w:val="24"/>
              </w:rPr>
            </w:pPr>
            <w:r w:rsidRPr="002B2CFC">
              <w:rPr>
                <w:sz w:val="20"/>
                <w:szCs w:val="24"/>
              </w:rPr>
              <w:t>5.5</w:t>
            </w:r>
          </w:p>
        </w:tc>
        <w:tc>
          <w:tcPr>
            <w:tcW w:w="709" w:type="dxa"/>
            <w:tcBorders>
              <w:top w:val="single" w:sz="12" w:space="0" w:color="auto"/>
            </w:tcBorders>
            <w:vAlign w:val="center"/>
          </w:tcPr>
          <w:p w14:paraId="5A1A7957" w14:textId="77777777" w:rsidR="0005512A" w:rsidRPr="002B2CFC" w:rsidRDefault="0005512A" w:rsidP="0005512A">
            <w:pPr>
              <w:spacing w:before="120" w:after="120"/>
              <w:jc w:val="center"/>
              <w:rPr>
                <w:sz w:val="20"/>
                <w:szCs w:val="24"/>
              </w:rPr>
            </w:pPr>
            <w:r w:rsidRPr="002B2CFC">
              <w:rPr>
                <w:sz w:val="20"/>
                <w:szCs w:val="24"/>
              </w:rPr>
              <w:t>5.2</w:t>
            </w:r>
          </w:p>
        </w:tc>
        <w:tc>
          <w:tcPr>
            <w:tcW w:w="850" w:type="dxa"/>
            <w:tcBorders>
              <w:top w:val="single" w:sz="12" w:space="0" w:color="auto"/>
            </w:tcBorders>
            <w:shd w:val="clear" w:color="auto" w:fill="F2F2F2" w:themeFill="background1" w:themeFillShade="F2"/>
            <w:vAlign w:val="center"/>
          </w:tcPr>
          <w:p w14:paraId="44ADD7B2" w14:textId="77777777" w:rsidR="0005512A" w:rsidRPr="002B2CFC" w:rsidRDefault="0005512A" w:rsidP="0005512A">
            <w:pPr>
              <w:spacing w:before="120" w:after="120"/>
              <w:jc w:val="center"/>
              <w:rPr>
                <w:sz w:val="20"/>
                <w:szCs w:val="24"/>
              </w:rPr>
            </w:pPr>
            <w:r w:rsidRPr="002B2CFC">
              <w:rPr>
                <w:sz w:val="20"/>
                <w:szCs w:val="24"/>
              </w:rPr>
              <w:t>4.8</w:t>
            </w:r>
          </w:p>
        </w:tc>
      </w:tr>
    </w:tbl>
    <w:p w14:paraId="036D857B" w14:textId="77777777" w:rsidR="0005512A" w:rsidRPr="002B2CFC" w:rsidRDefault="0005512A" w:rsidP="0005512A">
      <w:pPr>
        <w:rPr>
          <w:sz w:val="20"/>
          <w:szCs w:val="24"/>
        </w:rPr>
      </w:pPr>
      <w:r w:rsidRPr="002B2CFC">
        <w:rPr>
          <w:sz w:val="20"/>
          <w:szCs w:val="24"/>
        </w:rPr>
        <w:t xml:space="preserve">For statistical analyses, control group 1was compared to groups 2,3 and 4; control group 1 was compared to positive control group 5. Control group 6 was compared to groups 7 and 8; control group 6 was compared to positive control group 9. </w:t>
      </w:r>
    </w:p>
    <w:p w14:paraId="1BA663CD" w14:textId="77777777" w:rsidR="0005512A" w:rsidRPr="002B2CFC" w:rsidRDefault="0005512A" w:rsidP="0005512A">
      <w:pPr>
        <w:rPr>
          <w:sz w:val="20"/>
          <w:szCs w:val="24"/>
        </w:rPr>
      </w:pPr>
      <w:r w:rsidRPr="002B2CFC">
        <w:rPr>
          <w:sz w:val="20"/>
          <w:szCs w:val="24"/>
        </w:rPr>
        <w:t>Groups 1-4 and 6-8 were treated on days 0, 7 and 14. Groups 5 and 9 (MPTP) were only dosed on day 14.</w:t>
      </w:r>
    </w:p>
    <w:p w14:paraId="594F7814" w14:textId="77777777" w:rsidR="0005512A" w:rsidRPr="002B2CFC" w:rsidRDefault="0005512A" w:rsidP="0005512A">
      <w:pPr>
        <w:rPr>
          <w:sz w:val="20"/>
          <w:szCs w:val="24"/>
        </w:rPr>
      </w:pPr>
      <w:r w:rsidRPr="002B2CFC">
        <w:rPr>
          <w:sz w:val="20"/>
          <w:szCs w:val="24"/>
        </w:rPr>
        <w:t>* Statistically significantly different from vehicle control group at 0.01 (Dunnett’s test)</w:t>
      </w:r>
    </w:p>
    <w:p w14:paraId="58BE717A" w14:textId="77777777" w:rsidR="0005512A" w:rsidRPr="002B2CFC" w:rsidRDefault="0005512A" w:rsidP="0005512A">
      <w:pPr>
        <w:rPr>
          <w:sz w:val="20"/>
          <w:szCs w:val="24"/>
        </w:rPr>
      </w:pPr>
      <w:r w:rsidRPr="002B2CFC">
        <w:rPr>
          <w:sz w:val="20"/>
          <w:szCs w:val="24"/>
        </w:rPr>
        <w:t># Statistically significantly different from vehicle control group at 0.01 ( two-sample t-test)</w:t>
      </w:r>
    </w:p>
    <w:p w14:paraId="1D1449D6" w14:textId="77777777" w:rsidR="0005512A" w:rsidRPr="002B2CFC" w:rsidRDefault="0005512A" w:rsidP="0005512A">
      <w:pPr>
        <w:rPr>
          <w:sz w:val="20"/>
          <w:szCs w:val="24"/>
        </w:rPr>
      </w:pPr>
      <w:r w:rsidRPr="002B2CFC">
        <w:rPr>
          <w:sz w:val="20"/>
          <w:szCs w:val="24"/>
        </w:rPr>
        <w:t>** Statistically significantly different from vehicle control group at 0.05 (two-sample t-test)</w:t>
      </w:r>
    </w:p>
    <w:p w14:paraId="2E615B87" w14:textId="77777777" w:rsidR="0005512A" w:rsidRPr="002B2CFC" w:rsidRDefault="0005512A" w:rsidP="0005512A">
      <w:pPr>
        <w:rPr>
          <w:sz w:val="20"/>
          <w:szCs w:val="24"/>
        </w:rPr>
      </w:pPr>
      <w:r w:rsidRPr="002B2CFC">
        <w:rPr>
          <w:sz w:val="20"/>
          <w:szCs w:val="24"/>
        </w:rPr>
        <w:t>## Statistically significantly different from vehicle control group at 0.05 (Dunnett’s test)</w:t>
      </w:r>
    </w:p>
    <w:p w14:paraId="68011A24" w14:textId="77777777" w:rsidR="0005512A" w:rsidRPr="002B2CFC" w:rsidRDefault="0005512A" w:rsidP="0005512A">
      <w:pPr>
        <w:rPr>
          <w:sz w:val="20"/>
          <w:szCs w:val="24"/>
        </w:rPr>
      </w:pPr>
    </w:p>
    <w:p w14:paraId="0D54B797" w14:textId="77777777" w:rsidR="00436573" w:rsidRDefault="0005512A" w:rsidP="00C34954">
      <w:pPr>
        <w:rPr>
          <w:szCs w:val="24"/>
        </w:rPr>
      </w:pPr>
      <w:r w:rsidRPr="002B2CFC">
        <w:rPr>
          <w:i/>
          <w:szCs w:val="24"/>
        </w:rPr>
        <w:t>Necropsy, macroscopic examination and brain weights</w:t>
      </w:r>
      <w:r w:rsidR="005A10DF">
        <w:rPr>
          <w:i/>
          <w:szCs w:val="24"/>
        </w:rPr>
        <w:t>:</w:t>
      </w:r>
      <w:r w:rsidRPr="002B2CFC">
        <w:rPr>
          <w:szCs w:val="24"/>
        </w:rPr>
        <w:t>The mouse found dead on day 7 (group 4, 25 mg/kg bw/dose) was found to have multiple dark red areas on all lung lobes at necropsy. There were no other gross observations in this animal. This cannot be ruled out as treatment related with the available information, as paraquat is known to target lung tissue.</w:t>
      </w:r>
    </w:p>
    <w:p w14:paraId="0613CD89" w14:textId="77777777" w:rsidR="0005512A" w:rsidRPr="002B2CFC" w:rsidRDefault="0005512A" w:rsidP="0005512A">
      <w:pPr>
        <w:spacing w:before="120" w:after="120"/>
        <w:rPr>
          <w:szCs w:val="24"/>
        </w:rPr>
      </w:pPr>
      <w:r w:rsidRPr="002B2CFC">
        <w:rPr>
          <w:szCs w:val="24"/>
        </w:rPr>
        <w:lastRenderedPageBreak/>
        <w:t>Following scheduled euthanasia of Groups 1-5 mice, there were no gross changes in the appearance of the brain. The brain was not examined in Groups 6-9. Mean brain striatum weights for groups 6-9 were similar to concurrent controls. The brains were not weighed for groups 1-5.</w:t>
      </w:r>
    </w:p>
    <w:p w14:paraId="40C0C4A8" w14:textId="77777777" w:rsidR="0005512A" w:rsidRPr="002B2CFC" w:rsidRDefault="0005512A" w:rsidP="0005512A">
      <w:pPr>
        <w:spacing w:before="120" w:after="120"/>
        <w:rPr>
          <w:noProof/>
          <w:szCs w:val="24"/>
        </w:rPr>
      </w:pPr>
      <w:r w:rsidRPr="002B2CFC">
        <w:rPr>
          <w:i/>
          <w:szCs w:val="24"/>
        </w:rPr>
        <w:t>Stereology Assessment (groups 1-5</w:t>
      </w:r>
      <w:r w:rsidR="005A10DF">
        <w:rPr>
          <w:i/>
          <w:szCs w:val="24"/>
        </w:rPr>
        <w:t>)</w:t>
      </w:r>
      <w:r w:rsidR="00C23D8A">
        <w:rPr>
          <w:i/>
          <w:szCs w:val="24"/>
        </w:rPr>
        <w:t xml:space="preserve">: </w:t>
      </w:r>
      <w:r w:rsidRPr="002B2CFC">
        <w:rPr>
          <w:szCs w:val="24"/>
        </w:rPr>
        <w:t>Not all brain sections were able to be evaluated. For chromogenic staining, 2 mice had total</w:t>
      </w:r>
      <w:r w:rsidRPr="002B2CFC">
        <w:rPr>
          <w:noProof/>
          <w:szCs w:val="24"/>
        </w:rPr>
        <w:t xml:space="preserve"> neuron counts adjusted for missing sections (1x group 1, 1x group 5) and 6 mice could not be assessed due to tissue artefacts precluding accurate counts (2x group 1, 1x group 2, 1x group 3, 2x group 4). For fluorescent staining, 1 mouse had a needle mark through the  SN pc (1x group 1), 3 had insufficient number of sections recovered (2x group 4, 1x group 1) and 1 needed the total neuron counts adjusted for missing sections (1x group 5).</w:t>
      </w:r>
    </w:p>
    <w:p w14:paraId="3E452A3D" w14:textId="0B584355" w:rsidR="0005512A" w:rsidRPr="002B2CFC" w:rsidRDefault="0005512A" w:rsidP="0005512A">
      <w:pPr>
        <w:spacing w:before="120" w:after="120"/>
        <w:rPr>
          <w:i/>
          <w:noProof/>
          <w:szCs w:val="24"/>
        </w:rPr>
      </w:pPr>
      <w:r w:rsidRPr="002B2CFC">
        <w:rPr>
          <w:noProof/>
          <w:szCs w:val="24"/>
        </w:rPr>
        <w:t>Chromogenic-stained sections demonstrated TH</w:t>
      </w:r>
      <w:r w:rsidRPr="003A6822">
        <w:rPr>
          <w:noProof/>
          <w:szCs w:val="24"/>
          <w:vertAlign w:val="superscript"/>
        </w:rPr>
        <w:t>+</w:t>
      </w:r>
      <w:r w:rsidRPr="002B2CFC">
        <w:rPr>
          <w:noProof/>
          <w:szCs w:val="24"/>
        </w:rPr>
        <w:t xml:space="preserve"> neurons were slightly reduced in paraquat treated groups (5%, 14% and 12% less than controls for 10, 15 and 25 mg/kg bw/dose, respectively) (</w:t>
      </w:r>
      <w:r w:rsidR="00F07346">
        <w:fldChar w:fldCharType="begin"/>
      </w:r>
      <w:r w:rsidR="00F07346">
        <w:instrText xml:space="preserve"> REF _Ref410218920 \h  \* MERGEFORMAT </w:instrText>
      </w:r>
      <w:r w:rsidR="00F07346">
        <w:fldChar w:fldCharType="separate"/>
      </w:r>
      <w:r w:rsidR="000E54B2" w:rsidRPr="000E54B2">
        <w:rPr>
          <w:szCs w:val="24"/>
        </w:rPr>
        <w:t xml:space="preserve">Table </w:t>
      </w:r>
      <w:r w:rsidR="000E54B2" w:rsidRPr="000E54B2">
        <w:rPr>
          <w:noProof/>
          <w:szCs w:val="24"/>
        </w:rPr>
        <w:t>20</w:t>
      </w:r>
      <w:r w:rsidR="00F07346">
        <w:fldChar w:fldCharType="end"/>
      </w:r>
      <w:r w:rsidR="00714492">
        <w:t xml:space="preserve"> </w:t>
      </w:r>
      <w:r w:rsidR="003A31EB">
        <w:fldChar w:fldCharType="begin"/>
      </w:r>
      <w:r w:rsidR="003A31EB">
        <w:instrText xml:space="preserve"> REF _Ref459037645 \p </w:instrText>
      </w:r>
      <w:r w:rsidR="003A31EB">
        <w:fldChar w:fldCharType="separate"/>
      </w:r>
      <w:r w:rsidR="000E54B2">
        <w:t>below</w:t>
      </w:r>
      <w:r w:rsidR="003A31EB">
        <w:fldChar w:fldCharType="end"/>
      </w:r>
      <w:r w:rsidRPr="00C3356A">
        <w:rPr>
          <w:noProof/>
          <w:szCs w:val="24"/>
        </w:rPr>
        <w:t>).</w:t>
      </w:r>
      <w:r w:rsidRPr="002B2CFC">
        <w:rPr>
          <w:noProof/>
          <w:szCs w:val="24"/>
        </w:rPr>
        <w:t xml:space="preserve"> For fluorescent-stained sections, the mean numbers of TH</w:t>
      </w:r>
      <w:r w:rsidRPr="003A6822">
        <w:rPr>
          <w:noProof/>
          <w:szCs w:val="24"/>
          <w:vertAlign w:val="superscript"/>
        </w:rPr>
        <w:t>+</w:t>
      </w:r>
      <w:r w:rsidRPr="002B2CFC">
        <w:rPr>
          <w:noProof/>
          <w:szCs w:val="24"/>
        </w:rPr>
        <w:t xml:space="preserve"> sections were also reduced (2%, 12% and 13%). However, none of these values were statistically significant. The only statistically significant finding in paraquat treated mice was a 10% reduction in total contour volume (chromogenic-stained) for the 15 and 25 mg/kg bw/dose </w:t>
      </w:r>
      <w:r w:rsidRPr="004646FD">
        <w:rPr>
          <w:noProof/>
          <w:szCs w:val="24"/>
        </w:rPr>
        <w:t>groups</w:t>
      </w:r>
      <w:r w:rsidRPr="002B2CFC">
        <w:rPr>
          <w:noProof/>
          <w:szCs w:val="24"/>
        </w:rPr>
        <w:t>. However this was not dose-related and not evident in the fluorescent-stained sections. The significance of this finding is unclear and may be an artefact of the technique used in the determination of the individual contours.</w:t>
      </w:r>
      <w:r w:rsidRPr="002B2CFC">
        <w:rPr>
          <w:i/>
          <w:noProof/>
          <w:szCs w:val="24"/>
        </w:rPr>
        <w:t xml:space="preserve">  </w:t>
      </w:r>
      <w:r w:rsidRPr="002B2CFC">
        <w:rPr>
          <w:noProof/>
          <w:szCs w:val="24"/>
        </w:rPr>
        <w:t>Comparing numbers between the two staining techniques, it is evident that greater TH</w:t>
      </w:r>
      <w:r w:rsidRPr="003A6822">
        <w:rPr>
          <w:noProof/>
          <w:szCs w:val="24"/>
          <w:vertAlign w:val="superscript"/>
        </w:rPr>
        <w:t>+</w:t>
      </w:r>
      <w:r w:rsidRPr="002B2CFC">
        <w:rPr>
          <w:noProof/>
          <w:szCs w:val="24"/>
        </w:rPr>
        <w:t xml:space="preserve"> neurons and a greater total contour volume were detected in fluorescent stained sections. The study author commented this may be artefactual where chromogenic staining produces a higher degree of tissue shrinkage which may make it more difficult to identify </w:t>
      </w:r>
      <w:r>
        <w:rPr>
          <w:noProof/>
          <w:szCs w:val="24"/>
        </w:rPr>
        <w:t xml:space="preserve">individual cells due to </w:t>
      </w:r>
      <w:r w:rsidRPr="002B2CFC">
        <w:rPr>
          <w:noProof/>
          <w:szCs w:val="24"/>
        </w:rPr>
        <w:t>overlapping or crowd</w:t>
      </w:r>
      <w:r>
        <w:rPr>
          <w:noProof/>
          <w:szCs w:val="24"/>
        </w:rPr>
        <w:t>ing</w:t>
      </w:r>
      <w:r w:rsidRPr="002B2CFC">
        <w:rPr>
          <w:noProof/>
          <w:szCs w:val="24"/>
        </w:rPr>
        <w:t>. In this study, mean section shrinkage was 27% and 56% for fluorescent and chromogenic-stained sections, respectively.</w:t>
      </w:r>
    </w:p>
    <w:p w14:paraId="7E722B64" w14:textId="35FA1834" w:rsidR="0005512A" w:rsidRPr="00C111A1" w:rsidRDefault="0005512A" w:rsidP="00E439AD">
      <w:pPr>
        <w:keepNext/>
        <w:spacing w:before="120" w:after="120"/>
        <w:rPr>
          <w:b/>
          <w:noProof/>
          <w:sz w:val="20"/>
        </w:rPr>
      </w:pPr>
      <w:bookmarkStart w:id="99" w:name="_Ref410218920"/>
      <w:bookmarkStart w:id="100" w:name="_Ref459037645"/>
      <w:r w:rsidRPr="00C111A1">
        <w:rPr>
          <w:b/>
          <w:sz w:val="20"/>
        </w:rPr>
        <w:lastRenderedPageBreak/>
        <w:t xml:space="preserve">Table </w:t>
      </w:r>
      <w:r w:rsidR="00897462" w:rsidRPr="00C111A1">
        <w:rPr>
          <w:b/>
          <w:sz w:val="20"/>
        </w:rPr>
        <w:fldChar w:fldCharType="begin"/>
      </w:r>
      <w:r w:rsidRPr="00C111A1">
        <w:rPr>
          <w:b/>
          <w:sz w:val="20"/>
        </w:rPr>
        <w:instrText xml:space="preserve"> SEQ Table \* ARABIC </w:instrText>
      </w:r>
      <w:r w:rsidR="00897462" w:rsidRPr="00C111A1">
        <w:rPr>
          <w:b/>
          <w:sz w:val="20"/>
        </w:rPr>
        <w:fldChar w:fldCharType="separate"/>
      </w:r>
      <w:r w:rsidR="000E54B2">
        <w:rPr>
          <w:b/>
          <w:noProof/>
          <w:sz w:val="20"/>
        </w:rPr>
        <w:t>20</w:t>
      </w:r>
      <w:r w:rsidR="00897462" w:rsidRPr="00C111A1">
        <w:rPr>
          <w:b/>
          <w:sz w:val="20"/>
        </w:rPr>
        <w:fldChar w:fldCharType="end"/>
      </w:r>
      <w:bookmarkEnd w:id="99"/>
      <w:r w:rsidRPr="00C111A1">
        <w:rPr>
          <w:b/>
          <w:sz w:val="20"/>
        </w:rPr>
        <w:t xml:space="preserve">. </w:t>
      </w:r>
      <w:r w:rsidRPr="00C111A1">
        <w:rPr>
          <w:b/>
          <w:noProof/>
          <w:sz w:val="20"/>
        </w:rPr>
        <w:t>Stereological findings in the SN pc</w:t>
      </w:r>
      <w:bookmarkEnd w:id="100"/>
    </w:p>
    <w:tbl>
      <w:tblPr>
        <w:tblStyle w:val="TableGrid2"/>
        <w:tblW w:w="0" w:type="auto"/>
        <w:tblLayout w:type="fixed"/>
        <w:tblLook w:val="04A0" w:firstRow="1" w:lastRow="0" w:firstColumn="1" w:lastColumn="0" w:noHBand="0" w:noVBand="1"/>
      </w:tblPr>
      <w:tblGrid>
        <w:gridCol w:w="1242"/>
        <w:gridCol w:w="1182"/>
        <w:gridCol w:w="1323"/>
        <w:gridCol w:w="1464"/>
        <w:gridCol w:w="1182"/>
        <w:gridCol w:w="1323"/>
        <w:gridCol w:w="1323"/>
      </w:tblGrid>
      <w:tr w:rsidR="0005512A" w:rsidRPr="002B2CFC" w14:paraId="283FC5D4" w14:textId="77777777" w:rsidTr="0005512A">
        <w:trPr>
          <w:trHeight w:val="583"/>
        </w:trPr>
        <w:tc>
          <w:tcPr>
            <w:tcW w:w="1242" w:type="dxa"/>
            <w:vMerge w:val="restart"/>
            <w:tcBorders>
              <w:right w:val="single" w:sz="12" w:space="0" w:color="auto"/>
            </w:tcBorders>
            <w:shd w:val="clear" w:color="auto" w:fill="BFBFBF" w:themeFill="background1" w:themeFillShade="BF"/>
            <w:vAlign w:val="bottom"/>
          </w:tcPr>
          <w:p w14:paraId="7CF7953C" w14:textId="77777777" w:rsidR="0005512A" w:rsidRPr="002B2CFC" w:rsidRDefault="0005512A" w:rsidP="00E439AD">
            <w:pPr>
              <w:keepNext/>
              <w:jc w:val="center"/>
              <w:rPr>
                <w:b/>
                <w:sz w:val="20"/>
              </w:rPr>
            </w:pPr>
            <w:r w:rsidRPr="002B2CFC">
              <w:rPr>
                <w:b/>
                <w:sz w:val="20"/>
              </w:rPr>
              <w:t>Mean,</w:t>
            </w:r>
          </w:p>
          <w:p w14:paraId="41250D04" w14:textId="77777777" w:rsidR="0005512A" w:rsidRPr="002B2CFC" w:rsidRDefault="0005512A" w:rsidP="00E439AD">
            <w:pPr>
              <w:keepNext/>
              <w:jc w:val="center"/>
              <w:rPr>
                <w:b/>
                <w:sz w:val="20"/>
              </w:rPr>
            </w:pPr>
            <w:r w:rsidRPr="002B2CFC">
              <w:rPr>
                <w:b/>
                <w:sz w:val="20"/>
              </w:rPr>
              <w:t>(% of ctrl)</w:t>
            </w:r>
          </w:p>
          <w:p w14:paraId="457133C9" w14:textId="77777777" w:rsidR="0005512A" w:rsidRPr="002B2CFC" w:rsidRDefault="0005512A" w:rsidP="00E439AD">
            <w:pPr>
              <w:keepNext/>
              <w:jc w:val="center"/>
              <w:rPr>
                <w:b/>
                <w:sz w:val="20"/>
              </w:rPr>
            </w:pPr>
          </w:p>
          <w:p w14:paraId="22DC7DFD" w14:textId="77777777" w:rsidR="0005512A" w:rsidRPr="002B2CFC" w:rsidRDefault="0005512A" w:rsidP="00E439AD">
            <w:pPr>
              <w:keepNext/>
              <w:jc w:val="center"/>
              <w:rPr>
                <w:b/>
                <w:sz w:val="20"/>
              </w:rPr>
            </w:pPr>
            <w:r w:rsidRPr="002B2CFC">
              <w:rPr>
                <w:b/>
                <w:sz w:val="20"/>
              </w:rPr>
              <w:t>Group</w:t>
            </w:r>
          </w:p>
        </w:tc>
        <w:tc>
          <w:tcPr>
            <w:tcW w:w="3969" w:type="dxa"/>
            <w:gridSpan w:val="3"/>
            <w:tcBorders>
              <w:left w:val="single" w:sz="12" w:space="0" w:color="auto"/>
              <w:right w:val="single" w:sz="12" w:space="0" w:color="auto"/>
            </w:tcBorders>
            <w:shd w:val="clear" w:color="auto" w:fill="BFBFBF" w:themeFill="background1" w:themeFillShade="BF"/>
            <w:vAlign w:val="center"/>
          </w:tcPr>
          <w:p w14:paraId="7FDA0FD3" w14:textId="77777777" w:rsidR="0005512A" w:rsidRPr="002B2CFC" w:rsidRDefault="0005512A" w:rsidP="00E439AD">
            <w:pPr>
              <w:keepNext/>
              <w:jc w:val="center"/>
              <w:rPr>
                <w:b/>
                <w:sz w:val="20"/>
              </w:rPr>
            </w:pPr>
            <w:r w:rsidRPr="002B2CFC">
              <w:rPr>
                <w:b/>
                <w:sz w:val="20"/>
              </w:rPr>
              <w:t>Chromogenic-stained sections</w:t>
            </w:r>
          </w:p>
        </w:tc>
        <w:tc>
          <w:tcPr>
            <w:tcW w:w="3828" w:type="dxa"/>
            <w:gridSpan w:val="3"/>
            <w:tcBorders>
              <w:left w:val="single" w:sz="12" w:space="0" w:color="auto"/>
            </w:tcBorders>
            <w:shd w:val="clear" w:color="auto" w:fill="BFBFBF" w:themeFill="background1" w:themeFillShade="BF"/>
            <w:vAlign w:val="center"/>
          </w:tcPr>
          <w:p w14:paraId="6B9E0557" w14:textId="77777777" w:rsidR="0005512A" w:rsidRPr="002B2CFC" w:rsidRDefault="0005512A" w:rsidP="00E439AD">
            <w:pPr>
              <w:keepNext/>
              <w:jc w:val="center"/>
              <w:rPr>
                <w:b/>
                <w:sz w:val="20"/>
              </w:rPr>
            </w:pPr>
            <w:r w:rsidRPr="002B2CFC">
              <w:rPr>
                <w:b/>
                <w:sz w:val="20"/>
              </w:rPr>
              <w:t>Fluorescent-stained sections</w:t>
            </w:r>
          </w:p>
        </w:tc>
      </w:tr>
      <w:tr w:rsidR="0005512A" w:rsidRPr="002B2CFC" w14:paraId="673D5E23" w14:textId="77777777" w:rsidTr="0005512A">
        <w:tc>
          <w:tcPr>
            <w:tcW w:w="1242" w:type="dxa"/>
            <w:vMerge/>
            <w:tcBorders>
              <w:bottom w:val="single" w:sz="12" w:space="0" w:color="auto"/>
              <w:right w:val="single" w:sz="12" w:space="0" w:color="auto"/>
            </w:tcBorders>
            <w:shd w:val="clear" w:color="auto" w:fill="BFBFBF" w:themeFill="background1" w:themeFillShade="BF"/>
            <w:vAlign w:val="bottom"/>
          </w:tcPr>
          <w:p w14:paraId="31952D29" w14:textId="77777777" w:rsidR="0005512A" w:rsidRPr="002B2CFC" w:rsidRDefault="0005512A" w:rsidP="00E439AD">
            <w:pPr>
              <w:keepNext/>
              <w:jc w:val="center"/>
              <w:rPr>
                <w:b/>
                <w:sz w:val="20"/>
              </w:rPr>
            </w:pPr>
          </w:p>
        </w:tc>
        <w:tc>
          <w:tcPr>
            <w:tcW w:w="1182" w:type="dxa"/>
            <w:tcBorders>
              <w:left w:val="single" w:sz="12" w:space="0" w:color="auto"/>
              <w:bottom w:val="single" w:sz="12" w:space="0" w:color="auto"/>
            </w:tcBorders>
            <w:shd w:val="clear" w:color="auto" w:fill="BFBFBF" w:themeFill="background1" w:themeFillShade="BF"/>
            <w:vAlign w:val="center"/>
          </w:tcPr>
          <w:p w14:paraId="42F23AE3" w14:textId="77777777" w:rsidR="0005512A" w:rsidRPr="002B2CFC" w:rsidRDefault="0005512A" w:rsidP="00E439AD">
            <w:pPr>
              <w:keepNext/>
              <w:jc w:val="center"/>
              <w:rPr>
                <w:b/>
                <w:sz w:val="20"/>
              </w:rPr>
            </w:pPr>
            <w:r w:rsidRPr="002B2CFC">
              <w:rPr>
                <w:b/>
                <w:sz w:val="20"/>
              </w:rPr>
              <w:t>TH</w:t>
            </w:r>
            <w:r w:rsidRPr="003A6822">
              <w:rPr>
                <w:b/>
                <w:sz w:val="20"/>
                <w:vertAlign w:val="superscript"/>
              </w:rPr>
              <w:t>+</w:t>
            </w:r>
            <w:r w:rsidRPr="002B2CFC">
              <w:rPr>
                <w:b/>
                <w:sz w:val="20"/>
              </w:rPr>
              <w:t xml:space="preserve"> neurons</w:t>
            </w:r>
          </w:p>
        </w:tc>
        <w:tc>
          <w:tcPr>
            <w:tcW w:w="1323" w:type="dxa"/>
            <w:tcBorders>
              <w:bottom w:val="single" w:sz="12" w:space="0" w:color="auto"/>
            </w:tcBorders>
            <w:shd w:val="clear" w:color="auto" w:fill="BFBFBF" w:themeFill="background1" w:themeFillShade="BF"/>
            <w:vAlign w:val="center"/>
          </w:tcPr>
          <w:p w14:paraId="61C9EAC2" w14:textId="77777777" w:rsidR="0005512A" w:rsidRPr="002B2CFC" w:rsidRDefault="0005512A" w:rsidP="00E439AD">
            <w:pPr>
              <w:keepNext/>
              <w:jc w:val="center"/>
              <w:rPr>
                <w:b/>
                <w:sz w:val="20"/>
              </w:rPr>
            </w:pPr>
            <w:r w:rsidRPr="002B2CFC">
              <w:rPr>
                <w:b/>
                <w:sz w:val="20"/>
              </w:rPr>
              <w:t>Total neurons (TH</w:t>
            </w:r>
            <w:r w:rsidRPr="003A6822">
              <w:rPr>
                <w:b/>
                <w:sz w:val="20"/>
                <w:vertAlign w:val="superscript"/>
              </w:rPr>
              <w:t>+</w:t>
            </w:r>
            <w:r w:rsidRPr="002B2CFC">
              <w:rPr>
                <w:b/>
                <w:sz w:val="20"/>
              </w:rPr>
              <w:t>&amp;TH</w:t>
            </w:r>
            <w:r w:rsidRPr="003A6822">
              <w:rPr>
                <w:b/>
                <w:sz w:val="20"/>
                <w:vertAlign w:val="superscript"/>
              </w:rPr>
              <w:t>-</w:t>
            </w:r>
            <w:r w:rsidRPr="002B2CFC">
              <w:rPr>
                <w:b/>
                <w:sz w:val="20"/>
              </w:rPr>
              <w:t>)</w:t>
            </w:r>
          </w:p>
        </w:tc>
        <w:tc>
          <w:tcPr>
            <w:tcW w:w="1464" w:type="dxa"/>
            <w:tcBorders>
              <w:bottom w:val="single" w:sz="12" w:space="0" w:color="auto"/>
              <w:right w:val="single" w:sz="12" w:space="0" w:color="auto"/>
            </w:tcBorders>
            <w:shd w:val="clear" w:color="auto" w:fill="BFBFBF" w:themeFill="background1" w:themeFillShade="BF"/>
            <w:vAlign w:val="center"/>
          </w:tcPr>
          <w:p w14:paraId="1A3FFB95" w14:textId="77777777" w:rsidR="0005512A" w:rsidRPr="002B2CFC" w:rsidRDefault="0005512A" w:rsidP="00E439AD">
            <w:pPr>
              <w:keepNext/>
              <w:jc w:val="center"/>
              <w:rPr>
                <w:b/>
                <w:sz w:val="20"/>
              </w:rPr>
            </w:pPr>
            <w:r w:rsidRPr="002B2CFC">
              <w:rPr>
                <w:b/>
                <w:sz w:val="20"/>
              </w:rPr>
              <w:t>Total contour volume (µm</w:t>
            </w:r>
            <w:r w:rsidRPr="002B2CFC">
              <w:rPr>
                <w:b/>
                <w:sz w:val="20"/>
                <w:vertAlign w:val="superscript"/>
              </w:rPr>
              <w:t>3</w:t>
            </w:r>
            <w:r w:rsidRPr="002B2CFC">
              <w:rPr>
                <w:b/>
                <w:sz w:val="20"/>
              </w:rPr>
              <w:t>)</w:t>
            </w:r>
          </w:p>
        </w:tc>
        <w:tc>
          <w:tcPr>
            <w:tcW w:w="1182" w:type="dxa"/>
            <w:tcBorders>
              <w:left w:val="single" w:sz="12" w:space="0" w:color="auto"/>
              <w:bottom w:val="single" w:sz="12" w:space="0" w:color="auto"/>
            </w:tcBorders>
            <w:shd w:val="clear" w:color="auto" w:fill="BFBFBF" w:themeFill="background1" w:themeFillShade="BF"/>
            <w:vAlign w:val="center"/>
          </w:tcPr>
          <w:p w14:paraId="23A33436" w14:textId="77777777" w:rsidR="0005512A" w:rsidRPr="002B2CFC" w:rsidRDefault="0005512A" w:rsidP="00E439AD">
            <w:pPr>
              <w:keepNext/>
              <w:jc w:val="center"/>
              <w:rPr>
                <w:b/>
                <w:sz w:val="20"/>
              </w:rPr>
            </w:pPr>
            <w:r w:rsidRPr="002B2CFC">
              <w:rPr>
                <w:b/>
                <w:sz w:val="20"/>
              </w:rPr>
              <w:t>TH</w:t>
            </w:r>
            <w:r w:rsidRPr="003A6822">
              <w:rPr>
                <w:b/>
                <w:sz w:val="20"/>
                <w:vertAlign w:val="superscript"/>
              </w:rPr>
              <w:t>+</w:t>
            </w:r>
            <w:r w:rsidRPr="002B2CFC">
              <w:rPr>
                <w:b/>
                <w:sz w:val="20"/>
              </w:rPr>
              <w:t xml:space="preserve"> neurons</w:t>
            </w:r>
          </w:p>
        </w:tc>
        <w:tc>
          <w:tcPr>
            <w:tcW w:w="1323" w:type="dxa"/>
            <w:tcBorders>
              <w:bottom w:val="single" w:sz="12" w:space="0" w:color="auto"/>
            </w:tcBorders>
            <w:shd w:val="clear" w:color="auto" w:fill="BFBFBF" w:themeFill="background1" w:themeFillShade="BF"/>
            <w:vAlign w:val="center"/>
          </w:tcPr>
          <w:p w14:paraId="4716AE1E" w14:textId="77777777" w:rsidR="0005512A" w:rsidRPr="002B2CFC" w:rsidRDefault="0005512A" w:rsidP="00E439AD">
            <w:pPr>
              <w:keepNext/>
              <w:jc w:val="center"/>
              <w:rPr>
                <w:b/>
                <w:sz w:val="20"/>
              </w:rPr>
            </w:pPr>
            <w:r w:rsidRPr="002B2CFC">
              <w:rPr>
                <w:b/>
                <w:sz w:val="20"/>
              </w:rPr>
              <w:t>DAPI stained neurons (TH</w:t>
            </w:r>
            <w:r w:rsidRPr="003A6822">
              <w:rPr>
                <w:b/>
                <w:sz w:val="20"/>
                <w:vertAlign w:val="superscript"/>
              </w:rPr>
              <w:t>+</w:t>
            </w:r>
            <w:r w:rsidRPr="002B2CFC">
              <w:rPr>
                <w:b/>
                <w:sz w:val="20"/>
              </w:rPr>
              <w:t>&amp;TH</w:t>
            </w:r>
            <w:r w:rsidRPr="003A6822">
              <w:rPr>
                <w:b/>
                <w:sz w:val="20"/>
                <w:vertAlign w:val="superscript"/>
              </w:rPr>
              <w:t>-</w:t>
            </w:r>
            <w:r w:rsidRPr="002B2CFC">
              <w:rPr>
                <w:b/>
                <w:sz w:val="20"/>
              </w:rPr>
              <w:t>)</w:t>
            </w:r>
          </w:p>
        </w:tc>
        <w:tc>
          <w:tcPr>
            <w:tcW w:w="1323" w:type="dxa"/>
            <w:tcBorders>
              <w:bottom w:val="single" w:sz="12" w:space="0" w:color="auto"/>
            </w:tcBorders>
            <w:shd w:val="clear" w:color="auto" w:fill="BFBFBF" w:themeFill="background1" w:themeFillShade="BF"/>
            <w:vAlign w:val="center"/>
          </w:tcPr>
          <w:p w14:paraId="4C229F12" w14:textId="77777777" w:rsidR="0005512A" w:rsidRPr="002B2CFC" w:rsidRDefault="0005512A" w:rsidP="00E439AD">
            <w:pPr>
              <w:keepNext/>
              <w:jc w:val="center"/>
              <w:rPr>
                <w:b/>
                <w:sz w:val="20"/>
              </w:rPr>
            </w:pPr>
            <w:r w:rsidRPr="002B2CFC">
              <w:rPr>
                <w:b/>
                <w:sz w:val="20"/>
              </w:rPr>
              <w:t>Total contour volume (µm</w:t>
            </w:r>
            <w:r w:rsidRPr="002B2CFC">
              <w:rPr>
                <w:b/>
                <w:sz w:val="20"/>
                <w:vertAlign w:val="superscript"/>
              </w:rPr>
              <w:t>3</w:t>
            </w:r>
            <w:r w:rsidRPr="002B2CFC">
              <w:rPr>
                <w:b/>
                <w:sz w:val="20"/>
              </w:rPr>
              <w:t>)</w:t>
            </w:r>
          </w:p>
        </w:tc>
      </w:tr>
      <w:tr w:rsidR="0005512A" w:rsidRPr="002B2CFC" w14:paraId="2DC95E9A" w14:textId="77777777" w:rsidTr="0005512A">
        <w:trPr>
          <w:trHeight w:val="334"/>
        </w:trPr>
        <w:tc>
          <w:tcPr>
            <w:tcW w:w="1242" w:type="dxa"/>
            <w:vMerge w:val="restart"/>
            <w:tcBorders>
              <w:top w:val="single" w:sz="12" w:space="0" w:color="auto"/>
              <w:right w:val="single" w:sz="12" w:space="0" w:color="auto"/>
            </w:tcBorders>
            <w:shd w:val="clear" w:color="auto" w:fill="D9D9D9" w:themeFill="background1" w:themeFillShade="D9"/>
          </w:tcPr>
          <w:p w14:paraId="3851546F" w14:textId="77777777" w:rsidR="0005512A" w:rsidRPr="002B2CFC" w:rsidRDefault="0005512A" w:rsidP="00E439AD">
            <w:pPr>
              <w:keepNext/>
              <w:jc w:val="left"/>
              <w:rPr>
                <w:sz w:val="20"/>
              </w:rPr>
            </w:pPr>
            <w:r w:rsidRPr="002B2CFC">
              <w:rPr>
                <w:sz w:val="20"/>
              </w:rPr>
              <w:t>Vehicle control (Group1)</w:t>
            </w:r>
          </w:p>
        </w:tc>
        <w:tc>
          <w:tcPr>
            <w:tcW w:w="1182" w:type="dxa"/>
            <w:tcBorders>
              <w:top w:val="single" w:sz="12" w:space="0" w:color="auto"/>
              <w:left w:val="single" w:sz="12" w:space="0" w:color="auto"/>
              <w:bottom w:val="nil"/>
            </w:tcBorders>
            <w:shd w:val="clear" w:color="auto" w:fill="D9D9D9" w:themeFill="background1" w:themeFillShade="D9"/>
            <w:vAlign w:val="center"/>
          </w:tcPr>
          <w:p w14:paraId="2320F97F" w14:textId="77777777" w:rsidR="0005512A" w:rsidRPr="002B2CFC" w:rsidRDefault="0005512A" w:rsidP="00E439AD">
            <w:pPr>
              <w:keepNext/>
              <w:jc w:val="center"/>
              <w:rPr>
                <w:sz w:val="20"/>
              </w:rPr>
            </w:pPr>
            <w:r w:rsidRPr="002B2CFC">
              <w:rPr>
                <w:sz w:val="20"/>
              </w:rPr>
              <w:t>9 988</w:t>
            </w:r>
          </w:p>
        </w:tc>
        <w:tc>
          <w:tcPr>
            <w:tcW w:w="1323" w:type="dxa"/>
            <w:tcBorders>
              <w:top w:val="single" w:sz="12" w:space="0" w:color="auto"/>
              <w:bottom w:val="nil"/>
            </w:tcBorders>
            <w:shd w:val="clear" w:color="auto" w:fill="D9D9D9" w:themeFill="background1" w:themeFillShade="D9"/>
            <w:vAlign w:val="center"/>
          </w:tcPr>
          <w:p w14:paraId="43104871" w14:textId="77777777" w:rsidR="0005512A" w:rsidRPr="002B2CFC" w:rsidRDefault="0005512A" w:rsidP="00E439AD">
            <w:pPr>
              <w:keepNext/>
              <w:jc w:val="center"/>
              <w:rPr>
                <w:sz w:val="20"/>
              </w:rPr>
            </w:pPr>
            <w:r w:rsidRPr="002B2CFC">
              <w:rPr>
                <w:sz w:val="20"/>
              </w:rPr>
              <w:t>16 463</w:t>
            </w:r>
          </w:p>
        </w:tc>
        <w:tc>
          <w:tcPr>
            <w:tcW w:w="1464" w:type="dxa"/>
            <w:tcBorders>
              <w:top w:val="single" w:sz="12" w:space="0" w:color="auto"/>
              <w:bottom w:val="nil"/>
              <w:right w:val="single" w:sz="12" w:space="0" w:color="auto"/>
            </w:tcBorders>
            <w:shd w:val="clear" w:color="auto" w:fill="D9D9D9" w:themeFill="background1" w:themeFillShade="D9"/>
            <w:vAlign w:val="center"/>
          </w:tcPr>
          <w:p w14:paraId="62B7DF94" w14:textId="77777777" w:rsidR="0005512A" w:rsidRPr="002B2CFC" w:rsidRDefault="0005512A" w:rsidP="00E439AD">
            <w:pPr>
              <w:keepNext/>
              <w:jc w:val="center"/>
              <w:rPr>
                <w:sz w:val="20"/>
              </w:rPr>
            </w:pPr>
            <w:r w:rsidRPr="002B2CFC">
              <w:rPr>
                <w:sz w:val="20"/>
              </w:rPr>
              <w:t>252 360 000</w:t>
            </w:r>
          </w:p>
        </w:tc>
        <w:tc>
          <w:tcPr>
            <w:tcW w:w="1182" w:type="dxa"/>
            <w:tcBorders>
              <w:top w:val="single" w:sz="12" w:space="0" w:color="auto"/>
              <w:left w:val="single" w:sz="12" w:space="0" w:color="auto"/>
              <w:bottom w:val="nil"/>
            </w:tcBorders>
            <w:shd w:val="clear" w:color="auto" w:fill="D9D9D9" w:themeFill="background1" w:themeFillShade="D9"/>
            <w:vAlign w:val="center"/>
          </w:tcPr>
          <w:p w14:paraId="43092A60" w14:textId="77777777" w:rsidR="0005512A" w:rsidRPr="002B2CFC" w:rsidRDefault="0005512A" w:rsidP="00E439AD">
            <w:pPr>
              <w:keepNext/>
              <w:jc w:val="center"/>
              <w:rPr>
                <w:sz w:val="20"/>
              </w:rPr>
            </w:pPr>
            <w:r w:rsidRPr="002B2CFC">
              <w:rPr>
                <w:sz w:val="20"/>
              </w:rPr>
              <w:t>16 615</w:t>
            </w:r>
          </w:p>
        </w:tc>
        <w:tc>
          <w:tcPr>
            <w:tcW w:w="1323" w:type="dxa"/>
            <w:tcBorders>
              <w:top w:val="single" w:sz="12" w:space="0" w:color="auto"/>
              <w:bottom w:val="nil"/>
            </w:tcBorders>
            <w:shd w:val="clear" w:color="auto" w:fill="D9D9D9" w:themeFill="background1" w:themeFillShade="D9"/>
            <w:vAlign w:val="center"/>
          </w:tcPr>
          <w:p w14:paraId="51AB7725" w14:textId="77777777" w:rsidR="0005512A" w:rsidRPr="002B2CFC" w:rsidRDefault="0005512A" w:rsidP="00E439AD">
            <w:pPr>
              <w:keepNext/>
              <w:jc w:val="center"/>
              <w:rPr>
                <w:sz w:val="20"/>
              </w:rPr>
            </w:pPr>
            <w:r w:rsidRPr="002B2CFC">
              <w:rPr>
                <w:sz w:val="20"/>
              </w:rPr>
              <w:t>29 637</w:t>
            </w:r>
          </w:p>
        </w:tc>
        <w:tc>
          <w:tcPr>
            <w:tcW w:w="1323" w:type="dxa"/>
            <w:tcBorders>
              <w:top w:val="single" w:sz="12" w:space="0" w:color="auto"/>
              <w:bottom w:val="nil"/>
            </w:tcBorders>
            <w:shd w:val="clear" w:color="auto" w:fill="D9D9D9" w:themeFill="background1" w:themeFillShade="D9"/>
            <w:vAlign w:val="center"/>
          </w:tcPr>
          <w:p w14:paraId="3A06B137" w14:textId="77777777" w:rsidR="0005512A" w:rsidRPr="002B2CFC" w:rsidRDefault="0005512A" w:rsidP="00E439AD">
            <w:pPr>
              <w:keepNext/>
              <w:jc w:val="center"/>
              <w:rPr>
                <w:sz w:val="20"/>
              </w:rPr>
            </w:pPr>
            <w:r w:rsidRPr="002B2CFC">
              <w:rPr>
                <w:sz w:val="20"/>
              </w:rPr>
              <w:t>312 227 125</w:t>
            </w:r>
          </w:p>
        </w:tc>
      </w:tr>
      <w:tr w:rsidR="0005512A" w:rsidRPr="002B2CFC" w14:paraId="3BA7DB47" w14:textId="77777777" w:rsidTr="0005512A">
        <w:trPr>
          <w:trHeight w:val="335"/>
        </w:trPr>
        <w:tc>
          <w:tcPr>
            <w:tcW w:w="1242" w:type="dxa"/>
            <w:vMerge/>
            <w:tcBorders>
              <w:bottom w:val="single" w:sz="12" w:space="0" w:color="auto"/>
              <w:right w:val="single" w:sz="12" w:space="0" w:color="auto"/>
            </w:tcBorders>
            <w:shd w:val="clear" w:color="auto" w:fill="D9D9D9" w:themeFill="background1" w:themeFillShade="D9"/>
          </w:tcPr>
          <w:p w14:paraId="213F08B2" w14:textId="77777777" w:rsidR="0005512A" w:rsidRPr="002B2CFC" w:rsidRDefault="0005512A" w:rsidP="00E439AD">
            <w:pPr>
              <w:keepNext/>
              <w:jc w:val="left"/>
              <w:rPr>
                <w:sz w:val="20"/>
              </w:rPr>
            </w:pPr>
          </w:p>
        </w:tc>
        <w:tc>
          <w:tcPr>
            <w:tcW w:w="1182" w:type="dxa"/>
            <w:tcBorders>
              <w:top w:val="nil"/>
              <w:left w:val="single" w:sz="12" w:space="0" w:color="auto"/>
              <w:bottom w:val="single" w:sz="12" w:space="0" w:color="auto"/>
            </w:tcBorders>
            <w:shd w:val="clear" w:color="auto" w:fill="D9D9D9" w:themeFill="background1" w:themeFillShade="D9"/>
            <w:vAlign w:val="center"/>
          </w:tcPr>
          <w:p w14:paraId="0A3D6AD6" w14:textId="77777777" w:rsidR="0005512A" w:rsidRPr="002B2CFC" w:rsidRDefault="0005512A" w:rsidP="00E439AD">
            <w:pPr>
              <w:keepNext/>
              <w:jc w:val="center"/>
              <w:rPr>
                <w:sz w:val="20"/>
              </w:rPr>
            </w:pPr>
            <w:r>
              <w:rPr>
                <w:sz w:val="20"/>
              </w:rPr>
              <w:t xml:space="preserve">n= </w:t>
            </w:r>
            <w:r w:rsidRPr="002B2CFC">
              <w:rPr>
                <w:sz w:val="20"/>
              </w:rPr>
              <w:t>8</w:t>
            </w:r>
          </w:p>
        </w:tc>
        <w:tc>
          <w:tcPr>
            <w:tcW w:w="1323" w:type="dxa"/>
            <w:tcBorders>
              <w:top w:val="nil"/>
              <w:bottom w:val="single" w:sz="12" w:space="0" w:color="auto"/>
            </w:tcBorders>
            <w:shd w:val="clear" w:color="auto" w:fill="D9D9D9" w:themeFill="background1" w:themeFillShade="D9"/>
            <w:vAlign w:val="center"/>
          </w:tcPr>
          <w:p w14:paraId="713842DF" w14:textId="77777777" w:rsidR="0005512A" w:rsidRPr="002B2CFC" w:rsidRDefault="0005512A" w:rsidP="00E439AD">
            <w:pPr>
              <w:keepNext/>
              <w:jc w:val="center"/>
              <w:rPr>
                <w:sz w:val="20"/>
              </w:rPr>
            </w:pPr>
            <w:r>
              <w:rPr>
                <w:sz w:val="20"/>
              </w:rPr>
              <w:t xml:space="preserve">n= </w:t>
            </w:r>
            <w:r w:rsidRPr="002B2CFC">
              <w:rPr>
                <w:sz w:val="20"/>
              </w:rPr>
              <w:t>8</w:t>
            </w:r>
          </w:p>
        </w:tc>
        <w:tc>
          <w:tcPr>
            <w:tcW w:w="1464" w:type="dxa"/>
            <w:tcBorders>
              <w:top w:val="nil"/>
              <w:bottom w:val="single" w:sz="12" w:space="0" w:color="auto"/>
              <w:right w:val="single" w:sz="12" w:space="0" w:color="auto"/>
            </w:tcBorders>
            <w:shd w:val="clear" w:color="auto" w:fill="D9D9D9" w:themeFill="background1" w:themeFillShade="D9"/>
            <w:vAlign w:val="center"/>
          </w:tcPr>
          <w:p w14:paraId="166A4885" w14:textId="77777777" w:rsidR="0005512A" w:rsidRPr="002B2CFC" w:rsidRDefault="0005512A" w:rsidP="00E439AD">
            <w:pPr>
              <w:keepNext/>
              <w:jc w:val="center"/>
              <w:rPr>
                <w:sz w:val="20"/>
              </w:rPr>
            </w:pPr>
            <w:r>
              <w:rPr>
                <w:sz w:val="20"/>
              </w:rPr>
              <w:t xml:space="preserve">n= </w:t>
            </w:r>
            <w:r w:rsidRPr="002B2CFC">
              <w:rPr>
                <w:sz w:val="20"/>
              </w:rPr>
              <w:t>8</w:t>
            </w:r>
          </w:p>
        </w:tc>
        <w:tc>
          <w:tcPr>
            <w:tcW w:w="1182" w:type="dxa"/>
            <w:tcBorders>
              <w:top w:val="nil"/>
              <w:left w:val="single" w:sz="12" w:space="0" w:color="auto"/>
              <w:bottom w:val="single" w:sz="12" w:space="0" w:color="auto"/>
            </w:tcBorders>
            <w:shd w:val="clear" w:color="auto" w:fill="D9D9D9" w:themeFill="background1" w:themeFillShade="D9"/>
            <w:vAlign w:val="center"/>
          </w:tcPr>
          <w:p w14:paraId="066CD230" w14:textId="77777777" w:rsidR="0005512A" w:rsidRPr="002B2CFC" w:rsidRDefault="0005512A" w:rsidP="00E439AD">
            <w:pPr>
              <w:keepNext/>
              <w:jc w:val="center"/>
              <w:rPr>
                <w:sz w:val="20"/>
              </w:rPr>
            </w:pPr>
            <w:r>
              <w:rPr>
                <w:sz w:val="20"/>
              </w:rPr>
              <w:t xml:space="preserve">n= </w:t>
            </w:r>
            <w:r w:rsidRPr="002B2CFC">
              <w:rPr>
                <w:sz w:val="20"/>
              </w:rPr>
              <w:t>8</w:t>
            </w:r>
          </w:p>
        </w:tc>
        <w:tc>
          <w:tcPr>
            <w:tcW w:w="1323" w:type="dxa"/>
            <w:tcBorders>
              <w:top w:val="nil"/>
              <w:bottom w:val="single" w:sz="12" w:space="0" w:color="auto"/>
            </w:tcBorders>
            <w:shd w:val="clear" w:color="auto" w:fill="D9D9D9" w:themeFill="background1" w:themeFillShade="D9"/>
            <w:vAlign w:val="center"/>
          </w:tcPr>
          <w:p w14:paraId="17C833F0" w14:textId="77777777" w:rsidR="0005512A" w:rsidRPr="002B2CFC" w:rsidRDefault="0005512A" w:rsidP="00E439AD">
            <w:pPr>
              <w:keepNext/>
              <w:jc w:val="center"/>
              <w:rPr>
                <w:sz w:val="20"/>
              </w:rPr>
            </w:pPr>
            <w:r>
              <w:rPr>
                <w:sz w:val="20"/>
              </w:rPr>
              <w:t xml:space="preserve">n= </w:t>
            </w:r>
            <w:r w:rsidRPr="002B2CFC">
              <w:rPr>
                <w:sz w:val="20"/>
              </w:rPr>
              <w:t>8</w:t>
            </w:r>
          </w:p>
        </w:tc>
        <w:tc>
          <w:tcPr>
            <w:tcW w:w="1323" w:type="dxa"/>
            <w:tcBorders>
              <w:top w:val="nil"/>
              <w:bottom w:val="single" w:sz="12" w:space="0" w:color="auto"/>
            </w:tcBorders>
            <w:shd w:val="clear" w:color="auto" w:fill="D9D9D9" w:themeFill="background1" w:themeFillShade="D9"/>
            <w:vAlign w:val="center"/>
          </w:tcPr>
          <w:p w14:paraId="767D3003" w14:textId="77777777" w:rsidR="0005512A" w:rsidRPr="002B2CFC" w:rsidRDefault="0005512A" w:rsidP="00E439AD">
            <w:pPr>
              <w:keepNext/>
              <w:jc w:val="center"/>
              <w:rPr>
                <w:sz w:val="20"/>
              </w:rPr>
            </w:pPr>
            <w:r>
              <w:rPr>
                <w:sz w:val="20"/>
              </w:rPr>
              <w:t xml:space="preserve">n= </w:t>
            </w:r>
            <w:r w:rsidRPr="002B2CFC">
              <w:rPr>
                <w:sz w:val="20"/>
              </w:rPr>
              <w:t>8</w:t>
            </w:r>
          </w:p>
        </w:tc>
      </w:tr>
      <w:tr w:rsidR="0005512A" w:rsidRPr="002B2CFC" w14:paraId="05A6F23A" w14:textId="77777777" w:rsidTr="0005512A">
        <w:trPr>
          <w:trHeight w:val="335"/>
        </w:trPr>
        <w:tc>
          <w:tcPr>
            <w:tcW w:w="1242" w:type="dxa"/>
            <w:vMerge w:val="restart"/>
            <w:tcBorders>
              <w:top w:val="single" w:sz="12" w:space="0" w:color="auto"/>
              <w:right w:val="single" w:sz="12" w:space="0" w:color="auto"/>
            </w:tcBorders>
          </w:tcPr>
          <w:p w14:paraId="3193F3C2" w14:textId="77777777" w:rsidR="0005512A" w:rsidRPr="002B2CFC" w:rsidRDefault="0005512A" w:rsidP="00E439AD">
            <w:pPr>
              <w:keepNext/>
              <w:jc w:val="left"/>
              <w:rPr>
                <w:sz w:val="20"/>
              </w:rPr>
            </w:pPr>
            <w:r w:rsidRPr="002B2CFC">
              <w:rPr>
                <w:sz w:val="20"/>
              </w:rPr>
              <w:t>Paraquat 10 mg/kg bw/ dose  (Group 2)</w:t>
            </w:r>
          </w:p>
        </w:tc>
        <w:tc>
          <w:tcPr>
            <w:tcW w:w="1182" w:type="dxa"/>
            <w:tcBorders>
              <w:top w:val="single" w:sz="12" w:space="0" w:color="auto"/>
              <w:left w:val="single" w:sz="12" w:space="0" w:color="auto"/>
              <w:bottom w:val="nil"/>
            </w:tcBorders>
            <w:vAlign w:val="center"/>
          </w:tcPr>
          <w:p w14:paraId="13FB1F76" w14:textId="77777777" w:rsidR="0005512A" w:rsidRPr="002B2CFC" w:rsidRDefault="0005512A" w:rsidP="00E439AD">
            <w:pPr>
              <w:keepNext/>
              <w:jc w:val="center"/>
              <w:rPr>
                <w:sz w:val="20"/>
              </w:rPr>
            </w:pPr>
            <w:r w:rsidRPr="002B2CFC">
              <w:rPr>
                <w:sz w:val="20"/>
              </w:rPr>
              <w:t>9 518</w:t>
            </w:r>
          </w:p>
        </w:tc>
        <w:tc>
          <w:tcPr>
            <w:tcW w:w="1323" w:type="dxa"/>
            <w:tcBorders>
              <w:top w:val="single" w:sz="12" w:space="0" w:color="auto"/>
              <w:bottom w:val="nil"/>
            </w:tcBorders>
            <w:vAlign w:val="center"/>
          </w:tcPr>
          <w:p w14:paraId="23F2BE5F" w14:textId="77777777" w:rsidR="0005512A" w:rsidRPr="002B2CFC" w:rsidRDefault="0005512A" w:rsidP="00E439AD">
            <w:pPr>
              <w:keepNext/>
              <w:jc w:val="center"/>
              <w:rPr>
                <w:sz w:val="20"/>
              </w:rPr>
            </w:pPr>
            <w:r w:rsidRPr="002B2CFC">
              <w:rPr>
                <w:sz w:val="20"/>
              </w:rPr>
              <w:t>17 672</w:t>
            </w:r>
          </w:p>
        </w:tc>
        <w:tc>
          <w:tcPr>
            <w:tcW w:w="1464" w:type="dxa"/>
            <w:tcBorders>
              <w:top w:val="single" w:sz="12" w:space="0" w:color="auto"/>
              <w:bottom w:val="nil"/>
              <w:right w:val="single" w:sz="12" w:space="0" w:color="auto"/>
            </w:tcBorders>
            <w:vAlign w:val="center"/>
          </w:tcPr>
          <w:p w14:paraId="327E0772" w14:textId="77777777" w:rsidR="0005512A" w:rsidRPr="002B2CFC" w:rsidRDefault="0005512A" w:rsidP="00E439AD">
            <w:pPr>
              <w:keepNext/>
              <w:jc w:val="center"/>
              <w:rPr>
                <w:sz w:val="20"/>
              </w:rPr>
            </w:pPr>
            <w:r w:rsidRPr="002B2CFC">
              <w:rPr>
                <w:sz w:val="20"/>
              </w:rPr>
              <w:t>238 481 889</w:t>
            </w:r>
          </w:p>
        </w:tc>
        <w:tc>
          <w:tcPr>
            <w:tcW w:w="1182" w:type="dxa"/>
            <w:tcBorders>
              <w:top w:val="single" w:sz="12" w:space="0" w:color="auto"/>
              <w:left w:val="single" w:sz="12" w:space="0" w:color="auto"/>
              <w:bottom w:val="nil"/>
            </w:tcBorders>
            <w:vAlign w:val="center"/>
          </w:tcPr>
          <w:p w14:paraId="27F07E73" w14:textId="77777777" w:rsidR="0005512A" w:rsidRPr="002B2CFC" w:rsidRDefault="0005512A" w:rsidP="00E439AD">
            <w:pPr>
              <w:keepNext/>
              <w:jc w:val="center"/>
              <w:rPr>
                <w:sz w:val="20"/>
              </w:rPr>
            </w:pPr>
            <w:r w:rsidRPr="002B2CFC">
              <w:rPr>
                <w:sz w:val="20"/>
              </w:rPr>
              <w:t>16 270</w:t>
            </w:r>
          </w:p>
        </w:tc>
        <w:tc>
          <w:tcPr>
            <w:tcW w:w="1323" w:type="dxa"/>
            <w:tcBorders>
              <w:top w:val="single" w:sz="12" w:space="0" w:color="auto"/>
              <w:bottom w:val="nil"/>
            </w:tcBorders>
            <w:vAlign w:val="center"/>
          </w:tcPr>
          <w:p w14:paraId="502FDA0B" w14:textId="77777777" w:rsidR="0005512A" w:rsidRPr="002B2CFC" w:rsidRDefault="0005512A" w:rsidP="00E439AD">
            <w:pPr>
              <w:keepNext/>
              <w:jc w:val="center"/>
              <w:rPr>
                <w:sz w:val="20"/>
              </w:rPr>
            </w:pPr>
            <w:r w:rsidRPr="002B2CFC">
              <w:rPr>
                <w:sz w:val="20"/>
              </w:rPr>
              <w:t>28 225</w:t>
            </w:r>
          </w:p>
        </w:tc>
        <w:tc>
          <w:tcPr>
            <w:tcW w:w="1323" w:type="dxa"/>
            <w:tcBorders>
              <w:top w:val="single" w:sz="12" w:space="0" w:color="auto"/>
              <w:bottom w:val="nil"/>
            </w:tcBorders>
            <w:vAlign w:val="center"/>
          </w:tcPr>
          <w:p w14:paraId="56CCB0C9" w14:textId="77777777" w:rsidR="0005512A" w:rsidRPr="002B2CFC" w:rsidRDefault="0005512A" w:rsidP="00E439AD">
            <w:pPr>
              <w:keepNext/>
              <w:jc w:val="center"/>
              <w:rPr>
                <w:sz w:val="20"/>
              </w:rPr>
            </w:pPr>
            <w:r w:rsidRPr="002B2CFC">
              <w:rPr>
                <w:sz w:val="20"/>
              </w:rPr>
              <w:t>305 169 000</w:t>
            </w:r>
          </w:p>
        </w:tc>
      </w:tr>
      <w:tr w:rsidR="0005512A" w:rsidRPr="002B2CFC" w14:paraId="5F219153" w14:textId="77777777" w:rsidTr="0005512A">
        <w:trPr>
          <w:trHeight w:val="335"/>
        </w:trPr>
        <w:tc>
          <w:tcPr>
            <w:tcW w:w="1242" w:type="dxa"/>
            <w:vMerge/>
            <w:tcBorders>
              <w:right w:val="single" w:sz="12" w:space="0" w:color="auto"/>
            </w:tcBorders>
          </w:tcPr>
          <w:p w14:paraId="70A7616D" w14:textId="77777777" w:rsidR="0005512A" w:rsidRPr="002B2CFC" w:rsidRDefault="0005512A" w:rsidP="00E439AD">
            <w:pPr>
              <w:keepNext/>
              <w:jc w:val="left"/>
              <w:rPr>
                <w:sz w:val="20"/>
              </w:rPr>
            </w:pPr>
          </w:p>
        </w:tc>
        <w:tc>
          <w:tcPr>
            <w:tcW w:w="1182" w:type="dxa"/>
            <w:tcBorders>
              <w:top w:val="nil"/>
              <w:left w:val="single" w:sz="12" w:space="0" w:color="auto"/>
              <w:bottom w:val="nil"/>
            </w:tcBorders>
            <w:vAlign w:val="center"/>
          </w:tcPr>
          <w:p w14:paraId="605181F1" w14:textId="77777777" w:rsidR="0005512A" w:rsidRPr="002B2CFC" w:rsidRDefault="0005512A" w:rsidP="00E439AD">
            <w:pPr>
              <w:keepNext/>
              <w:jc w:val="center"/>
              <w:rPr>
                <w:sz w:val="20"/>
              </w:rPr>
            </w:pPr>
            <w:r>
              <w:rPr>
                <w:sz w:val="20"/>
              </w:rPr>
              <w:t xml:space="preserve">n= </w:t>
            </w:r>
            <w:r w:rsidRPr="002B2CFC">
              <w:rPr>
                <w:sz w:val="20"/>
              </w:rPr>
              <w:t>9</w:t>
            </w:r>
          </w:p>
        </w:tc>
        <w:tc>
          <w:tcPr>
            <w:tcW w:w="1323" w:type="dxa"/>
            <w:tcBorders>
              <w:top w:val="nil"/>
              <w:bottom w:val="nil"/>
            </w:tcBorders>
            <w:vAlign w:val="center"/>
          </w:tcPr>
          <w:p w14:paraId="31F2D165" w14:textId="77777777" w:rsidR="0005512A" w:rsidRPr="002B2CFC" w:rsidRDefault="0005512A" w:rsidP="00E439AD">
            <w:pPr>
              <w:keepNext/>
              <w:jc w:val="center"/>
              <w:rPr>
                <w:sz w:val="20"/>
              </w:rPr>
            </w:pPr>
            <w:r>
              <w:rPr>
                <w:sz w:val="20"/>
              </w:rPr>
              <w:t xml:space="preserve">n= </w:t>
            </w:r>
            <w:r w:rsidRPr="002B2CFC">
              <w:rPr>
                <w:sz w:val="20"/>
              </w:rPr>
              <w:t>9</w:t>
            </w:r>
          </w:p>
        </w:tc>
        <w:tc>
          <w:tcPr>
            <w:tcW w:w="1464" w:type="dxa"/>
            <w:tcBorders>
              <w:top w:val="nil"/>
              <w:bottom w:val="nil"/>
              <w:right w:val="single" w:sz="12" w:space="0" w:color="auto"/>
            </w:tcBorders>
            <w:vAlign w:val="center"/>
          </w:tcPr>
          <w:p w14:paraId="4B57D72C" w14:textId="77777777" w:rsidR="0005512A" w:rsidRPr="002B2CFC" w:rsidRDefault="0005512A" w:rsidP="00E439AD">
            <w:pPr>
              <w:keepNext/>
              <w:jc w:val="center"/>
              <w:rPr>
                <w:sz w:val="20"/>
              </w:rPr>
            </w:pPr>
            <w:r>
              <w:rPr>
                <w:sz w:val="20"/>
              </w:rPr>
              <w:t xml:space="preserve">n= </w:t>
            </w:r>
            <w:r w:rsidRPr="002B2CFC">
              <w:rPr>
                <w:sz w:val="20"/>
              </w:rPr>
              <w:t>9</w:t>
            </w:r>
          </w:p>
        </w:tc>
        <w:tc>
          <w:tcPr>
            <w:tcW w:w="1182" w:type="dxa"/>
            <w:tcBorders>
              <w:top w:val="nil"/>
              <w:left w:val="single" w:sz="12" w:space="0" w:color="auto"/>
              <w:bottom w:val="nil"/>
            </w:tcBorders>
            <w:vAlign w:val="center"/>
          </w:tcPr>
          <w:p w14:paraId="03E697C4" w14:textId="77777777" w:rsidR="0005512A" w:rsidRPr="002B2CFC" w:rsidRDefault="0005512A" w:rsidP="00E439AD">
            <w:pPr>
              <w:keepNext/>
              <w:jc w:val="center"/>
              <w:rPr>
                <w:sz w:val="20"/>
              </w:rPr>
            </w:pPr>
            <w:r>
              <w:rPr>
                <w:sz w:val="20"/>
              </w:rPr>
              <w:t xml:space="preserve">n= </w:t>
            </w:r>
            <w:r w:rsidRPr="002B2CFC">
              <w:rPr>
                <w:sz w:val="20"/>
              </w:rPr>
              <w:t>10</w:t>
            </w:r>
          </w:p>
        </w:tc>
        <w:tc>
          <w:tcPr>
            <w:tcW w:w="1323" w:type="dxa"/>
            <w:tcBorders>
              <w:top w:val="nil"/>
              <w:bottom w:val="nil"/>
            </w:tcBorders>
            <w:vAlign w:val="center"/>
          </w:tcPr>
          <w:p w14:paraId="4058F971" w14:textId="77777777" w:rsidR="0005512A" w:rsidRPr="002B2CFC" w:rsidRDefault="0005512A" w:rsidP="00E439AD">
            <w:pPr>
              <w:keepNext/>
              <w:jc w:val="center"/>
              <w:rPr>
                <w:sz w:val="20"/>
              </w:rPr>
            </w:pPr>
            <w:r>
              <w:rPr>
                <w:sz w:val="20"/>
              </w:rPr>
              <w:t xml:space="preserve">n= </w:t>
            </w:r>
            <w:r w:rsidRPr="002B2CFC">
              <w:rPr>
                <w:sz w:val="20"/>
              </w:rPr>
              <w:t>10</w:t>
            </w:r>
          </w:p>
        </w:tc>
        <w:tc>
          <w:tcPr>
            <w:tcW w:w="1323" w:type="dxa"/>
            <w:tcBorders>
              <w:top w:val="nil"/>
              <w:bottom w:val="nil"/>
            </w:tcBorders>
            <w:vAlign w:val="center"/>
          </w:tcPr>
          <w:p w14:paraId="30664994" w14:textId="77777777" w:rsidR="0005512A" w:rsidRPr="002B2CFC" w:rsidRDefault="0005512A" w:rsidP="00E439AD">
            <w:pPr>
              <w:keepNext/>
              <w:jc w:val="center"/>
              <w:rPr>
                <w:sz w:val="20"/>
              </w:rPr>
            </w:pPr>
            <w:r>
              <w:rPr>
                <w:sz w:val="20"/>
              </w:rPr>
              <w:t xml:space="preserve">n= </w:t>
            </w:r>
            <w:r w:rsidRPr="002B2CFC">
              <w:rPr>
                <w:sz w:val="20"/>
              </w:rPr>
              <w:t>10</w:t>
            </w:r>
          </w:p>
        </w:tc>
      </w:tr>
      <w:tr w:rsidR="0005512A" w:rsidRPr="002B2CFC" w14:paraId="3686872B" w14:textId="77777777" w:rsidTr="0005512A">
        <w:trPr>
          <w:trHeight w:val="335"/>
        </w:trPr>
        <w:tc>
          <w:tcPr>
            <w:tcW w:w="1242" w:type="dxa"/>
            <w:vMerge/>
            <w:tcBorders>
              <w:right w:val="single" w:sz="12" w:space="0" w:color="auto"/>
            </w:tcBorders>
          </w:tcPr>
          <w:p w14:paraId="25D0FFD6" w14:textId="77777777" w:rsidR="0005512A" w:rsidRPr="002B2CFC" w:rsidRDefault="0005512A" w:rsidP="00E439AD">
            <w:pPr>
              <w:keepNext/>
              <w:jc w:val="left"/>
              <w:rPr>
                <w:sz w:val="20"/>
              </w:rPr>
            </w:pPr>
          </w:p>
        </w:tc>
        <w:tc>
          <w:tcPr>
            <w:tcW w:w="1182" w:type="dxa"/>
            <w:tcBorders>
              <w:top w:val="nil"/>
              <w:left w:val="single" w:sz="12" w:space="0" w:color="auto"/>
              <w:bottom w:val="single" w:sz="4" w:space="0" w:color="auto"/>
            </w:tcBorders>
            <w:vAlign w:val="center"/>
          </w:tcPr>
          <w:p w14:paraId="5DF370AF" w14:textId="77777777" w:rsidR="0005512A" w:rsidRPr="002B2CFC" w:rsidRDefault="0005512A" w:rsidP="00E439AD">
            <w:pPr>
              <w:keepNext/>
              <w:jc w:val="center"/>
              <w:rPr>
                <w:sz w:val="20"/>
              </w:rPr>
            </w:pPr>
            <w:r w:rsidRPr="002B2CFC">
              <w:rPr>
                <w:sz w:val="20"/>
              </w:rPr>
              <w:t>(95%)</w:t>
            </w:r>
          </w:p>
        </w:tc>
        <w:tc>
          <w:tcPr>
            <w:tcW w:w="1323" w:type="dxa"/>
            <w:tcBorders>
              <w:top w:val="nil"/>
              <w:bottom w:val="single" w:sz="4" w:space="0" w:color="auto"/>
            </w:tcBorders>
            <w:vAlign w:val="center"/>
          </w:tcPr>
          <w:p w14:paraId="5F36CF66" w14:textId="77777777" w:rsidR="0005512A" w:rsidRPr="002B2CFC" w:rsidRDefault="0005512A" w:rsidP="00E439AD">
            <w:pPr>
              <w:keepNext/>
              <w:jc w:val="center"/>
              <w:rPr>
                <w:sz w:val="20"/>
              </w:rPr>
            </w:pPr>
            <w:r w:rsidRPr="002B2CFC">
              <w:rPr>
                <w:sz w:val="20"/>
              </w:rPr>
              <w:t>(107%)</w:t>
            </w:r>
          </w:p>
        </w:tc>
        <w:tc>
          <w:tcPr>
            <w:tcW w:w="1464" w:type="dxa"/>
            <w:tcBorders>
              <w:top w:val="nil"/>
              <w:bottom w:val="single" w:sz="4" w:space="0" w:color="auto"/>
              <w:right w:val="single" w:sz="12" w:space="0" w:color="auto"/>
            </w:tcBorders>
            <w:vAlign w:val="center"/>
          </w:tcPr>
          <w:p w14:paraId="54BF767D" w14:textId="77777777" w:rsidR="0005512A" w:rsidRPr="002B2CFC" w:rsidRDefault="0005512A" w:rsidP="00E439AD">
            <w:pPr>
              <w:keepNext/>
              <w:jc w:val="center"/>
              <w:rPr>
                <w:sz w:val="20"/>
              </w:rPr>
            </w:pPr>
            <w:r w:rsidRPr="002B2CFC">
              <w:rPr>
                <w:sz w:val="20"/>
              </w:rPr>
              <w:t>(95%)</w:t>
            </w:r>
          </w:p>
        </w:tc>
        <w:tc>
          <w:tcPr>
            <w:tcW w:w="1182" w:type="dxa"/>
            <w:tcBorders>
              <w:top w:val="nil"/>
              <w:left w:val="single" w:sz="12" w:space="0" w:color="auto"/>
              <w:bottom w:val="single" w:sz="4" w:space="0" w:color="auto"/>
            </w:tcBorders>
            <w:vAlign w:val="center"/>
          </w:tcPr>
          <w:p w14:paraId="50316B9B" w14:textId="77777777" w:rsidR="0005512A" w:rsidRPr="002B2CFC" w:rsidRDefault="0005512A" w:rsidP="00E439AD">
            <w:pPr>
              <w:keepNext/>
              <w:jc w:val="center"/>
              <w:rPr>
                <w:sz w:val="20"/>
              </w:rPr>
            </w:pPr>
            <w:r w:rsidRPr="002B2CFC">
              <w:rPr>
                <w:sz w:val="20"/>
              </w:rPr>
              <w:t>(98%)</w:t>
            </w:r>
          </w:p>
        </w:tc>
        <w:tc>
          <w:tcPr>
            <w:tcW w:w="1323" w:type="dxa"/>
            <w:tcBorders>
              <w:top w:val="nil"/>
              <w:bottom w:val="single" w:sz="4" w:space="0" w:color="auto"/>
            </w:tcBorders>
            <w:vAlign w:val="center"/>
          </w:tcPr>
          <w:p w14:paraId="12F9FD1E" w14:textId="77777777" w:rsidR="0005512A" w:rsidRPr="002B2CFC" w:rsidRDefault="0005512A" w:rsidP="00E439AD">
            <w:pPr>
              <w:keepNext/>
              <w:jc w:val="center"/>
              <w:rPr>
                <w:sz w:val="20"/>
              </w:rPr>
            </w:pPr>
            <w:r w:rsidRPr="002B2CFC">
              <w:rPr>
                <w:sz w:val="20"/>
              </w:rPr>
              <w:t>(95%)</w:t>
            </w:r>
          </w:p>
        </w:tc>
        <w:tc>
          <w:tcPr>
            <w:tcW w:w="1323" w:type="dxa"/>
            <w:tcBorders>
              <w:top w:val="nil"/>
              <w:bottom w:val="single" w:sz="4" w:space="0" w:color="auto"/>
            </w:tcBorders>
            <w:vAlign w:val="center"/>
          </w:tcPr>
          <w:p w14:paraId="1B701947" w14:textId="77777777" w:rsidR="0005512A" w:rsidRPr="002B2CFC" w:rsidRDefault="0005512A" w:rsidP="00E439AD">
            <w:pPr>
              <w:keepNext/>
              <w:jc w:val="center"/>
              <w:rPr>
                <w:sz w:val="20"/>
              </w:rPr>
            </w:pPr>
            <w:r w:rsidRPr="002B2CFC">
              <w:rPr>
                <w:sz w:val="20"/>
              </w:rPr>
              <w:t>(98%)</w:t>
            </w:r>
          </w:p>
        </w:tc>
      </w:tr>
      <w:tr w:rsidR="0005512A" w:rsidRPr="002B2CFC" w14:paraId="4D32553D" w14:textId="77777777" w:rsidTr="0005512A">
        <w:trPr>
          <w:trHeight w:val="335"/>
        </w:trPr>
        <w:tc>
          <w:tcPr>
            <w:tcW w:w="1242" w:type="dxa"/>
            <w:vMerge w:val="restart"/>
            <w:tcBorders>
              <w:right w:val="single" w:sz="12" w:space="0" w:color="auto"/>
            </w:tcBorders>
          </w:tcPr>
          <w:p w14:paraId="61FC564F" w14:textId="77777777" w:rsidR="0005512A" w:rsidRPr="002B2CFC" w:rsidRDefault="0005512A" w:rsidP="00E439AD">
            <w:pPr>
              <w:keepNext/>
              <w:jc w:val="left"/>
              <w:rPr>
                <w:sz w:val="20"/>
              </w:rPr>
            </w:pPr>
            <w:r w:rsidRPr="002B2CFC">
              <w:rPr>
                <w:sz w:val="20"/>
              </w:rPr>
              <w:t>Paraquat 15 mg/kg bw/dose (Group 3)</w:t>
            </w:r>
          </w:p>
        </w:tc>
        <w:tc>
          <w:tcPr>
            <w:tcW w:w="1182" w:type="dxa"/>
            <w:tcBorders>
              <w:left w:val="single" w:sz="12" w:space="0" w:color="auto"/>
              <w:bottom w:val="nil"/>
            </w:tcBorders>
            <w:vAlign w:val="center"/>
          </w:tcPr>
          <w:p w14:paraId="2887FECD" w14:textId="77777777" w:rsidR="0005512A" w:rsidRPr="002B2CFC" w:rsidRDefault="0005512A" w:rsidP="00E439AD">
            <w:pPr>
              <w:keepNext/>
              <w:jc w:val="center"/>
              <w:rPr>
                <w:sz w:val="20"/>
              </w:rPr>
            </w:pPr>
            <w:r w:rsidRPr="002B2CFC">
              <w:rPr>
                <w:sz w:val="20"/>
              </w:rPr>
              <w:t>8 631</w:t>
            </w:r>
          </w:p>
        </w:tc>
        <w:tc>
          <w:tcPr>
            <w:tcW w:w="1323" w:type="dxa"/>
            <w:tcBorders>
              <w:bottom w:val="nil"/>
            </w:tcBorders>
            <w:vAlign w:val="center"/>
          </w:tcPr>
          <w:p w14:paraId="0446B9BF" w14:textId="77777777" w:rsidR="0005512A" w:rsidRPr="002B2CFC" w:rsidRDefault="0005512A" w:rsidP="00E439AD">
            <w:pPr>
              <w:keepNext/>
              <w:jc w:val="center"/>
              <w:rPr>
                <w:sz w:val="20"/>
              </w:rPr>
            </w:pPr>
            <w:r w:rsidRPr="002B2CFC">
              <w:rPr>
                <w:sz w:val="20"/>
              </w:rPr>
              <w:t>17 571</w:t>
            </w:r>
          </w:p>
        </w:tc>
        <w:tc>
          <w:tcPr>
            <w:tcW w:w="1464" w:type="dxa"/>
            <w:tcBorders>
              <w:bottom w:val="nil"/>
              <w:right w:val="single" w:sz="12" w:space="0" w:color="auto"/>
            </w:tcBorders>
            <w:vAlign w:val="center"/>
          </w:tcPr>
          <w:p w14:paraId="28507B80" w14:textId="77777777" w:rsidR="0005512A" w:rsidRPr="002B2CFC" w:rsidRDefault="0005512A" w:rsidP="00E439AD">
            <w:pPr>
              <w:keepNext/>
              <w:jc w:val="center"/>
              <w:rPr>
                <w:sz w:val="20"/>
              </w:rPr>
            </w:pPr>
            <w:r w:rsidRPr="002B2CFC">
              <w:rPr>
                <w:sz w:val="20"/>
              </w:rPr>
              <w:t>227 367 222*</w:t>
            </w:r>
          </w:p>
        </w:tc>
        <w:tc>
          <w:tcPr>
            <w:tcW w:w="1182" w:type="dxa"/>
            <w:tcBorders>
              <w:left w:val="single" w:sz="12" w:space="0" w:color="auto"/>
              <w:bottom w:val="nil"/>
            </w:tcBorders>
            <w:vAlign w:val="center"/>
          </w:tcPr>
          <w:p w14:paraId="329EB04C" w14:textId="77777777" w:rsidR="0005512A" w:rsidRPr="002B2CFC" w:rsidRDefault="0005512A" w:rsidP="00E439AD">
            <w:pPr>
              <w:keepNext/>
              <w:jc w:val="center"/>
              <w:rPr>
                <w:sz w:val="20"/>
              </w:rPr>
            </w:pPr>
            <w:r w:rsidRPr="002B2CFC">
              <w:rPr>
                <w:sz w:val="20"/>
              </w:rPr>
              <w:t>14 541</w:t>
            </w:r>
          </w:p>
        </w:tc>
        <w:tc>
          <w:tcPr>
            <w:tcW w:w="1323" w:type="dxa"/>
            <w:tcBorders>
              <w:bottom w:val="nil"/>
            </w:tcBorders>
            <w:vAlign w:val="center"/>
          </w:tcPr>
          <w:p w14:paraId="0CDE2270" w14:textId="77777777" w:rsidR="0005512A" w:rsidRPr="002B2CFC" w:rsidRDefault="0005512A" w:rsidP="00E439AD">
            <w:pPr>
              <w:keepNext/>
              <w:jc w:val="center"/>
              <w:rPr>
                <w:sz w:val="20"/>
              </w:rPr>
            </w:pPr>
            <w:r w:rsidRPr="002B2CFC">
              <w:rPr>
                <w:sz w:val="20"/>
              </w:rPr>
              <w:t>26  852</w:t>
            </w:r>
          </w:p>
        </w:tc>
        <w:tc>
          <w:tcPr>
            <w:tcW w:w="1323" w:type="dxa"/>
            <w:tcBorders>
              <w:bottom w:val="nil"/>
            </w:tcBorders>
            <w:vAlign w:val="center"/>
          </w:tcPr>
          <w:p w14:paraId="40DBD976" w14:textId="77777777" w:rsidR="0005512A" w:rsidRPr="002B2CFC" w:rsidRDefault="0005512A" w:rsidP="00E439AD">
            <w:pPr>
              <w:keepNext/>
              <w:jc w:val="center"/>
              <w:rPr>
                <w:sz w:val="20"/>
              </w:rPr>
            </w:pPr>
            <w:r w:rsidRPr="002B2CFC">
              <w:rPr>
                <w:sz w:val="20"/>
              </w:rPr>
              <w:t xml:space="preserve">294 151 900 </w:t>
            </w:r>
          </w:p>
        </w:tc>
      </w:tr>
      <w:tr w:rsidR="0005512A" w:rsidRPr="002B2CFC" w14:paraId="3E4CB383" w14:textId="77777777" w:rsidTr="0005512A">
        <w:trPr>
          <w:trHeight w:val="335"/>
        </w:trPr>
        <w:tc>
          <w:tcPr>
            <w:tcW w:w="1242" w:type="dxa"/>
            <w:vMerge/>
            <w:tcBorders>
              <w:right w:val="single" w:sz="12" w:space="0" w:color="auto"/>
            </w:tcBorders>
          </w:tcPr>
          <w:p w14:paraId="1EFCE90B" w14:textId="77777777" w:rsidR="0005512A" w:rsidRPr="002B2CFC" w:rsidRDefault="0005512A" w:rsidP="00E439AD">
            <w:pPr>
              <w:keepNext/>
              <w:jc w:val="left"/>
              <w:rPr>
                <w:sz w:val="20"/>
              </w:rPr>
            </w:pPr>
          </w:p>
        </w:tc>
        <w:tc>
          <w:tcPr>
            <w:tcW w:w="1182" w:type="dxa"/>
            <w:tcBorders>
              <w:top w:val="nil"/>
              <w:left w:val="single" w:sz="12" w:space="0" w:color="auto"/>
              <w:bottom w:val="nil"/>
            </w:tcBorders>
            <w:vAlign w:val="center"/>
          </w:tcPr>
          <w:p w14:paraId="67850357" w14:textId="77777777" w:rsidR="0005512A" w:rsidRPr="002B2CFC" w:rsidRDefault="0005512A" w:rsidP="00E439AD">
            <w:pPr>
              <w:keepNext/>
              <w:jc w:val="center"/>
              <w:rPr>
                <w:sz w:val="20"/>
              </w:rPr>
            </w:pPr>
            <w:r>
              <w:rPr>
                <w:sz w:val="20"/>
              </w:rPr>
              <w:t xml:space="preserve">n= </w:t>
            </w:r>
            <w:r w:rsidRPr="002B2CFC">
              <w:rPr>
                <w:sz w:val="20"/>
              </w:rPr>
              <w:t>9</w:t>
            </w:r>
          </w:p>
        </w:tc>
        <w:tc>
          <w:tcPr>
            <w:tcW w:w="1323" w:type="dxa"/>
            <w:tcBorders>
              <w:top w:val="nil"/>
              <w:bottom w:val="nil"/>
            </w:tcBorders>
            <w:vAlign w:val="center"/>
          </w:tcPr>
          <w:p w14:paraId="74DE1138" w14:textId="77777777" w:rsidR="0005512A" w:rsidRPr="002B2CFC" w:rsidRDefault="0005512A" w:rsidP="00E439AD">
            <w:pPr>
              <w:keepNext/>
              <w:jc w:val="center"/>
              <w:rPr>
                <w:sz w:val="20"/>
              </w:rPr>
            </w:pPr>
            <w:r>
              <w:rPr>
                <w:sz w:val="20"/>
              </w:rPr>
              <w:t xml:space="preserve">n= </w:t>
            </w:r>
            <w:r w:rsidRPr="002B2CFC">
              <w:rPr>
                <w:sz w:val="20"/>
              </w:rPr>
              <w:t>9</w:t>
            </w:r>
          </w:p>
        </w:tc>
        <w:tc>
          <w:tcPr>
            <w:tcW w:w="1464" w:type="dxa"/>
            <w:tcBorders>
              <w:top w:val="nil"/>
              <w:bottom w:val="nil"/>
              <w:right w:val="single" w:sz="12" w:space="0" w:color="auto"/>
            </w:tcBorders>
            <w:vAlign w:val="center"/>
          </w:tcPr>
          <w:p w14:paraId="064791C6" w14:textId="77777777" w:rsidR="0005512A" w:rsidRPr="002B2CFC" w:rsidRDefault="0005512A" w:rsidP="00E439AD">
            <w:pPr>
              <w:keepNext/>
              <w:jc w:val="center"/>
              <w:rPr>
                <w:sz w:val="20"/>
              </w:rPr>
            </w:pPr>
            <w:r>
              <w:rPr>
                <w:sz w:val="20"/>
              </w:rPr>
              <w:t xml:space="preserve">n= </w:t>
            </w:r>
            <w:r w:rsidRPr="002B2CFC">
              <w:rPr>
                <w:sz w:val="20"/>
              </w:rPr>
              <w:t>9</w:t>
            </w:r>
          </w:p>
        </w:tc>
        <w:tc>
          <w:tcPr>
            <w:tcW w:w="1182" w:type="dxa"/>
            <w:tcBorders>
              <w:top w:val="nil"/>
              <w:left w:val="single" w:sz="12" w:space="0" w:color="auto"/>
              <w:bottom w:val="nil"/>
            </w:tcBorders>
            <w:vAlign w:val="center"/>
          </w:tcPr>
          <w:p w14:paraId="02B0194C" w14:textId="77777777" w:rsidR="0005512A" w:rsidRPr="002B2CFC" w:rsidRDefault="0005512A" w:rsidP="00E439AD">
            <w:pPr>
              <w:keepNext/>
              <w:jc w:val="center"/>
              <w:rPr>
                <w:sz w:val="20"/>
              </w:rPr>
            </w:pPr>
            <w:r>
              <w:rPr>
                <w:sz w:val="20"/>
              </w:rPr>
              <w:t xml:space="preserve">n= </w:t>
            </w:r>
            <w:r w:rsidRPr="002B2CFC">
              <w:rPr>
                <w:sz w:val="20"/>
              </w:rPr>
              <w:t>10</w:t>
            </w:r>
          </w:p>
        </w:tc>
        <w:tc>
          <w:tcPr>
            <w:tcW w:w="1323" w:type="dxa"/>
            <w:tcBorders>
              <w:top w:val="nil"/>
              <w:bottom w:val="nil"/>
            </w:tcBorders>
            <w:vAlign w:val="center"/>
          </w:tcPr>
          <w:p w14:paraId="38C72D36" w14:textId="77777777" w:rsidR="0005512A" w:rsidRPr="002B2CFC" w:rsidRDefault="0005512A" w:rsidP="00E439AD">
            <w:pPr>
              <w:keepNext/>
              <w:jc w:val="center"/>
              <w:rPr>
                <w:sz w:val="20"/>
              </w:rPr>
            </w:pPr>
            <w:r>
              <w:rPr>
                <w:sz w:val="20"/>
              </w:rPr>
              <w:t xml:space="preserve">n= </w:t>
            </w:r>
            <w:r w:rsidRPr="002B2CFC">
              <w:rPr>
                <w:sz w:val="20"/>
              </w:rPr>
              <w:t>10</w:t>
            </w:r>
          </w:p>
        </w:tc>
        <w:tc>
          <w:tcPr>
            <w:tcW w:w="1323" w:type="dxa"/>
            <w:tcBorders>
              <w:top w:val="nil"/>
              <w:bottom w:val="nil"/>
            </w:tcBorders>
            <w:vAlign w:val="center"/>
          </w:tcPr>
          <w:p w14:paraId="4C1E37BA" w14:textId="77777777" w:rsidR="0005512A" w:rsidRPr="002B2CFC" w:rsidRDefault="0005512A" w:rsidP="00E439AD">
            <w:pPr>
              <w:keepNext/>
              <w:jc w:val="center"/>
              <w:rPr>
                <w:sz w:val="20"/>
              </w:rPr>
            </w:pPr>
            <w:r>
              <w:rPr>
                <w:sz w:val="20"/>
              </w:rPr>
              <w:t xml:space="preserve">n= </w:t>
            </w:r>
            <w:r w:rsidRPr="002B2CFC">
              <w:rPr>
                <w:sz w:val="20"/>
              </w:rPr>
              <w:t>10</w:t>
            </w:r>
          </w:p>
        </w:tc>
      </w:tr>
      <w:tr w:rsidR="0005512A" w:rsidRPr="002B2CFC" w14:paraId="22F35D17" w14:textId="77777777" w:rsidTr="0005512A">
        <w:trPr>
          <w:trHeight w:val="334"/>
        </w:trPr>
        <w:tc>
          <w:tcPr>
            <w:tcW w:w="1242" w:type="dxa"/>
            <w:vMerge/>
            <w:tcBorders>
              <w:right w:val="single" w:sz="12" w:space="0" w:color="auto"/>
            </w:tcBorders>
          </w:tcPr>
          <w:p w14:paraId="1F8F735F" w14:textId="77777777" w:rsidR="0005512A" w:rsidRPr="002B2CFC" w:rsidRDefault="0005512A" w:rsidP="00E439AD">
            <w:pPr>
              <w:keepNext/>
              <w:jc w:val="left"/>
              <w:rPr>
                <w:sz w:val="20"/>
              </w:rPr>
            </w:pPr>
          </w:p>
        </w:tc>
        <w:tc>
          <w:tcPr>
            <w:tcW w:w="1182" w:type="dxa"/>
            <w:tcBorders>
              <w:top w:val="nil"/>
              <w:left w:val="single" w:sz="12" w:space="0" w:color="auto"/>
              <w:bottom w:val="single" w:sz="4" w:space="0" w:color="auto"/>
            </w:tcBorders>
            <w:vAlign w:val="center"/>
          </w:tcPr>
          <w:p w14:paraId="5D49C1A0" w14:textId="77777777" w:rsidR="0005512A" w:rsidRPr="002B2CFC" w:rsidRDefault="0005512A" w:rsidP="00E439AD">
            <w:pPr>
              <w:keepNext/>
              <w:jc w:val="center"/>
              <w:rPr>
                <w:sz w:val="20"/>
              </w:rPr>
            </w:pPr>
            <w:r w:rsidRPr="002B2CFC">
              <w:rPr>
                <w:sz w:val="20"/>
              </w:rPr>
              <w:t>(86%)</w:t>
            </w:r>
          </w:p>
        </w:tc>
        <w:tc>
          <w:tcPr>
            <w:tcW w:w="1323" w:type="dxa"/>
            <w:tcBorders>
              <w:top w:val="nil"/>
              <w:bottom w:val="single" w:sz="4" w:space="0" w:color="auto"/>
            </w:tcBorders>
            <w:vAlign w:val="center"/>
          </w:tcPr>
          <w:p w14:paraId="71960737" w14:textId="77777777" w:rsidR="0005512A" w:rsidRPr="002B2CFC" w:rsidRDefault="0005512A" w:rsidP="00E439AD">
            <w:pPr>
              <w:keepNext/>
              <w:jc w:val="center"/>
              <w:rPr>
                <w:sz w:val="20"/>
              </w:rPr>
            </w:pPr>
            <w:r w:rsidRPr="002B2CFC">
              <w:rPr>
                <w:sz w:val="20"/>
              </w:rPr>
              <w:t xml:space="preserve">(107%) </w:t>
            </w:r>
          </w:p>
        </w:tc>
        <w:tc>
          <w:tcPr>
            <w:tcW w:w="1464" w:type="dxa"/>
            <w:tcBorders>
              <w:top w:val="nil"/>
              <w:bottom w:val="single" w:sz="4" w:space="0" w:color="auto"/>
              <w:right w:val="single" w:sz="12" w:space="0" w:color="auto"/>
            </w:tcBorders>
            <w:vAlign w:val="center"/>
          </w:tcPr>
          <w:p w14:paraId="239FBEFF" w14:textId="77777777" w:rsidR="0005512A" w:rsidRPr="002B2CFC" w:rsidRDefault="0005512A" w:rsidP="00E439AD">
            <w:pPr>
              <w:keepNext/>
              <w:jc w:val="center"/>
              <w:rPr>
                <w:sz w:val="20"/>
              </w:rPr>
            </w:pPr>
            <w:r w:rsidRPr="002B2CFC">
              <w:rPr>
                <w:sz w:val="20"/>
              </w:rPr>
              <w:t>(90%)</w:t>
            </w:r>
          </w:p>
        </w:tc>
        <w:tc>
          <w:tcPr>
            <w:tcW w:w="1182" w:type="dxa"/>
            <w:tcBorders>
              <w:top w:val="nil"/>
              <w:left w:val="single" w:sz="12" w:space="0" w:color="auto"/>
              <w:bottom w:val="single" w:sz="4" w:space="0" w:color="auto"/>
            </w:tcBorders>
            <w:vAlign w:val="center"/>
          </w:tcPr>
          <w:p w14:paraId="426EF369" w14:textId="77777777" w:rsidR="0005512A" w:rsidRPr="002B2CFC" w:rsidRDefault="0005512A" w:rsidP="00E439AD">
            <w:pPr>
              <w:keepNext/>
              <w:jc w:val="center"/>
              <w:rPr>
                <w:sz w:val="20"/>
              </w:rPr>
            </w:pPr>
            <w:r w:rsidRPr="002B2CFC">
              <w:rPr>
                <w:sz w:val="20"/>
              </w:rPr>
              <w:t>(88%)</w:t>
            </w:r>
          </w:p>
        </w:tc>
        <w:tc>
          <w:tcPr>
            <w:tcW w:w="1323" w:type="dxa"/>
            <w:tcBorders>
              <w:top w:val="nil"/>
              <w:bottom w:val="single" w:sz="4" w:space="0" w:color="auto"/>
            </w:tcBorders>
            <w:vAlign w:val="center"/>
          </w:tcPr>
          <w:p w14:paraId="357CD485" w14:textId="77777777" w:rsidR="0005512A" w:rsidRPr="002B2CFC" w:rsidRDefault="0005512A" w:rsidP="00E439AD">
            <w:pPr>
              <w:keepNext/>
              <w:jc w:val="center"/>
              <w:rPr>
                <w:sz w:val="20"/>
              </w:rPr>
            </w:pPr>
            <w:r w:rsidRPr="002B2CFC">
              <w:rPr>
                <w:sz w:val="20"/>
              </w:rPr>
              <w:t>(91%)</w:t>
            </w:r>
          </w:p>
        </w:tc>
        <w:tc>
          <w:tcPr>
            <w:tcW w:w="1323" w:type="dxa"/>
            <w:tcBorders>
              <w:top w:val="nil"/>
              <w:bottom w:val="single" w:sz="4" w:space="0" w:color="auto"/>
            </w:tcBorders>
            <w:vAlign w:val="center"/>
          </w:tcPr>
          <w:p w14:paraId="10F1AFD6" w14:textId="77777777" w:rsidR="0005512A" w:rsidRPr="002B2CFC" w:rsidRDefault="0005512A" w:rsidP="00E439AD">
            <w:pPr>
              <w:keepNext/>
              <w:jc w:val="center"/>
              <w:rPr>
                <w:sz w:val="20"/>
              </w:rPr>
            </w:pPr>
            <w:r w:rsidRPr="002B2CFC">
              <w:rPr>
                <w:sz w:val="20"/>
              </w:rPr>
              <w:t>(94%)</w:t>
            </w:r>
          </w:p>
        </w:tc>
      </w:tr>
      <w:tr w:rsidR="0005512A" w:rsidRPr="002B2CFC" w14:paraId="6F5F5E50" w14:textId="77777777" w:rsidTr="0005512A">
        <w:trPr>
          <w:trHeight w:val="335"/>
        </w:trPr>
        <w:tc>
          <w:tcPr>
            <w:tcW w:w="1242" w:type="dxa"/>
            <w:vMerge w:val="restart"/>
            <w:tcBorders>
              <w:right w:val="single" w:sz="12" w:space="0" w:color="auto"/>
            </w:tcBorders>
          </w:tcPr>
          <w:p w14:paraId="6D47059B" w14:textId="77777777" w:rsidR="0005512A" w:rsidRPr="002B2CFC" w:rsidRDefault="0005512A" w:rsidP="00E439AD">
            <w:pPr>
              <w:keepNext/>
              <w:jc w:val="left"/>
              <w:rPr>
                <w:sz w:val="20"/>
              </w:rPr>
            </w:pPr>
            <w:r w:rsidRPr="002B2CFC">
              <w:rPr>
                <w:sz w:val="20"/>
              </w:rPr>
              <w:t>Paraquat 25 mg/kg bw/dose (Group 4)</w:t>
            </w:r>
          </w:p>
        </w:tc>
        <w:tc>
          <w:tcPr>
            <w:tcW w:w="1182" w:type="dxa"/>
            <w:tcBorders>
              <w:left w:val="single" w:sz="12" w:space="0" w:color="auto"/>
              <w:bottom w:val="nil"/>
            </w:tcBorders>
            <w:vAlign w:val="center"/>
          </w:tcPr>
          <w:p w14:paraId="58AF0BBC" w14:textId="77777777" w:rsidR="0005512A" w:rsidRPr="002B2CFC" w:rsidRDefault="0005512A" w:rsidP="00E439AD">
            <w:pPr>
              <w:keepNext/>
              <w:jc w:val="center"/>
              <w:rPr>
                <w:sz w:val="20"/>
              </w:rPr>
            </w:pPr>
            <w:r w:rsidRPr="002B2CFC">
              <w:rPr>
                <w:sz w:val="20"/>
              </w:rPr>
              <w:t>8 748</w:t>
            </w:r>
          </w:p>
        </w:tc>
        <w:tc>
          <w:tcPr>
            <w:tcW w:w="1323" w:type="dxa"/>
            <w:tcBorders>
              <w:bottom w:val="nil"/>
            </w:tcBorders>
            <w:vAlign w:val="center"/>
          </w:tcPr>
          <w:p w14:paraId="4E621206" w14:textId="77777777" w:rsidR="0005512A" w:rsidRPr="002B2CFC" w:rsidRDefault="0005512A" w:rsidP="00E439AD">
            <w:pPr>
              <w:keepNext/>
              <w:jc w:val="center"/>
              <w:rPr>
                <w:sz w:val="20"/>
              </w:rPr>
            </w:pPr>
            <w:r w:rsidRPr="002B2CFC">
              <w:rPr>
                <w:sz w:val="20"/>
              </w:rPr>
              <w:t>15 503</w:t>
            </w:r>
          </w:p>
        </w:tc>
        <w:tc>
          <w:tcPr>
            <w:tcW w:w="1464" w:type="dxa"/>
            <w:tcBorders>
              <w:bottom w:val="nil"/>
              <w:right w:val="single" w:sz="12" w:space="0" w:color="auto"/>
            </w:tcBorders>
            <w:vAlign w:val="center"/>
          </w:tcPr>
          <w:p w14:paraId="235A4B25" w14:textId="77777777" w:rsidR="0005512A" w:rsidRPr="002B2CFC" w:rsidRDefault="0005512A" w:rsidP="00E439AD">
            <w:pPr>
              <w:keepNext/>
              <w:jc w:val="center"/>
              <w:rPr>
                <w:sz w:val="20"/>
              </w:rPr>
            </w:pPr>
            <w:r w:rsidRPr="002B2CFC">
              <w:rPr>
                <w:sz w:val="20"/>
              </w:rPr>
              <w:t>227 212 286*</w:t>
            </w:r>
          </w:p>
        </w:tc>
        <w:tc>
          <w:tcPr>
            <w:tcW w:w="1182" w:type="dxa"/>
            <w:tcBorders>
              <w:left w:val="single" w:sz="12" w:space="0" w:color="auto"/>
              <w:bottom w:val="nil"/>
            </w:tcBorders>
            <w:vAlign w:val="center"/>
          </w:tcPr>
          <w:p w14:paraId="5A01918C" w14:textId="77777777" w:rsidR="0005512A" w:rsidRPr="002B2CFC" w:rsidRDefault="0005512A" w:rsidP="00E439AD">
            <w:pPr>
              <w:keepNext/>
              <w:jc w:val="center"/>
              <w:rPr>
                <w:sz w:val="20"/>
              </w:rPr>
            </w:pPr>
            <w:r w:rsidRPr="002B2CFC">
              <w:rPr>
                <w:sz w:val="20"/>
              </w:rPr>
              <w:t>14 470</w:t>
            </w:r>
          </w:p>
        </w:tc>
        <w:tc>
          <w:tcPr>
            <w:tcW w:w="1323" w:type="dxa"/>
            <w:tcBorders>
              <w:bottom w:val="nil"/>
            </w:tcBorders>
            <w:vAlign w:val="center"/>
          </w:tcPr>
          <w:p w14:paraId="0939902A" w14:textId="77777777" w:rsidR="0005512A" w:rsidRPr="002B2CFC" w:rsidRDefault="0005512A" w:rsidP="00E439AD">
            <w:pPr>
              <w:keepNext/>
              <w:jc w:val="center"/>
              <w:rPr>
                <w:sz w:val="20"/>
              </w:rPr>
            </w:pPr>
            <w:r w:rsidRPr="002B2CFC">
              <w:rPr>
                <w:sz w:val="20"/>
              </w:rPr>
              <w:t>27 282</w:t>
            </w:r>
          </w:p>
        </w:tc>
        <w:tc>
          <w:tcPr>
            <w:tcW w:w="1323" w:type="dxa"/>
            <w:tcBorders>
              <w:bottom w:val="nil"/>
            </w:tcBorders>
            <w:vAlign w:val="center"/>
          </w:tcPr>
          <w:p w14:paraId="005C48BE" w14:textId="77777777" w:rsidR="0005512A" w:rsidRPr="002B2CFC" w:rsidRDefault="0005512A" w:rsidP="00E439AD">
            <w:pPr>
              <w:keepNext/>
              <w:jc w:val="center"/>
              <w:rPr>
                <w:sz w:val="20"/>
              </w:rPr>
            </w:pPr>
            <w:r w:rsidRPr="002B2CFC">
              <w:rPr>
                <w:sz w:val="20"/>
              </w:rPr>
              <w:t>293 270 375</w:t>
            </w:r>
          </w:p>
        </w:tc>
      </w:tr>
      <w:tr w:rsidR="0005512A" w:rsidRPr="002B2CFC" w14:paraId="0AFC3E20" w14:textId="77777777" w:rsidTr="0005512A">
        <w:trPr>
          <w:trHeight w:val="335"/>
        </w:trPr>
        <w:tc>
          <w:tcPr>
            <w:tcW w:w="1242" w:type="dxa"/>
            <w:vMerge/>
            <w:tcBorders>
              <w:right w:val="single" w:sz="12" w:space="0" w:color="auto"/>
            </w:tcBorders>
          </w:tcPr>
          <w:p w14:paraId="38B2133B" w14:textId="77777777" w:rsidR="0005512A" w:rsidRPr="002B2CFC" w:rsidRDefault="0005512A" w:rsidP="00E439AD">
            <w:pPr>
              <w:keepNext/>
              <w:jc w:val="left"/>
              <w:rPr>
                <w:sz w:val="20"/>
              </w:rPr>
            </w:pPr>
          </w:p>
        </w:tc>
        <w:tc>
          <w:tcPr>
            <w:tcW w:w="1182" w:type="dxa"/>
            <w:tcBorders>
              <w:top w:val="nil"/>
              <w:left w:val="single" w:sz="12" w:space="0" w:color="auto"/>
              <w:bottom w:val="nil"/>
            </w:tcBorders>
            <w:vAlign w:val="center"/>
          </w:tcPr>
          <w:p w14:paraId="2298A384" w14:textId="77777777" w:rsidR="0005512A" w:rsidRPr="002B2CFC" w:rsidRDefault="0005512A" w:rsidP="00E439AD">
            <w:pPr>
              <w:keepNext/>
              <w:jc w:val="center"/>
              <w:rPr>
                <w:sz w:val="20"/>
              </w:rPr>
            </w:pPr>
            <w:r>
              <w:rPr>
                <w:sz w:val="20"/>
              </w:rPr>
              <w:t xml:space="preserve">n= </w:t>
            </w:r>
            <w:r w:rsidRPr="002B2CFC">
              <w:rPr>
                <w:sz w:val="20"/>
              </w:rPr>
              <w:t>7</w:t>
            </w:r>
          </w:p>
        </w:tc>
        <w:tc>
          <w:tcPr>
            <w:tcW w:w="1323" w:type="dxa"/>
            <w:tcBorders>
              <w:top w:val="nil"/>
              <w:bottom w:val="nil"/>
            </w:tcBorders>
            <w:vAlign w:val="center"/>
          </w:tcPr>
          <w:p w14:paraId="54C5B3B4" w14:textId="77777777" w:rsidR="0005512A" w:rsidRPr="002B2CFC" w:rsidRDefault="0005512A" w:rsidP="00E439AD">
            <w:pPr>
              <w:keepNext/>
              <w:jc w:val="center"/>
              <w:rPr>
                <w:sz w:val="20"/>
              </w:rPr>
            </w:pPr>
            <w:r>
              <w:rPr>
                <w:sz w:val="20"/>
              </w:rPr>
              <w:t xml:space="preserve">n= </w:t>
            </w:r>
            <w:r w:rsidRPr="002B2CFC">
              <w:rPr>
                <w:sz w:val="20"/>
              </w:rPr>
              <w:t>7</w:t>
            </w:r>
          </w:p>
        </w:tc>
        <w:tc>
          <w:tcPr>
            <w:tcW w:w="1464" w:type="dxa"/>
            <w:tcBorders>
              <w:top w:val="nil"/>
              <w:bottom w:val="nil"/>
              <w:right w:val="single" w:sz="12" w:space="0" w:color="auto"/>
            </w:tcBorders>
            <w:vAlign w:val="center"/>
          </w:tcPr>
          <w:p w14:paraId="3F8BD56F" w14:textId="77777777" w:rsidR="0005512A" w:rsidRPr="002B2CFC" w:rsidRDefault="0005512A" w:rsidP="00E439AD">
            <w:pPr>
              <w:keepNext/>
              <w:jc w:val="center"/>
              <w:rPr>
                <w:sz w:val="20"/>
              </w:rPr>
            </w:pPr>
            <w:r>
              <w:rPr>
                <w:sz w:val="20"/>
              </w:rPr>
              <w:t xml:space="preserve">n= </w:t>
            </w:r>
            <w:r w:rsidRPr="002B2CFC">
              <w:rPr>
                <w:sz w:val="20"/>
              </w:rPr>
              <w:t>7</w:t>
            </w:r>
          </w:p>
        </w:tc>
        <w:tc>
          <w:tcPr>
            <w:tcW w:w="1182" w:type="dxa"/>
            <w:tcBorders>
              <w:top w:val="nil"/>
              <w:left w:val="single" w:sz="12" w:space="0" w:color="auto"/>
              <w:bottom w:val="nil"/>
            </w:tcBorders>
            <w:vAlign w:val="center"/>
          </w:tcPr>
          <w:p w14:paraId="7287E361" w14:textId="77777777" w:rsidR="0005512A" w:rsidRPr="002B2CFC" w:rsidRDefault="0005512A" w:rsidP="00E439AD">
            <w:pPr>
              <w:keepNext/>
              <w:jc w:val="center"/>
              <w:rPr>
                <w:sz w:val="20"/>
              </w:rPr>
            </w:pPr>
            <w:r>
              <w:rPr>
                <w:sz w:val="20"/>
              </w:rPr>
              <w:t xml:space="preserve">n= </w:t>
            </w:r>
            <w:r w:rsidRPr="002B2CFC">
              <w:rPr>
                <w:sz w:val="20"/>
              </w:rPr>
              <w:t>8</w:t>
            </w:r>
          </w:p>
        </w:tc>
        <w:tc>
          <w:tcPr>
            <w:tcW w:w="1323" w:type="dxa"/>
            <w:tcBorders>
              <w:top w:val="nil"/>
              <w:bottom w:val="nil"/>
            </w:tcBorders>
            <w:vAlign w:val="center"/>
          </w:tcPr>
          <w:p w14:paraId="622AFB32" w14:textId="77777777" w:rsidR="0005512A" w:rsidRPr="002B2CFC" w:rsidRDefault="0005512A" w:rsidP="00E439AD">
            <w:pPr>
              <w:keepNext/>
              <w:jc w:val="center"/>
              <w:rPr>
                <w:sz w:val="20"/>
              </w:rPr>
            </w:pPr>
            <w:r>
              <w:rPr>
                <w:sz w:val="20"/>
              </w:rPr>
              <w:t xml:space="preserve">n= </w:t>
            </w:r>
            <w:r w:rsidRPr="002B2CFC">
              <w:rPr>
                <w:sz w:val="20"/>
              </w:rPr>
              <w:t>8</w:t>
            </w:r>
          </w:p>
        </w:tc>
        <w:tc>
          <w:tcPr>
            <w:tcW w:w="1323" w:type="dxa"/>
            <w:tcBorders>
              <w:top w:val="nil"/>
              <w:bottom w:val="nil"/>
            </w:tcBorders>
            <w:vAlign w:val="center"/>
          </w:tcPr>
          <w:p w14:paraId="25F389DA" w14:textId="77777777" w:rsidR="0005512A" w:rsidRPr="002B2CFC" w:rsidRDefault="0005512A" w:rsidP="00E439AD">
            <w:pPr>
              <w:keepNext/>
              <w:jc w:val="center"/>
              <w:rPr>
                <w:sz w:val="20"/>
              </w:rPr>
            </w:pPr>
            <w:r>
              <w:rPr>
                <w:sz w:val="20"/>
              </w:rPr>
              <w:t xml:space="preserve">n= </w:t>
            </w:r>
            <w:r w:rsidRPr="002B2CFC">
              <w:rPr>
                <w:sz w:val="20"/>
              </w:rPr>
              <w:t>8</w:t>
            </w:r>
          </w:p>
        </w:tc>
      </w:tr>
      <w:tr w:rsidR="0005512A" w:rsidRPr="002B2CFC" w14:paraId="67A0F20B" w14:textId="77777777" w:rsidTr="0005512A">
        <w:trPr>
          <w:trHeight w:val="335"/>
        </w:trPr>
        <w:tc>
          <w:tcPr>
            <w:tcW w:w="1242" w:type="dxa"/>
            <w:vMerge/>
            <w:tcBorders>
              <w:right w:val="single" w:sz="12" w:space="0" w:color="auto"/>
            </w:tcBorders>
          </w:tcPr>
          <w:p w14:paraId="09E80182" w14:textId="77777777" w:rsidR="0005512A" w:rsidRPr="002B2CFC" w:rsidRDefault="0005512A" w:rsidP="00E439AD">
            <w:pPr>
              <w:keepNext/>
              <w:jc w:val="left"/>
              <w:rPr>
                <w:sz w:val="20"/>
              </w:rPr>
            </w:pPr>
          </w:p>
        </w:tc>
        <w:tc>
          <w:tcPr>
            <w:tcW w:w="1182" w:type="dxa"/>
            <w:tcBorders>
              <w:top w:val="nil"/>
              <w:left w:val="single" w:sz="12" w:space="0" w:color="auto"/>
              <w:bottom w:val="single" w:sz="12" w:space="0" w:color="auto"/>
            </w:tcBorders>
            <w:vAlign w:val="center"/>
          </w:tcPr>
          <w:p w14:paraId="248E8E54" w14:textId="77777777" w:rsidR="0005512A" w:rsidRPr="002B2CFC" w:rsidRDefault="0005512A" w:rsidP="00E439AD">
            <w:pPr>
              <w:keepNext/>
              <w:jc w:val="center"/>
              <w:rPr>
                <w:sz w:val="20"/>
              </w:rPr>
            </w:pPr>
            <w:r w:rsidRPr="002B2CFC">
              <w:rPr>
                <w:sz w:val="20"/>
              </w:rPr>
              <w:t>(88%)</w:t>
            </w:r>
          </w:p>
        </w:tc>
        <w:tc>
          <w:tcPr>
            <w:tcW w:w="1323" w:type="dxa"/>
            <w:tcBorders>
              <w:top w:val="nil"/>
              <w:bottom w:val="single" w:sz="12" w:space="0" w:color="auto"/>
            </w:tcBorders>
            <w:vAlign w:val="center"/>
          </w:tcPr>
          <w:p w14:paraId="0BF6E58A" w14:textId="77777777" w:rsidR="0005512A" w:rsidRPr="002B2CFC" w:rsidRDefault="0005512A" w:rsidP="00E439AD">
            <w:pPr>
              <w:keepNext/>
              <w:jc w:val="center"/>
              <w:rPr>
                <w:sz w:val="20"/>
              </w:rPr>
            </w:pPr>
            <w:r w:rsidRPr="002B2CFC">
              <w:rPr>
                <w:sz w:val="20"/>
              </w:rPr>
              <w:t>(94%)</w:t>
            </w:r>
          </w:p>
        </w:tc>
        <w:tc>
          <w:tcPr>
            <w:tcW w:w="1464" w:type="dxa"/>
            <w:tcBorders>
              <w:top w:val="nil"/>
              <w:bottom w:val="single" w:sz="12" w:space="0" w:color="auto"/>
              <w:right w:val="single" w:sz="12" w:space="0" w:color="auto"/>
            </w:tcBorders>
            <w:vAlign w:val="center"/>
          </w:tcPr>
          <w:p w14:paraId="19D09B61" w14:textId="77777777" w:rsidR="0005512A" w:rsidRPr="002B2CFC" w:rsidRDefault="0005512A" w:rsidP="00E439AD">
            <w:pPr>
              <w:keepNext/>
              <w:jc w:val="center"/>
              <w:rPr>
                <w:sz w:val="20"/>
              </w:rPr>
            </w:pPr>
            <w:r w:rsidRPr="002B2CFC">
              <w:rPr>
                <w:sz w:val="20"/>
              </w:rPr>
              <w:t>(90%)</w:t>
            </w:r>
          </w:p>
        </w:tc>
        <w:tc>
          <w:tcPr>
            <w:tcW w:w="1182" w:type="dxa"/>
            <w:tcBorders>
              <w:top w:val="nil"/>
              <w:left w:val="single" w:sz="12" w:space="0" w:color="auto"/>
              <w:bottom w:val="single" w:sz="12" w:space="0" w:color="auto"/>
            </w:tcBorders>
            <w:vAlign w:val="center"/>
          </w:tcPr>
          <w:p w14:paraId="72E58D36" w14:textId="77777777" w:rsidR="0005512A" w:rsidRPr="002B2CFC" w:rsidRDefault="0005512A" w:rsidP="00E439AD">
            <w:pPr>
              <w:keepNext/>
              <w:jc w:val="center"/>
              <w:rPr>
                <w:sz w:val="20"/>
              </w:rPr>
            </w:pPr>
            <w:r w:rsidRPr="002B2CFC">
              <w:rPr>
                <w:sz w:val="20"/>
              </w:rPr>
              <w:t>(87%)</w:t>
            </w:r>
          </w:p>
        </w:tc>
        <w:tc>
          <w:tcPr>
            <w:tcW w:w="1323" w:type="dxa"/>
            <w:tcBorders>
              <w:top w:val="nil"/>
              <w:bottom w:val="single" w:sz="12" w:space="0" w:color="auto"/>
            </w:tcBorders>
            <w:vAlign w:val="center"/>
          </w:tcPr>
          <w:p w14:paraId="6B673A90" w14:textId="77777777" w:rsidR="0005512A" w:rsidRPr="002B2CFC" w:rsidRDefault="0005512A" w:rsidP="00E439AD">
            <w:pPr>
              <w:keepNext/>
              <w:jc w:val="center"/>
              <w:rPr>
                <w:sz w:val="20"/>
              </w:rPr>
            </w:pPr>
            <w:r w:rsidRPr="002B2CFC">
              <w:rPr>
                <w:sz w:val="20"/>
              </w:rPr>
              <w:t>(92%)</w:t>
            </w:r>
          </w:p>
        </w:tc>
        <w:tc>
          <w:tcPr>
            <w:tcW w:w="1323" w:type="dxa"/>
            <w:tcBorders>
              <w:top w:val="nil"/>
              <w:bottom w:val="single" w:sz="12" w:space="0" w:color="auto"/>
            </w:tcBorders>
            <w:vAlign w:val="center"/>
          </w:tcPr>
          <w:p w14:paraId="723EA085" w14:textId="77777777" w:rsidR="0005512A" w:rsidRPr="002B2CFC" w:rsidRDefault="0005512A" w:rsidP="00E439AD">
            <w:pPr>
              <w:keepNext/>
              <w:jc w:val="center"/>
              <w:rPr>
                <w:sz w:val="20"/>
              </w:rPr>
            </w:pPr>
            <w:r w:rsidRPr="002B2CFC">
              <w:rPr>
                <w:sz w:val="20"/>
              </w:rPr>
              <w:t>(94%)</w:t>
            </w:r>
          </w:p>
        </w:tc>
      </w:tr>
      <w:tr w:rsidR="0005512A" w:rsidRPr="002B2CFC" w14:paraId="46FCAFD1" w14:textId="77777777" w:rsidTr="0005512A">
        <w:trPr>
          <w:trHeight w:val="335"/>
        </w:trPr>
        <w:tc>
          <w:tcPr>
            <w:tcW w:w="1242" w:type="dxa"/>
            <w:vMerge w:val="restart"/>
            <w:tcBorders>
              <w:top w:val="single" w:sz="12" w:space="0" w:color="auto"/>
              <w:right w:val="single" w:sz="12" w:space="0" w:color="auto"/>
            </w:tcBorders>
            <w:shd w:val="clear" w:color="auto" w:fill="D9D9D9" w:themeFill="background1" w:themeFillShade="D9"/>
          </w:tcPr>
          <w:p w14:paraId="24728736" w14:textId="77777777" w:rsidR="0005512A" w:rsidRPr="002B2CFC" w:rsidRDefault="0005512A" w:rsidP="00E439AD">
            <w:pPr>
              <w:keepNext/>
              <w:jc w:val="left"/>
              <w:rPr>
                <w:sz w:val="20"/>
              </w:rPr>
            </w:pPr>
            <w:r w:rsidRPr="002B2CFC">
              <w:rPr>
                <w:sz w:val="20"/>
              </w:rPr>
              <w:t>Positive control MPTP (Group 5)</w:t>
            </w:r>
          </w:p>
        </w:tc>
        <w:tc>
          <w:tcPr>
            <w:tcW w:w="1182" w:type="dxa"/>
            <w:tcBorders>
              <w:top w:val="single" w:sz="12" w:space="0" w:color="auto"/>
              <w:left w:val="single" w:sz="12" w:space="0" w:color="auto"/>
              <w:bottom w:val="nil"/>
            </w:tcBorders>
            <w:shd w:val="clear" w:color="auto" w:fill="D9D9D9" w:themeFill="background1" w:themeFillShade="D9"/>
            <w:vAlign w:val="center"/>
          </w:tcPr>
          <w:p w14:paraId="58B9D5B8" w14:textId="77777777" w:rsidR="0005512A" w:rsidRPr="002B2CFC" w:rsidRDefault="0005512A" w:rsidP="00E439AD">
            <w:pPr>
              <w:keepNext/>
              <w:jc w:val="center"/>
              <w:rPr>
                <w:sz w:val="20"/>
              </w:rPr>
            </w:pPr>
            <w:r w:rsidRPr="002B2CFC">
              <w:rPr>
                <w:sz w:val="20"/>
              </w:rPr>
              <w:t>8 595</w:t>
            </w:r>
          </w:p>
        </w:tc>
        <w:tc>
          <w:tcPr>
            <w:tcW w:w="1323" w:type="dxa"/>
            <w:tcBorders>
              <w:top w:val="single" w:sz="12" w:space="0" w:color="auto"/>
              <w:bottom w:val="nil"/>
            </w:tcBorders>
            <w:shd w:val="clear" w:color="auto" w:fill="D9D9D9" w:themeFill="background1" w:themeFillShade="D9"/>
            <w:vAlign w:val="center"/>
          </w:tcPr>
          <w:p w14:paraId="6C48C909" w14:textId="77777777" w:rsidR="0005512A" w:rsidRPr="002B2CFC" w:rsidRDefault="0005512A" w:rsidP="00E439AD">
            <w:pPr>
              <w:keepNext/>
              <w:jc w:val="center"/>
              <w:rPr>
                <w:sz w:val="20"/>
              </w:rPr>
            </w:pPr>
            <w:r w:rsidRPr="002B2CFC">
              <w:rPr>
                <w:sz w:val="20"/>
              </w:rPr>
              <w:t>15 384</w:t>
            </w:r>
          </w:p>
        </w:tc>
        <w:tc>
          <w:tcPr>
            <w:tcW w:w="1464" w:type="dxa"/>
            <w:tcBorders>
              <w:top w:val="single" w:sz="12" w:space="0" w:color="auto"/>
              <w:bottom w:val="nil"/>
              <w:right w:val="single" w:sz="12" w:space="0" w:color="auto"/>
            </w:tcBorders>
            <w:shd w:val="clear" w:color="auto" w:fill="D9D9D9" w:themeFill="background1" w:themeFillShade="D9"/>
            <w:vAlign w:val="center"/>
          </w:tcPr>
          <w:p w14:paraId="3F554C44" w14:textId="77777777" w:rsidR="0005512A" w:rsidRPr="002B2CFC" w:rsidRDefault="0005512A" w:rsidP="00E439AD">
            <w:pPr>
              <w:keepNext/>
              <w:jc w:val="center"/>
              <w:rPr>
                <w:sz w:val="20"/>
              </w:rPr>
            </w:pPr>
            <w:r w:rsidRPr="002B2CFC">
              <w:rPr>
                <w:sz w:val="20"/>
              </w:rPr>
              <w:t>208 991 400**</w:t>
            </w:r>
          </w:p>
        </w:tc>
        <w:tc>
          <w:tcPr>
            <w:tcW w:w="1182" w:type="dxa"/>
            <w:tcBorders>
              <w:top w:val="single" w:sz="12" w:space="0" w:color="auto"/>
              <w:left w:val="single" w:sz="12" w:space="0" w:color="auto"/>
              <w:bottom w:val="nil"/>
            </w:tcBorders>
            <w:shd w:val="clear" w:color="auto" w:fill="D9D9D9" w:themeFill="background1" w:themeFillShade="D9"/>
            <w:vAlign w:val="center"/>
          </w:tcPr>
          <w:p w14:paraId="465B990E" w14:textId="77777777" w:rsidR="0005512A" w:rsidRPr="002B2CFC" w:rsidRDefault="0005512A" w:rsidP="00E439AD">
            <w:pPr>
              <w:keepNext/>
              <w:jc w:val="center"/>
              <w:rPr>
                <w:sz w:val="20"/>
              </w:rPr>
            </w:pPr>
            <w:r w:rsidRPr="002B2CFC">
              <w:rPr>
                <w:sz w:val="20"/>
              </w:rPr>
              <w:t>13 633*</w:t>
            </w:r>
          </w:p>
        </w:tc>
        <w:tc>
          <w:tcPr>
            <w:tcW w:w="1323" w:type="dxa"/>
            <w:tcBorders>
              <w:top w:val="single" w:sz="12" w:space="0" w:color="auto"/>
              <w:bottom w:val="nil"/>
            </w:tcBorders>
            <w:shd w:val="clear" w:color="auto" w:fill="D9D9D9" w:themeFill="background1" w:themeFillShade="D9"/>
            <w:vAlign w:val="center"/>
          </w:tcPr>
          <w:p w14:paraId="430B8B72" w14:textId="77777777" w:rsidR="0005512A" w:rsidRPr="002B2CFC" w:rsidRDefault="0005512A" w:rsidP="00E439AD">
            <w:pPr>
              <w:keepNext/>
              <w:jc w:val="center"/>
              <w:rPr>
                <w:sz w:val="20"/>
              </w:rPr>
            </w:pPr>
            <w:r w:rsidRPr="002B2CFC">
              <w:rPr>
                <w:sz w:val="20"/>
              </w:rPr>
              <w:t>25 611</w:t>
            </w:r>
          </w:p>
        </w:tc>
        <w:tc>
          <w:tcPr>
            <w:tcW w:w="1323" w:type="dxa"/>
            <w:tcBorders>
              <w:top w:val="single" w:sz="12" w:space="0" w:color="auto"/>
              <w:bottom w:val="nil"/>
            </w:tcBorders>
            <w:shd w:val="clear" w:color="auto" w:fill="D9D9D9" w:themeFill="background1" w:themeFillShade="D9"/>
            <w:vAlign w:val="center"/>
          </w:tcPr>
          <w:p w14:paraId="2CF17AB1" w14:textId="77777777" w:rsidR="0005512A" w:rsidRPr="002B2CFC" w:rsidRDefault="0005512A" w:rsidP="00E439AD">
            <w:pPr>
              <w:keepNext/>
              <w:jc w:val="center"/>
              <w:rPr>
                <w:sz w:val="20"/>
              </w:rPr>
            </w:pPr>
            <w:r w:rsidRPr="002B2CFC">
              <w:rPr>
                <w:sz w:val="20"/>
              </w:rPr>
              <w:t>278 525 950</w:t>
            </w:r>
          </w:p>
        </w:tc>
      </w:tr>
      <w:tr w:rsidR="0005512A" w:rsidRPr="002B2CFC" w14:paraId="20895956" w14:textId="77777777" w:rsidTr="0005512A">
        <w:trPr>
          <w:trHeight w:val="335"/>
        </w:trPr>
        <w:tc>
          <w:tcPr>
            <w:tcW w:w="1242" w:type="dxa"/>
            <w:vMerge/>
            <w:tcBorders>
              <w:right w:val="single" w:sz="12" w:space="0" w:color="auto"/>
            </w:tcBorders>
            <w:shd w:val="clear" w:color="auto" w:fill="D9D9D9" w:themeFill="background1" w:themeFillShade="D9"/>
          </w:tcPr>
          <w:p w14:paraId="66F1C4C2" w14:textId="77777777" w:rsidR="0005512A" w:rsidRPr="002B2CFC" w:rsidRDefault="0005512A" w:rsidP="00E439AD">
            <w:pPr>
              <w:keepNext/>
              <w:rPr>
                <w:sz w:val="20"/>
              </w:rPr>
            </w:pPr>
          </w:p>
        </w:tc>
        <w:tc>
          <w:tcPr>
            <w:tcW w:w="1182" w:type="dxa"/>
            <w:tcBorders>
              <w:top w:val="nil"/>
              <w:left w:val="single" w:sz="12" w:space="0" w:color="auto"/>
              <w:bottom w:val="nil"/>
            </w:tcBorders>
            <w:shd w:val="clear" w:color="auto" w:fill="D9D9D9" w:themeFill="background1" w:themeFillShade="D9"/>
            <w:vAlign w:val="center"/>
          </w:tcPr>
          <w:p w14:paraId="64162C87" w14:textId="77777777" w:rsidR="0005512A" w:rsidRPr="002B2CFC" w:rsidRDefault="0005512A" w:rsidP="00E439AD">
            <w:pPr>
              <w:keepNext/>
              <w:jc w:val="center"/>
              <w:rPr>
                <w:sz w:val="20"/>
              </w:rPr>
            </w:pPr>
            <w:r>
              <w:rPr>
                <w:sz w:val="20"/>
              </w:rPr>
              <w:t xml:space="preserve">n= </w:t>
            </w:r>
            <w:r w:rsidRPr="002B2CFC">
              <w:rPr>
                <w:sz w:val="20"/>
              </w:rPr>
              <w:t>10</w:t>
            </w:r>
          </w:p>
        </w:tc>
        <w:tc>
          <w:tcPr>
            <w:tcW w:w="1323" w:type="dxa"/>
            <w:tcBorders>
              <w:top w:val="nil"/>
              <w:bottom w:val="nil"/>
            </w:tcBorders>
            <w:shd w:val="clear" w:color="auto" w:fill="D9D9D9" w:themeFill="background1" w:themeFillShade="D9"/>
            <w:vAlign w:val="center"/>
          </w:tcPr>
          <w:p w14:paraId="41B72005" w14:textId="77777777" w:rsidR="0005512A" w:rsidRPr="002B2CFC" w:rsidRDefault="0005512A" w:rsidP="00E439AD">
            <w:pPr>
              <w:keepNext/>
              <w:jc w:val="center"/>
              <w:rPr>
                <w:sz w:val="20"/>
              </w:rPr>
            </w:pPr>
            <w:r>
              <w:rPr>
                <w:sz w:val="20"/>
              </w:rPr>
              <w:t xml:space="preserve">n= </w:t>
            </w:r>
            <w:r w:rsidRPr="002B2CFC">
              <w:rPr>
                <w:sz w:val="20"/>
              </w:rPr>
              <w:t>10</w:t>
            </w:r>
          </w:p>
        </w:tc>
        <w:tc>
          <w:tcPr>
            <w:tcW w:w="1464" w:type="dxa"/>
            <w:tcBorders>
              <w:top w:val="nil"/>
              <w:bottom w:val="nil"/>
              <w:right w:val="single" w:sz="12" w:space="0" w:color="auto"/>
            </w:tcBorders>
            <w:shd w:val="clear" w:color="auto" w:fill="D9D9D9" w:themeFill="background1" w:themeFillShade="D9"/>
            <w:vAlign w:val="center"/>
          </w:tcPr>
          <w:p w14:paraId="295425A7" w14:textId="77777777" w:rsidR="0005512A" w:rsidRPr="002B2CFC" w:rsidRDefault="0005512A" w:rsidP="00E439AD">
            <w:pPr>
              <w:keepNext/>
              <w:jc w:val="center"/>
              <w:rPr>
                <w:sz w:val="20"/>
              </w:rPr>
            </w:pPr>
            <w:r>
              <w:rPr>
                <w:sz w:val="20"/>
              </w:rPr>
              <w:t xml:space="preserve">n= </w:t>
            </w:r>
            <w:r w:rsidRPr="002B2CFC">
              <w:rPr>
                <w:sz w:val="20"/>
              </w:rPr>
              <w:t>10</w:t>
            </w:r>
          </w:p>
        </w:tc>
        <w:tc>
          <w:tcPr>
            <w:tcW w:w="1182" w:type="dxa"/>
            <w:tcBorders>
              <w:top w:val="nil"/>
              <w:left w:val="single" w:sz="12" w:space="0" w:color="auto"/>
              <w:bottom w:val="nil"/>
            </w:tcBorders>
            <w:shd w:val="clear" w:color="auto" w:fill="D9D9D9" w:themeFill="background1" w:themeFillShade="D9"/>
            <w:vAlign w:val="center"/>
          </w:tcPr>
          <w:p w14:paraId="1C35363C" w14:textId="77777777" w:rsidR="0005512A" w:rsidRPr="002B2CFC" w:rsidRDefault="0005512A" w:rsidP="00E439AD">
            <w:pPr>
              <w:keepNext/>
              <w:jc w:val="center"/>
              <w:rPr>
                <w:sz w:val="20"/>
              </w:rPr>
            </w:pPr>
            <w:r>
              <w:rPr>
                <w:sz w:val="20"/>
              </w:rPr>
              <w:t xml:space="preserve">n= </w:t>
            </w:r>
            <w:r w:rsidRPr="002B2CFC">
              <w:rPr>
                <w:sz w:val="20"/>
              </w:rPr>
              <w:t>10</w:t>
            </w:r>
          </w:p>
        </w:tc>
        <w:tc>
          <w:tcPr>
            <w:tcW w:w="1323" w:type="dxa"/>
            <w:tcBorders>
              <w:top w:val="nil"/>
              <w:bottom w:val="nil"/>
            </w:tcBorders>
            <w:shd w:val="clear" w:color="auto" w:fill="D9D9D9" w:themeFill="background1" w:themeFillShade="D9"/>
            <w:vAlign w:val="center"/>
          </w:tcPr>
          <w:p w14:paraId="406E68F9" w14:textId="77777777" w:rsidR="0005512A" w:rsidRPr="002B2CFC" w:rsidRDefault="0005512A" w:rsidP="00E439AD">
            <w:pPr>
              <w:keepNext/>
              <w:jc w:val="center"/>
              <w:rPr>
                <w:sz w:val="20"/>
              </w:rPr>
            </w:pPr>
            <w:r>
              <w:rPr>
                <w:sz w:val="20"/>
              </w:rPr>
              <w:t xml:space="preserve">n= </w:t>
            </w:r>
            <w:r w:rsidRPr="002B2CFC">
              <w:rPr>
                <w:sz w:val="20"/>
              </w:rPr>
              <w:t>10</w:t>
            </w:r>
          </w:p>
        </w:tc>
        <w:tc>
          <w:tcPr>
            <w:tcW w:w="1323" w:type="dxa"/>
            <w:tcBorders>
              <w:top w:val="nil"/>
              <w:bottom w:val="nil"/>
            </w:tcBorders>
            <w:shd w:val="clear" w:color="auto" w:fill="D9D9D9" w:themeFill="background1" w:themeFillShade="D9"/>
            <w:vAlign w:val="center"/>
          </w:tcPr>
          <w:p w14:paraId="66BDF5BE" w14:textId="77777777" w:rsidR="0005512A" w:rsidRPr="002B2CFC" w:rsidRDefault="0005512A" w:rsidP="00E439AD">
            <w:pPr>
              <w:keepNext/>
              <w:jc w:val="center"/>
              <w:rPr>
                <w:sz w:val="20"/>
              </w:rPr>
            </w:pPr>
            <w:r>
              <w:rPr>
                <w:sz w:val="20"/>
              </w:rPr>
              <w:t xml:space="preserve">n= </w:t>
            </w:r>
            <w:r w:rsidRPr="002B2CFC">
              <w:rPr>
                <w:sz w:val="20"/>
              </w:rPr>
              <w:t>10</w:t>
            </w:r>
          </w:p>
        </w:tc>
      </w:tr>
      <w:tr w:rsidR="0005512A" w:rsidRPr="002B2CFC" w14:paraId="0EC3EB8C" w14:textId="77777777" w:rsidTr="0005512A">
        <w:trPr>
          <w:trHeight w:val="335"/>
        </w:trPr>
        <w:tc>
          <w:tcPr>
            <w:tcW w:w="1242" w:type="dxa"/>
            <w:vMerge/>
            <w:tcBorders>
              <w:right w:val="single" w:sz="12" w:space="0" w:color="auto"/>
            </w:tcBorders>
            <w:shd w:val="clear" w:color="auto" w:fill="D9D9D9" w:themeFill="background1" w:themeFillShade="D9"/>
          </w:tcPr>
          <w:p w14:paraId="5034ED84" w14:textId="77777777" w:rsidR="0005512A" w:rsidRPr="002B2CFC" w:rsidRDefault="0005512A" w:rsidP="00E439AD">
            <w:pPr>
              <w:keepNext/>
              <w:rPr>
                <w:sz w:val="20"/>
              </w:rPr>
            </w:pPr>
          </w:p>
        </w:tc>
        <w:tc>
          <w:tcPr>
            <w:tcW w:w="1182" w:type="dxa"/>
            <w:tcBorders>
              <w:top w:val="nil"/>
              <w:left w:val="single" w:sz="12" w:space="0" w:color="auto"/>
            </w:tcBorders>
            <w:shd w:val="clear" w:color="auto" w:fill="D9D9D9" w:themeFill="background1" w:themeFillShade="D9"/>
            <w:vAlign w:val="center"/>
          </w:tcPr>
          <w:p w14:paraId="1988C06A" w14:textId="77777777" w:rsidR="0005512A" w:rsidRPr="002B2CFC" w:rsidRDefault="0005512A" w:rsidP="00E439AD">
            <w:pPr>
              <w:keepNext/>
              <w:jc w:val="center"/>
              <w:rPr>
                <w:sz w:val="20"/>
              </w:rPr>
            </w:pPr>
            <w:r w:rsidRPr="002B2CFC">
              <w:rPr>
                <w:sz w:val="20"/>
              </w:rPr>
              <w:t>(86%)</w:t>
            </w:r>
          </w:p>
        </w:tc>
        <w:tc>
          <w:tcPr>
            <w:tcW w:w="1323" w:type="dxa"/>
            <w:tcBorders>
              <w:top w:val="nil"/>
            </w:tcBorders>
            <w:shd w:val="clear" w:color="auto" w:fill="D9D9D9" w:themeFill="background1" w:themeFillShade="D9"/>
            <w:vAlign w:val="center"/>
          </w:tcPr>
          <w:p w14:paraId="2E4A65B8" w14:textId="77777777" w:rsidR="0005512A" w:rsidRPr="002B2CFC" w:rsidRDefault="0005512A" w:rsidP="00E439AD">
            <w:pPr>
              <w:keepNext/>
              <w:jc w:val="center"/>
              <w:rPr>
                <w:sz w:val="20"/>
              </w:rPr>
            </w:pPr>
            <w:r w:rsidRPr="002B2CFC">
              <w:rPr>
                <w:sz w:val="20"/>
              </w:rPr>
              <w:t>(93%)</w:t>
            </w:r>
          </w:p>
        </w:tc>
        <w:tc>
          <w:tcPr>
            <w:tcW w:w="1464" w:type="dxa"/>
            <w:tcBorders>
              <w:top w:val="nil"/>
              <w:right w:val="single" w:sz="12" w:space="0" w:color="auto"/>
            </w:tcBorders>
            <w:shd w:val="clear" w:color="auto" w:fill="D9D9D9" w:themeFill="background1" w:themeFillShade="D9"/>
            <w:vAlign w:val="center"/>
          </w:tcPr>
          <w:p w14:paraId="772D1B0F" w14:textId="77777777" w:rsidR="0005512A" w:rsidRPr="002B2CFC" w:rsidRDefault="0005512A" w:rsidP="00E439AD">
            <w:pPr>
              <w:keepNext/>
              <w:jc w:val="center"/>
              <w:rPr>
                <w:sz w:val="20"/>
              </w:rPr>
            </w:pPr>
            <w:r w:rsidRPr="002B2CFC">
              <w:rPr>
                <w:sz w:val="20"/>
              </w:rPr>
              <w:t>(83%)</w:t>
            </w:r>
          </w:p>
        </w:tc>
        <w:tc>
          <w:tcPr>
            <w:tcW w:w="1182" w:type="dxa"/>
            <w:tcBorders>
              <w:top w:val="nil"/>
              <w:left w:val="single" w:sz="12" w:space="0" w:color="auto"/>
            </w:tcBorders>
            <w:shd w:val="clear" w:color="auto" w:fill="D9D9D9" w:themeFill="background1" w:themeFillShade="D9"/>
            <w:vAlign w:val="center"/>
          </w:tcPr>
          <w:p w14:paraId="1873F8C6" w14:textId="77777777" w:rsidR="0005512A" w:rsidRPr="002B2CFC" w:rsidRDefault="0005512A" w:rsidP="00E439AD">
            <w:pPr>
              <w:keepNext/>
              <w:jc w:val="center"/>
              <w:rPr>
                <w:sz w:val="20"/>
              </w:rPr>
            </w:pPr>
            <w:r w:rsidRPr="002B2CFC">
              <w:rPr>
                <w:sz w:val="20"/>
              </w:rPr>
              <w:t>(82%)</w:t>
            </w:r>
          </w:p>
        </w:tc>
        <w:tc>
          <w:tcPr>
            <w:tcW w:w="1323" w:type="dxa"/>
            <w:tcBorders>
              <w:top w:val="nil"/>
            </w:tcBorders>
            <w:shd w:val="clear" w:color="auto" w:fill="D9D9D9" w:themeFill="background1" w:themeFillShade="D9"/>
            <w:vAlign w:val="center"/>
          </w:tcPr>
          <w:p w14:paraId="341B942E" w14:textId="77777777" w:rsidR="0005512A" w:rsidRPr="002B2CFC" w:rsidRDefault="0005512A" w:rsidP="00E439AD">
            <w:pPr>
              <w:keepNext/>
              <w:jc w:val="center"/>
              <w:rPr>
                <w:sz w:val="20"/>
              </w:rPr>
            </w:pPr>
            <w:r w:rsidRPr="002B2CFC">
              <w:rPr>
                <w:sz w:val="20"/>
              </w:rPr>
              <w:t>(86%)</w:t>
            </w:r>
          </w:p>
        </w:tc>
        <w:tc>
          <w:tcPr>
            <w:tcW w:w="1323" w:type="dxa"/>
            <w:tcBorders>
              <w:top w:val="nil"/>
            </w:tcBorders>
            <w:shd w:val="clear" w:color="auto" w:fill="D9D9D9" w:themeFill="background1" w:themeFillShade="D9"/>
            <w:vAlign w:val="center"/>
          </w:tcPr>
          <w:p w14:paraId="211070CB" w14:textId="77777777" w:rsidR="0005512A" w:rsidRPr="002B2CFC" w:rsidRDefault="0005512A" w:rsidP="00E439AD">
            <w:pPr>
              <w:keepNext/>
              <w:jc w:val="center"/>
              <w:rPr>
                <w:sz w:val="20"/>
              </w:rPr>
            </w:pPr>
            <w:r w:rsidRPr="002B2CFC">
              <w:rPr>
                <w:sz w:val="20"/>
              </w:rPr>
              <w:t>(89%)</w:t>
            </w:r>
          </w:p>
        </w:tc>
      </w:tr>
    </w:tbl>
    <w:p w14:paraId="0D301E7F" w14:textId="77777777" w:rsidR="0005512A" w:rsidRPr="002B2CFC" w:rsidRDefault="0005512A" w:rsidP="00E439AD">
      <w:pPr>
        <w:keepNext/>
        <w:rPr>
          <w:sz w:val="22"/>
          <w:szCs w:val="24"/>
        </w:rPr>
      </w:pPr>
      <w:r w:rsidRPr="002B2CFC">
        <w:rPr>
          <w:sz w:val="22"/>
          <w:szCs w:val="24"/>
        </w:rPr>
        <w:t>*Statistically significant p&lt;0.05, **p&lt;0.01</w:t>
      </w:r>
    </w:p>
    <w:p w14:paraId="0A0EB04D" w14:textId="77777777" w:rsidR="0005512A" w:rsidRPr="002B2CFC" w:rsidRDefault="0005512A" w:rsidP="00E439AD">
      <w:pPr>
        <w:rPr>
          <w:i/>
          <w:szCs w:val="24"/>
        </w:rPr>
      </w:pPr>
    </w:p>
    <w:p w14:paraId="708E3C5B" w14:textId="77777777" w:rsidR="0005512A" w:rsidRDefault="0005512A" w:rsidP="00E439AD">
      <w:pPr>
        <w:rPr>
          <w:szCs w:val="24"/>
        </w:rPr>
      </w:pPr>
      <w:r w:rsidRPr="002B2CFC">
        <w:rPr>
          <w:szCs w:val="24"/>
        </w:rPr>
        <w:t>The positive control group showed a reduction in the number of TH</w:t>
      </w:r>
      <w:r w:rsidRPr="003A6822">
        <w:rPr>
          <w:szCs w:val="24"/>
          <w:vertAlign w:val="superscript"/>
        </w:rPr>
        <w:t>+</w:t>
      </w:r>
      <w:r w:rsidRPr="002B2CFC">
        <w:rPr>
          <w:szCs w:val="24"/>
        </w:rPr>
        <w:t xml:space="preserve"> neurons  </w:t>
      </w:r>
      <w:r>
        <w:rPr>
          <w:szCs w:val="24"/>
        </w:rPr>
        <w:t>both</w:t>
      </w:r>
      <w:r w:rsidRPr="002B2CFC">
        <w:rPr>
          <w:szCs w:val="24"/>
        </w:rPr>
        <w:t xml:space="preserve"> </w:t>
      </w:r>
      <w:r>
        <w:rPr>
          <w:szCs w:val="24"/>
        </w:rPr>
        <w:t xml:space="preserve">in </w:t>
      </w:r>
      <w:r w:rsidRPr="002B2CFC">
        <w:rPr>
          <w:szCs w:val="24"/>
        </w:rPr>
        <w:t>the chromogenic-stained sections</w:t>
      </w:r>
      <w:r>
        <w:rPr>
          <w:szCs w:val="24"/>
        </w:rPr>
        <w:t xml:space="preserve"> </w:t>
      </w:r>
      <w:r w:rsidRPr="002B2CFC">
        <w:rPr>
          <w:szCs w:val="24"/>
        </w:rPr>
        <w:t>(14% less than controls)</w:t>
      </w:r>
      <w:r>
        <w:rPr>
          <w:szCs w:val="24"/>
        </w:rPr>
        <w:t xml:space="preserve"> and </w:t>
      </w:r>
      <w:r w:rsidRPr="002B2CFC">
        <w:rPr>
          <w:szCs w:val="24"/>
        </w:rPr>
        <w:t>in the fluorescent-stained sections (18% less than controls)</w:t>
      </w:r>
      <w:r>
        <w:rPr>
          <w:szCs w:val="24"/>
        </w:rPr>
        <w:t>, although this was only statistically significant in the latter.</w:t>
      </w:r>
      <w:r w:rsidRPr="002B2CFC">
        <w:rPr>
          <w:szCs w:val="24"/>
        </w:rPr>
        <w:t xml:space="preserve"> The study author suggested that the lack of significance in the chromogenic-stained section can be attributed to the small number of mice in this group, </w:t>
      </w:r>
      <w:r>
        <w:rPr>
          <w:szCs w:val="24"/>
        </w:rPr>
        <w:t>which reduces</w:t>
      </w:r>
      <w:r w:rsidRPr="002B2CFC">
        <w:rPr>
          <w:szCs w:val="24"/>
        </w:rPr>
        <w:t xml:space="preserve"> the power of the assay to detect low magnitude differences. </w:t>
      </w:r>
    </w:p>
    <w:p w14:paraId="1BAE6CB7" w14:textId="77777777" w:rsidR="0005512A" w:rsidRPr="002B2CFC" w:rsidRDefault="0005512A" w:rsidP="0005512A">
      <w:pPr>
        <w:spacing w:before="120" w:after="120"/>
        <w:rPr>
          <w:szCs w:val="24"/>
        </w:rPr>
      </w:pPr>
      <w:r w:rsidRPr="002B2CFC">
        <w:rPr>
          <w:szCs w:val="24"/>
        </w:rPr>
        <w:t>For the chromogenic staining, there was a statistically significant reduction in the total contour volume (17%) and in the fluorescent stained sections this difference was 11% but was not statistically significant. Total neurons were reduced by 7% and 14% for the two staining methods, chromogenic and fluorescent respectively, but neither was statistically significant. Left and right TH</w:t>
      </w:r>
      <w:r w:rsidRPr="003A6822">
        <w:rPr>
          <w:szCs w:val="24"/>
          <w:vertAlign w:val="superscript"/>
        </w:rPr>
        <w:t>+</w:t>
      </w:r>
      <w:r w:rsidRPr="002B2CFC">
        <w:rPr>
          <w:szCs w:val="24"/>
        </w:rPr>
        <w:t xml:space="preserve"> counts did not differ statistically significantly. Positive results in this group of animals validates the study design for detecting effects on the number of TH</w:t>
      </w:r>
      <w:r w:rsidRPr="003A6822">
        <w:rPr>
          <w:szCs w:val="24"/>
          <w:vertAlign w:val="superscript"/>
        </w:rPr>
        <w:t>+</w:t>
      </w:r>
      <w:r w:rsidRPr="002B2CFC">
        <w:rPr>
          <w:szCs w:val="24"/>
        </w:rPr>
        <w:t>-dopaminergic neurons in the SN pc.</w:t>
      </w:r>
    </w:p>
    <w:p w14:paraId="0D8D737D" w14:textId="77777777" w:rsidR="0005512A" w:rsidRPr="002B2CFC" w:rsidRDefault="0005512A" w:rsidP="0005512A">
      <w:pPr>
        <w:spacing w:before="120" w:after="120"/>
        <w:rPr>
          <w:szCs w:val="24"/>
        </w:rPr>
      </w:pPr>
      <w:r>
        <w:rPr>
          <w:szCs w:val="24"/>
        </w:rPr>
        <w:t>There was some variation in the number of TH</w:t>
      </w:r>
      <w:r w:rsidRPr="00C33BE1">
        <w:rPr>
          <w:szCs w:val="24"/>
          <w:vertAlign w:val="superscript"/>
        </w:rPr>
        <w:t>+</w:t>
      </w:r>
      <w:r>
        <w:rPr>
          <w:szCs w:val="24"/>
        </w:rPr>
        <w:t xml:space="preserve"> or TH</w:t>
      </w:r>
      <w:r w:rsidRPr="00C33BE1">
        <w:rPr>
          <w:szCs w:val="24"/>
          <w:vertAlign w:val="superscript"/>
        </w:rPr>
        <w:t>-</w:t>
      </w:r>
      <w:r>
        <w:rPr>
          <w:szCs w:val="24"/>
        </w:rPr>
        <w:t xml:space="preserve"> neurones detected with different section depths, which was explained by the study author as variability in staining uptake depending on the thickness of the section and damage to neurones.</w:t>
      </w:r>
    </w:p>
    <w:p w14:paraId="06942F12" w14:textId="77777777" w:rsidR="0005512A" w:rsidRPr="002B2CFC" w:rsidRDefault="0005512A" w:rsidP="0005512A">
      <w:pPr>
        <w:spacing w:before="120" w:after="120"/>
        <w:rPr>
          <w:szCs w:val="24"/>
        </w:rPr>
      </w:pPr>
      <w:r w:rsidRPr="002B2CFC">
        <w:rPr>
          <w:szCs w:val="24"/>
        </w:rPr>
        <w:t>Data from the Group 1 internal control animals evaluated periodically</w:t>
      </w:r>
      <w:r>
        <w:rPr>
          <w:szCs w:val="24"/>
        </w:rPr>
        <w:t xml:space="preserve"> </w:t>
      </w:r>
      <w:r w:rsidRPr="002B2CFC">
        <w:rPr>
          <w:szCs w:val="24"/>
        </w:rPr>
        <w:t xml:space="preserve">throughout the stereological assessment showed that Total Contour Volume was related to the magnitude of cell counts. In addition, most variability was noted when the same animal was counted very early and very late in the study, suggested that this </w:t>
      </w:r>
      <w:r>
        <w:rPr>
          <w:szCs w:val="24"/>
        </w:rPr>
        <w:t xml:space="preserve">may have been </w:t>
      </w:r>
      <w:r w:rsidRPr="002B2CFC">
        <w:rPr>
          <w:szCs w:val="24"/>
        </w:rPr>
        <w:t xml:space="preserve">an artefact of the technician </w:t>
      </w:r>
      <w:r w:rsidRPr="002B2CFC">
        <w:rPr>
          <w:szCs w:val="24"/>
        </w:rPr>
        <w:lastRenderedPageBreak/>
        <w:t xml:space="preserve">being required to transition between creating contours for chromogenic and fluorescent sections throughout several months of evaluation, </w:t>
      </w:r>
      <w:r>
        <w:rPr>
          <w:szCs w:val="24"/>
        </w:rPr>
        <w:t xml:space="preserve">resulting in a </w:t>
      </w:r>
      <w:r w:rsidRPr="002B2CFC">
        <w:rPr>
          <w:szCs w:val="24"/>
        </w:rPr>
        <w:t>degree of “drift”.</w:t>
      </w:r>
    </w:p>
    <w:p w14:paraId="7DDE82E7" w14:textId="77777777" w:rsidR="0005512A" w:rsidRPr="002B2CFC" w:rsidRDefault="0005512A" w:rsidP="0005512A">
      <w:pPr>
        <w:spacing w:before="120" w:after="120"/>
        <w:rPr>
          <w:i/>
          <w:szCs w:val="24"/>
        </w:rPr>
      </w:pPr>
      <w:r w:rsidRPr="002B2CFC">
        <w:rPr>
          <w:i/>
          <w:szCs w:val="24"/>
        </w:rPr>
        <w:t>Neurochemistry Assessment (groups 6-9)</w:t>
      </w:r>
    </w:p>
    <w:p w14:paraId="5C50CF0D" w14:textId="02401CE4" w:rsidR="0005512A" w:rsidRPr="002B2CFC" w:rsidRDefault="0005512A" w:rsidP="0005512A">
      <w:pPr>
        <w:spacing w:before="120" w:after="120"/>
        <w:rPr>
          <w:szCs w:val="24"/>
        </w:rPr>
      </w:pPr>
      <w:r w:rsidRPr="002B2CFC">
        <w:rPr>
          <w:szCs w:val="24"/>
        </w:rPr>
        <w:t xml:space="preserve">Treatment with paraquat up to </w:t>
      </w:r>
      <w:r>
        <w:rPr>
          <w:szCs w:val="24"/>
        </w:rPr>
        <w:t xml:space="preserve">3 x </w:t>
      </w:r>
      <w:r w:rsidRPr="002B2CFC">
        <w:rPr>
          <w:szCs w:val="24"/>
        </w:rPr>
        <w:t xml:space="preserve">25 mg/kg bw/dose showed no effect on the striatal concentrations of </w:t>
      </w:r>
      <w:r w:rsidR="00A4092E">
        <w:rPr>
          <w:szCs w:val="24"/>
        </w:rPr>
        <w:t>DA</w:t>
      </w:r>
      <w:r w:rsidRPr="002B2CFC">
        <w:rPr>
          <w:szCs w:val="24"/>
        </w:rPr>
        <w:t xml:space="preserve">, DOPAC, HVA or </w:t>
      </w:r>
      <w:r w:rsidR="00A4092E">
        <w:rPr>
          <w:szCs w:val="24"/>
        </w:rPr>
        <w:t>DA</w:t>
      </w:r>
      <w:r w:rsidRPr="002B2CFC">
        <w:rPr>
          <w:szCs w:val="24"/>
        </w:rPr>
        <w:t xml:space="preserve"> turnover. Levels were not dose relatedly affected and/or lacked change in a toxicologically significant direction.</w:t>
      </w:r>
      <w:r>
        <w:rPr>
          <w:szCs w:val="24"/>
        </w:rPr>
        <w:t xml:space="preserve"> There were statistically significant findings </w:t>
      </w:r>
      <w:r w:rsidRPr="00C33BE1">
        <w:rPr>
          <w:szCs w:val="24"/>
        </w:rPr>
        <w:t>(</w:t>
      </w:r>
      <w:r w:rsidR="00F07346">
        <w:fldChar w:fldCharType="begin"/>
      </w:r>
      <w:r w:rsidR="00F07346">
        <w:instrText xml:space="preserve"> REF _Ref420329795 \h  \* MERGEFORMAT </w:instrText>
      </w:r>
      <w:r w:rsidR="00F07346">
        <w:fldChar w:fldCharType="separate"/>
      </w:r>
      <w:r w:rsidR="000E54B2" w:rsidRPr="000E54B2">
        <w:rPr>
          <w:szCs w:val="24"/>
        </w:rPr>
        <w:t xml:space="preserve">Table </w:t>
      </w:r>
      <w:r w:rsidR="000E54B2" w:rsidRPr="000E54B2">
        <w:rPr>
          <w:noProof/>
          <w:szCs w:val="24"/>
        </w:rPr>
        <w:t>21</w:t>
      </w:r>
      <w:r w:rsidR="00F07346">
        <w:fldChar w:fldCharType="end"/>
      </w:r>
      <w:r w:rsidR="00714492">
        <w:t xml:space="preserve"> </w:t>
      </w:r>
      <w:r w:rsidR="003A31EB">
        <w:fldChar w:fldCharType="begin"/>
      </w:r>
      <w:r w:rsidR="003A31EB">
        <w:instrText xml:space="preserve"> REF _Ref459037668 \p </w:instrText>
      </w:r>
      <w:r w:rsidR="003A31EB">
        <w:fldChar w:fldCharType="separate"/>
      </w:r>
      <w:r w:rsidR="000E54B2">
        <w:t>below</w:t>
      </w:r>
      <w:r w:rsidR="003A31EB">
        <w:fldChar w:fldCharType="end"/>
      </w:r>
      <w:r>
        <w:rPr>
          <w:szCs w:val="24"/>
        </w:rPr>
        <w:t>).</w:t>
      </w:r>
      <w:r w:rsidRPr="002B2CFC">
        <w:rPr>
          <w:szCs w:val="24"/>
        </w:rPr>
        <w:t xml:space="preserve"> </w:t>
      </w:r>
    </w:p>
    <w:p w14:paraId="23241EBC" w14:textId="77777777" w:rsidR="0005512A" w:rsidRPr="002B2CFC" w:rsidRDefault="0005512A" w:rsidP="0005512A">
      <w:pPr>
        <w:spacing w:before="120" w:after="120"/>
        <w:rPr>
          <w:szCs w:val="24"/>
        </w:rPr>
      </w:pPr>
      <w:r w:rsidRPr="002B2CFC">
        <w:rPr>
          <w:szCs w:val="24"/>
        </w:rPr>
        <w:t>Treatment with MPTP demonstrated statistically significant reductions in all three compounds (</w:t>
      </w:r>
      <w:r w:rsidR="00A4092E">
        <w:rPr>
          <w:szCs w:val="24"/>
        </w:rPr>
        <w:t>DA</w:t>
      </w:r>
      <w:r w:rsidRPr="002B2CFC">
        <w:rPr>
          <w:szCs w:val="24"/>
        </w:rPr>
        <w:t xml:space="preserve"> -74%, DOPAC -61%, HVA -44%) and a statistically significant increase in the rate of </w:t>
      </w:r>
      <w:r w:rsidR="00A4092E">
        <w:rPr>
          <w:szCs w:val="24"/>
        </w:rPr>
        <w:t>DA</w:t>
      </w:r>
      <w:r w:rsidRPr="002B2CFC">
        <w:rPr>
          <w:szCs w:val="24"/>
        </w:rPr>
        <w:t xml:space="preserve"> turnover (</w:t>
      </w:r>
      <w:r w:rsidRPr="003A6822">
        <w:rPr>
          <w:szCs w:val="24"/>
          <w:vertAlign w:val="superscript"/>
        </w:rPr>
        <w:t>+</w:t>
      </w:r>
      <w:r w:rsidRPr="002B2CFC">
        <w:rPr>
          <w:szCs w:val="24"/>
        </w:rPr>
        <w:t>135%). This validates the study design to detect effects on the levels of these compounds in the striatum. Striatal concentrations in vehicle control groups were stated by the study author as being consistent with concentrations previously reported by the laboratory.</w:t>
      </w:r>
    </w:p>
    <w:p w14:paraId="3BBBD32F" w14:textId="77777777" w:rsidR="0005512A" w:rsidRDefault="0005512A" w:rsidP="00E439AD">
      <w:pPr>
        <w:rPr>
          <w:szCs w:val="24"/>
        </w:rPr>
      </w:pPr>
      <w:r w:rsidRPr="002B2CFC">
        <w:rPr>
          <w:szCs w:val="24"/>
        </w:rPr>
        <w:t xml:space="preserve">Striatal </w:t>
      </w:r>
      <w:r w:rsidR="001875D7">
        <w:rPr>
          <w:szCs w:val="24"/>
        </w:rPr>
        <w:t>5-HT</w:t>
      </w:r>
      <w:r w:rsidRPr="002B2CFC">
        <w:rPr>
          <w:szCs w:val="24"/>
        </w:rPr>
        <w:t xml:space="preserve"> concentrations could not be evaluated as the method used to assess this neurochemical failed to accurately quantify </w:t>
      </w:r>
      <w:r>
        <w:rPr>
          <w:szCs w:val="24"/>
        </w:rPr>
        <w:t xml:space="preserve">5-HT </w:t>
      </w:r>
      <w:r w:rsidRPr="002B2CFC">
        <w:rPr>
          <w:szCs w:val="24"/>
        </w:rPr>
        <w:t xml:space="preserve">in earlier validation </w:t>
      </w:r>
      <w:r>
        <w:rPr>
          <w:szCs w:val="24"/>
        </w:rPr>
        <w:t>studies</w:t>
      </w:r>
      <w:r w:rsidRPr="002B2CFC">
        <w:rPr>
          <w:szCs w:val="24"/>
        </w:rPr>
        <w:t xml:space="preserve">. </w:t>
      </w:r>
      <w:r w:rsidR="001875D7">
        <w:rPr>
          <w:szCs w:val="24"/>
        </w:rPr>
        <w:t>5-HT</w:t>
      </w:r>
      <w:r w:rsidRPr="002B2CFC">
        <w:rPr>
          <w:szCs w:val="24"/>
        </w:rPr>
        <w:t xml:space="preserve"> measurements are therefore considered unreliable.</w:t>
      </w:r>
    </w:p>
    <w:p w14:paraId="2FA19774" w14:textId="77777777" w:rsidR="0005512A" w:rsidRDefault="0005512A" w:rsidP="00E439AD">
      <w:pPr>
        <w:rPr>
          <w:szCs w:val="24"/>
        </w:rPr>
      </w:pPr>
    </w:p>
    <w:p w14:paraId="653C0DC3" w14:textId="77777777" w:rsidR="0005512A" w:rsidRPr="00C111A1" w:rsidRDefault="0005512A" w:rsidP="00E439AD">
      <w:pPr>
        <w:spacing w:after="120"/>
        <w:rPr>
          <w:b/>
          <w:sz w:val="20"/>
        </w:rPr>
      </w:pPr>
      <w:bookmarkStart w:id="101" w:name="_Ref420329795"/>
      <w:bookmarkStart w:id="102" w:name="_Ref459037668"/>
      <w:r w:rsidRPr="00C111A1">
        <w:rPr>
          <w:b/>
          <w:sz w:val="20"/>
        </w:rPr>
        <w:t xml:space="preserve">Table </w:t>
      </w:r>
      <w:r w:rsidR="00897462" w:rsidRPr="00C111A1">
        <w:rPr>
          <w:b/>
          <w:sz w:val="20"/>
        </w:rPr>
        <w:fldChar w:fldCharType="begin"/>
      </w:r>
      <w:r w:rsidRPr="00C111A1">
        <w:rPr>
          <w:b/>
          <w:sz w:val="20"/>
        </w:rPr>
        <w:instrText xml:space="preserve"> SEQ Table \* ARABIC </w:instrText>
      </w:r>
      <w:r w:rsidR="00897462" w:rsidRPr="00C111A1">
        <w:rPr>
          <w:b/>
          <w:sz w:val="20"/>
        </w:rPr>
        <w:fldChar w:fldCharType="separate"/>
      </w:r>
      <w:r w:rsidR="000E54B2">
        <w:rPr>
          <w:b/>
          <w:noProof/>
          <w:sz w:val="20"/>
        </w:rPr>
        <w:t>21</w:t>
      </w:r>
      <w:r w:rsidR="00897462" w:rsidRPr="00C111A1">
        <w:rPr>
          <w:b/>
          <w:sz w:val="20"/>
        </w:rPr>
        <w:fldChar w:fldCharType="end"/>
      </w:r>
      <w:bookmarkEnd w:id="101"/>
      <w:r w:rsidRPr="00C111A1">
        <w:rPr>
          <w:b/>
          <w:sz w:val="20"/>
        </w:rPr>
        <w:t>. Mean neurotransmitter concentrations (ng/mg tissue) in striatal tissues (n=10)</w:t>
      </w:r>
      <w:bookmarkEnd w:id="102"/>
    </w:p>
    <w:tbl>
      <w:tblPr>
        <w:tblStyle w:val="TableGrid2"/>
        <w:tblW w:w="0" w:type="auto"/>
        <w:tblLook w:val="04A0" w:firstRow="1" w:lastRow="0" w:firstColumn="1" w:lastColumn="0" w:noHBand="0" w:noVBand="1"/>
      </w:tblPr>
      <w:tblGrid>
        <w:gridCol w:w="1526"/>
        <w:gridCol w:w="1559"/>
        <w:gridCol w:w="1985"/>
        <w:gridCol w:w="1842"/>
        <w:gridCol w:w="1843"/>
      </w:tblGrid>
      <w:tr w:rsidR="0005512A" w:rsidRPr="002B2CFC" w14:paraId="32CBE3C3" w14:textId="77777777" w:rsidTr="0005512A">
        <w:tc>
          <w:tcPr>
            <w:tcW w:w="1526" w:type="dxa"/>
            <w:shd w:val="clear" w:color="auto" w:fill="BFBFBF" w:themeFill="background1" w:themeFillShade="BF"/>
          </w:tcPr>
          <w:p w14:paraId="4BE8DCC3" w14:textId="77777777" w:rsidR="0005512A" w:rsidRPr="002B2CFC" w:rsidRDefault="0005512A" w:rsidP="0005512A">
            <w:pPr>
              <w:rPr>
                <w:b/>
                <w:sz w:val="20"/>
                <w:szCs w:val="24"/>
              </w:rPr>
            </w:pPr>
            <w:r w:rsidRPr="002B2CFC">
              <w:rPr>
                <w:b/>
                <w:sz w:val="20"/>
                <w:szCs w:val="24"/>
              </w:rPr>
              <w:t>Group</w:t>
            </w:r>
          </w:p>
        </w:tc>
        <w:tc>
          <w:tcPr>
            <w:tcW w:w="1559" w:type="dxa"/>
            <w:shd w:val="clear" w:color="auto" w:fill="BFBFBF" w:themeFill="background1" w:themeFillShade="BF"/>
            <w:vAlign w:val="center"/>
          </w:tcPr>
          <w:p w14:paraId="3F6A0666" w14:textId="77777777" w:rsidR="0005512A" w:rsidRPr="002B2CFC" w:rsidRDefault="0005512A" w:rsidP="0005512A">
            <w:pPr>
              <w:jc w:val="center"/>
              <w:rPr>
                <w:b/>
                <w:sz w:val="20"/>
                <w:szCs w:val="24"/>
              </w:rPr>
            </w:pPr>
            <w:r w:rsidRPr="002B2CFC">
              <w:rPr>
                <w:b/>
                <w:sz w:val="20"/>
                <w:szCs w:val="24"/>
              </w:rPr>
              <w:t>6</w:t>
            </w:r>
          </w:p>
        </w:tc>
        <w:tc>
          <w:tcPr>
            <w:tcW w:w="1985" w:type="dxa"/>
            <w:shd w:val="clear" w:color="auto" w:fill="BFBFBF" w:themeFill="background1" w:themeFillShade="BF"/>
            <w:vAlign w:val="center"/>
          </w:tcPr>
          <w:p w14:paraId="61843D8F" w14:textId="77777777" w:rsidR="0005512A" w:rsidRPr="002B2CFC" w:rsidRDefault="0005512A" w:rsidP="0005512A">
            <w:pPr>
              <w:jc w:val="center"/>
              <w:rPr>
                <w:b/>
                <w:sz w:val="20"/>
                <w:szCs w:val="24"/>
              </w:rPr>
            </w:pPr>
            <w:r w:rsidRPr="002B2CFC">
              <w:rPr>
                <w:b/>
                <w:sz w:val="20"/>
                <w:szCs w:val="24"/>
              </w:rPr>
              <w:t>7</w:t>
            </w:r>
          </w:p>
        </w:tc>
        <w:tc>
          <w:tcPr>
            <w:tcW w:w="1842" w:type="dxa"/>
            <w:shd w:val="clear" w:color="auto" w:fill="BFBFBF" w:themeFill="background1" w:themeFillShade="BF"/>
            <w:vAlign w:val="center"/>
          </w:tcPr>
          <w:p w14:paraId="293A943B" w14:textId="77777777" w:rsidR="0005512A" w:rsidRPr="002B2CFC" w:rsidRDefault="0005512A" w:rsidP="0005512A">
            <w:pPr>
              <w:jc w:val="center"/>
              <w:rPr>
                <w:b/>
                <w:sz w:val="20"/>
                <w:szCs w:val="24"/>
              </w:rPr>
            </w:pPr>
            <w:r w:rsidRPr="002B2CFC">
              <w:rPr>
                <w:b/>
                <w:sz w:val="20"/>
                <w:szCs w:val="24"/>
              </w:rPr>
              <w:t>8</w:t>
            </w:r>
          </w:p>
        </w:tc>
        <w:tc>
          <w:tcPr>
            <w:tcW w:w="1843" w:type="dxa"/>
            <w:shd w:val="clear" w:color="auto" w:fill="BFBFBF" w:themeFill="background1" w:themeFillShade="BF"/>
            <w:vAlign w:val="center"/>
          </w:tcPr>
          <w:p w14:paraId="475569E2" w14:textId="77777777" w:rsidR="0005512A" w:rsidRPr="002B2CFC" w:rsidRDefault="0005512A" w:rsidP="0005512A">
            <w:pPr>
              <w:jc w:val="center"/>
              <w:rPr>
                <w:b/>
                <w:sz w:val="20"/>
                <w:szCs w:val="24"/>
              </w:rPr>
            </w:pPr>
            <w:r w:rsidRPr="002B2CFC">
              <w:rPr>
                <w:b/>
                <w:sz w:val="20"/>
                <w:szCs w:val="24"/>
              </w:rPr>
              <w:t>9</w:t>
            </w:r>
          </w:p>
        </w:tc>
      </w:tr>
      <w:tr w:rsidR="0005512A" w:rsidRPr="00A52AE9" w14:paraId="15671067" w14:textId="77777777" w:rsidTr="0005512A">
        <w:trPr>
          <w:trHeight w:val="745"/>
        </w:trPr>
        <w:tc>
          <w:tcPr>
            <w:tcW w:w="1526" w:type="dxa"/>
            <w:shd w:val="clear" w:color="auto" w:fill="BFBFBF" w:themeFill="background1" w:themeFillShade="BF"/>
            <w:vAlign w:val="center"/>
          </w:tcPr>
          <w:p w14:paraId="52ED6F74" w14:textId="77777777" w:rsidR="0005512A" w:rsidRPr="002B2CFC" w:rsidRDefault="0005512A" w:rsidP="0005512A">
            <w:pPr>
              <w:jc w:val="center"/>
              <w:rPr>
                <w:b/>
                <w:sz w:val="20"/>
                <w:szCs w:val="24"/>
              </w:rPr>
            </w:pPr>
            <w:r w:rsidRPr="002B2CFC">
              <w:rPr>
                <w:b/>
                <w:sz w:val="20"/>
                <w:szCs w:val="24"/>
              </w:rPr>
              <w:t>Mean</w:t>
            </w:r>
          </w:p>
          <w:p w14:paraId="79D99725" w14:textId="77777777" w:rsidR="0005512A" w:rsidRPr="002B2CFC" w:rsidRDefault="0005512A" w:rsidP="0005512A">
            <w:pPr>
              <w:jc w:val="center"/>
              <w:rPr>
                <w:b/>
                <w:sz w:val="20"/>
                <w:szCs w:val="24"/>
              </w:rPr>
            </w:pPr>
            <w:r w:rsidRPr="002B2CFC">
              <w:rPr>
                <w:b/>
                <w:sz w:val="20"/>
                <w:szCs w:val="24"/>
              </w:rPr>
              <w:t>(% diff control)</w:t>
            </w:r>
          </w:p>
          <w:p w14:paraId="2B8856C3" w14:textId="77777777" w:rsidR="0005512A" w:rsidRPr="002B2CFC" w:rsidRDefault="0005512A" w:rsidP="0005512A">
            <w:pPr>
              <w:jc w:val="center"/>
              <w:rPr>
                <w:b/>
                <w:sz w:val="20"/>
                <w:szCs w:val="24"/>
              </w:rPr>
            </w:pPr>
          </w:p>
          <w:p w14:paraId="2875351B" w14:textId="77777777" w:rsidR="0005512A" w:rsidRPr="002B2CFC" w:rsidRDefault="0005512A" w:rsidP="0005512A">
            <w:pPr>
              <w:jc w:val="center"/>
              <w:rPr>
                <w:b/>
                <w:sz w:val="20"/>
                <w:szCs w:val="24"/>
              </w:rPr>
            </w:pPr>
            <w:r w:rsidRPr="002B2CFC">
              <w:rPr>
                <w:b/>
                <w:sz w:val="20"/>
                <w:szCs w:val="24"/>
              </w:rPr>
              <w:t>Analysis:</w:t>
            </w:r>
          </w:p>
        </w:tc>
        <w:tc>
          <w:tcPr>
            <w:tcW w:w="1559" w:type="dxa"/>
            <w:shd w:val="clear" w:color="auto" w:fill="BFBFBF" w:themeFill="background1" w:themeFillShade="BF"/>
            <w:vAlign w:val="center"/>
          </w:tcPr>
          <w:p w14:paraId="3383247A" w14:textId="77777777" w:rsidR="0005512A" w:rsidRPr="002B2CFC" w:rsidRDefault="0005512A" w:rsidP="0005512A">
            <w:pPr>
              <w:jc w:val="center"/>
              <w:rPr>
                <w:b/>
                <w:sz w:val="20"/>
                <w:szCs w:val="24"/>
              </w:rPr>
            </w:pPr>
            <w:r w:rsidRPr="002B2CFC">
              <w:rPr>
                <w:b/>
                <w:sz w:val="20"/>
                <w:szCs w:val="24"/>
              </w:rPr>
              <w:t>Vehicle control</w:t>
            </w:r>
          </w:p>
          <w:p w14:paraId="491B23BA" w14:textId="77777777" w:rsidR="0005512A" w:rsidRPr="002B2CFC" w:rsidRDefault="0005512A" w:rsidP="0005512A">
            <w:pPr>
              <w:jc w:val="center"/>
              <w:rPr>
                <w:b/>
                <w:sz w:val="20"/>
                <w:szCs w:val="24"/>
              </w:rPr>
            </w:pPr>
          </w:p>
        </w:tc>
        <w:tc>
          <w:tcPr>
            <w:tcW w:w="1985" w:type="dxa"/>
            <w:shd w:val="clear" w:color="auto" w:fill="BFBFBF" w:themeFill="background1" w:themeFillShade="BF"/>
            <w:vAlign w:val="center"/>
          </w:tcPr>
          <w:p w14:paraId="31367462" w14:textId="77777777" w:rsidR="0005512A" w:rsidRPr="002B2CFC" w:rsidRDefault="0005512A" w:rsidP="0005512A">
            <w:pPr>
              <w:jc w:val="center"/>
              <w:rPr>
                <w:b/>
                <w:sz w:val="20"/>
                <w:szCs w:val="24"/>
              </w:rPr>
            </w:pPr>
            <w:r w:rsidRPr="002B2CFC">
              <w:rPr>
                <w:b/>
                <w:sz w:val="20"/>
                <w:szCs w:val="24"/>
              </w:rPr>
              <w:t>15 mg/kg bw/dose paraquat</w:t>
            </w:r>
          </w:p>
        </w:tc>
        <w:tc>
          <w:tcPr>
            <w:tcW w:w="1842" w:type="dxa"/>
            <w:shd w:val="clear" w:color="auto" w:fill="BFBFBF" w:themeFill="background1" w:themeFillShade="BF"/>
            <w:vAlign w:val="center"/>
          </w:tcPr>
          <w:p w14:paraId="111B96F7" w14:textId="77777777" w:rsidR="0005512A" w:rsidRPr="002B2CFC" w:rsidRDefault="0005512A" w:rsidP="0005512A">
            <w:pPr>
              <w:jc w:val="center"/>
              <w:rPr>
                <w:b/>
                <w:sz w:val="20"/>
                <w:szCs w:val="24"/>
              </w:rPr>
            </w:pPr>
            <w:r w:rsidRPr="002B2CFC">
              <w:rPr>
                <w:b/>
                <w:sz w:val="20"/>
                <w:szCs w:val="24"/>
              </w:rPr>
              <w:t>25 mg/kg bw/dose paraquat</w:t>
            </w:r>
          </w:p>
        </w:tc>
        <w:tc>
          <w:tcPr>
            <w:tcW w:w="1843" w:type="dxa"/>
            <w:shd w:val="clear" w:color="auto" w:fill="BFBFBF" w:themeFill="background1" w:themeFillShade="BF"/>
            <w:vAlign w:val="center"/>
          </w:tcPr>
          <w:p w14:paraId="6A7B4085" w14:textId="77777777" w:rsidR="0005512A" w:rsidRPr="006A42B1" w:rsidRDefault="0005512A" w:rsidP="0005512A">
            <w:pPr>
              <w:jc w:val="center"/>
              <w:rPr>
                <w:b/>
                <w:sz w:val="20"/>
                <w:szCs w:val="24"/>
                <w:lang w:val="de-DE"/>
              </w:rPr>
            </w:pPr>
            <w:r w:rsidRPr="006A42B1">
              <w:rPr>
                <w:b/>
                <w:sz w:val="20"/>
                <w:szCs w:val="24"/>
                <w:lang w:val="de-DE"/>
              </w:rPr>
              <w:t>10 mg/kg bw/dose MPTP</w:t>
            </w:r>
          </w:p>
        </w:tc>
      </w:tr>
      <w:tr w:rsidR="0005512A" w:rsidRPr="002B2CFC" w14:paraId="273B7251" w14:textId="77777777" w:rsidTr="0005512A">
        <w:tc>
          <w:tcPr>
            <w:tcW w:w="1526" w:type="dxa"/>
          </w:tcPr>
          <w:p w14:paraId="2DECE9FB" w14:textId="77777777" w:rsidR="0005512A" w:rsidRPr="002B2CFC" w:rsidRDefault="00A4092E" w:rsidP="0005512A">
            <w:pPr>
              <w:rPr>
                <w:sz w:val="20"/>
                <w:szCs w:val="24"/>
              </w:rPr>
            </w:pPr>
            <w:r>
              <w:rPr>
                <w:sz w:val="20"/>
                <w:szCs w:val="24"/>
              </w:rPr>
              <w:t>DA</w:t>
            </w:r>
            <w:r w:rsidR="0005512A" w:rsidRPr="002B2CFC">
              <w:rPr>
                <w:sz w:val="20"/>
                <w:szCs w:val="24"/>
              </w:rPr>
              <w:t xml:space="preserve"> (ng/mg tissue)</w:t>
            </w:r>
          </w:p>
        </w:tc>
        <w:tc>
          <w:tcPr>
            <w:tcW w:w="1559" w:type="dxa"/>
            <w:vAlign w:val="center"/>
          </w:tcPr>
          <w:p w14:paraId="74D8FC40" w14:textId="77777777" w:rsidR="0005512A" w:rsidRPr="002B2CFC" w:rsidRDefault="0005512A" w:rsidP="0005512A">
            <w:pPr>
              <w:jc w:val="center"/>
              <w:rPr>
                <w:sz w:val="20"/>
                <w:szCs w:val="24"/>
              </w:rPr>
            </w:pPr>
            <w:r w:rsidRPr="002B2CFC">
              <w:rPr>
                <w:sz w:val="20"/>
                <w:szCs w:val="24"/>
              </w:rPr>
              <w:t>19.2</w:t>
            </w:r>
          </w:p>
        </w:tc>
        <w:tc>
          <w:tcPr>
            <w:tcW w:w="1985" w:type="dxa"/>
            <w:vAlign w:val="center"/>
          </w:tcPr>
          <w:p w14:paraId="43521AB0" w14:textId="77777777" w:rsidR="0005512A" w:rsidRPr="002B2CFC" w:rsidRDefault="0005512A" w:rsidP="0005512A">
            <w:pPr>
              <w:jc w:val="center"/>
              <w:rPr>
                <w:sz w:val="20"/>
                <w:szCs w:val="24"/>
              </w:rPr>
            </w:pPr>
            <w:r w:rsidRPr="002B2CFC">
              <w:rPr>
                <w:sz w:val="20"/>
                <w:szCs w:val="24"/>
              </w:rPr>
              <w:t>19.92</w:t>
            </w:r>
          </w:p>
          <w:p w14:paraId="3FD69A18" w14:textId="77777777" w:rsidR="0005512A" w:rsidRPr="002B2CFC" w:rsidRDefault="0005512A" w:rsidP="0005512A">
            <w:pPr>
              <w:jc w:val="center"/>
              <w:rPr>
                <w:sz w:val="20"/>
                <w:szCs w:val="24"/>
              </w:rPr>
            </w:pPr>
            <w:r w:rsidRPr="002B2CFC">
              <w:rPr>
                <w:sz w:val="20"/>
                <w:szCs w:val="24"/>
              </w:rPr>
              <w:t>(+4%)</w:t>
            </w:r>
          </w:p>
        </w:tc>
        <w:tc>
          <w:tcPr>
            <w:tcW w:w="1842" w:type="dxa"/>
            <w:vAlign w:val="center"/>
          </w:tcPr>
          <w:p w14:paraId="26E2617D" w14:textId="77777777" w:rsidR="0005512A" w:rsidRPr="002B2CFC" w:rsidRDefault="0005512A" w:rsidP="0005512A">
            <w:pPr>
              <w:jc w:val="center"/>
              <w:rPr>
                <w:sz w:val="20"/>
                <w:szCs w:val="24"/>
              </w:rPr>
            </w:pPr>
            <w:r w:rsidRPr="002B2CFC">
              <w:rPr>
                <w:sz w:val="20"/>
                <w:szCs w:val="24"/>
              </w:rPr>
              <w:t>19.85</w:t>
            </w:r>
          </w:p>
          <w:p w14:paraId="55C2B8EC" w14:textId="77777777" w:rsidR="0005512A" w:rsidRPr="002B2CFC" w:rsidRDefault="0005512A" w:rsidP="0005512A">
            <w:pPr>
              <w:jc w:val="center"/>
              <w:rPr>
                <w:sz w:val="20"/>
                <w:szCs w:val="24"/>
              </w:rPr>
            </w:pPr>
            <w:r w:rsidRPr="002B2CFC">
              <w:rPr>
                <w:sz w:val="20"/>
                <w:szCs w:val="24"/>
              </w:rPr>
              <w:t>(+3%)</w:t>
            </w:r>
          </w:p>
        </w:tc>
        <w:tc>
          <w:tcPr>
            <w:tcW w:w="1843" w:type="dxa"/>
            <w:vAlign w:val="center"/>
          </w:tcPr>
          <w:p w14:paraId="2A3D1EA3" w14:textId="77777777" w:rsidR="0005512A" w:rsidRPr="002B2CFC" w:rsidRDefault="0005512A" w:rsidP="0005512A">
            <w:pPr>
              <w:jc w:val="center"/>
              <w:rPr>
                <w:sz w:val="20"/>
                <w:szCs w:val="24"/>
              </w:rPr>
            </w:pPr>
            <w:r w:rsidRPr="002B2CFC">
              <w:rPr>
                <w:sz w:val="20"/>
                <w:szCs w:val="24"/>
              </w:rPr>
              <w:t>4.91**</w:t>
            </w:r>
          </w:p>
          <w:p w14:paraId="05CD1215" w14:textId="77777777" w:rsidR="0005512A" w:rsidRPr="002B2CFC" w:rsidRDefault="0005512A" w:rsidP="0005512A">
            <w:pPr>
              <w:jc w:val="center"/>
              <w:rPr>
                <w:sz w:val="20"/>
                <w:szCs w:val="24"/>
              </w:rPr>
            </w:pPr>
            <w:r w:rsidRPr="002B2CFC">
              <w:rPr>
                <w:sz w:val="20"/>
                <w:szCs w:val="24"/>
              </w:rPr>
              <w:t>(-74%)</w:t>
            </w:r>
          </w:p>
        </w:tc>
      </w:tr>
      <w:tr w:rsidR="0005512A" w:rsidRPr="002B2CFC" w14:paraId="21A9E55F" w14:textId="77777777" w:rsidTr="0005512A">
        <w:tc>
          <w:tcPr>
            <w:tcW w:w="1526" w:type="dxa"/>
          </w:tcPr>
          <w:p w14:paraId="2E9D5A3B" w14:textId="77777777" w:rsidR="0005512A" w:rsidRPr="002B2CFC" w:rsidRDefault="0005512A" w:rsidP="0005512A">
            <w:pPr>
              <w:rPr>
                <w:sz w:val="20"/>
                <w:szCs w:val="24"/>
              </w:rPr>
            </w:pPr>
            <w:r w:rsidRPr="002B2CFC">
              <w:rPr>
                <w:sz w:val="20"/>
                <w:szCs w:val="24"/>
              </w:rPr>
              <w:t>DOPAC  (ng/mg tissue)</w:t>
            </w:r>
          </w:p>
        </w:tc>
        <w:tc>
          <w:tcPr>
            <w:tcW w:w="1559" w:type="dxa"/>
            <w:vAlign w:val="center"/>
          </w:tcPr>
          <w:p w14:paraId="659B43E0" w14:textId="77777777" w:rsidR="0005512A" w:rsidRPr="002B2CFC" w:rsidRDefault="0005512A" w:rsidP="0005512A">
            <w:pPr>
              <w:jc w:val="center"/>
              <w:rPr>
                <w:sz w:val="20"/>
                <w:szCs w:val="24"/>
              </w:rPr>
            </w:pPr>
            <w:r w:rsidRPr="002B2CFC">
              <w:rPr>
                <w:sz w:val="20"/>
                <w:szCs w:val="24"/>
              </w:rPr>
              <w:t>2.18</w:t>
            </w:r>
          </w:p>
        </w:tc>
        <w:tc>
          <w:tcPr>
            <w:tcW w:w="1985" w:type="dxa"/>
            <w:vAlign w:val="center"/>
          </w:tcPr>
          <w:p w14:paraId="1087DC4B" w14:textId="77777777" w:rsidR="0005512A" w:rsidRPr="002B2CFC" w:rsidRDefault="0005512A" w:rsidP="0005512A">
            <w:pPr>
              <w:jc w:val="center"/>
              <w:rPr>
                <w:sz w:val="20"/>
                <w:szCs w:val="24"/>
              </w:rPr>
            </w:pPr>
            <w:r w:rsidRPr="002B2CFC">
              <w:rPr>
                <w:sz w:val="20"/>
                <w:szCs w:val="24"/>
              </w:rPr>
              <w:t>1.84</w:t>
            </w:r>
          </w:p>
          <w:p w14:paraId="471ADCA6" w14:textId="77777777" w:rsidR="0005512A" w:rsidRPr="002B2CFC" w:rsidRDefault="0005512A" w:rsidP="0005512A">
            <w:pPr>
              <w:jc w:val="center"/>
              <w:rPr>
                <w:sz w:val="20"/>
                <w:szCs w:val="24"/>
              </w:rPr>
            </w:pPr>
            <w:r w:rsidRPr="002B2CFC">
              <w:rPr>
                <w:sz w:val="20"/>
                <w:szCs w:val="24"/>
              </w:rPr>
              <w:t>(-16%)</w:t>
            </w:r>
          </w:p>
        </w:tc>
        <w:tc>
          <w:tcPr>
            <w:tcW w:w="1842" w:type="dxa"/>
            <w:vAlign w:val="center"/>
          </w:tcPr>
          <w:p w14:paraId="6C8F9701" w14:textId="77777777" w:rsidR="0005512A" w:rsidRPr="002B2CFC" w:rsidRDefault="0005512A" w:rsidP="0005512A">
            <w:pPr>
              <w:jc w:val="center"/>
              <w:rPr>
                <w:sz w:val="20"/>
                <w:szCs w:val="24"/>
              </w:rPr>
            </w:pPr>
            <w:r w:rsidRPr="002B2CFC">
              <w:rPr>
                <w:sz w:val="20"/>
                <w:szCs w:val="24"/>
              </w:rPr>
              <w:t>1.99</w:t>
            </w:r>
          </w:p>
          <w:p w14:paraId="5BA1053C" w14:textId="77777777" w:rsidR="0005512A" w:rsidRPr="002B2CFC" w:rsidRDefault="0005512A" w:rsidP="0005512A">
            <w:pPr>
              <w:jc w:val="center"/>
              <w:rPr>
                <w:sz w:val="20"/>
                <w:szCs w:val="24"/>
              </w:rPr>
            </w:pPr>
            <w:r w:rsidRPr="002B2CFC">
              <w:rPr>
                <w:sz w:val="20"/>
                <w:szCs w:val="24"/>
              </w:rPr>
              <w:t>(-9%)</w:t>
            </w:r>
          </w:p>
        </w:tc>
        <w:tc>
          <w:tcPr>
            <w:tcW w:w="1843" w:type="dxa"/>
            <w:vAlign w:val="center"/>
          </w:tcPr>
          <w:p w14:paraId="4B52C303" w14:textId="77777777" w:rsidR="0005512A" w:rsidRPr="002B2CFC" w:rsidRDefault="0005512A" w:rsidP="0005512A">
            <w:pPr>
              <w:jc w:val="center"/>
              <w:rPr>
                <w:sz w:val="20"/>
                <w:szCs w:val="24"/>
              </w:rPr>
            </w:pPr>
            <w:r w:rsidRPr="002B2CFC">
              <w:rPr>
                <w:sz w:val="20"/>
                <w:szCs w:val="24"/>
              </w:rPr>
              <w:t>0.84**</w:t>
            </w:r>
          </w:p>
          <w:p w14:paraId="4110195D" w14:textId="77777777" w:rsidR="0005512A" w:rsidRPr="002B2CFC" w:rsidRDefault="0005512A" w:rsidP="0005512A">
            <w:pPr>
              <w:jc w:val="center"/>
              <w:rPr>
                <w:sz w:val="20"/>
                <w:szCs w:val="24"/>
              </w:rPr>
            </w:pPr>
            <w:r w:rsidRPr="002B2CFC">
              <w:rPr>
                <w:sz w:val="20"/>
                <w:szCs w:val="24"/>
              </w:rPr>
              <w:t>(-61%)</w:t>
            </w:r>
          </w:p>
        </w:tc>
      </w:tr>
      <w:tr w:rsidR="0005512A" w:rsidRPr="002B2CFC" w14:paraId="3E64EB97" w14:textId="77777777" w:rsidTr="0005512A">
        <w:tc>
          <w:tcPr>
            <w:tcW w:w="1526" w:type="dxa"/>
          </w:tcPr>
          <w:p w14:paraId="0DD12629" w14:textId="77777777" w:rsidR="0005512A" w:rsidRPr="002B2CFC" w:rsidRDefault="0005512A" w:rsidP="0005512A">
            <w:pPr>
              <w:rPr>
                <w:sz w:val="20"/>
                <w:szCs w:val="24"/>
              </w:rPr>
            </w:pPr>
            <w:r w:rsidRPr="002B2CFC">
              <w:rPr>
                <w:sz w:val="20"/>
                <w:szCs w:val="24"/>
              </w:rPr>
              <w:t>HVA      (ng/mg tissue)</w:t>
            </w:r>
          </w:p>
        </w:tc>
        <w:tc>
          <w:tcPr>
            <w:tcW w:w="1559" w:type="dxa"/>
            <w:vAlign w:val="center"/>
          </w:tcPr>
          <w:p w14:paraId="2BB1B2A9" w14:textId="77777777" w:rsidR="0005512A" w:rsidRPr="002B2CFC" w:rsidRDefault="0005512A" w:rsidP="0005512A">
            <w:pPr>
              <w:jc w:val="center"/>
              <w:rPr>
                <w:sz w:val="20"/>
                <w:szCs w:val="24"/>
              </w:rPr>
            </w:pPr>
            <w:r w:rsidRPr="002B2CFC">
              <w:rPr>
                <w:sz w:val="20"/>
                <w:szCs w:val="24"/>
              </w:rPr>
              <w:t>1.61</w:t>
            </w:r>
          </w:p>
        </w:tc>
        <w:tc>
          <w:tcPr>
            <w:tcW w:w="1985" w:type="dxa"/>
            <w:vAlign w:val="center"/>
          </w:tcPr>
          <w:p w14:paraId="5B1FC6F9" w14:textId="77777777" w:rsidR="0005512A" w:rsidRPr="002B2CFC" w:rsidRDefault="0005512A" w:rsidP="0005512A">
            <w:pPr>
              <w:jc w:val="center"/>
              <w:rPr>
                <w:sz w:val="20"/>
                <w:szCs w:val="24"/>
              </w:rPr>
            </w:pPr>
            <w:r w:rsidRPr="002B2CFC">
              <w:rPr>
                <w:sz w:val="20"/>
                <w:szCs w:val="24"/>
              </w:rPr>
              <w:t>1.59</w:t>
            </w:r>
          </w:p>
          <w:p w14:paraId="6D212688" w14:textId="77777777" w:rsidR="0005512A" w:rsidRPr="002B2CFC" w:rsidRDefault="0005512A" w:rsidP="0005512A">
            <w:pPr>
              <w:jc w:val="center"/>
              <w:rPr>
                <w:sz w:val="20"/>
                <w:szCs w:val="24"/>
              </w:rPr>
            </w:pPr>
            <w:r w:rsidRPr="002B2CFC">
              <w:rPr>
                <w:sz w:val="20"/>
                <w:szCs w:val="24"/>
              </w:rPr>
              <w:t>(-1%)</w:t>
            </w:r>
          </w:p>
        </w:tc>
        <w:tc>
          <w:tcPr>
            <w:tcW w:w="1842" w:type="dxa"/>
            <w:vAlign w:val="center"/>
          </w:tcPr>
          <w:p w14:paraId="2BD014B6" w14:textId="77777777" w:rsidR="0005512A" w:rsidRPr="002B2CFC" w:rsidRDefault="0005512A" w:rsidP="0005512A">
            <w:pPr>
              <w:jc w:val="center"/>
              <w:rPr>
                <w:sz w:val="20"/>
                <w:szCs w:val="24"/>
              </w:rPr>
            </w:pPr>
            <w:r w:rsidRPr="002B2CFC">
              <w:rPr>
                <w:sz w:val="20"/>
                <w:szCs w:val="24"/>
              </w:rPr>
              <w:t>1.59</w:t>
            </w:r>
          </w:p>
          <w:p w14:paraId="68B753C5" w14:textId="77777777" w:rsidR="0005512A" w:rsidRPr="002B2CFC" w:rsidRDefault="0005512A" w:rsidP="0005512A">
            <w:pPr>
              <w:jc w:val="center"/>
              <w:rPr>
                <w:sz w:val="20"/>
                <w:szCs w:val="24"/>
              </w:rPr>
            </w:pPr>
            <w:r w:rsidRPr="002B2CFC">
              <w:rPr>
                <w:sz w:val="20"/>
                <w:szCs w:val="24"/>
              </w:rPr>
              <w:t>(-1%)</w:t>
            </w:r>
          </w:p>
        </w:tc>
        <w:tc>
          <w:tcPr>
            <w:tcW w:w="1843" w:type="dxa"/>
            <w:vAlign w:val="center"/>
          </w:tcPr>
          <w:p w14:paraId="5C159B9C" w14:textId="77777777" w:rsidR="0005512A" w:rsidRPr="002B2CFC" w:rsidRDefault="0005512A" w:rsidP="0005512A">
            <w:pPr>
              <w:jc w:val="center"/>
              <w:rPr>
                <w:sz w:val="20"/>
                <w:szCs w:val="24"/>
              </w:rPr>
            </w:pPr>
            <w:r w:rsidRPr="002B2CFC">
              <w:rPr>
                <w:sz w:val="20"/>
                <w:szCs w:val="24"/>
              </w:rPr>
              <w:t>0.90**</w:t>
            </w:r>
          </w:p>
          <w:p w14:paraId="43FF90DB" w14:textId="77777777" w:rsidR="0005512A" w:rsidRPr="002B2CFC" w:rsidRDefault="0005512A" w:rsidP="0005512A">
            <w:pPr>
              <w:jc w:val="center"/>
              <w:rPr>
                <w:sz w:val="20"/>
                <w:szCs w:val="24"/>
              </w:rPr>
            </w:pPr>
            <w:r w:rsidRPr="002B2CFC">
              <w:rPr>
                <w:sz w:val="20"/>
                <w:szCs w:val="24"/>
              </w:rPr>
              <w:t>(-44%)</w:t>
            </w:r>
          </w:p>
        </w:tc>
      </w:tr>
      <w:tr w:rsidR="0005512A" w:rsidRPr="002B2CFC" w14:paraId="1FB66D60" w14:textId="77777777" w:rsidTr="0005512A">
        <w:tc>
          <w:tcPr>
            <w:tcW w:w="1526" w:type="dxa"/>
          </w:tcPr>
          <w:p w14:paraId="40AEC504" w14:textId="77777777" w:rsidR="0005512A" w:rsidRPr="002B2CFC" w:rsidRDefault="0005512A" w:rsidP="0005512A">
            <w:pPr>
              <w:rPr>
                <w:sz w:val="20"/>
                <w:szCs w:val="24"/>
              </w:rPr>
            </w:pPr>
            <w:r>
              <w:rPr>
                <w:sz w:val="20"/>
                <w:szCs w:val="24"/>
              </w:rPr>
              <w:t>5-HT</w:t>
            </w:r>
            <w:r w:rsidRPr="002B2CFC">
              <w:rPr>
                <w:sz w:val="20"/>
                <w:szCs w:val="24"/>
              </w:rPr>
              <w:t>^        (ng/mg tissue)</w:t>
            </w:r>
          </w:p>
        </w:tc>
        <w:tc>
          <w:tcPr>
            <w:tcW w:w="1559" w:type="dxa"/>
            <w:vAlign w:val="center"/>
          </w:tcPr>
          <w:p w14:paraId="0BC8F709" w14:textId="77777777" w:rsidR="0005512A" w:rsidRPr="002B2CFC" w:rsidRDefault="0005512A" w:rsidP="0005512A">
            <w:pPr>
              <w:jc w:val="center"/>
              <w:rPr>
                <w:sz w:val="20"/>
                <w:szCs w:val="24"/>
              </w:rPr>
            </w:pPr>
            <w:r w:rsidRPr="002B2CFC">
              <w:rPr>
                <w:sz w:val="20"/>
                <w:szCs w:val="24"/>
              </w:rPr>
              <w:t>1.15</w:t>
            </w:r>
          </w:p>
        </w:tc>
        <w:tc>
          <w:tcPr>
            <w:tcW w:w="1985" w:type="dxa"/>
            <w:vAlign w:val="center"/>
          </w:tcPr>
          <w:p w14:paraId="37B9B9CF" w14:textId="77777777" w:rsidR="0005512A" w:rsidRPr="002B2CFC" w:rsidRDefault="0005512A" w:rsidP="0005512A">
            <w:pPr>
              <w:jc w:val="center"/>
              <w:rPr>
                <w:sz w:val="20"/>
                <w:szCs w:val="24"/>
              </w:rPr>
            </w:pPr>
            <w:r w:rsidRPr="002B2CFC">
              <w:rPr>
                <w:sz w:val="20"/>
                <w:szCs w:val="24"/>
              </w:rPr>
              <w:t>1.28</w:t>
            </w:r>
          </w:p>
          <w:p w14:paraId="6B1A141C" w14:textId="77777777" w:rsidR="0005512A" w:rsidRPr="002B2CFC" w:rsidRDefault="0005512A" w:rsidP="0005512A">
            <w:pPr>
              <w:jc w:val="center"/>
              <w:rPr>
                <w:sz w:val="20"/>
                <w:szCs w:val="24"/>
              </w:rPr>
            </w:pPr>
            <w:r w:rsidRPr="002B2CFC">
              <w:rPr>
                <w:sz w:val="20"/>
                <w:szCs w:val="24"/>
              </w:rPr>
              <w:t>(+11%)</w:t>
            </w:r>
          </w:p>
        </w:tc>
        <w:tc>
          <w:tcPr>
            <w:tcW w:w="1842" w:type="dxa"/>
            <w:vAlign w:val="center"/>
          </w:tcPr>
          <w:p w14:paraId="6282752C" w14:textId="77777777" w:rsidR="0005512A" w:rsidRPr="002B2CFC" w:rsidRDefault="0005512A" w:rsidP="0005512A">
            <w:pPr>
              <w:jc w:val="center"/>
              <w:rPr>
                <w:sz w:val="20"/>
                <w:szCs w:val="24"/>
              </w:rPr>
            </w:pPr>
            <w:r w:rsidRPr="002B2CFC">
              <w:rPr>
                <w:sz w:val="20"/>
                <w:szCs w:val="24"/>
              </w:rPr>
              <w:t xml:space="preserve">1.25 </w:t>
            </w:r>
          </w:p>
          <w:p w14:paraId="41D614B1" w14:textId="77777777" w:rsidR="0005512A" w:rsidRPr="002B2CFC" w:rsidRDefault="0005512A" w:rsidP="0005512A">
            <w:pPr>
              <w:jc w:val="center"/>
              <w:rPr>
                <w:sz w:val="20"/>
                <w:szCs w:val="24"/>
              </w:rPr>
            </w:pPr>
            <w:r w:rsidRPr="002B2CFC">
              <w:rPr>
                <w:sz w:val="20"/>
                <w:szCs w:val="24"/>
              </w:rPr>
              <w:t>(+9%)</w:t>
            </w:r>
          </w:p>
        </w:tc>
        <w:tc>
          <w:tcPr>
            <w:tcW w:w="1843" w:type="dxa"/>
            <w:vAlign w:val="center"/>
          </w:tcPr>
          <w:p w14:paraId="4CE49FDE" w14:textId="77777777" w:rsidR="0005512A" w:rsidRPr="002B2CFC" w:rsidRDefault="0005512A" w:rsidP="0005512A">
            <w:pPr>
              <w:jc w:val="center"/>
              <w:rPr>
                <w:sz w:val="20"/>
                <w:szCs w:val="24"/>
              </w:rPr>
            </w:pPr>
            <w:r w:rsidRPr="002B2CFC">
              <w:rPr>
                <w:sz w:val="20"/>
                <w:szCs w:val="24"/>
              </w:rPr>
              <w:t>0.94</w:t>
            </w:r>
          </w:p>
          <w:p w14:paraId="79D5F21E" w14:textId="77777777" w:rsidR="0005512A" w:rsidRPr="002B2CFC" w:rsidRDefault="0005512A" w:rsidP="0005512A">
            <w:pPr>
              <w:jc w:val="center"/>
              <w:rPr>
                <w:sz w:val="20"/>
                <w:szCs w:val="24"/>
              </w:rPr>
            </w:pPr>
            <w:r w:rsidRPr="002B2CFC">
              <w:rPr>
                <w:sz w:val="20"/>
                <w:szCs w:val="24"/>
              </w:rPr>
              <w:t>(-18%)</w:t>
            </w:r>
          </w:p>
        </w:tc>
      </w:tr>
      <w:tr w:rsidR="0005512A" w:rsidRPr="002B2CFC" w14:paraId="549699E7" w14:textId="77777777" w:rsidTr="0005512A">
        <w:tc>
          <w:tcPr>
            <w:tcW w:w="1526" w:type="dxa"/>
          </w:tcPr>
          <w:p w14:paraId="348EB4BF" w14:textId="77777777" w:rsidR="0005512A" w:rsidRPr="002B2CFC" w:rsidRDefault="00A4092E" w:rsidP="0005512A">
            <w:pPr>
              <w:rPr>
                <w:sz w:val="20"/>
                <w:szCs w:val="24"/>
              </w:rPr>
            </w:pPr>
            <w:r>
              <w:rPr>
                <w:sz w:val="20"/>
                <w:szCs w:val="24"/>
              </w:rPr>
              <w:t>DA</w:t>
            </w:r>
            <w:r w:rsidR="0005512A" w:rsidRPr="002B2CFC">
              <w:rPr>
                <w:sz w:val="20"/>
                <w:szCs w:val="24"/>
              </w:rPr>
              <w:t xml:space="preserve"> turnover#</w:t>
            </w:r>
          </w:p>
        </w:tc>
        <w:tc>
          <w:tcPr>
            <w:tcW w:w="1559" w:type="dxa"/>
            <w:vAlign w:val="center"/>
          </w:tcPr>
          <w:p w14:paraId="61B8D80E" w14:textId="77777777" w:rsidR="0005512A" w:rsidRPr="002B2CFC" w:rsidRDefault="0005512A" w:rsidP="0005512A">
            <w:pPr>
              <w:jc w:val="center"/>
              <w:rPr>
                <w:sz w:val="20"/>
                <w:szCs w:val="24"/>
              </w:rPr>
            </w:pPr>
            <w:r w:rsidRPr="002B2CFC">
              <w:rPr>
                <w:sz w:val="20"/>
                <w:szCs w:val="24"/>
              </w:rPr>
              <w:t>0.20</w:t>
            </w:r>
          </w:p>
        </w:tc>
        <w:tc>
          <w:tcPr>
            <w:tcW w:w="1985" w:type="dxa"/>
            <w:vAlign w:val="center"/>
          </w:tcPr>
          <w:p w14:paraId="0B4574AB" w14:textId="77777777" w:rsidR="0005512A" w:rsidRPr="002B2CFC" w:rsidRDefault="0005512A" w:rsidP="0005512A">
            <w:pPr>
              <w:jc w:val="center"/>
              <w:rPr>
                <w:sz w:val="20"/>
                <w:szCs w:val="24"/>
              </w:rPr>
            </w:pPr>
            <w:r w:rsidRPr="002B2CFC">
              <w:rPr>
                <w:sz w:val="20"/>
                <w:szCs w:val="24"/>
              </w:rPr>
              <w:t>0.17</w:t>
            </w:r>
          </w:p>
          <w:p w14:paraId="029986F6" w14:textId="77777777" w:rsidR="0005512A" w:rsidRPr="002B2CFC" w:rsidRDefault="0005512A" w:rsidP="0005512A">
            <w:pPr>
              <w:jc w:val="center"/>
              <w:rPr>
                <w:sz w:val="20"/>
                <w:szCs w:val="24"/>
              </w:rPr>
            </w:pPr>
            <w:r w:rsidRPr="002B2CFC">
              <w:rPr>
                <w:sz w:val="20"/>
                <w:szCs w:val="24"/>
              </w:rPr>
              <w:t>(-12%)</w:t>
            </w:r>
          </w:p>
        </w:tc>
        <w:tc>
          <w:tcPr>
            <w:tcW w:w="1842" w:type="dxa"/>
            <w:vAlign w:val="center"/>
          </w:tcPr>
          <w:p w14:paraId="56DB3FBE" w14:textId="77777777" w:rsidR="0005512A" w:rsidRPr="002B2CFC" w:rsidRDefault="0005512A" w:rsidP="0005512A">
            <w:pPr>
              <w:jc w:val="center"/>
              <w:rPr>
                <w:sz w:val="20"/>
                <w:szCs w:val="24"/>
              </w:rPr>
            </w:pPr>
            <w:r w:rsidRPr="002B2CFC">
              <w:rPr>
                <w:sz w:val="20"/>
                <w:szCs w:val="24"/>
              </w:rPr>
              <w:t>0.18</w:t>
            </w:r>
          </w:p>
          <w:p w14:paraId="34293498" w14:textId="77777777" w:rsidR="0005512A" w:rsidRPr="002B2CFC" w:rsidRDefault="0005512A" w:rsidP="0005512A">
            <w:pPr>
              <w:jc w:val="center"/>
              <w:rPr>
                <w:sz w:val="20"/>
                <w:szCs w:val="24"/>
              </w:rPr>
            </w:pPr>
            <w:r w:rsidRPr="002B2CFC">
              <w:rPr>
                <w:sz w:val="20"/>
                <w:szCs w:val="24"/>
              </w:rPr>
              <w:t>(-7%)</w:t>
            </w:r>
          </w:p>
        </w:tc>
        <w:tc>
          <w:tcPr>
            <w:tcW w:w="1843" w:type="dxa"/>
            <w:vAlign w:val="center"/>
          </w:tcPr>
          <w:p w14:paraId="2BD36A29" w14:textId="77777777" w:rsidR="0005512A" w:rsidRPr="002B2CFC" w:rsidRDefault="0005512A" w:rsidP="0005512A">
            <w:pPr>
              <w:jc w:val="center"/>
              <w:rPr>
                <w:sz w:val="20"/>
                <w:szCs w:val="24"/>
              </w:rPr>
            </w:pPr>
            <w:r w:rsidRPr="002B2CFC">
              <w:rPr>
                <w:sz w:val="20"/>
                <w:szCs w:val="24"/>
              </w:rPr>
              <w:t>0.47**</w:t>
            </w:r>
          </w:p>
          <w:p w14:paraId="689C708C" w14:textId="77777777" w:rsidR="0005512A" w:rsidRPr="002B2CFC" w:rsidRDefault="0005512A" w:rsidP="0005512A">
            <w:pPr>
              <w:jc w:val="center"/>
              <w:rPr>
                <w:sz w:val="20"/>
                <w:szCs w:val="24"/>
              </w:rPr>
            </w:pPr>
            <w:r w:rsidRPr="002B2CFC">
              <w:rPr>
                <w:sz w:val="20"/>
                <w:szCs w:val="24"/>
              </w:rPr>
              <w:t>(+135%)</w:t>
            </w:r>
          </w:p>
        </w:tc>
      </w:tr>
    </w:tbl>
    <w:p w14:paraId="309B141A" w14:textId="77777777" w:rsidR="0005512A" w:rsidRPr="002B2CFC" w:rsidRDefault="0005512A" w:rsidP="0005512A">
      <w:pPr>
        <w:rPr>
          <w:sz w:val="20"/>
          <w:szCs w:val="24"/>
        </w:rPr>
      </w:pPr>
      <w:r w:rsidRPr="002B2CFC">
        <w:rPr>
          <w:sz w:val="20"/>
          <w:szCs w:val="24"/>
        </w:rPr>
        <w:t>** Statistically significantly different form the control group at p&lt;0.01</w:t>
      </w:r>
    </w:p>
    <w:p w14:paraId="485EF379" w14:textId="77777777" w:rsidR="0005512A" w:rsidRPr="002B2CFC" w:rsidRDefault="0005512A" w:rsidP="0005512A">
      <w:pPr>
        <w:rPr>
          <w:sz w:val="20"/>
          <w:szCs w:val="24"/>
        </w:rPr>
      </w:pPr>
      <w:r w:rsidRPr="002B2CFC">
        <w:rPr>
          <w:sz w:val="20"/>
          <w:szCs w:val="24"/>
        </w:rPr>
        <w:t xml:space="preserve">^ </w:t>
      </w:r>
      <w:r>
        <w:rPr>
          <w:sz w:val="20"/>
          <w:szCs w:val="24"/>
        </w:rPr>
        <w:t>5-HT</w:t>
      </w:r>
      <w:r w:rsidRPr="002B2CFC">
        <w:rPr>
          <w:sz w:val="20"/>
          <w:szCs w:val="24"/>
        </w:rPr>
        <w:t xml:space="preserve"> data is unreliable due to issues with assay variability</w:t>
      </w:r>
    </w:p>
    <w:p w14:paraId="7DAF547A" w14:textId="77777777" w:rsidR="0005512A" w:rsidRPr="002B2CFC" w:rsidRDefault="0005512A" w:rsidP="0005512A">
      <w:pPr>
        <w:rPr>
          <w:sz w:val="20"/>
          <w:szCs w:val="24"/>
        </w:rPr>
      </w:pPr>
      <w:r w:rsidRPr="002B2CFC">
        <w:rPr>
          <w:sz w:val="20"/>
          <w:szCs w:val="24"/>
        </w:rPr>
        <w:t># Data not homogeneous using Bartlett’s test</w:t>
      </w:r>
    </w:p>
    <w:p w14:paraId="4A48BF43" w14:textId="77777777" w:rsidR="0005512A" w:rsidRPr="002B2CFC" w:rsidRDefault="0005512A" w:rsidP="0005512A">
      <w:pPr>
        <w:rPr>
          <w:sz w:val="20"/>
          <w:szCs w:val="24"/>
        </w:rPr>
      </w:pPr>
    </w:p>
    <w:p w14:paraId="63DE3964" w14:textId="77777777" w:rsidR="0005512A" w:rsidRPr="00C34954" w:rsidRDefault="00897462" w:rsidP="0005512A">
      <w:pPr>
        <w:rPr>
          <w:b/>
          <w:szCs w:val="24"/>
        </w:rPr>
      </w:pPr>
      <w:r w:rsidRPr="00C34954">
        <w:rPr>
          <w:b/>
          <w:szCs w:val="24"/>
        </w:rPr>
        <w:t>Conclusion</w:t>
      </w:r>
    </w:p>
    <w:p w14:paraId="5F4C992D" w14:textId="77777777" w:rsidR="0005512A" w:rsidRPr="002B2CFC" w:rsidRDefault="0005512A" w:rsidP="0005512A">
      <w:pPr>
        <w:spacing w:before="120" w:after="120"/>
        <w:rPr>
          <w:szCs w:val="24"/>
        </w:rPr>
      </w:pPr>
      <w:r w:rsidRPr="002B2CFC">
        <w:rPr>
          <w:szCs w:val="24"/>
        </w:rPr>
        <w:t xml:space="preserve">Paraquat administered to male C57BL/6J mice at 10, 15 or 25 mg/kg bw </w:t>
      </w:r>
      <w:r w:rsidRPr="003F10F2">
        <w:rPr>
          <w:szCs w:val="24"/>
        </w:rPr>
        <w:t>(equivalent to 0, 7.2, 10.9, 18.1 paraquat ion)</w:t>
      </w:r>
      <w:r>
        <w:rPr>
          <w:szCs w:val="24"/>
        </w:rPr>
        <w:t xml:space="preserve"> once a week for 3 weeks by</w:t>
      </w:r>
      <w:r w:rsidRPr="002B2CFC">
        <w:rPr>
          <w:szCs w:val="24"/>
        </w:rPr>
        <w:t xml:space="preserve"> ip injection, resulted in decreased body weight gain from 15 mg/kg bw/dose and reduced food consumption at 25 mg/kg bw/dose (highest dose tested). At the high dose there was also a single mortality that may </w:t>
      </w:r>
      <w:r>
        <w:rPr>
          <w:szCs w:val="24"/>
        </w:rPr>
        <w:t xml:space="preserve">have been </w:t>
      </w:r>
      <w:r w:rsidRPr="002B2CFC">
        <w:rPr>
          <w:szCs w:val="24"/>
        </w:rPr>
        <w:t>treatment related. Stereology assessment showed no statistically significant effect on TH</w:t>
      </w:r>
      <w:r w:rsidRPr="003A6822">
        <w:rPr>
          <w:szCs w:val="24"/>
          <w:vertAlign w:val="superscript"/>
        </w:rPr>
        <w:t>+</w:t>
      </w:r>
      <w:r w:rsidRPr="002B2CFC">
        <w:rPr>
          <w:szCs w:val="24"/>
        </w:rPr>
        <w:t xml:space="preserve"> (dopamine) neurons. There was a statistically significant decrease in the total contour volume of the SN pc in mice treated with 15 and 25 mg/kg bw/dose (10%) as detected by chromogenic staining only, however the toxicological relevance of this finding is unclear with the lack of effects in other endpoints and may be an artefact of the technique</w:t>
      </w:r>
      <w:r>
        <w:rPr>
          <w:szCs w:val="24"/>
        </w:rPr>
        <w:t xml:space="preserve">. </w:t>
      </w:r>
      <w:r w:rsidRPr="002B2CFC">
        <w:rPr>
          <w:szCs w:val="24"/>
        </w:rPr>
        <w:t>Administration of paraquat did not affect the levels of neurotransmitter in the striatum (</w:t>
      </w:r>
      <w:r w:rsidR="00A4092E">
        <w:rPr>
          <w:szCs w:val="24"/>
        </w:rPr>
        <w:t>DA</w:t>
      </w:r>
      <w:r>
        <w:rPr>
          <w:szCs w:val="24"/>
        </w:rPr>
        <w:t xml:space="preserve">, </w:t>
      </w:r>
      <w:r w:rsidRPr="002B2CFC">
        <w:rPr>
          <w:szCs w:val="24"/>
        </w:rPr>
        <w:t xml:space="preserve">DOPAC and HVA) or the turnover of </w:t>
      </w:r>
      <w:r w:rsidR="00A4092E">
        <w:rPr>
          <w:szCs w:val="24"/>
        </w:rPr>
        <w:t>DA</w:t>
      </w:r>
      <w:r w:rsidRPr="002B2CFC">
        <w:rPr>
          <w:szCs w:val="24"/>
        </w:rPr>
        <w:t>.</w:t>
      </w:r>
    </w:p>
    <w:p w14:paraId="189D4A1D" w14:textId="12B3D82A" w:rsidR="0005512A" w:rsidRDefault="0005512A" w:rsidP="00E439AD">
      <w:pPr>
        <w:rPr>
          <w:szCs w:val="24"/>
        </w:rPr>
      </w:pPr>
      <w:r w:rsidRPr="002B2CFC">
        <w:rPr>
          <w:szCs w:val="24"/>
        </w:rPr>
        <w:lastRenderedPageBreak/>
        <w:t>A concurrent positive control (10 mg/kg bw of M</w:t>
      </w:r>
      <w:r w:rsidR="00073631">
        <w:rPr>
          <w:szCs w:val="24"/>
        </w:rPr>
        <w:t>P</w:t>
      </w:r>
      <w:r w:rsidRPr="002B2CFC">
        <w:rPr>
          <w:szCs w:val="24"/>
        </w:rPr>
        <w:t>TP administered ip 4</w:t>
      </w:r>
      <w:r w:rsidR="00073631">
        <w:rPr>
          <w:szCs w:val="24"/>
        </w:rPr>
        <w:t xml:space="preserve"> </w:t>
      </w:r>
      <w:r w:rsidR="00073631">
        <w:rPr>
          <w:sz w:val="20"/>
          <w:u w:val="single"/>
        </w:rPr>
        <w:t>x</w:t>
      </w:r>
      <w:r w:rsidRPr="002B2CFC">
        <w:rPr>
          <w:szCs w:val="24"/>
        </w:rPr>
        <w:t xml:space="preserve"> on a single day) demonstrated the validity of this study design. Mice in this group showed a decrease in the number of TH</w:t>
      </w:r>
      <w:r w:rsidRPr="003A6822">
        <w:rPr>
          <w:szCs w:val="24"/>
          <w:vertAlign w:val="superscript"/>
        </w:rPr>
        <w:t>+</w:t>
      </w:r>
      <w:r w:rsidRPr="002B2CFC">
        <w:rPr>
          <w:szCs w:val="24"/>
        </w:rPr>
        <w:t xml:space="preserve"> neurons, although only one staining technique gave a statistically significant result (fluorescent). Total contour volume was reduced by 17% and 11% for chromogenic and fluorescent stained sections respectively, although only statistically significant for the former. This group showed a statistically significant decrease in striatal </w:t>
      </w:r>
      <w:r w:rsidR="00A4092E">
        <w:rPr>
          <w:szCs w:val="24"/>
        </w:rPr>
        <w:t>DA</w:t>
      </w:r>
      <w:r w:rsidRPr="002B2CFC">
        <w:rPr>
          <w:szCs w:val="24"/>
        </w:rPr>
        <w:t xml:space="preserve">, DOPAC and HVA concentrations and an increase in </w:t>
      </w:r>
      <w:r w:rsidR="00A4092E">
        <w:rPr>
          <w:szCs w:val="24"/>
        </w:rPr>
        <w:t>DA</w:t>
      </w:r>
      <w:r w:rsidRPr="002B2CFC">
        <w:rPr>
          <w:szCs w:val="24"/>
        </w:rPr>
        <w:t xml:space="preserve"> turnover.</w:t>
      </w:r>
    </w:p>
    <w:p w14:paraId="6530EA30" w14:textId="77777777" w:rsidR="00162838" w:rsidRPr="002B2CFC" w:rsidRDefault="00162838" w:rsidP="00E439AD">
      <w:pPr>
        <w:rPr>
          <w:szCs w:val="24"/>
        </w:rPr>
      </w:pPr>
    </w:p>
    <w:p w14:paraId="2095215C" w14:textId="77777777" w:rsidR="0005512A" w:rsidRPr="002B2CFC" w:rsidRDefault="0005512A" w:rsidP="0005512A">
      <w:pPr>
        <w:keepNext/>
        <w:keepLines/>
        <w:rPr>
          <w:b/>
          <w:szCs w:val="24"/>
          <w:lang w:val="en-US" w:eastAsia="en-US"/>
        </w:rPr>
      </w:pPr>
      <w:r w:rsidRPr="002B2CFC">
        <w:rPr>
          <w:b/>
          <w:szCs w:val="24"/>
          <w:lang w:val="en-US" w:eastAsia="en-US"/>
        </w:rPr>
        <w:t>Beck MJ (2013) Subchronic (91-day) dietary study to assess the effects of paraquat dichloride on dopaminergic neurons in C57BL/6J mice. Study No./Report No.: WIL-639158. Task No.: TK0000969. Unpublished</w:t>
      </w:r>
      <w:r>
        <w:rPr>
          <w:b/>
          <w:szCs w:val="24"/>
          <w:lang w:val="en-US" w:eastAsia="en-US"/>
        </w:rPr>
        <w:t>.\</w:t>
      </w:r>
      <w:r w:rsidRPr="002B2CFC">
        <w:rPr>
          <w:b/>
          <w:szCs w:val="24"/>
          <w:lang w:val="en-US" w:eastAsia="en-US"/>
        </w:rPr>
        <w:t xml:space="preserve"> Report date: January 24, 2013</w:t>
      </w:r>
    </w:p>
    <w:p w14:paraId="142D8BCF" w14:textId="77777777" w:rsidR="0005512A" w:rsidRPr="002B2CFC" w:rsidRDefault="0005512A" w:rsidP="0005512A">
      <w:pPr>
        <w:keepNext/>
        <w:keepLines/>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668"/>
        <w:gridCol w:w="5307"/>
      </w:tblGrid>
      <w:tr w:rsidR="0005512A" w:rsidRPr="002B2CFC" w14:paraId="171D2D8E" w14:textId="77777777" w:rsidTr="0005512A">
        <w:trPr>
          <w:cantSplit/>
          <w:jc w:val="center"/>
        </w:trPr>
        <w:tc>
          <w:tcPr>
            <w:tcW w:w="1668" w:type="dxa"/>
          </w:tcPr>
          <w:p w14:paraId="32593F52" w14:textId="77777777" w:rsidR="0005512A" w:rsidRPr="002B2CFC" w:rsidRDefault="0005512A" w:rsidP="0005512A">
            <w:pPr>
              <w:keepNext/>
              <w:keepLines/>
              <w:rPr>
                <w:sz w:val="20"/>
              </w:rPr>
            </w:pPr>
            <w:r w:rsidRPr="002B2CFC">
              <w:rPr>
                <w:sz w:val="20"/>
              </w:rPr>
              <w:t>Test Compound:</w:t>
            </w:r>
          </w:p>
        </w:tc>
        <w:tc>
          <w:tcPr>
            <w:tcW w:w="5307" w:type="dxa"/>
          </w:tcPr>
          <w:p w14:paraId="24DEEC55" w14:textId="77777777" w:rsidR="0005512A" w:rsidRPr="002B2CFC" w:rsidRDefault="0005512A" w:rsidP="0005512A">
            <w:pPr>
              <w:keepNext/>
              <w:keepLines/>
              <w:rPr>
                <w:color w:val="FF0000"/>
                <w:sz w:val="20"/>
              </w:rPr>
            </w:pPr>
            <w:r w:rsidRPr="002B2CFC">
              <w:rPr>
                <w:sz w:val="20"/>
              </w:rPr>
              <w:t>Paraquat dichloride (purity: 99.9%)</w:t>
            </w:r>
          </w:p>
        </w:tc>
      </w:tr>
      <w:tr w:rsidR="0005512A" w:rsidRPr="002B2CFC" w14:paraId="1C2C34A0" w14:textId="77777777" w:rsidTr="0005512A">
        <w:trPr>
          <w:cantSplit/>
          <w:jc w:val="center"/>
        </w:trPr>
        <w:tc>
          <w:tcPr>
            <w:tcW w:w="1668" w:type="dxa"/>
          </w:tcPr>
          <w:p w14:paraId="55696EA9" w14:textId="77777777" w:rsidR="0005512A" w:rsidRPr="002B2CFC" w:rsidRDefault="0005512A" w:rsidP="0005512A">
            <w:pPr>
              <w:keepNext/>
              <w:keepLines/>
              <w:rPr>
                <w:sz w:val="20"/>
              </w:rPr>
            </w:pPr>
            <w:r w:rsidRPr="002B2CFC">
              <w:rPr>
                <w:sz w:val="20"/>
              </w:rPr>
              <w:t>Batch:</w:t>
            </w:r>
          </w:p>
        </w:tc>
        <w:tc>
          <w:tcPr>
            <w:tcW w:w="5307" w:type="dxa"/>
          </w:tcPr>
          <w:p w14:paraId="48C72D93" w14:textId="77777777" w:rsidR="0005512A" w:rsidRPr="002B2CFC" w:rsidRDefault="0005512A" w:rsidP="0005512A">
            <w:pPr>
              <w:keepNext/>
              <w:keepLines/>
              <w:rPr>
                <w:color w:val="FF0000"/>
                <w:sz w:val="20"/>
              </w:rPr>
            </w:pPr>
            <w:r w:rsidRPr="002B2CFC">
              <w:rPr>
                <w:sz w:val="20"/>
              </w:rPr>
              <w:t>ASJ10083-03 [WIL ID No. 110018]</w:t>
            </w:r>
          </w:p>
        </w:tc>
      </w:tr>
      <w:tr w:rsidR="0005512A" w:rsidRPr="002B2CFC" w14:paraId="62494F9A" w14:textId="77777777" w:rsidTr="0005512A">
        <w:trPr>
          <w:cantSplit/>
          <w:jc w:val="center"/>
        </w:trPr>
        <w:tc>
          <w:tcPr>
            <w:tcW w:w="1668" w:type="dxa"/>
          </w:tcPr>
          <w:p w14:paraId="66EB97E5" w14:textId="77777777" w:rsidR="0005512A" w:rsidRPr="002B2CFC" w:rsidRDefault="0005512A" w:rsidP="0005512A">
            <w:pPr>
              <w:keepNext/>
              <w:keepLines/>
              <w:rPr>
                <w:sz w:val="20"/>
              </w:rPr>
            </w:pPr>
            <w:r w:rsidRPr="002B2CFC">
              <w:rPr>
                <w:sz w:val="20"/>
              </w:rPr>
              <w:t>Test Species:</w:t>
            </w:r>
          </w:p>
        </w:tc>
        <w:tc>
          <w:tcPr>
            <w:tcW w:w="5307" w:type="dxa"/>
          </w:tcPr>
          <w:p w14:paraId="772F07C0" w14:textId="77777777" w:rsidR="0005512A" w:rsidRPr="002B2CFC" w:rsidRDefault="0005512A" w:rsidP="0005512A">
            <w:pPr>
              <w:keepNext/>
              <w:keepLines/>
              <w:rPr>
                <w:color w:val="FF0000"/>
                <w:sz w:val="20"/>
              </w:rPr>
            </w:pPr>
            <w:r w:rsidRPr="002B2CFC">
              <w:rPr>
                <w:sz w:val="20"/>
              </w:rPr>
              <w:t xml:space="preserve">C57BL/6J mice, </w:t>
            </w:r>
            <w:r w:rsidRPr="00016627">
              <w:rPr>
                <w:b/>
                <w:sz w:val="20"/>
              </w:rPr>
              <w:t>stereological assessment</w:t>
            </w:r>
            <w:r w:rsidRPr="002B2CFC">
              <w:rPr>
                <w:sz w:val="20"/>
              </w:rPr>
              <w:t xml:space="preserve">: 20/sex/dose, </w:t>
            </w:r>
            <w:r w:rsidRPr="00016627">
              <w:rPr>
                <w:b/>
                <w:sz w:val="20"/>
              </w:rPr>
              <w:t>pathological assessment</w:t>
            </w:r>
            <w:r w:rsidRPr="002B2CFC">
              <w:rPr>
                <w:sz w:val="20"/>
              </w:rPr>
              <w:t xml:space="preserve">: 15 sex/dose (5/sex/dose positive control), </w:t>
            </w:r>
            <w:r w:rsidRPr="00016627">
              <w:rPr>
                <w:b/>
                <w:sz w:val="20"/>
              </w:rPr>
              <w:t>neurochemistry assessment:</w:t>
            </w:r>
            <w:r w:rsidRPr="002B2CFC">
              <w:rPr>
                <w:sz w:val="20"/>
              </w:rPr>
              <w:t xml:space="preserve"> 6/ sex/dose,  age: approximately 10 weeks (positive control group were 22 weeks at time of dosing), bw: 18.0 – 26.8 g for males and 14.9 – 21.1 g for females; source: The Jackson Laboratory, Bar Harbor, ME, USA</w:t>
            </w:r>
          </w:p>
        </w:tc>
      </w:tr>
      <w:tr w:rsidR="0005512A" w:rsidRPr="002B2CFC" w14:paraId="64DF369B" w14:textId="77777777" w:rsidTr="0005512A">
        <w:trPr>
          <w:cantSplit/>
          <w:jc w:val="center"/>
        </w:trPr>
        <w:tc>
          <w:tcPr>
            <w:tcW w:w="1668" w:type="dxa"/>
          </w:tcPr>
          <w:p w14:paraId="317FB4B7" w14:textId="77777777" w:rsidR="0005512A" w:rsidRPr="002B2CFC" w:rsidRDefault="0005512A" w:rsidP="0005512A">
            <w:pPr>
              <w:keepNext/>
              <w:keepLines/>
              <w:rPr>
                <w:sz w:val="20"/>
              </w:rPr>
            </w:pPr>
            <w:r w:rsidRPr="002B2CFC">
              <w:rPr>
                <w:sz w:val="20"/>
              </w:rPr>
              <w:t>Study Duration:</w:t>
            </w:r>
          </w:p>
        </w:tc>
        <w:tc>
          <w:tcPr>
            <w:tcW w:w="5307" w:type="dxa"/>
          </w:tcPr>
          <w:p w14:paraId="0B44AE4B" w14:textId="77777777" w:rsidR="0005512A" w:rsidRPr="002B2CFC" w:rsidRDefault="0005512A" w:rsidP="0005512A">
            <w:pPr>
              <w:keepNext/>
              <w:keepLines/>
              <w:rPr>
                <w:color w:val="FF0000"/>
                <w:sz w:val="20"/>
              </w:rPr>
            </w:pPr>
            <w:r w:rsidRPr="002B2CFC">
              <w:rPr>
                <w:sz w:val="20"/>
              </w:rPr>
              <w:t>August 1, 2011 – January 17, 2013</w:t>
            </w:r>
          </w:p>
        </w:tc>
      </w:tr>
      <w:tr w:rsidR="0005512A" w:rsidRPr="002B2CFC" w14:paraId="7676F032" w14:textId="77777777" w:rsidTr="0005512A">
        <w:trPr>
          <w:cantSplit/>
          <w:jc w:val="center"/>
        </w:trPr>
        <w:tc>
          <w:tcPr>
            <w:tcW w:w="1668" w:type="dxa"/>
          </w:tcPr>
          <w:p w14:paraId="623EBD76" w14:textId="77777777" w:rsidR="0005512A" w:rsidRPr="002B2CFC" w:rsidRDefault="0005512A" w:rsidP="0005512A">
            <w:pPr>
              <w:keepNext/>
              <w:keepLines/>
              <w:rPr>
                <w:sz w:val="20"/>
              </w:rPr>
            </w:pPr>
            <w:r w:rsidRPr="002B2CFC">
              <w:rPr>
                <w:sz w:val="20"/>
              </w:rPr>
              <w:t>Laboratory:</w:t>
            </w:r>
          </w:p>
        </w:tc>
        <w:tc>
          <w:tcPr>
            <w:tcW w:w="5307" w:type="dxa"/>
          </w:tcPr>
          <w:p w14:paraId="1BF739F3" w14:textId="77777777" w:rsidR="0005512A" w:rsidRPr="002B2CFC" w:rsidRDefault="0005512A" w:rsidP="0005512A">
            <w:pPr>
              <w:keepNext/>
              <w:keepLines/>
              <w:numPr>
                <w:ilvl w:val="0"/>
                <w:numId w:val="3"/>
              </w:numPr>
              <w:rPr>
                <w:sz w:val="20"/>
              </w:rPr>
            </w:pPr>
            <w:r w:rsidRPr="002B2CFC">
              <w:rPr>
                <w:sz w:val="20"/>
              </w:rPr>
              <w:t>WIL Research Laboratories, LLC, 1047 George Road, Ashland, OH 44805-8946 USA (performing laboratory)</w:t>
            </w:r>
          </w:p>
        </w:tc>
      </w:tr>
      <w:tr w:rsidR="0005512A" w:rsidRPr="002B2CFC" w14:paraId="09AFBFED" w14:textId="77777777" w:rsidTr="0005512A">
        <w:trPr>
          <w:cantSplit/>
          <w:jc w:val="center"/>
        </w:trPr>
        <w:tc>
          <w:tcPr>
            <w:tcW w:w="1668" w:type="dxa"/>
          </w:tcPr>
          <w:p w14:paraId="4BE9B4F6" w14:textId="77777777" w:rsidR="0005512A" w:rsidRPr="002B2CFC" w:rsidRDefault="0005512A" w:rsidP="0005512A">
            <w:pPr>
              <w:keepNext/>
              <w:keepLines/>
              <w:rPr>
                <w:sz w:val="20"/>
              </w:rPr>
            </w:pPr>
            <w:r w:rsidRPr="002B2CFC">
              <w:rPr>
                <w:sz w:val="20"/>
              </w:rPr>
              <w:t>Consultant laboratories*:</w:t>
            </w:r>
          </w:p>
        </w:tc>
        <w:tc>
          <w:tcPr>
            <w:tcW w:w="5307" w:type="dxa"/>
          </w:tcPr>
          <w:p w14:paraId="5FD01283" w14:textId="77777777" w:rsidR="0005512A" w:rsidRPr="002B2CFC" w:rsidRDefault="0005512A" w:rsidP="0005512A">
            <w:pPr>
              <w:keepNext/>
              <w:keepLines/>
              <w:numPr>
                <w:ilvl w:val="0"/>
                <w:numId w:val="3"/>
              </w:numPr>
              <w:rPr>
                <w:sz w:val="20"/>
              </w:rPr>
            </w:pPr>
            <w:r w:rsidRPr="002B2CFC">
              <w:rPr>
                <w:sz w:val="20"/>
              </w:rPr>
              <w:t>Experimental Pathology Laboratories (EPL), 45600 Terminal Drive, Sterling, VA 20166  (stereology)</w:t>
            </w:r>
          </w:p>
          <w:p w14:paraId="4C6320ED" w14:textId="77777777" w:rsidR="0005512A" w:rsidRPr="002B2CFC" w:rsidRDefault="0005512A" w:rsidP="0005512A">
            <w:pPr>
              <w:keepNext/>
              <w:keepLines/>
              <w:numPr>
                <w:ilvl w:val="0"/>
                <w:numId w:val="3"/>
              </w:numPr>
              <w:rPr>
                <w:sz w:val="20"/>
              </w:rPr>
            </w:pPr>
            <w:r w:rsidRPr="002B2CFC">
              <w:rPr>
                <w:sz w:val="20"/>
              </w:rPr>
              <w:t>Sielken &amp; Associates Consulting, Inc. 3833 Texas Av, Suite 230, Bryan, TX 77802 USA (statistical analyses of stereology data)</w:t>
            </w:r>
          </w:p>
          <w:p w14:paraId="11F30F2C" w14:textId="77777777" w:rsidR="0005512A" w:rsidRPr="002B2CFC" w:rsidRDefault="0005512A" w:rsidP="0005512A">
            <w:pPr>
              <w:keepNext/>
              <w:keepLines/>
              <w:numPr>
                <w:ilvl w:val="0"/>
                <w:numId w:val="3"/>
              </w:numPr>
              <w:rPr>
                <w:sz w:val="20"/>
              </w:rPr>
            </w:pPr>
            <w:r w:rsidRPr="002B2CFC">
              <w:rPr>
                <w:sz w:val="20"/>
              </w:rPr>
              <w:t>Tox Path Specialists, LLC, 8420 Gas House Pike, Suite G, Frederick, MD 21701 (formerly Lab 109, 20140 Scholar Drive, Hagerstown, MD 21742) (neuropathology)</w:t>
            </w:r>
          </w:p>
          <w:p w14:paraId="3499D41E" w14:textId="77777777" w:rsidR="0005512A" w:rsidRPr="002B2CFC" w:rsidRDefault="0005512A" w:rsidP="0005512A">
            <w:pPr>
              <w:keepNext/>
              <w:keepLines/>
              <w:numPr>
                <w:ilvl w:val="0"/>
                <w:numId w:val="3"/>
              </w:numPr>
              <w:rPr>
                <w:sz w:val="20"/>
              </w:rPr>
            </w:pPr>
            <w:r w:rsidRPr="002B2CFC">
              <w:rPr>
                <w:sz w:val="20"/>
              </w:rPr>
              <w:t>Neuroscience Associates, Inc. 10915 Lake Ridge Drive, Knoxville, TN 37934 USA (preparation and staining of slides for neuropathology)</w:t>
            </w:r>
          </w:p>
          <w:p w14:paraId="0C6B412B" w14:textId="77777777" w:rsidR="0005512A" w:rsidRPr="002B2CFC" w:rsidRDefault="0005512A" w:rsidP="0005512A">
            <w:pPr>
              <w:keepNext/>
              <w:keepLines/>
              <w:numPr>
                <w:ilvl w:val="0"/>
                <w:numId w:val="3"/>
              </w:numPr>
              <w:rPr>
                <w:sz w:val="20"/>
              </w:rPr>
            </w:pPr>
            <w:r w:rsidRPr="002B2CFC">
              <w:rPr>
                <w:sz w:val="20"/>
              </w:rPr>
              <w:t>RTI International, 3040 Cornwallis Rd, PO Box 12194, Research Triangle Park, NC 27709-2194 USA (neurochemistry analyses)</w:t>
            </w:r>
          </w:p>
        </w:tc>
      </w:tr>
      <w:tr w:rsidR="0005512A" w:rsidRPr="002B2CFC" w14:paraId="1D357836" w14:textId="77777777" w:rsidTr="0005512A">
        <w:trPr>
          <w:cantSplit/>
          <w:jc w:val="center"/>
        </w:trPr>
        <w:tc>
          <w:tcPr>
            <w:tcW w:w="1668" w:type="dxa"/>
          </w:tcPr>
          <w:p w14:paraId="3662AE81" w14:textId="77777777" w:rsidR="0005512A" w:rsidRPr="002B2CFC" w:rsidRDefault="0005512A" w:rsidP="0005512A">
            <w:pPr>
              <w:keepNext/>
              <w:keepLines/>
              <w:rPr>
                <w:sz w:val="20"/>
              </w:rPr>
            </w:pPr>
            <w:r w:rsidRPr="002B2CFC">
              <w:rPr>
                <w:sz w:val="20"/>
              </w:rPr>
              <w:t>GLP &amp; QA:</w:t>
            </w:r>
          </w:p>
        </w:tc>
        <w:tc>
          <w:tcPr>
            <w:tcW w:w="5307" w:type="dxa"/>
          </w:tcPr>
          <w:p w14:paraId="02CD68AD" w14:textId="77777777" w:rsidR="0005512A" w:rsidRPr="002B2CFC" w:rsidRDefault="0005512A" w:rsidP="0005512A">
            <w:pPr>
              <w:keepNext/>
              <w:keepLines/>
              <w:rPr>
                <w:color w:val="FF0000"/>
                <w:sz w:val="20"/>
              </w:rPr>
            </w:pPr>
            <w:r w:rsidRPr="002B2CFC">
              <w:rPr>
                <w:sz w:val="20"/>
              </w:rPr>
              <w:t>Yes (Non-GLP: statistical analyses of stereology data and neurochemistry analyses)</w:t>
            </w:r>
          </w:p>
        </w:tc>
      </w:tr>
      <w:tr w:rsidR="0005512A" w:rsidRPr="002B2CFC" w14:paraId="40C70081" w14:textId="77777777" w:rsidTr="0005512A">
        <w:trPr>
          <w:cantSplit/>
          <w:jc w:val="center"/>
        </w:trPr>
        <w:tc>
          <w:tcPr>
            <w:tcW w:w="1668" w:type="dxa"/>
          </w:tcPr>
          <w:p w14:paraId="27516E69" w14:textId="77777777" w:rsidR="0005512A" w:rsidRPr="002B2CFC" w:rsidRDefault="0005512A" w:rsidP="0005512A">
            <w:pPr>
              <w:keepNext/>
              <w:keepLines/>
              <w:rPr>
                <w:sz w:val="20"/>
              </w:rPr>
            </w:pPr>
            <w:r w:rsidRPr="002B2CFC">
              <w:rPr>
                <w:sz w:val="20"/>
              </w:rPr>
              <w:t>Guidelines:</w:t>
            </w:r>
          </w:p>
        </w:tc>
        <w:tc>
          <w:tcPr>
            <w:tcW w:w="5307" w:type="dxa"/>
          </w:tcPr>
          <w:p w14:paraId="7A0584DD" w14:textId="77777777" w:rsidR="0005512A" w:rsidRPr="002B2CFC" w:rsidRDefault="0005512A" w:rsidP="0005512A">
            <w:pPr>
              <w:keepNext/>
              <w:keepLines/>
              <w:rPr>
                <w:color w:val="FF0000"/>
                <w:sz w:val="20"/>
              </w:rPr>
            </w:pPr>
            <w:r w:rsidRPr="002B2CFC">
              <w:rPr>
                <w:sz w:val="20"/>
              </w:rPr>
              <w:t>Not applicable</w:t>
            </w:r>
          </w:p>
        </w:tc>
      </w:tr>
    </w:tbl>
    <w:p w14:paraId="2D6B3632" w14:textId="77777777" w:rsidR="0005512A" w:rsidRPr="002B2CFC" w:rsidRDefault="0005512A" w:rsidP="0005512A">
      <w:pPr>
        <w:ind w:left="720" w:firstLine="720"/>
        <w:rPr>
          <w:sz w:val="20"/>
          <w:lang w:val="en-US" w:eastAsia="en-US"/>
        </w:rPr>
      </w:pPr>
      <w:r w:rsidRPr="002B2CFC">
        <w:rPr>
          <w:sz w:val="20"/>
          <w:lang w:val="en-US" w:eastAsia="en-US"/>
        </w:rPr>
        <w:t>*Full results from these specialist laboratories are presented separately</w:t>
      </w:r>
      <w:r>
        <w:rPr>
          <w:sz w:val="20"/>
          <w:lang w:val="en-US" w:eastAsia="en-US"/>
        </w:rPr>
        <w:t xml:space="preserve"> (Stereology: Wolf (2013), pathology: Butt (2012) and  neurochemistry: Matthews (2012)  at </w:t>
      </w:r>
      <w:r w:rsidR="00897462">
        <w:rPr>
          <w:sz w:val="20"/>
          <w:lang w:val="en-US" w:eastAsia="en-US"/>
        </w:rPr>
        <w:fldChar w:fldCharType="begin"/>
      </w:r>
      <w:r w:rsidR="0044257A">
        <w:rPr>
          <w:sz w:val="20"/>
          <w:lang w:val="en-US" w:eastAsia="en-US"/>
        </w:rPr>
        <w:instrText xml:space="preserve"> REF _Ref420934724 \r \h </w:instrText>
      </w:r>
      <w:r w:rsidR="00897462">
        <w:rPr>
          <w:sz w:val="20"/>
          <w:lang w:val="en-US" w:eastAsia="en-US"/>
        </w:rPr>
      </w:r>
      <w:r w:rsidR="00897462">
        <w:rPr>
          <w:sz w:val="20"/>
          <w:lang w:val="en-US" w:eastAsia="en-US"/>
        </w:rPr>
        <w:fldChar w:fldCharType="separate"/>
      </w:r>
      <w:r w:rsidR="000E54B2">
        <w:rPr>
          <w:sz w:val="20"/>
          <w:lang w:val="en-US" w:eastAsia="en-US"/>
        </w:rPr>
        <w:t>APPENDIX II</w:t>
      </w:r>
      <w:r w:rsidR="00897462">
        <w:rPr>
          <w:sz w:val="20"/>
          <w:lang w:val="en-US" w:eastAsia="en-US"/>
        </w:rPr>
        <w:fldChar w:fldCharType="end"/>
      </w:r>
      <w:r>
        <w:rPr>
          <w:sz w:val="20"/>
          <w:lang w:val="en-US" w:eastAsia="en-US"/>
        </w:rPr>
        <w:t>.</w:t>
      </w:r>
    </w:p>
    <w:p w14:paraId="050AF422" w14:textId="77777777" w:rsidR="0005512A" w:rsidRPr="002B2CFC" w:rsidRDefault="0005512A" w:rsidP="0005512A">
      <w:pPr>
        <w:ind w:firstLine="720"/>
        <w:rPr>
          <w:sz w:val="20"/>
          <w:lang w:val="en-US" w:eastAsia="en-US"/>
        </w:rPr>
      </w:pPr>
    </w:p>
    <w:p w14:paraId="10447946" w14:textId="1B98B6F3" w:rsidR="0005512A" w:rsidRPr="002B2CFC" w:rsidRDefault="00E439AD" w:rsidP="00E439AD">
      <w:pPr>
        <w:pStyle w:val="Caption"/>
        <w:keepNext/>
        <w:spacing w:after="120"/>
        <w:rPr>
          <w:szCs w:val="24"/>
        </w:rPr>
      </w:pPr>
      <w:r>
        <w:lastRenderedPageBreak/>
        <w:t xml:space="preserve">Table </w:t>
      </w:r>
      <w:r>
        <w:fldChar w:fldCharType="begin"/>
      </w:r>
      <w:r>
        <w:instrText xml:space="preserve"> SEQ Table \* ARABIC </w:instrText>
      </w:r>
      <w:r>
        <w:fldChar w:fldCharType="separate"/>
      </w:r>
      <w:r w:rsidR="000E54B2">
        <w:rPr>
          <w:noProof/>
        </w:rPr>
        <w:t>22</w:t>
      </w:r>
      <w:r>
        <w:fldChar w:fldCharType="end"/>
      </w:r>
      <w:r>
        <w:t xml:space="preserve"> - Study summary</w:t>
      </w: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456"/>
        <w:gridCol w:w="1398"/>
        <w:gridCol w:w="2517"/>
        <w:gridCol w:w="3356"/>
      </w:tblGrid>
      <w:tr w:rsidR="0005512A" w:rsidRPr="002B2CFC" w14:paraId="24654242" w14:textId="77777777" w:rsidTr="0005512A">
        <w:trPr>
          <w:cantSplit/>
        </w:trPr>
        <w:tc>
          <w:tcPr>
            <w:tcW w:w="834" w:type="pct"/>
            <w:tcBorders>
              <w:top w:val="single" w:sz="4" w:space="0" w:color="auto"/>
              <w:left w:val="single" w:sz="4" w:space="0" w:color="auto"/>
              <w:bottom w:val="single" w:sz="4" w:space="0" w:color="auto"/>
              <w:right w:val="single" w:sz="4" w:space="0" w:color="auto"/>
            </w:tcBorders>
            <w:shd w:val="clear" w:color="auto" w:fill="BFBFBF"/>
          </w:tcPr>
          <w:p w14:paraId="2DED1965" w14:textId="77777777" w:rsidR="0005512A" w:rsidRPr="002B2CFC" w:rsidRDefault="0005512A" w:rsidP="00E439AD">
            <w:pPr>
              <w:keepNext/>
              <w:keepLines/>
              <w:rPr>
                <w:b/>
                <w:bCs/>
                <w:sz w:val="20"/>
              </w:rPr>
            </w:pPr>
            <w:r w:rsidRPr="002B2CFC">
              <w:rPr>
                <w:b/>
                <w:bCs/>
                <w:sz w:val="20"/>
              </w:rPr>
              <w:t>Dosing method</w:t>
            </w:r>
          </w:p>
        </w:tc>
        <w:tc>
          <w:tcPr>
            <w:tcW w:w="801" w:type="pct"/>
            <w:tcBorders>
              <w:top w:val="single" w:sz="4" w:space="0" w:color="auto"/>
              <w:left w:val="single" w:sz="4" w:space="0" w:color="auto"/>
              <w:bottom w:val="single" w:sz="4" w:space="0" w:color="auto"/>
              <w:right w:val="single" w:sz="4" w:space="0" w:color="auto"/>
            </w:tcBorders>
            <w:shd w:val="clear" w:color="auto" w:fill="BFBFBF"/>
          </w:tcPr>
          <w:p w14:paraId="7BF3FC8C" w14:textId="77777777" w:rsidR="0005512A" w:rsidRPr="002B2CFC" w:rsidRDefault="0005512A" w:rsidP="00E439AD">
            <w:pPr>
              <w:keepNext/>
              <w:keepLines/>
              <w:rPr>
                <w:b/>
                <w:bCs/>
                <w:sz w:val="20"/>
              </w:rPr>
            </w:pPr>
            <w:r w:rsidRPr="002B2CFC">
              <w:rPr>
                <w:b/>
                <w:bCs/>
                <w:sz w:val="20"/>
              </w:rPr>
              <w:t>Vehicle</w:t>
            </w:r>
          </w:p>
        </w:tc>
        <w:tc>
          <w:tcPr>
            <w:tcW w:w="1442" w:type="pct"/>
            <w:tcBorders>
              <w:top w:val="single" w:sz="4" w:space="0" w:color="auto"/>
              <w:left w:val="single" w:sz="4" w:space="0" w:color="auto"/>
              <w:bottom w:val="single" w:sz="4" w:space="0" w:color="auto"/>
              <w:right w:val="single" w:sz="4" w:space="0" w:color="auto"/>
            </w:tcBorders>
            <w:shd w:val="clear" w:color="auto" w:fill="BFBFBF"/>
          </w:tcPr>
          <w:p w14:paraId="5A2C844A" w14:textId="77777777" w:rsidR="0005512A" w:rsidRPr="002B2CFC" w:rsidRDefault="0005512A" w:rsidP="00E439AD">
            <w:pPr>
              <w:keepNext/>
              <w:keepLines/>
              <w:rPr>
                <w:b/>
                <w:bCs/>
                <w:sz w:val="20"/>
              </w:rPr>
            </w:pPr>
            <w:r w:rsidRPr="002B2CFC">
              <w:rPr>
                <w:b/>
                <w:bCs/>
                <w:sz w:val="20"/>
              </w:rPr>
              <w:t>Dosing / observation</w:t>
            </w:r>
          </w:p>
          <w:p w14:paraId="78DBE76B" w14:textId="77777777" w:rsidR="0005512A" w:rsidRPr="002B2CFC" w:rsidRDefault="0005512A" w:rsidP="00E439AD">
            <w:pPr>
              <w:keepNext/>
              <w:keepLines/>
              <w:rPr>
                <w:b/>
                <w:bCs/>
                <w:sz w:val="20"/>
              </w:rPr>
            </w:pPr>
            <w:r w:rsidRPr="002B2CFC">
              <w:rPr>
                <w:b/>
                <w:bCs/>
                <w:sz w:val="20"/>
              </w:rPr>
              <w:t>period</w:t>
            </w:r>
          </w:p>
        </w:tc>
        <w:tc>
          <w:tcPr>
            <w:tcW w:w="1923" w:type="pct"/>
            <w:tcBorders>
              <w:top w:val="single" w:sz="4" w:space="0" w:color="auto"/>
              <w:left w:val="single" w:sz="4" w:space="0" w:color="auto"/>
              <w:bottom w:val="single" w:sz="4" w:space="0" w:color="auto"/>
              <w:right w:val="single" w:sz="4" w:space="0" w:color="auto"/>
            </w:tcBorders>
            <w:shd w:val="clear" w:color="auto" w:fill="BFBFBF"/>
          </w:tcPr>
          <w:p w14:paraId="2749DA3A" w14:textId="77777777" w:rsidR="0005512A" w:rsidRPr="002B2CFC" w:rsidRDefault="0005512A" w:rsidP="00E439AD">
            <w:pPr>
              <w:keepNext/>
              <w:keepLines/>
              <w:rPr>
                <w:b/>
                <w:bCs/>
                <w:sz w:val="20"/>
              </w:rPr>
            </w:pPr>
            <w:r w:rsidRPr="002B2CFC">
              <w:rPr>
                <w:b/>
                <w:bCs/>
                <w:sz w:val="20"/>
              </w:rPr>
              <w:t xml:space="preserve">Doses tested </w:t>
            </w:r>
          </w:p>
          <w:p w14:paraId="57459B57" w14:textId="77777777" w:rsidR="0005512A" w:rsidRPr="002B2CFC" w:rsidRDefault="0005512A" w:rsidP="00E439AD">
            <w:pPr>
              <w:keepNext/>
              <w:keepLines/>
              <w:rPr>
                <w:b/>
                <w:bCs/>
                <w:sz w:val="20"/>
              </w:rPr>
            </w:pPr>
            <w:r w:rsidRPr="002B2CFC">
              <w:rPr>
                <w:b/>
                <w:bCs/>
                <w:sz w:val="20"/>
              </w:rPr>
              <w:t>(ppm)</w:t>
            </w:r>
          </w:p>
        </w:tc>
      </w:tr>
      <w:tr w:rsidR="0005512A" w:rsidRPr="002B2CFC" w14:paraId="0316CDC2" w14:textId="77777777" w:rsidTr="0005512A">
        <w:trPr>
          <w:cantSplit/>
        </w:trPr>
        <w:tc>
          <w:tcPr>
            <w:tcW w:w="834" w:type="pct"/>
            <w:tcBorders>
              <w:top w:val="single" w:sz="4" w:space="0" w:color="auto"/>
              <w:left w:val="single" w:sz="4" w:space="0" w:color="auto"/>
              <w:bottom w:val="single" w:sz="4" w:space="0" w:color="auto"/>
              <w:right w:val="single" w:sz="4" w:space="0" w:color="auto"/>
            </w:tcBorders>
            <w:vAlign w:val="center"/>
          </w:tcPr>
          <w:p w14:paraId="5BAB95CC" w14:textId="77777777" w:rsidR="0005512A" w:rsidRPr="002B2CFC" w:rsidRDefault="0005512A" w:rsidP="00E439AD">
            <w:pPr>
              <w:keepNext/>
              <w:keepLines/>
              <w:jc w:val="left"/>
              <w:rPr>
                <w:sz w:val="20"/>
              </w:rPr>
            </w:pPr>
            <w:r w:rsidRPr="002B2CFC">
              <w:rPr>
                <w:sz w:val="20"/>
              </w:rPr>
              <w:t>Dietary</w:t>
            </w:r>
          </w:p>
        </w:tc>
        <w:tc>
          <w:tcPr>
            <w:tcW w:w="801" w:type="pct"/>
            <w:tcBorders>
              <w:top w:val="single" w:sz="4" w:space="0" w:color="auto"/>
              <w:left w:val="single" w:sz="4" w:space="0" w:color="auto"/>
              <w:bottom w:val="single" w:sz="4" w:space="0" w:color="auto"/>
              <w:right w:val="single" w:sz="4" w:space="0" w:color="auto"/>
            </w:tcBorders>
            <w:vAlign w:val="center"/>
          </w:tcPr>
          <w:p w14:paraId="609E994F" w14:textId="77777777" w:rsidR="0005512A" w:rsidRPr="002B2CFC" w:rsidRDefault="0005512A" w:rsidP="00E439AD">
            <w:pPr>
              <w:keepNext/>
              <w:keepLines/>
              <w:jc w:val="left"/>
              <w:rPr>
                <w:sz w:val="20"/>
              </w:rPr>
            </w:pPr>
            <w:r w:rsidRPr="002B2CFC">
              <w:rPr>
                <w:sz w:val="20"/>
              </w:rPr>
              <w:t>None</w:t>
            </w:r>
          </w:p>
          <w:p w14:paraId="3F6C629C" w14:textId="77777777" w:rsidR="0005512A" w:rsidRPr="002B2CFC" w:rsidRDefault="0005512A" w:rsidP="00E439AD">
            <w:pPr>
              <w:keepNext/>
              <w:keepLines/>
              <w:jc w:val="left"/>
              <w:rPr>
                <w:sz w:val="20"/>
              </w:rPr>
            </w:pPr>
          </w:p>
          <w:p w14:paraId="3C0FDEA0" w14:textId="77777777" w:rsidR="0005512A" w:rsidRPr="002B2CFC" w:rsidRDefault="0005512A" w:rsidP="00E439AD">
            <w:pPr>
              <w:keepNext/>
              <w:keepLines/>
              <w:jc w:val="left"/>
              <w:rPr>
                <w:sz w:val="20"/>
              </w:rPr>
            </w:pPr>
          </w:p>
        </w:tc>
        <w:tc>
          <w:tcPr>
            <w:tcW w:w="1442" w:type="pct"/>
            <w:tcBorders>
              <w:top w:val="single" w:sz="4" w:space="0" w:color="auto"/>
              <w:left w:val="single" w:sz="4" w:space="0" w:color="auto"/>
              <w:bottom w:val="single" w:sz="4" w:space="0" w:color="auto"/>
              <w:right w:val="single" w:sz="4" w:space="0" w:color="auto"/>
            </w:tcBorders>
            <w:vAlign w:val="center"/>
          </w:tcPr>
          <w:p w14:paraId="47DC85CD" w14:textId="77777777" w:rsidR="0005512A" w:rsidRPr="002B2CFC" w:rsidRDefault="0005512A" w:rsidP="00E439AD">
            <w:pPr>
              <w:keepNext/>
              <w:keepLines/>
              <w:jc w:val="left"/>
              <w:rPr>
                <w:sz w:val="20"/>
              </w:rPr>
            </w:pPr>
            <w:r w:rsidRPr="002B2CFC">
              <w:rPr>
                <w:sz w:val="20"/>
              </w:rPr>
              <w:t>Continuously in the diet for 13-weeks</w:t>
            </w:r>
          </w:p>
        </w:tc>
        <w:tc>
          <w:tcPr>
            <w:tcW w:w="1923" w:type="pct"/>
            <w:tcBorders>
              <w:top w:val="single" w:sz="4" w:space="0" w:color="auto"/>
              <w:left w:val="single" w:sz="4" w:space="0" w:color="auto"/>
              <w:bottom w:val="single" w:sz="4" w:space="0" w:color="auto"/>
              <w:right w:val="single" w:sz="4" w:space="0" w:color="auto"/>
            </w:tcBorders>
            <w:vAlign w:val="center"/>
          </w:tcPr>
          <w:p w14:paraId="7205F5F7" w14:textId="77777777" w:rsidR="0005512A" w:rsidRPr="002B2CFC" w:rsidRDefault="0005512A" w:rsidP="00E439AD">
            <w:pPr>
              <w:keepNext/>
              <w:keepLines/>
              <w:jc w:val="left"/>
              <w:rPr>
                <w:sz w:val="20"/>
              </w:rPr>
            </w:pPr>
            <w:r w:rsidRPr="002B2CFC">
              <w:rPr>
                <w:sz w:val="20"/>
              </w:rPr>
              <w:t>0, 10, 50</w:t>
            </w:r>
          </w:p>
          <w:p w14:paraId="69BA0588" w14:textId="77777777" w:rsidR="0005512A" w:rsidRPr="002B2CFC" w:rsidRDefault="0005512A" w:rsidP="00E439AD">
            <w:pPr>
              <w:keepNext/>
              <w:keepLines/>
              <w:jc w:val="left"/>
              <w:rPr>
                <w:sz w:val="20"/>
              </w:rPr>
            </w:pPr>
          </w:p>
          <w:p w14:paraId="2073158A" w14:textId="77777777" w:rsidR="0005512A" w:rsidRPr="002B2CFC" w:rsidRDefault="0005512A" w:rsidP="00E439AD">
            <w:pPr>
              <w:keepNext/>
              <w:keepLines/>
              <w:jc w:val="left"/>
              <w:rPr>
                <w:sz w:val="20"/>
              </w:rPr>
            </w:pPr>
            <w:r w:rsidRPr="002B2CFC">
              <w:rPr>
                <w:sz w:val="20"/>
              </w:rPr>
              <w:t>(</w:t>
            </w:r>
            <w:r w:rsidRPr="002B2CFC">
              <w:rPr>
                <w:i/>
                <w:sz w:val="20"/>
              </w:rPr>
              <w:t>Calculated average</w:t>
            </w:r>
            <w:r>
              <w:rPr>
                <w:i/>
                <w:sz w:val="20"/>
              </w:rPr>
              <w:t xml:space="preserve"> paraquat dichloride</w:t>
            </w:r>
            <w:r w:rsidRPr="002B2CFC">
              <w:rPr>
                <w:sz w:val="20"/>
              </w:rPr>
              <w:t>:</w:t>
            </w:r>
          </w:p>
          <w:p w14:paraId="7A0E0E85" w14:textId="77777777" w:rsidR="0005512A" w:rsidRPr="002B2CFC" w:rsidRDefault="0005512A" w:rsidP="00E439AD">
            <w:pPr>
              <w:keepNext/>
              <w:keepLines/>
              <w:jc w:val="left"/>
              <w:rPr>
                <w:sz w:val="20"/>
              </w:rPr>
            </w:pPr>
            <w:r w:rsidRPr="002B2CFC">
              <w:rPr>
                <w:sz w:val="20"/>
              </w:rPr>
              <w:t>Males: 0, 2.4, 14.1 mg/kg bw/d</w:t>
            </w:r>
          </w:p>
          <w:p w14:paraId="084FF7C9" w14:textId="77777777" w:rsidR="0005512A" w:rsidRDefault="0005512A" w:rsidP="00E439AD">
            <w:pPr>
              <w:keepNext/>
              <w:keepLines/>
              <w:jc w:val="left"/>
              <w:rPr>
                <w:sz w:val="20"/>
              </w:rPr>
            </w:pPr>
            <w:r w:rsidRPr="002B2CFC">
              <w:rPr>
                <w:sz w:val="20"/>
              </w:rPr>
              <w:t xml:space="preserve">Females: 0, 3.7, 21.5 mg/kg bw/d) </w:t>
            </w:r>
          </w:p>
          <w:p w14:paraId="7EE18A0C" w14:textId="77777777" w:rsidR="0005512A" w:rsidRPr="002B2CFC" w:rsidRDefault="0005512A" w:rsidP="00E439AD">
            <w:pPr>
              <w:keepNext/>
              <w:keepLines/>
              <w:jc w:val="left"/>
              <w:rPr>
                <w:sz w:val="20"/>
              </w:rPr>
            </w:pPr>
            <w:r>
              <w:rPr>
                <w:i/>
                <w:sz w:val="20"/>
              </w:rPr>
              <w:t>(</w:t>
            </w:r>
            <w:r w:rsidRPr="002B2CFC">
              <w:rPr>
                <w:i/>
                <w:sz w:val="20"/>
              </w:rPr>
              <w:t>Calculated average</w:t>
            </w:r>
            <w:r>
              <w:rPr>
                <w:i/>
                <w:sz w:val="20"/>
              </w:rPr>
              <w:t xml:space="preserve"> paraquat ion</w:t>
            </w:r>
            <w:r w:rsidRPr="002B2CFC">
              <w:rPr>
                <w:sz w:val="20"/>
              </w:rPr>
              <w:t>:</w:t>
            </w:r>
          </w:p>
          <w:p w14:paraId="2D79D8C2" w14:textId="77777777" w:rsidR="0005512A" w:rsidRPr="002B2CFC" w:rsidRDefault="0005512A" w:rsidP="00E439AD">
            <w:pPr>
              <w:keepNext/>
              <w:keepLines/>
              <w:jc w:val="left"/>
              <w:rPr>
                <w:sz w:val="20"/>
              </w:rPr>
            </w:pPr>
            <w:r w:rsidRPr="002B2CFC">
              <w:rPr>
                <w:sz w:val="20"/>
              </w:rPr>
              <w:t xml:space="preserve">Males: 0, </w:t>
            </w:r>
            <w:r>
              <w:rPr>
                <w:sz w:val="20"/>
              </w:rPr>
              <w:t>1.7</w:t>
            </w:r>
            <w:r w:rsidRPr="002B2CFC">
              <w:rPr>
                <w:sz w:val="20"/>
              </w:rPr>
              <w:t>, 1</w:t>
            </w:r>
            <w:r>
              <w:rPr>
                <w:sz w:val="20"/>
              </w:rPr>
              <w:t>0.2</w:t>
            </w:r>
            <w:r w:rsidRPr="002B2CFC">
              <w:rPr>
                <w:sz w:val="20"/>
              </w:rPr>
              <w:t xml:space="preserve"> mg/kg bw/d</w:t>
            </w:r>
          </w:p>
          <w:p w14:paraId="367D619E" w14:textId="77777777" w:rsidR="0005512A" w:rsidRPr="002B2CFC" w:rsidRDefault="0005512A" w:rsidP="00E439AD">
            <w:pPr>
              <w:keepNext/>
              <w:keepLines/>
              <w:jc w:val="left"/>
              <w:rPr>
                <w:sz w:val="20"/>
              </w:rPr>
            </w:pPr>
            <w:r w:rsidRPr="002B2CFC">
              <w:rPr>
                <w:sz w:val="20"/>
              </w:rPr>
              <w:t xml:space="preserve">Females: 0, </w:t>
            </w:r>
            <w:r>
              <w:rPr>
                <w:sz w:val="20"/>
              </w:rPr>
              <w:t xml:space="preserve">2.7, 15.6 </w:t>
            </w:r>
            <w:r w:rsidRPr="002B2CFC">
              <w:rPr>
                <w:sz w:val="20"/>
              </w:rPr>
              <w:t xml:space="preserve"> mg/kg bw/d)</w:t>
            </w:r>
          </w:p>
        </w:tc>
      </w:tr>
      <w:tr w:rsidR="0005512A" w:rsidRPr="002B2CFC" w14:paraId="0C012404" w14:textId="77777777" w:rsidTr="0005512A">
        <w:trPr>
          <w:cantSplit/>
        </w:trPr>
        <w:tc>
          <w:tcPr>
            <w:tcW w:w="834" w:type="pct"/>
            <w:tcBorders>
              <w:top w:val="single" w:sz="4" w:space="0" w:color="auto"/>
              <w:left w:val="single" w:sz="4" w:space="0" w:color="auto"/>
              <w:bottom w:val="single" w:sz="4" w:space="0" w:color="auto"/>
              <w:right w:val="single" w:sz="4" w:space="0" w:color="auto"/>
            </w:tcBorders>
            <w:vAlign w:val="center"/>
          </w:tcPr>
          <w:p w14:paraId="1CE03969" w14:textId="77777777" w:rsidR="0005512A" w:rsidRPr="002B2CFC" w:rsidRDefault="0005512A" w:rsidP="00E439AD">
            <w:pPr>
              <w:keepNext/>
              <w:keepLines/>
              <w:jc w:val="left"/>
              <w:rPr>
                <w:sz w:val="20"/>
              </w:rPr>
            </w:pPr>
            <w:r w:rsidRPr="002B2CFC">
              <w:rPr>
                <w:sz w:val="20"/>
              </w:rPr>
              <w:t>Positive control:</w:t>
            </w:r>
          </w:p>
          <w:p w14:paraId="610731E2" w14:textId="77777777" w:rsidR="0005512A" w:rsidRPr="002B2CFC" w:rsidRDefault="0005512A" w:rsidP="00E439AD">
            <w:pPr>
              <w:keepNext/>
              <w:keepLines/>
              <w:jc w:val="left"/>
              <w:rPr>
                <w:sz w:val="20"/>
              </w:rPr>
            </w:pPr>
            <w:r w:rsidRPr="002B2CFC">
              <w:rPr>
                <w:sz w:val="20"/>
              </w:rPr>
              <w:t>ip injection</w:t>
            </w:r>
          </w:p>
        </w:tc>
        <w:tc>
          <w:tcPr>
            <w:tcW w:w="801" w:type="pct"/>
            <w:tcBorders>
              <w:top w:val="single" w:sz="4" w:space="0" w:color="auto"/>
              <w:left w:val="single" w:sz="4" w:space="0" w:color="auto"/>
              <w:bottom w:val="single" w:sz="4" w:space="0" w:color="auto"/>
              <w:right w:val="single" w:sz="4" w:space="0" w:color="auto"/>
            </w:tcBorders>
            <w:vAlign w:val="center"/>
          </w:tcPr>
          <w:p w14:paraId="6C11998B" w14:textId="77777777" w:rsidR="0005512A" w:rsidRPr="002B2CFC" w:rsidRDefault="0005512A" w:rsidP="00E439AD">
            <w:pPr>
              <w:keepNext/>
              <w:keepLines/>
              <w:jc w:val="left"/>
              <w:rPr>
                <w:sz w:val="20"/>
              </w:rPr>
            </w:pPr>
            <w:r w:rsidRPr="002B2CFC">
              <w:rPr>
                <w:sz w:val="20"/>
              </w:rPr>
              <w:t>0.9% sodium chloride for injection</w:t>
            </w:r>
          </w:p>
        </w:tc>
        <w:tc>
          <w:tcPr>
            <w:tcW w:w="1442" w:type="pct"/>
            <w:tcBorders>
              <w:top w:val="single" w:sz="4" w:space="0" w:color="auto"/>
              <w:left w:val="single" w:sz="4" w:space="0" w:color="auto"/>
              <w:bottom w:val="single" w:sz="4" w:space="0" w:color="auto"/>
              <w:right w:val="single" w:sz="4" w:space="0" w:color="auto"/>
            </w:tcBorders>
            <w:vAlign w:val="center"/>
          </w:tcPr>
          <w:p w14:paraId="7A3C5FA8" w14:textId="77777777" w:rsidR="0005512A" w:rsidRPr="002B2CFC" w:rsidRDefault="0005512A" w:rsidP="00E439AD">
            <w:pPr>
              <w:keepNext/>
              <w:keepLines/>
              <w:jc w:val="left"/>
              <w:rPr>
                <w:sz w:val="20"/>
              </w:rPr>
            </w:pPr>
            <w:r w:rsidRPr="002B2CFC">
              <w:rPr>
                <w:sz w:val="20"/>
              </w:rPr>
              <w:t>4 injections, approx. 2 hours apart 7 days prior to scheduled euthanasia</w:t>
            </w:r>
          </w:p>
        </w:tc>
        <w:tc>
          <w:tcPr>
            <w:tcW w:w="1923" w:type="pct"/>
            <w:tcBorders>
              <w:top w:val="single" w:sz="4" w:space="0" w:color="auto"/>
              <w:left w:val="single" w:sz="4" w:space="0" w:color="auto"/>
              <w:bottom w:val="single" w:sz="4" w:space="0" w:color="auto"/>
              <w:right w:val="single" w:sz="4" w:space="0" w:color="auto"/>
            </w:tcBorders>
            <w:vAlign w:val="center"/>
          </w:tcPr>
          <w:p w14:paraId="792E9B1A" w14:textId="77777777" w:rsidR="0005512A" w:rsidRPr="002B2CFC" w:rsidRDefault="0005512A" w:rsidP="00E439AD">
            <w:pPr>
              <w:keepNext/>
              <w:keepLines/>
              <w:jc w:val="left"/>
              <w:rPr>
                <w:sz w:val="20"/>
              </w:rPr>
            </w:pPr>
            <w:r w:rsidRPr="002B2CFC">
              <w:rPr>
                <w:sz w:val="20"/>
              </w:rPr>
              <w:t>10 mg (free base)/kg/dose [4 mg/mL]) 1-methyl-4-phenyl-1,2,3,6- tetrahydropyridine hydrochloride (MPTP HCl)</w:t>
            </w:r>
          </w:p>
        </w:tc>
      </w:tr>
    </w:tbl>
    <w:p w14:paraId="22CF72C4" w14:textId="77777777" w:rsidR="0005512A" w:rsidRPr="002B2CFC" w:rsidRDefault="0005512A" w:rsidP="0005512A">
      <w:pPr>
        <w:rPr>
          <w:szCs w:val="24"/>
          <w:lang w:val="en-US" w:eastAsia="en-US"/>
        </w:rPr>
      </w:pPr>
    </w:p>
    <w:p w14:paraId="0B727D5B" w14:textId="77777777" w:rsidR="0005512A" w:rsidRPr="00C34954" w:rsidRDefault="00897462" w:rsidP="0005512A">
      <w:pPr>
        <w:keepNext/>
        <w:rPr>
          <w:b/>
          <w:szCs w:val="24"/>
          <w:lang w:val="en-US" w:eastAsia="en-US"/>
        </w:rPr>
      </w:pPr>
      <w:r w:rsidRPr="00C34954">
        <w:rPr>
          <w:b/>
          <w:szCs w:val="24"/>
          <w:lang w:val="en-US" w:eastAsia="en-US"/>
        </w:rPr>
        <w:t>Method</w:t>
      </w:r>
    </w:p>
    <w:p w14:paraId="423FCFB8" w14:textId="77777777" w:rsidR="0005512A" w:rsidRPr="002B2CFC" w:rsidRDefault="0005512A" w:rsidP="0005512A">
      <w:pPr>
        <w:spacing w:before="120" w:after="120"/>
        <w:rPr>
          <w:szCs w:val="24"/>
        </w:rPr>
      </w:pPr>
      <w:r w:rsidRPr="002B2CFC">
        <w:rPr>
          <w:szCs w:val="24"/>
        </w:rPr>
        <w:t xml:space="preserve">Mice were administered paraquat dichloride in the diet for 91-95 days at concentrations of 0, 10 or 50 ppm, to determine the effect(s) on dopaminergic neurons in the brains of mice. The author indicated doses where selected based on previous studies, with the high dose not expected to exceed the maximally tolerated dose for mice of this strain. In addition, this strain (C57BL/6J) </w:t>
      </w:r>
      <w:r>
        <w:rPr>
          <w:szCs w:val="24"/>
        </w:rPr>
        <w:t>is</w:t>
      </w:r>
      <w:r w:rsidRPr="002B2CFC">
        <w:rPr>
          <w:szCs w:val="24"/>
        </w:rPr>
        <w:t xml:space="preserve"> susceptible to the effects of neurotoxicants, specifically the positive control substance </w:t>
      </w:r>
      <w:r>
        <w:rPr>
          <w:szCs w:val="24"/>
        </w:rPr>
        <w:t xml:space="preserve">MPTP hydrochloride </w:t>
      </w:r>
      <w:r w:rsidRPr="002B2CFC">
        <w:rPr>
          <w:sz w:val="20"/>
        </w:rPr>
        <w:t>(</w:t>
      </w:r>
      <w:r w:rsidRPr="002B2CFC">
        <w:rPr>
          <w:szCs w:val="24"/>
        </w:rPr>
        <w:t xml:space="preserve">MPTP-HCL). </w:t>
      </w:r>
    </w:p>
    <w:p w14:paraId="2510A082" w14:textId="2CA996DA" w:rsidR="0005512A" w:rsidRPr="002B2CFC" w:rsidRDefault="0005512A" w:rsidP="0005512A">
      <w:pPr>
        <w:spacing w:before="120" w:after="120"/>
        <w:rPr>
          <w:szCs w:val="24"/>
        </w:rPr>
      </w:pPr>
      <w:r w:rsidRPr="002B2CFC">
        <w:rPr>
          <w:szCs w:val="24"/>
        </w:rPr>
        <w:t>Mice were treated as four different groups (</w:t>
      </w:r>
      <w:r w:rsidR="00F07346">
        <w:fldChar w:fldCharType="begin"/>
      </w:r>
      <w:r w:rsidR="00F07346">
        <w:instrText xml:space="preserve"> REF _Ref410219094 \h  \* MERGEFORMAT </w:instrText>
      </w:r>
      <w:r w:rsidR="00F07346">
        <w:fldChar w:fldCharType="separate"/>
      </w:r>
      <w:r w:rsidR="000E54B2" w:rsidRPr="000E54B2">
        <w:rPr>
          <w:bCs/>
          <w:szCs w:val="24"/>
          <w:lang w:val="en-US" w:eastAsia="en-US"/>
        </w:rPr>
        <w:t xml:space="preserve">Table </w:t>
      </w:r>
      <w:r w:rsidR="000E54B2" w:rsidRPr="000E54B2">
        <w:rPr>
          <w:bCs/>
          <w:noProof/>
          <w:szCs w:val="24"/>
          <w:lang w:val="en-US" w:eastAsia="en-US"/>
        </w:rPr>
        <w:t>23</w:t>
      </w:r>
      <w:r w:rsidR="00F07346">
        <w:fldChar w:fldCharType="end"/>
      </w:r>
      <w:r w:rsidR="00714492">
        <w:t xml:space="preserve"> </w:t>
      </w:r>
      <w:r w:rsidR="003A31EB">
        <w:fldChar w:fldCharType="begin"/>
      </w:r>
      <w:r w:rsidR="003A31EB">
        <w:instrText xml:space="preserve"> REF _Ref459037695 \p </w:instrText>
      </w:r>
      <w:r w:rsidR="003A31EB">
        <w:fldChar w:fldCharType="separate"/>
      </w:r>
      <w:r w:rsidR="000E54B2">
        <w:t>below</w:t>
      </w:r>
      <w:r w:rsidR="003A31EB">
        <w:fldChar w:fldCharType="end"/>
      </w:r>
      <w:r w:rsidRPr="002B2CFC">
        <w:rPr>
          <w:szCs w:val="24"/>
        </w:rPr>
        <w:t>), including negative and positive control groups. Also shown in the table are the mean calculated quantities of paraquat dichloride/paraquat ion consumed. For the 10 and 50 ppm groups, the average paraquat dichloride consumed was 2.4 and 14.1 mg/kg bw/d (males) and 3.7 and 21.5 mg/kg bw/d (females), respectively</w:t>
      </w:r>
      <w:r>
        <w:rPr>
          <w:szCs w:val="24"/>
        </w:rPr>
        <w:t xml:space="preserve"> (equivalent to paraquat cation of 1.7 and 10.2 mg/kg bw/d (males) and </w:t>
      </w:r>
      <w:r w:rsidRPr="002B2CFC">
        <w:rPr>
          <w:szCs w:val="24"/>
        </w:rPr>
        <w:t xml:space="preserve"> </w:t>
      </w:r>
      <w:r>
        <w:rPr>
          <w:szCs w:val="24"/>
        </w:rPr>
        <w:t xml:space="preserve">2.7 and 15.6 mg/kg bw/d (females). </w:t>
      </w:r>
      <w:r w:rsidRPr="002B2CFC">
        <w:rPr>
          <w:szCs w:val="24"/>
        </w:rPr>
        <w:t xml:space="preserve">The positive control groups </w:t>
      </w:r>
      <w:r>
        <w:rPr>
          <w:szCs w:val="24"/>
        </w:rPr>
        <w:t xml:space="preserve">received </w:t>
      </w:r>
      <w:r w:rsidRPr="002B2CFC">
        <w:rPr>
          <w:szCs w:val="24"/>
        </w:rPr>
        <w:t xml:space="preserve">MPTP -HCL as 4 intraperitoneal injections (10 mg (free base)/kg/dose [4 mg/mL]) spaced approximately 2 hours apart, 7 days prior to euthanasia. </w:t>
      </w:r>
    </w:p>
    <w:p w14:paraId="09EA6CD4" w14:textId="77777777" w:rsidR="0005512A" w:rsidRPr="002B2CFC" w:rsidRDefault="0005512A" w:rsidP="0005512A">
      <w:pPr>
        <w:spacing w:before="120" w:after="120"/>
        <w:rPr>
          <w:szCs w:val="24"/>
        </w:rPr>
      </w:pPr>
      <w:r w:rsidRPr="002B2CFC">
        <w:rPr>
          <w:szCs w:val="24"/>
        </w:rPr>
        <w:t xml:space="preserve">Each group was further divided into 3 subsets: </w:t>
      </w:r>
    </w:p>
    <w:p w14:paraId="015DAD14" w14:textId="77777777" w:rsidR="0005512A" w:rsidRPr="002B2CFC" w:rsidRDefault="0005512A" w:rsidP="0005512A">
      <w:pPr>
        <w:numPr>
          <w:ilvl w:val="0"/>
          <w:numId w:val="1"/>
        </w:numPr>
        <w:spacing w:before="120" w:after="120"/>
        <w:rPr>
          <w:szCs w:val="24"/>
        </w:rPr>
      </w:pPr>
      <w:r w:rsidRPr="002B2CFC">
        <w:rPr>
          <w:szCs w:val="24"/>
          <w:u w:val="single"/>
        </w:rPr>
        <w:t>Subset I (stereology)</w:t>
      </w:r>
      <w:r w:rsidRPr="002B2CFC">
        <w:rPr>
          <w:szCs w:val="24"/>
        </w:rPr>
        <w:t xml:space="preserve"> examined the potential effect of paraquat on dopaminergic neurons by determining the number of TH</w:t>
      </w:r>
      <w:r w:rsidRPr="002B2CFC">
        <w:rPr>
          <w:szCs w:val="24"/>
          <w:vertAlign w:val="superscript"/>
        </w:rPr>
        <w:t>+</w:t>
      </w:r>
      <w:r w:rsidRPr="002B2CFC">
        <w:rPr>
          <w:szCs w:val="24"/>
        </w:rPr>
        <w:t xml:space="preserve"> dopaminergic neurons, the number of TH</w:t>
      </w:r>
      <w:r w:rsidRPr="002B2CFC">
        <w:rPr>
          <w:szCs w:val="24"/>
          <w:vertAlign w:val="superscript"/>
        </w:rPr>
        <w:t>-</w:t>
      </w:r>
      <w:r w:rsidRPr="002B2CFC">
        <w:rPr>
          <w:szCs w:val="24"/>
        </w:rPr>
        <w:t xml:space="preserve"> neurons, and total number of neurons (TH</w:t>
      </w:r>
      <w:r w:rsidRPr="002B2CFC">
        <w:rPr>
          <w:szCs w:val="24"/>
          <w:vertAlign w:val="superscript"/>
        </w:rPr>
        <w:t>+</w:t>
      </w:r>
      <w:r w:rsidRPr="002B2CFC">
        <w:rPr>
          <w:szCs w:val="24"/>
        </w:rPr>
        <w:t xml:space="preserve"> plus TH</w:t>
      </w:r>
      <w:r w:rsidRPr="002B2CFC">
        <w:rPr>
          <w:szCs w:val="24"/>
          <w:vertAlign w:val="superscript"/>
        </w:rPr>
        <w:t>-</w:t>
      </w:r>
      <w:r w:rsidRPr="002B2CFC">
        <w:rPr>
          <w:szCs w:val="24"/>
        </w:rPr>
        <w:t xml:space="preserve">) in the SN pc. </w:t>
      </w:r>
      <w:r w:rsidR="001875D7">
        <w:rPr>
          <w:szCs w:val="24"/>
        </w:rPr>
        <w:t>TH</w:t>
      </w:r>
      <w:r w:rsidRPr="002B2CFC">
        <w:rPr>
          <w:szCs w:val="24"/>
        </w:rPr>
        <w:t xml:space="preserve"> is a key enzyme in the production of </w:t>
      </w:r>
      <w:r w:rsidR="00A4092E">
        <w:rPr>
          <w:szCs w:val="24"/>
        </w:rPr>
        <w:t>DA</w:t>
      </w:r>
      <w:r w:rsidRPr="002B2CFC">
        <w:rPr>
          <w:szCs w:val="24"/>
        </w:rPr>
        <w:t xml:space="preserve">. The total contour volume of the SN pc was also calculated. </w:t>
      </w:r>
    </w:p>
    <w:p w14:paraId="01C58441" w14:textId="77777777" w:rsidR="0005512A" w:rsidRPr="002B2CFC" w:rsidRDefault="0005512A" w:rsidP="0005512A">
      <w:pPr>
        <w:numPr>
          <w:ilvl w:val="0"/>
          <w:numId w:val="1"/>
        </w:numPr>
        <w:spacing w:before="120" w:after="120"/>
        <w:rPr>
          <w:szCs w:val="24"/>
        </w:rPr>
      </w:pPr>
      <w:r w:rsidRPr="002B2CFC">
        <w:rPr>
          <w:szCs w:val="24"/>
          <w:u w:val="single"/>
        </w:rPr>
        <w:t>Subset II (pathology)</w:t>
      </w:r>
      <w:r w:rsidRPr="002B2CFC">
        <w:rPr>
          <w:szCs w:val="24"/>
        </w:rPr>
        <w:t xml:space="preserve"> examined serial sections from the </w:t>
      </w:r>
      <w:r w:rsidR="00A4092E">
        <w:rPr>
          <w:szCs w:val="24"/>
        </w:rPr>
        <w:t>SN</w:t>
      </w:r>
      <w:r w:rsidRPr="002B2CFC">
        <w:rPr>
          <w:szCs w:val="24"/>
        </w:rPr>
        <w:t xml:space="preserve"> to the striatum using specialist staining techniques (including immunohistochemistry) to assess potential effects in this part of the brain, including necrosis, apoptosis, astrocyte reactions as well as an assessment of general morphology.</w:t>
      </w:r>
    </w:p>
    <w:p w14:paraId="116F56A2" w14:textId="77777777" w:rsidR="0005512A" w:rsidRPr="002B2CFC" w:rsidRDefault="0005512A" w:rsidP="0005512A">
      <w:pPr>
        <w:numPr>
          <w:ilvl w:val="0"/>
          <w:numId w:val="1"/>
        </w:numPr>
        <w:spacing w:before="120" w:after="120"/>
        <w:rPr>
          <w:szCs w:val="24"/>
        </w:rPr>
      </w:pPr>
      <w:r w:rsidRPr="002B2CFC">
        <w:rPr>
          <w:szCs w:val="24"/>
          <w:u w:val="single"/>
        </w:rPr>
        <w:t>Subset III (neurochemistry)</w:t>
      </w:r>
      <w:r w:rsidRPr="002B2CFC">
        <w:rPr>
          <w:szCs w:val="24"/>
        </w:rPr>
        <w:t xml:space="preserve"> was included to quantitate DA, the two</w:t>
      </w:r>
      <w:r w:rsidR="00A4092E">
        <w:rPr>
          <w:szCs w:val="24"/>
        </w:rPr>
        <w:t xml:space="preserve"> </w:t>
      </w:r>
      <w:r w:rsidRPr="002B2CFC">
        <w:rPr>
          <w:szCs w:val="24"/>
        </w:rPr>
        <w:t>metabolites; HVA and</w:t>
      </w:r>
      <w:r>
        <w:rPr>
          <w:szCs w:val="24"/>
        </w:rPr>
        <w:t xml:space="preserve"> </w:t>
      </w:r>
      <w:r w:rsidRPr="002B2CFC">
        <w:rPr>
          <w:szCs w:val="24"/>
        </w:rPr>
        <w:t xml:space="preserve">DOPAC and </w:t>
      </w:r>
      <w:r w:rsidR="001875D7">
        <w:rPr>
          <w:szCs w:val="24"/>
        </w:rPr>
        <w:t>5-HT</w:t>
      </w:r>
      <w:r w:rsidRPr="002B2CFC">
        <w:rPr>
          <w:szCs w:val="24"/>
        </w:rPr>
        <w:t xml:space="preserve"> in striatal tissues of treated mice</w:t>
      </w:r>
      <w:r>
        <w:rPr>
          <w:szCs w:val="24"/>
        </w:rPr>
        <w:t>.</w:t>
      </w:r>
    </w:p>
    <w:p w14:paraId="775B397C" w14:textId="2CD28B1B" w:rsidR="0005512A" w:rsidRPr="002B2CFC" w:rsidRDefault="0005512A" w:rsidP="0005512A">
      <w:pPr>
        <w:tabs>
          <w:tab w:val="left" w:pos="6083"/>
        </w:tabs>
        <w:spacing w:before="120" w:after="120"/>
        <w:rPr>
          <w:szCs w:val="24"/>
        </w:rPr>
      </w:pPr>
      <w:r w:rsidRPr="002B2CFC">
        <w:rPr>
          <w:szCs w:val="24"/>
        </w:rPr>
        <w:t xml:space="preserve">These three subsets are summarised in this report and presented </w:t>
      </w:r>
      <w:r>
        <w:rPr>
          <w:szCs w:val="24"/>
        </w:rPr>
        <w:t xml:space="preserve">in detail in </w:t>
      </w:r>
      <w:r w:rsidR="00897462">
        <w:rPr>
          <w:szCs w:val="24"/>
        </w:rPr>
        <w:fldChar w:fldCharType="begin"/>
      </w:r>
      <w:r w:rsidR="0044257A">
        <w:rPr>
          <w:szCs w:val="24"/>
        </w:rPr>
        <w:instrText xml:space="preserve"> REF _Ref420934765 \r \h </w:instrText>
      </w:r>
      <w:r w:rsidR="00897462">
        <w:rPr>
          <w:szCs w:val="24"/>
        </w:rPr>
      </w:r>
      <w:r w:rsidR="00897462">
        <w:rPr>
          <w:szCs w:val="24"/>
        </w:rPr>
        <w:fldChar w:fldCharType="separate"/>
      </w:r>
      <w:r w:rsidR="000E54B2">
        <w:rPr>
          <w:szCs w:val="24"/>
        </w:rPr>
        <w:t>APPENDIX II</w:t>
      </w:r>
      <w:r w:rsidR="00897462">
        <w:rPr>
          <w:szCs w:val="24"/>
        </w:rPr>
        <w:fldChar w:fldCharType="end"/>
      </w:r>
      <w:r w:rsidRPr="002B2CFC">
        <w:rPr>
          <w:szCs w:val="24"/>
        </w:rPr>
        <w:t>- Stereology: Wolf (2013)</w:t>
      </w:r>
      <w:r w:rsidR="002F03FC">
        <w:rPr>
          <w:szCs w:val="24"/>
        </w:rPr>
        <w:t xml:space="preserve"> p </w:t>
      </w:r>
      <w:r w:rsidR="00897462">
        <w:rPr>
          <w:szCs w:val="24"/>
        </w:rPr>
        <w:fldChar w:fldCharType="begin"/>
      </w:r>
      <w:r w:rsidR="002F03FC">
        <w:rPr>
          <w:szCs w:val="24"/>
        </w:rPr>
        <w:instrText xml:space="preserve"> PAGEREF _Ref420928363 \h </w:instrText>
      </w:r>
      <w:r w:rsidR="00897462">
        <w:rPr>
          <w:szCs w:val="24"/>
        </w:rPr>
      </w:r>
      <w:r w:rsidR="00897462">
        <w:rPr>
          <w:szCs w:val="24"/>
        </w:rPr>
        <w:fldChar w:fldCharType="separate"/>
      </w:r>
      <w:r w:rsidR="000E54B2">
        <w:rPr>
          <w:noProof/>
          <w:szCs w:val="24"/>
        </w:rPr>
        <w:t>149</w:t>
      </w:r>
      <w:r w:rsidR="00897462">
        <w:rPr>
          <w:szCs w:val="24"/>
        </w:rPr>
        <w:fldChar w:fldCharType="end"/>
      </w:r>
      <w:r w:rsidRPr="002B2CFC">
        <w:rPr>
          <w:szCs w:val="24"/>
        </w:rPr>
        <w:t>, Pathology: Butt (2012)</w:t>
      </w:r>
      <w:r w:rsidR="002F03FC">
        <w:rPr>
          <w:szCs w:val="24"/>
        </w:rPr>
        <w:t xml:space="preserve"> p </w:t>
      </w:r>
      <w:r w:rsidR="00897462">
        <w:rPr>
          <w:szCs w:val="24"/>
        </w:rPr>
        <w:fldChar w:fldCharType="begin"/>
      </w:r>
      <w:r w:rsidR="002F03FC">
        <w:rPr>
          <w:szCs w:val="24"/>
        </w:rPr>
        <w:instrText xml:space="preserve"> PAGEREF _Ref420928385 \h </w:instrText>
      </w:r>
      <w:r w:rsidR="00897462">
        <w:rPr>
          <w:szCs w:val="24"/>
        </w:rPr>
      </w:r>
      <w:r w:rsidR="00897462">
        <w:rPr>
          <w:szCs w:val="24"/>
        </w:rPr>
        <w:fldChar w:fldCharType="separate"/>
      </w:r>
      <w:r w:rsidR="000E54B2">
        <w:rPr>
          <w:noProof/>
          <w:szCs w:val="24"/>
        </w:rPr>
        <w:t>153</w:t>
      </w:r>
      <w:r w:rsidR="00897462">
        <w:rPr>
          <w:szCs w:val="24"/>
        </w:rPr>
        <w:fldChar w:fldCharType="end"/>
      </w:r>
      <w:r w:rsidRPr="002B2CFC">
        <w:rPr>
          <w:szCs w:val="24"/>
        </w:rPr>
        <w:t xml:space="preserve"> and Neurochemistry: Matthews (2012)</w:t>
      </w:r>
      <w:r w:rsidR="002F03FC">
        <w:rPr>
          <w:szCs w:val="24"/>
        </w:rPr>
        <w:t xml:space="preserve"> p </w:t>
      </w:r>
      <w:r w:rsidR="00897462">
        <w:rPr>
          <w:szCs w:val="24"/>
        </w:rPr>
        <w:fldChar w:fldCharType="begin"/>
      </w:r>
      <w:r w:rsidR="002F03FC">
        <w:rPr>
          <w:szCs w:val="24"/>
        </w:rPr>
        <w:instrText xml:space="preserve"> PAGEREF _Ref420928400 \h </w:instrText>
      </w:r>
      <w:r w:rsidR="00897462">
        <w:rPr>
          <w:szCs w:val="24"/>
        </w:rPr>
      </w:r>
      <w:r w:rsidR="00897462">
        <w:rPr>
          <w:szCs w:val="24"/>
        </w:rPr>
        <w:fldChar w:fldCharType="separate"/>
      </w:r>
      <w:r w:rsidR="000E54B2">
        <w:rPr>
          <w:noProof/>
          <w:szCs w:val="24"/>
        </w:rPr>
        <w:t>157</w:t>
      </w:r>
      <w:r w:rsidR="00897462">
        <w:rPr>
          <w:szCs w:val="24"/>
        </w:rPr>
        <w:fldChar w:fldCharType="end"/>
      </w:r>
      <w:r w:rsidRPr="002B2CFC">
        <w:rPr>
          <w:szCs w:val="24"/>
        </w:rPr>
        <w:t>.</w:t>
      </w:r>
      <w:r w:rsidRPr="002B2CFC">
        <w:rPr>
          <w:szCs w:val="24"/>
        </w:rPr>
        <w:tab/>
      </w:r>
    </w:p>
    <w:p w14:paraId="01B9372F" w14:textId="77777777" w:rsidR="0005512A" w:rsidRPr="002B2CFC" w:rsidRDefault="0005512A" w:rsidP="0005512A">
      <w:pPr>
        <w:keepNext/>
        <w:keepLines/>
        <w:spacing w:after="120"/>
        <w:rPr>
          <w:b/>
          <w:bCs/>
          <w:sz w:val="20"/>
          <w:lang w:val="en-US" w:eastAsia="en-US"/>
        </w:rPr>
      </w:pPr>
      <w:bookmarkStart w:id="103" w:name="_Ref410219094"/>
      <w:bookmarkStart w:id="104" w:name="_Ref459037695"/>
      <w:r w:rsidRPr="002B2CFC">
        <w:rPr>
          <w:b/>
          <w:bCs/>
          <w:sz w:val="20"/>
          <w:lang w:val="en-US" w:eastAsia="en-US"/>
        </w:rPr>
        <w:lastRenderedPageBreak/>
        <w:t xml:space="preserve">Table </w:t>
      </w:r>
      <w:r w:rsidR="00897462" w:rsidRPr="002B2CFC">
        <w:rPr>
          <w:b/>
          <w:bCs/>
          <w:sz w:val="20"/>
          <w:lang w:val="en-US" w:eastAsia="en-US"/>
        </w:rPr>
        <w:fldChar w:fldCharType="begin"/>
      </w:r>
      <w:r w:rsidRPr="002B2CFC">
        <w:rPr>
          <w:b/>
          <w:bCs/>
          <w:sz w:val="20"/>
          <w:lang w:val="en-US" w:eastAsia="en-US"/>
        </w:rPr>
        <w:instrText xml:space="preserve"> SEQ Table \* ARABIC </w:instrText>
      </w:r>
      <w:r w:rsidR="00897462" w:rsidRPr="002B2CFC">
        <w:rPr>
          <w:b/>
          <w:bCs/>
          <w:sz w:val="20"/>
          <w:lang w:val="en-US" w:eastAsia="en-US"/>
        </w:rPr>
        <w:fldChar w:fldCharType="separate"/>
      </w:r>
      <w:r w:rsidR="000E54B2">
        <w:rPr>
          <w:b/>
          <w:bCs/>
          <w:noProof/>
          <w:sz w:val="20"/>
          <w:lang w:val="en-US" w:eastAsia="en-US"/>
        </w:rPr>
        <w:t>23</w:t>
      </w:r>
      <w:r w:rsidR="00897462" w:rsidRPr="002B2CFC">
        <w:rPr>
          <w:b/>
          <w:bCs/>
          <w:sz w:val="20"/>
          <w:lang w:val="en-US" w:eastAsia="en-US"/>
        </w:rPr>
        <w:fldChar w:fldCharType="end"/>
      </w:r>
      <w:bookmarkEnd w:id="103"/>
      <w:r w:rsidRPr="002B2CFC">
        <w:rPr>
          <w:b/>
          <w:bCs/>
          <w:sz w:val="20"/>
          <w:lang w:val="en-US" w:eastAsia="en-US"/>
        </w:rPr>
        <w:t xml:space="preserve">. Summary of test substance consumption and </w:t>
      </w:r>
      <w:r w:rsidR="00A95F5D">
        <w:rPr>
          <w:b/>
          <w:bCs/>
          <w:sz w:val="20"/>
          <w:lang w:val="en-US" w:eastAsia="en-US"/>
        </w:rPr>
        <w:t xml:space="preserve">animal </w:t>
      </w:r>
      <w:r w:rsidR="00776B42">
        <w:rPr>
          <w:b/>
          <w:bCs/>
          <w:sz w:val="20"/>
          <w:lang w:val="en-US" w:eastAsia="en-US"/>
        </w:rPr>
        <w:t xml:space="preserve">test </w:t>
      </w:r>
      <w:r w:rsidRPr="002B2CFC">
        <w:rPr>
          <w:b/>
          <w:bCs/>
          <w:sz w:val="20"/>
          <w:lang w:val="en-US" w:eastAsia="en-US"/>
        </w:rPr>
        <w:t>group</w:t>
      </w:r>
      <w:r w:rsidR="00776B42">
        <w:rPr>
          <w:b/>
          <w:bCs/>
          <w:sz w:val="20"/>
          <w:lang w:val="en-US" w:eastAsia="en-US"/>
        </w:rPr>
        <w:t>s</w:t>
      </w:r>
      <w:bookmarkEnd w:id="104"/>
      <w:r w:rsidRPr="002B2CFC">
        <w:rPr>
          <w:b/>
          <w:bCs/>
          <w:sz w:val="20"/>
          <w:lang w:val="en-US" w:eastAsia="en-US"/>
        </w:rPr>
        <w:t xml:space="preserve"> </w:t>
      </w:r>
    </w:p>
    <w:tbl>
      <w:tblPr>
        <w:tblStyle w:val="TableGrid"/>
        <w:tblW w:w="0" w:type="auto"/>
        <w:tblLayout w:type="fixed"/>
        <w:tblCellMar>
          <w:left w:w="28" w:type="dxa"/>
          <w:right w:w="28" w:type="dxa"/>
        </w:tblCellMar>
        <w:tblLook w:val="04A0" w:firstRow="1" w:lastRow="0" w:firstColumn="1" w:lastColumn="0" w:noHBand="0" w:noVBand="1"/>
      </w:tblPr>
      <w:tblGrid>
        <w:gridCol w:w="1304"/>
        <w:gridCol w:w="1276"/>
        <w:gridCol w:w="1286"/>
        <w:gridCol w:w="1204"/>
        <w:gridCol w:w="1275"/>
        <w:gridCol w:w="1134"/>
        <w:gridCol w:w="1560"/>
      </w:tblGrid>
      <w:tr w:rsidR="0005512A" w:rsidRPr="00CA5D27" w14:paraId="0EA579AB" w14:textId="77777777" w:rsidTr="00CA5D27">
        <w:tc>
          <w:tcPr>
            <w:tcW w:w="1304" w:type="dxa"/>
            <w:tcBorders>
              <w:bottom w:val="nil"/>
            </w:tcBorders>
            <w:shd w:val="clear" w:color="auto" w:fill="BFBFBF"/>
            <w:vAlign w:val="center"/>
          </w:tcPr>
          <w:p w14:paraId="3986BBF3" w14:textId="77777777" w:rsidR="0005512A" w:rsidRPr="00CA5D27" w:rsidRDefault="00897462" w:rsidP="00CA5D27">
            <w:pPr>
              <w:rPr>
                <w:b/>
                <w:sz w:val="20"/>
              </w:rPr>
            </w:pPr>
            <w:r w:rsidRPr="00CA5D27">
              <w:rPr>
                <w:b/>
                <w:sz w:val="20"/>
              </w:rPr>
              <w:t>Treatment</w:t>
            </w:r>
          </w:p>
        </w:tc>
        <w:tc>
          <w:tcPr>
            <w:tcW w:w="1276" w:type="dxa"/>
            <w:tcBorders>
              <w:bottom w:val="nil"/>
            </w:tcBorders>
            <w:shd w:val="clear" w:color="auto" w:fill="BFBFBF"/>
            <w:vAlign w:val="center"/>
          </w:tcPr>
          <w:p w14:paraId="00E523C3" w14:textId="77777777" w:rsidR="0005512A" w:rsidRPr="00CA5D27" w:rsidRDefault="00897462" w:rsidP="00CA5D27">
            <w:pPr>
              <w:rPr>
                <w:b/>
                <w:sz w:val="20"/>
              </w:rPr>
            </w:pPr>
            <w:r w:rsidRPr="00CA5D27">
              <w:rPr>
                <w:b/>
                <w:sz w:val="20"/>
              </w:rPr>
              <w:t xml:space="preserve">Dietary concentration </w:t>
            </w:r>
          </w:p>
        </w:tc>
        <w:tc>
          <w:tcPr>
            <w:tcW w:w="2490" w:type="dxa"/>
            <w:gridSpan w:val="2"/>
            <w:shd w:val="clear" w:color="auto" w:fill="BFBFBF"/>
            <w:vAlign w:val="center"/>
          </w:tcPr>
          <w:p w14:paraId="7199A915" w14:textId="77777777" w:rsidR="0005512A" w:rsidRPr="00CA5D27" w:rsidRDefault="00897462" w:rsidP="00CA5D27">
            <w:pPr>
              <w:jc w:val="left"/>
              <w:rPr>
                <w:b/>
                <w:sz w:val="20"/>
              </w:rPr>
            </w:pPr>
            <w:r w:rsidRPr="00CA5D27">
              <w:rPr>
                <w:b/>
                <w:sz w:val="20"/>
              </w:rPr>
              <w:t xml:space="preserve">Mean calculated test substance consumption </w:t>
            </w:r>
            <w:r w:rsidRPr="00CA5D27">
              <w:rPr>
                <w:b/>
                <w:sz w:val="20"/>
                <w:vertAlign w:val="superscript"/>
              </w:rPr>
              <w:t>#</w:t>
            </w:r>
            <w:r w:rsidRPr="00CA5D27">
              <w:rPr>
                <w:b/>
                <w:sz w:val="20"/>
              </w:rPr>
              <w:t xml:space="preserve"> (mg/kg bw/d)</w:t>
            </w:r>
          </w:p>
        </w:tc>
        <w:tc>
          <w:tcPr>
            <w:tcW w:w="3969" w:type="dxa"/>
            <w:gridSpan w:val="3"/>
            <w:shd w:val="clear" w:color="auto" w:fill="BFBFBF"/>
            <w:vAlign w:val="center"/>
          </w:tcPr>
          <w:p w14:paraId="2EF88224" w14:textId="77777777" w:rsidR="0005512A" w:rsidRPr="00CA5D27" w:rsidRDefault="00897462" w:rsidP="00CA5D27">
            <w:pPr>
              <w:rPr>
                <w:b/>
                <w:sz w:val="20"/>
              </w:rPr>
            </w:pPr>
            <w:r w:rsidRPr="00CA5D27">
              <w:rPr>
                <w:b/>
                <w:sz w:val="20"/>
              </w:rPr>
              <w:t>Number of animals (n/sex/dose)</w:t>
            </w:r>
          </w:p>
        </w:tc>
      </w:tr>
      <w:tr w:rsidR="0005512A" w:rsidRPr="00CA5D27" w14:paraId="7F8CB13A" w14:textId="77777777" w:rsidTr="00CA5D27">
        <w:tc>
          <w:tcPr>
            <w:tcW w:w="1304" w:type="dxa"/>
            <w:tcBorders>
              <w:top w:val="nil"/>
            </w:tcBorders>
            <w:shd w:val="clear" w:color="auto" w:fill="BFBFBF"/>
          </w:tcPr>
          <w:p w14:paraId="7D395FBF" w14:textId="77777777" w:rsidR="0005512A" w:rsidRPr="00CA5D27" w:rsidRDefault="0005512A" w:rsidP="00CA5D27">
            <w:pPr>
              <w:rPr>
                <w:b/>
                <w:sz w:val="20"/>
              </w:rPr>
            </w:pPr>
          </w:p>
        </w:tc>
        <w:tc>
          <w:tcPr>
            <w:tcW w:w="1276" w:type="dxa"/>
            <w:tcBorders>
              <w:top w:val="nil"/>
            </w:tcBorders>
            <w:shd w:val="clear" w:color="auto" w:fill="BFBFBF"/>
            <w:vAlign w:val="center"/>
          </w:tcPr>
          <w:p w14:paraId="1D1B1F4B" w14:textId="77777777" w:rsidR="0005512A" w:rsidRPr="00CA5D27" w:rsidRDefault="00897462" w:rsidP="00CA5D27">
            <w:pPr>
              <w:rPr>
                <w:b/>
                <w:sz w:val="20"/>
              </w:rPr>
            </w:pPr>
            <w:r w:rsidRPr="00CA5D27">
              <w:rPr>
                <w:b/>
                <w:sz w:val="20"/>
              </w:rPr>
              <w:t>(ppm)</w:t>
            </w:r>
          </w:p>
        </w:tc>
        <w:tc>
          <w:tcPr>
            <w:tcW w:w="1286" w:type="dxa"/>
            <w:shd w:val="clear" w:color="auto" w:fill="BFBFBF"/>
            <w:vAlign w:val="center"/>
          </w:tcPr>
          <w:p w14:paraId="348C524B" w14:textId="77777777" w:rsidR="0005512A" w:rsidRPr="00CA5D27" w:rsidRDefault="00897462" w:rsidP="00CA5D27">
            <w:pPr>
              <w:jc w:val="left"/>
              <w:rPr>
                <w:b/>
                <w:sz w:val="20"/>
              </w:rPr>
            </w:pPr>
            <w:r w:rsidRPr="00CA5D27">
              <w:rPr>
                <w:b/>
                <w:sz w:val="20"/>
              </w:rPr>
              <w:t>paraquat dichloride</w:t>
            </w:r>
          </w:p>
        </w:tc>
        <w:tc>
          <w:tcPr>
            <w:tcW w:w="1204" w:type="dxa"/>
            <w:shd w:val="clear" w:color="auto" w:fill="BFBFBF"/>
            <w:vAlign w:val="center"/>
          </w:tcPr>
          <w:p w14:paraId="063DDD1E" w14:textId="77777777" w:rsidR="0005512A" w:rsidRPr="00CA5D27" w:rsidRDefault="00897462" w:rsidP="00CA5D27">
            <w:pPr>
              <w:rPr>
                <w:b/>
                <w:sz w:val="20"/>
              </w:rPr>
            </w:pPr>
            <w:r w:rsidRPr="00CA5D27">
              <w:rPr>
                <w:b/>
                <w:sz w:val="20"/>
              </w:rPr>
              <w:t>paraquat ion</w:t>
            </w:r>
          </w:p>
        </w:tc>
        <w:tc>
          <w:tcPr>
            <w:tcW w:w="1275" w:type="dxa"/>
            <w:shd w:val="clear" w:color="auto" w:fill="BFBFBF"/>
          </w:tcPr>
          <w:p w14:paraId="0E588186" w14:textId="77777777" w:rsidR="0005512A" w:rsidRPr="00CA5D27" w:rsidRDefault="00897462" w:rsidP="00CA5D27">
            <w:pPr>
              <w:rPr>
                <w:b/>
                <w:sz w:val="20"/>
              </w:rPr>
            </w:pPr>
            <w:r w:rsidRPr="00CA5D27">
              <w:rPr>
                <w:b/>
                <w:sz w:val="20"/>
              </w:rPr>
              <w:t>Subset I</w:t>
            </w:r>
          </w:p>
          <w:p w14:paraId="746D98F0" w14:textId="77777777" w:rsidR="0005512A" w:rsidRPr="00CA5D27" w:rsidRDefault="00897462" w:rsidP="00CA5D27">
            <w:pPr>
              <w:rPr>
                <w:b/>
                <w:sz w:val="20"/>
              </w:rPr>
            </w:pPr>
            <w:r w:rsidRPr="00CA5D27">
              <w:rPr>
                <w:b/>
                <w:sz w:val="20"/>
              </w:rPr>
              <w:t>Stereology</w:t>
            </w:r>
          </w:p>
        </w:tc>
        <w:tc>
          <w:tcPr>
            <w:tcW w:w="1134" w:type="dxa"/>
            <w:shd w:val="clear" w:color="auto" w:fill="BFBFBF"/>
          </w:tcPr>
          <w:p w14:paraId="2B913649" w14:textId="77777777" w:rsidR="0005512A" w:rsidRPr="00CA5D27" w:rsidRDefault="00897462" w:rsidP="00CA5D27">
            <w:pPr>
              <w:rPr>
                <w:b/>
                <w:sz w:val="20"/>
              </w:rPr>
            </w:pPr>
            <w:r w:rsidRPr="00CA5D27">
              <w:rPr>
                <w:b/>
                <w:sz w:val="20"/>
              </w:rPr>
              <w:t>Subset II</w:t>
            </w:r>
          </w:p>
          <w:p w14:paraId="7CDC552C" w14:textId="77777777" w:rsidR="0005512A" w:rsidRPr="00CA5D27" w:rsidRDefault="00897462" w:rsidP="00CA5D27">
            <w:pPr>
              <w:rPr>
                <w:b/>
                <w:sz w:val="20"/>
              </w:rPr>
            </w:pPr>
            <w:r w:rsidRPr="00CA5D27">
              <w:rPr>
                <w:b/>
                <w:sz w:val="20"/>
              </w:rPr>
              <w:t>Pathology</w:t>
            </w:r>
          </w:p>
        </w:tc>
        <w:tc>
          <w:tcPr>
            <w:tcW w:w="1560" w:type="dxa"/>
            <w:shd w:val="clear" w:color="auto" w:fill="BFBFBF"/>
          </w:tcPr>
          <w:p w14:paraId="2BBC8434" w14:textId="77777777" w:rsidR="0005512A" w:rsidRPr="00CA5D27" w:rsidRDefault="00897462" w:rsidP="00CA5D27">
            <w:pPr>
              <w:rPr>
                <w:b/>
                <w:sz w:val="20"/>
              </w:rPr>
            </w:pPr>
            <w:r w:rsidRPr="00CA5D27">
              <w:rPr>
                <w:b/>
                <w:sz w:val="20"/>
              </w:rPr>
              <w:t>Subset III</w:t>
            </w:r>
          </w:p>
          <w:p w14:paraId="7A28853F" w14:textId="77777777" w:rsidR="0005512A" w:rsidRPr="00CA5D27" w:rsidRDefault="00897462" w:rsidP="00CA5D27">
            <w:pPr>
              <w:rPr>
                <w:b/>
                <w:sz w:val="20"/>
              </w:rPr>
            </w:pPr>
            <w:r w:rsidRPr="00CA5D27">
              <w:rPr>
                <w:b/>
                <w:sz w:val="20"/>
              </w:rPr>
              <w:t>Neurochemistry</w:t>
            </w:r>
          </w:p>
        </w:tc>
      </w:tr>
      <w:tr w:rsidR="0005512A" w:rsidRPr="00CA5D27" w14:paraId="53E17561" w14:textId="77777777" w:rsidTr="00CA5D27">
        <w:tc>
          <w:tcPr>
            <w:tcW w:w="1304" w:type="dxa"/>
            <w:shd w:val="clear" w:color="auto" w:fill="D9D9D9"/>
          </w:tcPr>
          <w:p w14:paraId="5377FB46" w14:textId="77777777" w:rsidR="0005512A" w:rsidRPr="00CA5D27" w:rsidRDefault="00897462" w:rsidP="00CA5D27">
            <w:pPr>
              <w:rPr>
                <w:sz w:val="20"/>
              </w:rPr>
            </w:pPr>
            <w:r w:rsidRPr="00CA5D27">
              <w:rPr>
                <w:sz w:val="20"/>
              </w:rPr>
              <w:t>Control</w:t>
            </w:r>
          </w:p>
        </w:tc>
        <w:tc>
          <w:tcPr>
            <w:tcW w:w="1276" w:type="dxa"/>
            <w:vAlign w:val="center"/>
          </w:tcPr>
          <w:p w14:paraId="3CEF9A5A" w14:textId="77777777" w:rsidR="0005512A" w:rsidRPr="00CA5D27" w:rsidRDefault="00897462" w:rsidP="00CA5D27">
            <w:pPr>
              <w:rPr>
                <w:sz w:val="20"/>
              </w:rPr>
            </w:pPr>
            <w:r w:rsidRPr="00CA5D27">
              <w:rPr>
                <w:sz w:val="20"/>
              </w:rPr>
              <w:t>0</w:t>
            </w:r>
          </w:p>
        </w:tc>
        <w:tc>
          <w:tcPr>
            <w:tcW w:w="1286" w:type="dxa"/>
            <w:vAlign w:val="center"/>
          </w:tcPr>
          <w:p w14:paraId="4F013414" w14:textId="77777777" w:rsidR="0005512A" w:rsidRPr="00CA5D27" w:rsidRDefault="00897462" w:rsidP="00CA5D27">
            <w:pPr>
              <w:rPr>
                <w:sz w:val="20"/>
              </w:rPr>
            </w:pPr>
            <w:r w:rsidRPr="00CA5D27">
              <w:rPr>
                <w:sz w:val="20"/>
              </w:rPr>
              <w:t>0</w:t>
            </w:r>
          </w:p>
        </w:tc>
        <w:tc>
          <w:tcPr>
            <w:tcW w:w="1204" w:type="dxa"/>
            <w:vAlign w:val="center"/>
          </w:tcPr>
          <w:p w14:paraId="7C37C4BE" w14:textId="77777777" w:rsidR="0005512A" w:rsidRPr="00CA5D27" w:rsidRDefault="00897462" w:rsidP="00CA5D27">
            <w:pPr>
              <w:rPr>
                <w:sz w:val="20"/>
              </w:rPr>
            </w:pPr>
            <w:r w:rsidRPr="00CA5D27">
              <w:rPr>
                <w:sz w:val="20"/>
              </w:rPr>
              <w:t>0</w:t>
            </w:r>
          </w:p>
        </w:tc>
        <w:tc>
          <w:tcPr>
            <w:tcW w:w="1275" w:type="dxa"/>
            <w:vAlign w:val="center"/>
          </w:tcPr>
          <w:p w14:paraId="0283B94B" w14:textId="77777777" w:rsidR="0005512A" w:rsidRPr="00CA5D27" w:rsidRDefault="00897462" w:rsidP="00CA5D27">
            <w:pPr>
              <w:rPr>
                <w:sz w:val="20"/>
              </w:rPr>
            </w:pPr>
            <w:r w:rsidRPr="00CA5D27">
              <w:rPr>
                <w:sz w:val="20"/>
              </w:rPr>
              <w:t>20</w:t>
            </w:r>
          </w:p>
        </w:tc>
        <w:tc>
          <w:tcPr>
            <w:tcW w:w="1134" w:type="dxa"/>
            <w:vAlign w:val="center"/>
          </w:tcPr>
          <w:p w14:paraId="126826EC" w14:textId="77777777" w:rsidR="0005512A" w:rsidRPr="00CA5D27" w:rsidRDefault="00897462" w:rsidP="00CA5D27">
            <w:pPr>
              <w:rPr>
                <w:sz w:val="20"/>
              </w:rPr>
            </w:pPr>
            <w:r w:rsidRPr="00CA5D27">
              <w:rPr>
                <w:sz w:val="20"/>
              </w:rPr>
              <w:t>15</w:t>
            </w:r>
          </w:p>
        </w:tc>
        <w:tc>
          <w:tcPr>
            <w:tcW w:w="1560" w:type="dxa"/>
            <w:vAlign w:val="center"/>
          </w:tcPr>
          <w:p w14:paraId="40A9F9D0" w14:textId="77777777" w:rsidR="0005512A" w:rsidRPr="00CA5D27" w:rsidRDefault="00897462" w:rsidP="00CA5D27">
            <w:pPr>
              <w:rPr>
                <w:sz w:val="20"/>
              </w:rPr>
            </w:pPr>
            <w:r w:rsidRPr="00CA5D27">
              <w:rPr>
                <w:sz w:val="20"/>
              </w:rPr>
              <w:t>6</w:t>
            </w:r>
          </w:p>
        </w:tc>
      </w:tr>
      <w:tr w:rsidR="0005512A" w:rsidRPr="00FD5416" w14:paraId="149E8E3F" w14:textId="77777777" w:rsidTr="00CA5D27">
        <w:trPr>
          <w:trHeight w:val="271"/>
        </w:trPr>
        <w:tc>
          <w:tcPr>
            <w:tcW w:w="1304" w:type="dxa"/>
            <w:vMerge w:val="restart"/>
            <w:shd w:val="clear" w:color="auto" w:fill="D9D9D9"/>
          </w:tcPr>
          <w:p w14:paraId="0B60FBC2" w14:textId="77777777" w:rsidR="0005512A" w:rsidRPr="00FD5416" w:rsidRDefault="00897462" w:rsidP="0005512A">
            <w:pPr>
              <w:keepNext/>
              <w:keepLines/>
              <w:spacing w:before="120"/>
              <w:rPr>
                <w:b/>
                <w:sz w:val="20"/>
              </w:rPr>
            </w:pPr>
            <w:r w:rsidRPr="00897462">
              <w:rPr>
                <w:b/>
                <w:sz w:val="20"/>
              </w:rPr>
              <w:t>Paraquat dichloride</w:t>
            </w:r>
          </w:p>
        </w:tc>
        <w:tc>
          <w:tcPr>
            <w:tcW w:w="1276" w:type="dxa"/>
            <w:vMerge w:val="restart"/>
            <w:vAlign w:val="center"/>
          </w:tcPr>
          <w:p w14:paraId="22A6FC13" w14:textId="77777777" w:rsidR="0005512A" w:rsidRPr="00FD5416" w:rsidRDefault="00897462" w:rsidP="0005512A">
            <w:pPr>
              <w:keepNext/>
              <w:keepLines/>
              <w:spacing w:before="120"/>
              <w:jc w:val="center"/>
              <w:rPr>
                <w:sz w:val="20"/>
              </w:rPr>
            </w:pPr>
            <w:r w:rsidRPr="00897462">
              <w:rPr>
                <w:sz w:val="20"/>
              </w:rPr>
              <w:t>10</w:t>
            </w:r>
          </w:p>
        </w:tc>
        <w:tc>
          <w:tcPr>
            <w:tcW w:w="1286" w:type="dxa"/>
            <w:vAlign w:val="center"/>
          </w:tcPr>
          <w:p w14:paraId="7B211A06" w14:textId="77777777" w:rsidR="0005512A" w:rsidRPr="00FD5416" w:rsidRDefault="00897462" w:rsidP="0005512A">
            <w:pPr>
              <w:keepNext/>
              <w:keepLines/>
              <w:spacing w:before="120"/>
              <w:rPr>
                <w:sz w:val="20"/>
              </w:rPr>
            </w:pPr>
            <w:r w:rsidRPr="00897462">
              <w:rPr>
                <w:sz w:val="20"/>
              </w:rPr>
              <w:t>Male: 2.4</w:t>
            </w:r>
          </w:p>
        </w:tc>
        <w:tc>
          <w:tcPr>
            <w:tcW w:w="1204" w:type="dxa"/>
            <w:vAlign w:val="center"/>
          </w:tcPr>
          <w:p w14:paraId="3FF05011" w14:textId="77777777" w:rsidR="0005512A" w:rsidRPr="00FD5416" w:rsidRDefault="00897462" w:rsidP="0005512A">
            <w:pPr>
              <w:keepNext/>
              <w:keepLines/>
              <w:spacing w:before="120"/>
              <w:rPr>
                <w:sz w:val="20"/>
              </w:rPr>
            </w:pPr>
            <w:r w:rsidRPr="00897462">
              <w:rPr>
                <w:sz w:val="20"/>
              </w:rPr>
              <w:t>Male: 1.7</w:t>
            </w:r>
          </w:p>
        </w:tc>
        <w:tc>
          <w:tcPr>
            <w:tcW w:w="1275" w:type="dxa"/>
            <w:vMerge w:val="restart"/>
            <w:vAlign w:val="center"/>
          </w:tcPr>
          <w:p w14:paraId="013C67A2" w14:textId="77777777" w:rsidR="0005512A" w:rsidRPr="00FD5416" w:rsidRDefault="00897462" w:rsidP="0005512A">
            <w:pPr>
              <w:keepNext/>
              <w:keepLines/>
              <w:spacing w:before="120"/>
              <w:jc w:val="center"/>
              <w:rPr>
                <w:sz w:val="20"/>
              </w:rPr>
            </w:pPr>
            <w:r w:rsidRPr="00897462">
              <w:rPr>
                <w:sz w:val="20"/>
              </w:rPr>
              <w:t>20</w:t>
            </w:r>
          </w:p>
        </w:tc>
        <w:tc>
          <w:tcPr>
            <w:tcW w:w="1134" w:type="dxa"/>
            <w:vMerge w:val="restart"/>
            <w:vAlign w:val="center"/>
          </w:tcPr>
          <w:p w14:paraId="056061F6" w14:textId="77777777" w:rsidR="0005512A" w:rsidRPr="00FD5416" w:rsidRDefault="00897462" w:rsidP="0005512A">
            <w:pPr>
              <w:keepNext/>
              <w:keepLines/>
              <w:spacing w:before="120"/>
              <w:jc w:val="center"/>
              <w:rPr>
                <w:sz w:val="20"/>
              </w:rPr>
            </w:pPr>
            <w:r w:rsidRPr="00897462">
              <w:rPr>
                <w:sz w:val="20"/>
              </w:rPr>
              <w:t>15</w:t>
            </w:r>
          </w:p>
        </w:tc>
        <w:tc>
          <w:tcPr>
            <w:tcW w:w="1560" w:type="dxa"/>
            <w:vMerge w:val="restart"/>
            <w:vAlign w:val="center"/>
          </w:tcPr>
          <w:p w14:paraId="5D9ABF02" w14:textId="77777777" w:rsidR="0005512A" w:rsidRPr="00FD5416" w:rsidRDefault="00897462" w:rsidP="0005512A">
            <w:pPr>
              <w:keepNext/>
              <w:keepLines/>
              <w:spacing w:before="120"/>
              <w:jc w:val="center"/>
              <w:rPr>
                <w:sz w:val="20"/>
              </w:rPr>
            </w:pPr>
            <w:r w:rsidRPr="00897462">
              <w:rPr>
                <w:sz w:val="20"/>
              </w:rPr>
              <w:t>6</w:t>
            </w:r>
          </w:p>
        </w:tc>
      </w:tr>
      <w:tr w:rsidR="0005512A" w:rsidRPr="00FD5416" w14:paraId="637B89F8" w14:textId="77777777" w:rsidTr="00CA5D27">
        <w:trPr>
          <w:trHeight w:val="270"/>
        </w:trPr>
        <w:tc>
          <w:tcPr>
            <w:tcW w:w="1304" w:type="dxa"/>
            <w:vMerge/>
            <w:shd w:val="clear" w:color="auto" w:fill="D9D9D9"/>
          </w:tcPr>
          <w:p w14:paraId="21C3CB4C" w14:textId="77777777" w:rsidR="0005512A" w:rsidRPr="00FD5416" w:rsidRDefault="0005512A" w:rsidP="0005512A">
            <w:pPr>
              <w:keepNext/>
              <w:keepLines/>
              <w:spacing w:before="120"/>
              <w:rPr>
                <w:b/>
                <w:sz w:val="20"/>
              </w:rPr>
            </w:pPr>
          </w:p>
        </w:tc>
        <w:tc>
          <w:tcPr>
            <w:tcW w:w="1276" w:type="dxa"/>
            <w:vMerge/>
            <w:vAlign w:val="center"/>
          </w:tcPr>
          <w:p w14:paraId="6F5AF63A" w14:textId="77777777" w:rsidR="0005512A" w:rsidRPr="00FD5416" w:rsidRDefault="0005512A" w:rsidP="0005512A">
            <w:pPr>
              <w:keepNext/>
              <w:keepLines/>
              <w:spacing w:before="120"/>
              <w:jc w:val="center"/>
              <w:rPr>
                <w:sz w:val="20"/>
              </w:rPr>
            </w:pPr>
          </w:p>
        </w:tc>
        <w:tc>
          <w:tcPr>
            <w:tcW w:w="1286" w:type="dxa"/>
            <w:vAlign w:val="center"/>
          </w:tcPr>
          <w:p w14:paraId="0FA50430" w14:textId="77777777" w:rsidR="0005512A" w:rsidRPr="00FD5416" w:rsidRDefault="00897462" w:rsidP="0005512A">
            <w:pPr>
              <w:keepNext/>
              <w:keepLines/>
              <w:spacing w:before="120"/>
              <w:rPr>
                <w:sz w:val="20"/>
              </w:rPr>
            </w:pPr>
            <w:r w:rsidRPr="00897462">
              <w:rPr>
                <w:sz w:val="20"/>
              </w:rPr>
              <w:t>Female: 3.7</w:t>
            </w:r>
          </w:p>
        </w:tc>
        <w:tc>
          <w:tcPr>
            <w:tcW w:w="1204" w:type="dxa"/>
            <w:vAlign w:val="center"/>
          </w:tcPr>
          <w:p w14:paraId="489E5551" w14:textId="77777777" w:rsidR="0005512A" w:rsidRPr="00FD5416" w:rsidRDefault="00897462" w:rsidP="0005512A">
            <w:pPr>
              <w:keepNext/>
              <w:keepLines/>
              <w:spacing w:before="120"/>
              <w:rPr>
                <w:sz w:val="20"/>
              </w:rPr>
            </w:pPr>
            <w:r w:rsidRPr="00897462">
              <w:rPr>
                <w:sz w:val="20"/>
              </w:rPr>
              <w:t>Female: 2.7</w:t>
            </w:r>
          </w:p>
        </w:tc>
        <w:tc>
          <w:tcPr>
            <w:tcW w:w="1275" w:type="dxa"/>
            <w:vMerge/>
            <w:vAlign w:val="center"/>
          </w:tcPr>
          <w:p w14:paraId="7D3BE0E2" w14:textId="77777777" w:rsidR="0005512A" w:rsidRPr="00FD5416" w:rsidRDefault="0005512A" w:rsidP="0005512A">
            <w:pPr>
              <w:keepNext/>
              <w:keepLines/>
              <w:spacing w:before="120"/>
              <w:jc w:val="center"/>
              <w:rPr>
                <w:sz w:val="20"/>
              </w:rPr>
            </w:pPr>
          </w:p>
        </w:tc>
        <w:tc>
          <w:tcPr>
            <w:tcW w:w="1134" w:type="dxa"/>
            <w:vMerge/>
            <w:vAlign w:val="center"/>
          </w:tcPr>
          <w:p w14:paraId="7D2F43D8" w14:textId="77777777" w:rsidR="0005512A" w:rsidRPr="00FD5416" w:rsidRDefault="0005512A" w:rsidP="0005512A">
            <w:pPr>
              <w:keepNext/>
              <w:keepLines/>
              <w:spacing w:before="120"/>
              <w:jc w:val="center"/>
              <w:rPr>
                <w:sz w:val="20"/>
              </w:rPr>
            </w:pPr>
          </w:p>
        </w:tc>
        <w:tc>
          <w:tcPr>
            <w:tcW w:w="1560" w:type="dxa"/>
            <w:vMerge/>
            <w:vAlign w:val="center"/>
          </w:tcPr>
          <w:p w14:paraId="194ABE84" w14:textId="77777777" w:rsidR="0005512A" w:rsidRPr="00FD5416" w:rsidRDefault="0005512A" w:rsidP="0005512A">
            <w:pPr>
              <w:keepNext/>
              <w:keepLines/>
              <w:spacing w:before="120"/>
              <w:jc w:val="center"/>
              <w:rPr>
                <w:sz w:val="20"/>
              </w:rPr>
            </w:pPr>
          </w:p>
        </w:tc>
      </w:tr>
      <w:tr w:rsidR="0005512A" w:rsidRPr="00FD5416" w14:paraId="6BC9FE4B" w14:textId="77777777" w:rsidTr="00CA5D27">
        <w:trPr>
          <w:trHeight w:val="271"/>
        </w:trPr>
        <w:tc>
          <w:tcPr>
            <w:tcW w:w="1304" w:type="dxa"/>
            <w:vMerge w:val="restart"/>
            <w:shd w:val="clear" w:color="auto" w:fill="D9D9D9"/>
          </w:tcPr>
          <w:p w14:paraId="1568DBE4" w14:textId="77777777" w:rsidR="0005512A" w:rsidRPr="00FD5416" w:rsidRDefault="00897462" w:rsidP="0005512A">
            <w:pPr>
              <w:keepNext/>
              <w:keepLines/>
              <w:spacing w:before="120"/>
              <w:rPr>
                <w:b/>
                <w:sz w:val="20"/>
              </w:rPr>
            </w:pPr>
            <w:r w:rsidRPr="00897462">
              <w:rPr>
                <w:b/>
                <w:sz w:val="20"/>
              </w:rPr>
              <w:t>Paraquat dichloride</w:t>
            </w:r>
          </w:p>
        </w:tc>
        <w:tc>
          <w:tcPr>
            <w:tcW w:w="1276" w:type="dxa"/>
            <w:vMerge w:val="restart"/>
            <w:vAlign w:val="center"/>
          </w:tcPr>
          <w:p w14:paraId="72C889C6" w14:textId="77777777" w:rsidR="0005512A" w:rsidRPr="00FD5416" w:rsidRDefault="00897462" w:rsidP="0005512A">
            <w:pPr>
              <w:keepNext/>
              <w:keepLines/>
              <w:spacing w:before="120"/>
              <w:jc w:val="center"/>
              <w:rPr>
                <w:sz w:val="20"/>
              </w:rPr>
            </w:pPr>
            <w:r w:rsidRPr="00897462">
              <w:rPr>
                <w:sz w:val="20"/>
              </w:rPr>
              <w:t>50</w:t>
            </w:r>
          </w:p>
        </w:tc>
        <w:tc>
          <w:tcPr>
            <w:tcW w:w="1286" w:type="dxa"/>
            <w:vAlign w:val="center"/>
          </w:tcPr>
          <w:p w14:paraId="125A69DE" w14:textId="77777777" w:rsidR="0005512A" w:rsidRPr="00FD5416" w:rsidRDefault="00897462" w:rsidP="0005512A">
            <w:pPr>
              <w:keepNext/>
              <w:keepLines/>
              <w:spacing w:before="120"/>
              <w:rPr>
                <w:sz w:val="20"/>
              </w:rPr>
            </w:pPr>
            <w:r w:rsidRPr="00897462">
              <w:rPr>
                <w:sz w:val="20"/>
              </w:rPr>
              <w:t>Male: 14.1</w:t>
            </w:r>
          </w:p>
        </w:tc>
        <w:tc>
          <w:tcPr>
            <w:tcW w:w="1204" w:type="dxa"/>
            <w:vAlign w:val="center"/>
          </w:tcPr>
          <w:p w14:paraId="319C23B8" w14:textId="77777777" w:rsidR="0005512A" w:rsidRPr="00FD5416" w:rsidRDefault="00897462" w:rsidP="0005512A">
            <w:pPr>
              <w:keepNext/>
              <w:keepLines/>
              <w:spacing w:before="120"/>
              <w:rPr>
                <w:sz w:val="20"/>
              </w:rPr>
            </w:pPr>
            <w:r w:rsidRPr="00897462">
              <w:rPr>
                <w:sz w:val="20"/>
              </w:rPr>
              <w:t>Male: 10.2</w:t>
            </w:r>
          </w:p>
        </w:tc>
        <w:tc>
          <w:tcPr>
            <w:tcW w:w="1275" w:type="dxa"/>
            <w:vMerge w:val="restart"/>
            <w:vAlign w:val="center"/>
          </w:tcPr>
          <w:p w14:paraId="4E131AEA" w14:textId="77777777" w:rsidR="0005512A" w:rsidRPr="00FD5416" w:rsidRDefault="00897462" w:rsidP="0005512A">
            <w:pPr>
              <w:keepNext/>
              <w:keepLines/>
              <w:spacing w:before="120"/>
              <w:jc w:val="center"/>
              <w:rPr>
                <w:sz w:val="20"/>
              </w:rPr>
            </w:pPr>
            <w:r w:rsidRPr="00897462">
              <w:rPr>
                <w:sz w:val="20"/>
              </w:rPr>
              <w:t>20</w:t>
            </w:r>
          </w:p>
        </w:tc>
        <w:tc>
          <w:tcPr>
            <w:tcW w:w="1134" w:type="dxa"/>
            <w:vMerge w:val="restart"/>
            <w:vAlign w:val="center"/>
          </w:tcPr>
          <w:p w14:paraId="4DFC7160" w14:textId="77777777" w:rsidR="0005512A" w:rsidRPr="00FD5416" w:rsidRDefault="00897462" w:rsidP="0005512A">
            <w:pPr>
              <w:keepNext/>
              <w:keepLines/>
              <w:spacing w:before="120"/>
              <w:jc w:val="center"/>
              <w:rPr>
                <w:sz w:val="20"/>
              </w:rPr>
            </w:pPr>
            <w:r w:rsidRPr="00897462">
              <w:rPr>
                <w:sz w:val="20"/>
              </w:rPr>
              <w:t>15</w:t>
            </w:r>
          </w:p>
        </w:tc>
        <w:tc>
          <w:tcPr>
            <w:tcW w:w="1560" w:type="dxa"/>
            <w:vMerge w:val="restart"/>
            <w:vAlign w:val="center"/>
          </w:tcPr>
          <w:p w14:paraId="68965F11" w14:textId="77777777" w:rsidR="0005512A" w:rsidRPr="00FD5416" w:rsidRDefault="00897462" w:rsidP="0005512A">
            <w:pPr>
              <w:keepNext/>
              <w:keepLines/>
              <w:spacing w:before="120"/>
              <w:jc w:val="center"/>
              <w:rPr>
                <w:sz w:val="20"/>
              </w:rPr>
            </w:pPr>
            <w:r w:rsidRPr="00897462">
              <w:rPr>
                <w:sz w:val="20"/>
              </w:rPr>
              <w:t>6</w:t>
            </w:r>
          </w:p>
        </w:tc>
      </w:tr>
      <w:tr w:rsidR="0005512A" w:rsidRPr="00FD5416" w14:paraId="103E1ED6" w14:textId="77777777" w:rsidTr="00CA5D27">
        <w:trPr>
          <w:trHeight w:val="270"/>
        </w:trPr>
        <w:tc>
          <w:tcPr>
            <w:tcW w:w="1304" w:type="dxa"/>
            <w:vMerge/>
            <w:shd w:val="clear" w:color="auto" w:fill="D9D9D9"/>
          </w:tcPr>
          <w:p w14:paraId="3F2D6B66" w14:textId="77777777" w:rsidR="0005512A" w:rsidRPr="00FD5416" w:rsidRDefault="0005512A" w:rsidP="0005512A">
            <w:pPr>
              <w:keepNext/>
              <w:keepLines/>
              <w:spacing w:before="120"/>
              <w:rPr>
                <w:b/>
                <w:sz w:val="20"/>
              </w:rPr>
            </w:pPr>
          </w:p>
        </w:tc>
        <w:tc>
          <w:tcPr>
            <w:tcW w:w="1276" w:type="dxa"/>
            <w:vMerge/>
            <w:vAlign w:val="center"/>
          </w:tcPr>
          <w:p w14:paraId="4C7DEE1D" w14:textId="77777777" w:rsidR="0005512A" w:rsidRPr="00FD5416" w:rsidRDefault="0005512A" w:rsidP="0005512A">
            <w:pPr>
              <w:keepNext/>
              <w:keepLines/>
              <w:spacing w:before="120"/>
              <w:jc w:val="center"/>
              <w:rPr>
                <w:sz w:val="20"/>
              </w:rPr>
            </w:pPr>
          </w:p>
        </w:tc>
        <w:tc>
          <w:tcPr>
            <w:tcW w:w="1286" w:type="dxa"/>
            <w:vAlign w:val="center"/>
          </w:tcPr>
          <w:p w14:paraId="1624A202" w14:textId="77777777" w:rsidR="0005512A" w:rsidRPr="00FD5416" w:rsidRDefault="00897462" w:rsidP="0005512A">
            <w:pPr>
              <w:keepNext/>
              <w:keepLines/>
              <w:spacing w:before="120"/>
              <w:rPr>
                <w:sz w:val="20"/>
              </w:rPr>
            </w:pPr>
            <w:r w:rsidRPr="00897462">
              <w:rPr>
                <w:sz w:val="20"/>
              </w:rPr>
              <w:t>Female: 21.5</w:t>
            </w:r>
          </w:p>
        </w:tc>
        <w:tc>
          <w:tcPr>
            <w:tcW w:w="1204" w:type="dxa"/>
            <w:vAlign w:val="center"/>
          </w:tcPr>
          <w:p w14:paraId="1667E78B" w14:textId="77777777" w:rsidR="0005512A" w:rsidRPr="00FD5416" w:rsidRDefault="00897462" w:rsidP="0005512A">
            <w:pPr>
              <w:keepNext/>
              <w:keepLines/>
              <w:spacing w:before="120"/>
              <w:rPr>
                <w:sz w:val="20"/>
              </w:rPr>
            </w:pPr>
            <w:r w:rsidRPr="00897462">
              <w:rPr>
                <w:sz w:val="20"/>
              </w:rPr>
              <w:t>Female: 15.6</w:t>
            </w:r>
          </w:p>
        </w:tc>
        <w:tc>
          <w:tcPr>
            <w:tcW w:w="1275" w:type="dxa"/>
            <w:vMerge/>
            <w:vAlign w:val="center"/>
          </w:tcPr>
          <w:p w14:paraId="2B2A778B" w14:textId="77777777" w:rsidR="0005512A" w:rsidRPr="00FD5416" w:rsidRDefault="0005512A" w:rsidP="0005512A">
            <w:pPr>
              <w:keepNext/>
              <w:keepLines/>
              <w:spacing w:before="120"/>
              <w:jc w:val="center"/>
              <w:rPr>
                <w:sz w:val="20"/>
              </w:rPr>
            </w:pPr>
          </w:p>
        </w:tc>
        <w:tc>
          <w:tcPr>
            <w:tcW w:w="1134" w:type="dxa"/>
            <w:vMerge/>
            <w:vAlign w:val="center"/>
          </w:tcPr>
          <w:p w14:paraId="1738E43E" w14:textId="77777777" w:rsidR="0005512A" w:rsidRPr="00FD5416" w:rsidRDefault="0005512A" w:rsidP="0005512A">
            <w:pPr>
              <w:keepNext/>
              <w:keepLines/>
              <w:spacing w:before="120"/>
              <w:jc w:val="center"/>
              <w:rPr>
                <w:sz w:val="20"/>
              </w:rPr>
            </w:pPr>
          </w:p>
        </w:tc>
        <w:tc>
          <w:tcPr>
            <w:tcW w:w="1560" w:type="dxa"/>
            <w:vMerge/>
            <w:vAlign w:val="center"/>
          </w:tcPr>
          <w:p w14:paraId="7C98E2B4" w14:textId="77777777" w:rsidR="0005512A" w:rsidRPr="00FD5416" w:rsidRDefault="0005512A" w:rsidP="0005512A">
            <w:pPr>
              <w:keepNext/>
              <w:keepLines/>
              <w:spacing w:before="120"/>
              <w:jc w:val="center"/>
              <w:rPr>
                <w:sz w:val="20"/>
              </w:rPr>
            </w:pPr>
          </w:p>
        </w:tc>
      </w:tr>
      <w:tr w:rsidR="0005512A" w:rsidRPr="00FD5416" w14:paraId="4EF3A99D" w14:textId="77777777" w:rsidTr="00CA5D27">
        <w:tc>
          <w:tcPr>
            <w:tcW w:w="1304" w:type="dxa"/>
            <w:shd w:val="clear" w:color="auto" w:fill="D9D9D9"/>
          </w:tcPr>
          <w:p w14:paraId="3A31AC91" w14:textId="77777777" w:rsidR="0005512A" w:rsidRPr="00FD5416" w:rsidRDefault="00897462" w:rsidP="0005512A">
            <w:pPr>
              <w:keepNext/>
              <w:keepLines/>
              <w:spacing w:before="120"/>
              <w:rPr>
                <w:b/>
                <w:sz w:val="20"/>
              </w:rPr>
            </w:pPr>
            <w:r w:rsidRPr="00897462">
              <w:rPr>
                <w:b/>
                <w:sz w:val="20"/>
              </w:rPr>
              <w:t>Positive control</w:t>
            </w:r>
            <w:r w:rsidRPr="00897462">
              <w:rPr>
                <w:b/>
                <w:sz w:val="20"/>
                <w:vertAlign w:val="superscript"/>
              </w:rPr>
              <w:t>*</w:t>
            </w:r>
          </w:p>
        </w:tc>
        <w:tc>
          <w:tcPr>
            <w:tcW w:w="1276" w:type="dxa"/>
            <w:vAlign w:val="center"/>
          </w:tcPr>
          <w:p w14:paraId="1EB612B1" w14:textId="77777777" w:rsidR="0005512A" w:rsidRPr="00FD5416" w:rsidRDefault="00897462" w:rsidP="0005512A">
            <w:pPr>
              <w:keepNext/>
              <w:keepLines/>
              <w:spacing w:before="120"/>
              <w:jc w:val="center"/>
              <w:rPr>
                <w:sz w:val="20"/>
              </w:rPr>
            </w:pPr>
            <w:r w:rsidRPr="00897462">
              <w:rPr>
                <w:sz w:val="20"/>
              </w:rPr>
              <w:t>0</w:t>
            </w:r>
          </w:p>
        </w:tc>
        <w:tc>
          <w:tcPr>
            <w:tcW w:w="1286" w:type="dxa"/>
            <w:vAlign w:val="center"/>
          </w:tcPr>
          <w:p w14:paraId="49F7C5E0" w14:textId="77777777" w:rsidR="0005512A" w:rsidRPr="00FD5416" w:rsidRDefault="00897462" w:rsidP="0005512A">
            <w:pPr>
              <w:keepNext/>
              <w:keepLines/>
              <w:spacing w:before="120"/>
              <w:jc w:val="center"/>
              <w:rPr>
                <w:sz w:val="20"/>
              </w:rPr>
            </w:pPr>
            <w:r w:rsidRPr="00897462">
              <w:rPr>
                <w:sz w:val="20"/>
              </w:rPr>
              <w:t>0</w:t>
            </w:r>
          </w:p>
        </w:tc>
        <w:tc>
          <w:tcPr>
            <w:tcW w:w="1204" w:type="dxa"/>
            <w:vAlign w:val="center"/>
          </w:tcPr>
          <w:p w14:paraId="416EF758" w14:textId="77777777" w:rsidR="0005512A" w:rsidRPr="00FD5416" w:rsidRDefault="00897462" w:rsidP="0005512A">
            <w:pPr>
              <w:keepNext/>
              <w:keepLines/>
              <w:spacing w:before="120"/>
              <w:jc w:val="center"/>
              <w:rPr>
                <w:sz w:val="20"/>
              </w:rPr>
            </w:pPr>
            <w:r w:rsidRPr="00897462">
              <w:rPr>
                <w:sz w:val="20"/>
              </w:rPr>
              <w:t>0</w:t>
            </w:r>
          </w:p>
        </w:tc>
        <w:tc>
          <w:tcPr>
            <w:tcW w:w="1275" w:type="dxa"/>
            <w:vAlign w:val="center"/>
          </w:tcPr>
          <w:p w14:paraId="5913C40F" w14:textId="77777777" w:rsidR="0005512A" w:rsidRPr="00FD5416" w:rsidRDefault="00897462" w:rsidP="0005512A">
            <w:pPr>
              <w:keepNext/>
              <w:keepLines/>
              <w:spacing w:before="120"/>
              <w:jc w:val="center"/>
              <w:rPr>
                <w:sz w:val="20"/>
              </w:rPr>
            </w:pPr>
            <w:r w:rsidRPr="00897462">
              <w:rPr>
                <w:sz w:val="20"/>
              </w:rPr>
              <w:t>20</w:t>
            </w:r>
          </w:p>
        </w:tc>
        <w:tc>
          <w:tcPr>
            <w:tcW w:w="1134" w:type="dxa"/>
            <w:vAlign w:val="center"/>
          </w:tcPr>
          <w:p w14:paraId="66554C2A" w14:textId="77777777" w:rsidR="0005512A" w:rsidRPr="00FD5416" w:rsidRDefault="00897462" w:rsidP="0005512A">
            <w:pPr>
              <w:keepNext/>
              <w:keepLines/>
              <w:spacing w:before="120"/>
              <w:jc w:val="center"/>
              <w:rPr>
                <w:sz w:val="20"/>
              </w:rPr>
            </w:pPr>
            <w:r w:rsidRPr="00897462">
              <w:rPr>
                <w:sz w:val="20"/>
              </w:rPr>
              <w:t>5</w:t>
            </w:r>
          </w:p>
        </w:tc>
        <w:tc>
          <w:tcPr>
            <w:tcW w:w="1560" w:type="dxa"/>
            <w:vAlign w:val="center"/>
          </w:tcPr>
          <w:p w14:paraId="7157C37E" w14:textId="77777777" w:rsidR="0005512A" w:rsidRPr="00FD5416" w:rsidRDefault="00897462" w:rsidP="0005512A">
            <w:pPr>
              <w:keepNext/>
              <w:keepLines/>
              <w:spacing w:before="120"/>
              <w:jc w:val="center"/>
              <w:rPr>
                <w:sz w:val="20"/>
              </w:rPr>
            </w:pPr>
            <w:r w:rsidRPr="00897462">
              <w:rPr>
                <w:sz w:val="20"/>
              </w:rPr>
              <w:t>6</w:t>
            </w:r>
          </w:p>
        </w:tc>
      </w:tr>
      <w:tr w:rsidR="0005512A" w:rsidRPr="00FD5416" w14:paraId="41947F37" w14:textId="77777777" w:rsidTr="0005512A">
        <w:tc>
          <w:tcPr>
            <w:tcW w:w="5070" w:type="dxa"/>
            <w:gridSpan w:val="4"/>
            <w:shd w:val="clear" w:color="auto" w:fill="D9D9D9"/>
            <w:vAlign w:val="center"/>
          </w:tcPr>
          <w:p w14:paraId="74BEDB27" w14:textId="77777777" w:rsidR="0005512A" w:rsidRPr="00C34954" w:rsidRDefault="00897462" w:rsidP="0005512A">
            <w:pPr>
              <w:keepNext/>
              <w:keepLines/>
              <w:spacing w:before="120"/>
              <w:rPr>
                <w:sz w:val="20"/>
              </w:rPr>
            </w:pPr>
            <w:r w:rsidRPr="00C34954">
              <w:rPr>
                <w:b/>
                <w:sz w:val="20"/>
              </w:rPr>
              <w:t>Time of scheduled euthanasia (day of study)</w:t>
            </w:r>
          </w:p>
        </w:tc>
        <w:tc>
          <w:tcPr>
            <w:tcW w:w="1275" w:type="dxa"/>
            <w:vAlign w:val="center"/>
          </w:tcPr>
          <w:p w14:paraId="58EA4F51" w14:textId="77777777" w:rsidR="0005512A" w:rsidRPr="00C34954" w:rsidRDefault="00897462" w:rsidP="0005512A">
            <w:pPr>
              <w:keepNext/>
              <w:keepLines/>
              <w:spacing w:before="120"/>
              <w:jc w:val="center"/>
              <w:rPr>
                <w:sz w:val="20"/>
              </w:rPr>
            </w:pPr>
            <w:r w:rsidRPr="00C34954">
              <w:rPr>
                <w:sz w:val="20"/>
              </w:rPr>
              <w:t>Day 91, 92, 93 or 94</w:t>
            </w:r>
          </w:p>
        </w:tc>
        <w:tc>
          <w:tcPr>
            <w:tcW w:w="1134" w:type="dxa"/>
            <w:vAlign w:val="center"/>
          </w:tcPr>
          <w:p w14:paraId="2FF1C2D9" w14:textId="77777777" w:rsidR="0005512A" w:rsidRPr="00C34954" w:rsidRDefault="00897462" w:rsidP="0005512A">
            <w:pPr>
              <w:keepNext/>
              <w:keepLines/>
              <w:spacing w:before="120"/>
              <w:jc w:val="center"/>
              <w:rPr>
                <w:sz w:val="20"/>
              </w:rPr>
            </w:pPr>
            <w:r w:rsidRPr="00C34954">
              <w:rPr>
                <w:sz w:val="20"/>
              </w:rPr>
              <w:t>5/sex on day 31, 59 or 94</w:t>
            </w:r>
          </w:p>
          <w:p w14:paraId="68CCD24D" w14:textId="77777777" w:rsidR="0005512A" w:rsidRPr="00C34954" w:rsidRDefault="00897462" w:rsidP="0005512A">
            <w:pPr>
              <w:keepNext/>
              <w:keepLines/>
              <w:spacing w:before="120"/>
              <w:jc w:val="center"/>
              <w:rPr>
                <w:sz w:val="20"/>
              </w:rPr>
            </w:pPr>
            <w:r w:rsidRPr="00C34954">
              <w:rPr>
                <w:sz w:val="20"/>
              </w:rPr>
              <w:t>(Positive control: all at wk 13)</w:t>
            </w:r>
          </w:p>
        </w:tc>
        <w:tc>
          <w:tcPr>
            <w:tcW w:w="1560" w:type="dxa"/>
            <w:vAlign w:val="center"/>
          </w:tcPr>
          <w:p w14:paraId="14ACBB27" w14:textId="77777777" w:rsidR="0005512A" w:rsidRPr="00C34954" w:rsidRDefault="00897462" w:rsidP="0005512A">
            <w:pPr>
              <w:keepNext/>
              <w:keepLines/>
              <w:spacing w:before="120"/>
              <w:jc w:val="center"/>
              <w:rPr>
                <w:sz w:val="20"/>
              </w:rPr>
            </w:pPr>
            <w:r w:rsidRPr="00C34954">
              <w:rPr>
                <w:sz w:val="20"/>
              </w:rPr>
              <w:t>All at day 95</w:t>
            </w:r>
          </w:p>
        </w:tc>
      </w:tr>
    </w:tbl>
    <w:p w14:paraId="78E135B9" w14:textId="77777777" w:rsidR="0005512A" w:rsidRPr="002B2CFC" w:rsidRDefault="0005512A" w:rsidP="0005512A">
      <w:pPr>
        <w:keepNext/>
        <w:keepLines/>
        <w:rPr>
          <w:sz w:val="20"/>
        </w:rPr>
      </w:pPr>
      <w:r w:rsidRPr="002B2CFC">
        <w:rPr>
          <w:sz w:val="20"/>
        </w:rPr>
        <w:t># Summation of mean test substance consumption/number of weeks assessed (13).</w:t>
      </w:r>
    </w:p>
    <w:p w14:paraId="72D6E4C1" w14:textId="77777777" w:rsidR="0005512A" w:rsidRPr="002B2CFC" w:rsidRDefault="0005512A" w:rsidP="0005512A">
      <w:pPr>
        <w:keepNext/>
        <w:keepLines/>
        <w:rPr>
          <w:sz w:val="20"/>
        </w:rPr>
      </w:pPr>
      <w:r w:rsidRPr="002B2CFC">
        <w:rPr>
          <w:sz w:val="20"/>
        </w:rPr>
        <w:t>* Animals in the positive control group received untreated diet throughout the study. Seven days prior to scheduled euthanasia, they were administered 1-methyl-4-phenyl-1,2,3,6- tetrahydropyridine (MPTP)-HCl ( 4 i</w:t>
      </w:r>
      <w:r>
        <w:rPr>
          <w:sz w:val="20"/>
        </w:rPr>
        <w:t>p</w:t>
      </w:r>
      <w:r w:rsidRPr="002B2CFC">
        <w:rPr>
          <w:sz w:val="20"/>
        </w:rPr>
        <w:t>. injections at 10 mg (free base)/kg/dose [4 mg/mL] delivered approximately 2 hours apart. Dose volume: 2.5 mL/kg/dose.</w:t>
      </w:r>
    </w:p>
    <w:p w14:paraId="3912A558" w14:textId="77777777" w:rsidR="0005512A" w:rsidRPr="002B2CFC" w:rsidRDefault="0005512A" w:rsidP="0005512A">
      <w:pPr>
        <w:rPr>
          <w:szCs w:val="24"/>
          <w:lang w:val="en-US" w:eastAsia="en-US"/>
        </w:rPr>
      </w:pPr>
    </w:p>
    <w:p w14:paraId="1B5DE3BC" w14:textId="77777777" w:rsidR="0005512A" w:rsidRPr="002B2CFC" w:rsidRDefault="0005512A" w:rsidP="0005512A">
      <w:pPr>
        <w:rPr>
          <w:szCs w:val="24"/>
          <w:lang w:val="en-US" w:eastAsia="en-US"/>
        </w:rPr>
      </w:pPr>
      <w:r w:rsidRPr="002B2CFC">
        <w:rPr>
          <w:szCs w:val="24"/>
          <w:lang w:val="en-US" w:eastAsia="en-US"/>
        </w:rPr>
        <w:t xml:space="preserve">The study author stated that the number of mice selected for this study, specifically 20/sex/dose for the stereology subset, was calculated as the number required to detect an approximately 20% reduction in neuronal cells (based on results from previous stereology studies). </w:t>
      </w:r>
    </w:p>
    <w:p w14:paraId="7BF650B3" w14:textId="77777777" w:rsidR="0005512A" w:rsidRPr="002B2CFC" w:rsidRDefault="0005512A" w:rsidP="0005512A">
      <w:pPr>
        <w:rPr>
          <w:szCs w:val="24"/>
          <w:lang w:val="en-US" w:eastAsia="en-US"/>
        </w:rPr>
      </w:pPr>
    </w:p>
    <w:p w14:paraId="3382E614" w14:textId="39765561" w:rsidR="0005512A" w:rsidRDefault="0005512A" w:rsidP="0005512A">
      <w:pPr>
        <w:rPr>
          <w:szCs w:val="24"/>
          <w:lang w:val="en-US" w:eastAsia="en-US"/>
        </w:rPr>
      </w:pPr>
      <w:r w:rsidRPr="002B2CFC">
        <w:rPr>
          <w:szCs w:val="24"/>
          <w:lang w:val="en-US" w:eastAsia="en-US"/>
        </w:rPr>
        <w:t xml:space="preserve">Mice were acclimated for a minimum 20 days and housed individually </w:t>
      </w:r>
      <w:r w:rsidR="00776B42">
        <w:rPr>
          <w:szCs w:val="24"/>
          <w:lang w:val="en-US" w:eastAsia="en-US"/>
        </w:rPr>
        <w:t>under</w:t>
      </w:r>
      <w:r w:rsidR="00776B42" w:rsidRPr="002B2CFC">
        <w:rPr>
          <w:szCs w:val="24"/>
          <w:lang w:val="en-US" w:eastAsia="en-US"/>
        </w:rPr>
        <w:t xml:space="preserve"> </w:t>
      </w:r>
      <w:r w:rsidRPr="002B2CFC">
        <w:rPr>
          <w:szCs w:val="24"/>
          <w:lang w:val="en-US" w:eastAsia="en-US"/>
        </w:rPr>
        <w:t>standard laboratory conditions Two weeks prior to study commencement, mice were examined, weighed and assigned to study groups (</w:t>
      </w:r>
      <w:r w:rsidR="00F07346">
        <w:fldChar w:fldCharType="begin"/>
      </w:r>
      <w:r w:rsidR="00F07346">
        <w:instrText xml:space="preserve"> REF _Ref410219094 \h  \* MERGEFORMAT </w:instrText>
      </w:r>
      <w:r w:rsidR="00F07346">
        <w:fldChar w:fldCharType="separate"/>
      </w:r>
      <w:r w:rsidR="000E54B2" w:rsidRPr="000E54B2">
        <w:rPr>
          <w:bCs/>
          <w:szCs w:val="24"/>
          <w:lang w:val="en-US" w:eastAsia="en-US"/>
        </w:rPr>
        <w:t xml:space="preserve">Table </w:t>
      </w:r>
      <w:r w:rsidR="000E54B2" w:rsidRPr="000E54B2">
        <w:rPr>
          <w:bCs/>
          <w:noProof/>
          <w:szCs w:val="24"/>
          <w:lang w:val="en-US" w:eastAsia="en-US"/>
        </w:rPr>
        <w:t>23</w:t>
      </w:r>
      <w:r w:rsidR="00F07346">
        <w:fldChar w:fldCharType="end"/>
      </w:r>
      <w:r w:rsidR="00714492">
        <w:t xml:space="preserve"> </w:t>
      </w:r>
      <w:r w:rsidR="003A31EB">
        <w:fldChar w:fldCharType="begin"/>
      </w:r>
      <w:r w:rsidR="003A31EB">
        <w:instrText xml:space="preserve"> REF _Ref459037695 \p </w:instrText>
      </w:r>
      <w:r w:rsidR="003A31EB">
        <w:fldChar w:fldCharType="separate"/>
      </w:r>
      <w:r w:rsidR="000E54B2">
        <w:t>above</w:t>
      </w:r>
      <w:r w:rsidR="003A31EB">
        <w:fldChar w:fldCharType="end"/>
      </w:r>
      <w:r w:rsidRPr="002B2CFC">
        <w:rPr>
          <w:szCs w:val="24"/>
          <w:lang w:val="en-US" w:eastAsia="en-US"/>
        </w:rPr>
        <w:t xml:space="preserve">), including three subsets of endpoints within each of the four groups (stereological assessment, pathological evaluation and neurochemistry assessment). Feed and water was offered </w:t>
      </w:r>
      <w:r w:rsidRPr="002B2CFC">
        <w:rPr>
          <w:i/>
          <w:szCs w:val="24"/>
          <w:lang w:val="en-US" w:eastAsia="en-US"/>
        </w:rPr>
        <w:t>ad libitum</w:t>
      </w:r>
      <w:r w:rsidRPr="002B2CFC">
        <w:rPr>
          <w:szCs w:val="24"/>
          <w:lang w:val="en-US" w:eastAsia="en-US"/>
        </w:rPr>
        <w:t xml:space="preserve">. </w:t>
      </w:r>
    </w:p>
    <w:p w14:paraId="3FC15B44" w14:textId="77777777" w:rsidR="0005512A" w:rsidRPr="002B2CFC" w:rsidRDefault="0005512A" w:rsidP="0005512A">
      <w:pPr>
        <w:rPr>
          <w:szCs w:val="24"/>
          <w:lang w:val="en-US" w:eastAsia="en-US"/>
        </w:rPr>
      </w:pPr>
    </w:p>
    <w:p w14:paraId="77D71CE9" w14:textId="3F064388" w:rsidR="0005512A" w:rsidRPr="007D3CB1" w:rsidRDefault="0005512A" w:rsidP="0005512A">
      <w:pPr>
        <w:rPr>
          <w:szCs w:val="24"/>
          <w:lang w:val="en-US" w:eastAsia="en-US"/>
        </w:rPr>
      </w:pPr>
      <w:r w:rsidRPr="002B2CFC">
        <w:rPr>
          <w:szCs w:val="24"/>
          <w:lang w:val="en-US" w:eastAsia="en-US"/>
        </w:rPr>
        <w:t>Animals were observed twice daily for mortality and moribity and clinical observations were recorded weekly. Animals receiving MPTP were observed for toxicity approximately 1 hour following each dose. Body weight data was collected weekly from 2 weeks prior to test substance administration</w:t>
      </w:r>
      <w:r>
        <w:rPr>
          <w:szCs w:val="24"/>
          <w:lang w:val="en-US" w:eastAsia="en-US"/>
        </w:rPr>
        <w:t xml:space="preserve"> from which </w:t>
      </w:r>
      <w:r w:rsidRPr="002B2CFC">
        <w:rPr>
          <w:szCs w:val="24"/>
          <w:lang w:val="en-US" w:eastAsia="en-US"/>
        </w:rPr>
        <w:t>mean body weights and body weight changes were calculated</w:t>
      </w:r>
      <w:r>
        <w:rPr>
          <w:szCs w:val="24"/>
          <w:lang w:val="en-US" w:eastAsia="en-US"/>
        </w:rPr>
        <w:t>, including for the following intervals:</w:t>
      </w:r>
      <w:r w:rsidRPr="002B2CFC">
        <w:rPr>
          <w:szCs w:val="24"/>
          <w:lang w:val="en-US" w:eastAsia="en-US"/>
        </w:rPr>
        <w:t xml:space="preserve"> study days 0-28, 0-56 and 0-91. Food consumption was recorded weekly, from 2 weeks prior to test substance administration, and food intake was calculated as g/animal/d for the corresponding body weight change intervals. Mean test substance consumption (mg/kg bw/d) was determined</w:t>
      </w:r>
      <w:r w:rsidRPr="007D3CB1">
        <w:rPr>
          <w:szCs w:val="24"/>
          <w:lang w:val="en-US" w:eastAsia="en-US"/>
        </w:rPr>
        <w:t xml:space="preserve">. </w:t>
      </w:r>
    </w:p>
    <w:p w14:paraId="127D155A" w14:textId="77777777" w:rsidR="0005512A" w:rsidRPr="002B2CFC" w:rsidRDefault="0005512A" w:rsidP="0005512A">
      <w:pPr>
        <w:rPr>
          <w:szCs w:val="24"/>
          <w:lang w:val="en-US" w:eastAsia="en-US"/>
        </w:rPr>
      </w:pPr>
    </w:p>
    <w:p w14:paraId="63A8D72A" w14:textId="77777777" w:rsidR="0005512A" w:rsidRPr="002B2CFC" w:rsidRDefault="0005512A" w:rsidP="0005512A">
      <w:pPr>
        <w:rPr>
          <w:szCs w:val="24"/>
          <w:lang w:val="en-US" w:eastAsia="en-US"/>
        </w:rPr>
      </w:pPr>
      <w:r w:rsidRPr="002B2CFC">
        <w:rPr>
          <w:szCs w:val="24"/>
          <w:lang w:val="en-US" w:eastAsia="en-US"/>
        </w:rPr>
        <w:t>Test diets were prepared at concentrations of 10 and 50 ppm paraquat dichloride (the 10 ppm test diet was a dilution of the 50 ppm diet). Samples were collected in study weeks 0, 3, 7 and 12, with a repeat remix and analysis for the first 10 ppm diet due to out-of-specification results.</w:t>
      </w:r>
      <w:r>
        <w:rPr>
          <w:szCs w:val="24"/>
          <w:lang w:val="en-US" w:eastAsia="en-US"/>
        </w:rPr>
        <w:t xml:space="preserve"> </w:t>
      </w:r>
      <w:r w:rsidRPr="002B2CFC">
        <w:rPr>
          <w:szCs w:val="24"/>
          <w:lang w:val="en-US" w:eastAsia="en-US"/>
        </w:rPr>
        <w:t>The concentration of paraquat in the diet admix formulation was determined by a validated HPLC method using mass spectrometry (MS) detection. The method was validated</w:t>
      </w:r>
      <w:r>
        <w:rPr>
          <w:szCs w:val="24"/>
          <w:lang w:val="en-US" w:eastAsia="en-US"/>
        </w:rPr>
        <w:t xml:space="preserve">, </w:t>
      </w:r>
      <w:r w:rsidRPr="002B2CFC">
        <w:rPr>
          <w:szCs w:val="24"/>
          <w:lang w:val="en-US" w:eastAsia="en-US"/>
        </w:rPr>
        <w:t xml:space="preserve">but extended in this study to included concentrations as low as 7.50 ppm. The analysis was </w:t>
      </w:r>
      <w:r w:rsidRPr="002B2CFC">
        <w:rPr>
          <w:szCs w:val="24"/>
          <w:lang w:val="en-US" w:eastAsia="en-US"/>
        </w:rPr>
        <w:lastRenderedPageBreak/>
        <w:t xml:space="preserve">presented as a supplemental report (Beck, 2012e), providing detailed description of the </w:t>
      </w:r>
      <w:r>
        <w:rPr>
          <w:szCs w:val="24"/>
          <w:lang w:val="en-US" w:eastAsia="en-US"/>
        </w:rPr>
        <w:t>process</w:t>
      </w:r>
      <w:r w:rsidRPr="002B2CFC">
        <w:rPr>
          <w:szCs w:val="24"/>
          <w:lang w:val="en-US" w:eastAsia="en-US"/>
        </w:rPr>
        <w:t xml:space="preserve">. The MPTP formulation was also analysed. </w:t>
      </w:r>
    </w:p>
    <w:p w14:paraId="5F534C4F" w14:textId="77777777" w:rsidR="0005512A" w:rsidRPr="002B2CFC" w:rsidRDefault="0005512A" w:rsidP="0005512A">
      <w:pPr>
        <w:rPr>
          <w:szCs w:val="24"/>
          <w:lang w:val="en-US" w:eastAsia="en-US"/>
        </w:rPr>
      </w:pPr>
    </w:p>
    <w:p w14:paraId="19A35BAD" w14:textId="77777777" w:rsidR="0005512A" w:rsidRDefault="0005512A" w:rsidP="0005512A">
      <w:pPr>
        <w:rPr>
          <w:szCs w:val="24"/>
          <w:lang w:val="en-US" w:eastAsia="en-US"/>
        </w:rPr>
      </w:pPr>
      <w:r w:rsidRPr="002B2CFC">
        <w:rPr>
          <w:szCs w:val="24"/>
          <w:lang w:val="en-US" w:eastAsia="en-US"/>
        </w:rPr>
        <w:t xml:space="preserve">A complete necropsy was performed on all animals found dead or euthanised (by cervical dislocation) </w:t>
      </w:r>
      <w:r w:rsidRPr="002B2CFC">
        <w:rPr>
          <w:i/>
          <w:szCs w:val="24"/>
          <w:lang w:val="en-US" w:eastAsia="en-US"/>
        </w:rPr>
        <w:t>in extremis</w:t>
      </w:r>
      <w:r w:rsidRPr="002B2CFC">
        <w:rPr>
          <w:szCs w:val="24"/>
          <w:lang w:val="en-US" w:eastAsia="en-US"/>
        </w:rPr>
        <w:t>. Cranial, thoracic, abdominal and pelvic cavities were examined, with the following organs examined grossly: adrenal glands, eyes, kidneys, mammary gland, spinal cord, stomach, thyroids glands, brain, gall bladder, liver, pancreas, salivary gland (mandibular), seminal vesicles, trachea, epididymides, vagina, heart, ln (mesenteric), pituitary, skin, testes, urinary bladder, oesophagus, intestine, lungs, prostate, spleen, thymus, diaphragm. The kidneys, lungs and any gross lesions were retained for possible further histopathology.</w:t>
      </w:r>
    </w:p>
    <w:p w14:paraId="2B00C1AF" w14:textId="77777777" w:rsidR="0005512A" w:rsidRPr="002B2CFC" w:rsidRDefault="0005512A" w:rsidP="0005512A">
      <w:pPr>
        <w:rPr>
          <w:szCs w:val="24"/>
          <w:lang w:val="en-US" w:eastAsia="en-US"/>
        </w:rPr>
      </w:pPr>
    </w:p>
    <w:p w14:paraId="57131523" w14:textId="77777777" w:rsidR="00436573" w:rsidRDefault="0005512A" w:rsidP="00B935F1">
      <w:pPr>
        <w:numPr>
          <w:ilvl w:val="0"/>
          <w:numId w:val="4"/>
        </w:numPr>
        <w:rPr>
          <w:szCs w:val="24"/>
          <w:lang w:eastAsia="en-US"/>
        </w:rPr>
      </w:pPr>
      <w:r w:rsidRPr="002B2CFC">
        <w:rPr>
          <w:szCs w:val="24"/>
          <w:lang w:val="en-US" w:eastAsia="en-US"/>
        </w:rPr>
        <w:t xml:space="preserve">Scheduled euthanasia was performed differently for each subset of mice: </w:t>
      </w:r>
      <w:r w:rsidR="00162838" w:rsidRPr="00162838">
        <w:rPr>
          <w:szCs w:val="24"/>
          <w:lang w:eastAsia="en-US"/>
        </w:rPr>
        <w:t xml:space="preserve">For stereology groups (20 sex/group), after 91, 92, 93 or 94 days of exposure mice were anaesthetised (ip sodium pentobarbital) and perfused </w:t>
      </w:r>
      <w:r w:rsidR="00162838" w:rsidRPr="00162838">
        <w:rPr>
          <w:i/>
          <w:szCs w:val="24"/>
          <w:lang w:eastAsia="en-US"/>
        </w:rPr>
        <w:t>in situ</w:t>
      </w:r>
      <w:r w:rsidR="00162838" w:rsidRPr="00162838">
        <w:rPr>
          <w:szCs w:val="24"/>
          <w:lang w:eastAsia="en-US"/>
        </w:rPr>
        <w:t>. Following perfusion, the head was removed and the brain (including olfactory bulbs) was removed from the skull and preserved (4% paraformaldehyde). The lungs and kidneys of mice in 0, 10 and 50 ppm groups were collected and preserved (10% neutral-buffered formalin) for possible future histopathological examination. The brains were sent to another laboratory for processing (Experimental Pathology Laboratories, Inc (EPL)), where the midbrain was isolated and subject to immersion-fixation and flash freezing until processed for stereological analysis. At EPL, the brains were frozen sectioned into 40 micron sections and treated with immunohistochemistry techniques to enable an assessment of the number of TH</w:t>
      </w:r>
      <w:r w:rsidR="00162838" w:rsidRPr="00162838">
        <w:rPr>
          <w:szCs w:val="24"/>
          <w:vertAlign w:val="superscript"/>
          <w:lang w:eastAsia="en-US"/>
        </w:rPr>
        <w:t>+</w:t>
      </w:r>
      <w:r w:rsidR="00162838" w:rsidRPr="00162838">
        <w:rPr>
          <w:szCs w:val="24"/>
          <w:lang w:eastAsia="en-US"/>
        </w:rPr>
        <w:t xml:space="preserve"> (tyrosine hydroxlase) and TH</w:t>
      </w:r>
      <w:r w:rsidR="00162838" w:rsidRPr="00162838">
        <w:rPr>
          <w:szCs w:val="24"/>
          <w:vertAlign w:val="superscript"/>
          <w:lang w:eastAsia="en-US"/>
        </w:rPr>
        <w:t>-</w:t>
      </w:r>
      <w:r w:rsidR="00162838" w:rsidRPr="00162838">
        <w:rPr>
          <w:szCs w:val="24"/>
          <w:lang w:eastAsia="en-US"/>
        </w:rPr>
        <w:t xml:space="preserve"> neurons, and total number of neurons in the SN pc. Statistical analysis was conducted by another organisation (Sielken &amp; Associates Consulting, Inc). </w:t>
      </w:r>
      <w:r w:rsidR="00162838" w:rsidRPr="00162838">
        <w:rPr>
          <w:szCs w:val="24"/>
          <w:lang w:val="en-US" w:eastAsia="en-US"/>
        </w:rPr>
        <w:t xml:space="preserve"> Additional detail of methodology is included in </w:t>
      </w:r>
      <w:r w:rsidR="00897462" w:rsidRPr="00162838">
        <w:rPr>
          <w:szCs w:val="24"/>
          <w:lang w:val="en-US" w:eastAsia="en-US"/>
        </w:rPr>
        <w:fldChar w:fldCharType="begin"/>
      </w:r>
      <w:r w:rsidR="00162838" w:rsidRPr="00162838">
        <w:rPr>
          <w:szCs w:val="24"/>
          <w:lang w:val="en-US" w:eastAsia="en-US"/>
        </w:rPr>
        <w:instrText xml:space="preserve"> REF _Ref421028174 \r \h </w:instrText>
      </w:r>
      <w:r w:rsidR="00897462" w:rsidRPr="00162838">
        <w:rPr>
          <w:szCs w:val="24"/>
          <w:lang w:val="en-US" w:eastAsia="en-US"/>
        </w:rPr>
      </w:r>
      <w:r w:rsidR="00897462" w:rsidRPr="00162838">
        <w:rPr>
          <w:szCs w:val="24"/>
          <w:lang w:val="en-US" w:eastAsia="en-US"/>
        </w:rPr>
        <w:fldChar w:fldCharType="separate"/>
      </w:r>
      <w:r w:rsidR="000E54B2">
        <w:rPr>
          <w:szCs w:val="24"/>
          <w:lang w:val="en-US" w:eastAsia="en-US"/>
        </w:rPr>
        <w:t>APPENDIX II</w:t>
      </w:r>
      <w:r w:rsidR="00897462" w:rsidRPr="00162838">
        <w:rPr>
          <w:szCs w:val="24"/>
          <w:lang w:val="en-US" w:eastAsia="en-US"/>
        </w:rPr>
        <w:fldChar w:fldCharType="end"/>
      </w:r>
      <w:r w:rsidR="00162838" w:rsidRPr="00162838">
        <w:rPr>
          <w:szCs w:val="24"/>
          <w:lang w:val="en-US" w:eastAsia="en-US"/>
        </w:rPr>
        <w:t>: Wolf, 2013.</w:t>
      </w:r>
      <w:r w:rsidR="00162838" w:rsidRPr="00162838">
        <w:rPr>
          <w:szCs w:val="24"/>
        </w:rPr>
        <w:t xml:space="preserve"> </w:t>
      </w:r>
    </w:p>
    <w:p w14:paraId="121ED342" w14:textId="77777777" w:rsidR="00436573" w:rsidRDefault="00436573" w:rsidP="00C34954">
      <w:pPr>
        <w:ind w:left="720"/>
        <w:rPr>
          <w:szCs w:val="24"/>
          <w:lang w:eastAsia="en-US"/>
        </w:rPr>
      </w:pPr>
    </w:p>
    <w:p w14:paraId="439B41E6" w14:textId="52ACC247" w:rsidR="00436573" w:rsidRPr="00C34954" w:rsidRDefault="00162838" w:rsidP="00C34954">
      <w:pPr>
        <w:numPr>
          <w:ilvl w:val="0"/>
          <w:numId w:val="4"/>
        </w:numPr>
        <w:rPr>
          <w:szCs w:val="24"/>
          <w:lang w:eastAsia="en-US"/>
        </w:rPr>
      </w:pPr>
      <w:r w:rsidRPr="00162838">
        <w:rPr>
          <w:szCs w:val="24"/>
          <w:lang w:eastAsia="en-US"/>
        </w:rPr>
        <w:t xml:space="preserve">For </w:t>
      </w:r>
      <w:r w:rsidRPr="00162838">
        <w:rPr>
          <w:szCs w:val="24"/>
          <w:u w:val="single"/>
          <w:lang w:eastAsia="en-US"/>
        </w:rPr>
        <w:t>pathology groups</w:t>
      </w:r>
      <w:r w:rsidRPr="00162838">
        <w:rPr>
          <w:szCs w:val="24"/>
          <w:lang w:eastAsia="en-US"/>
        </w:rPr>
        <w:t xml:space="preserve"> 5 sex/group/time in the 0, 10 and 50 ppm groups were euthanised after 31, 59 or 94 days exposure and 5 sex/group in the positive control group were euthanised during study week 13 (7 days after MPTP treatment). Mice were anaesthetised (ip sodium pentobarbital) and perfused </w:t>
      </w:r>
      <w:r w:rsidRPr="00162838">
        <w:rPr>
          <w:i/>
          <w:szCs w:val="24"/>
          <w:lang w:eastAsia="en-US"/>
        </w:rPr>
        <w:t>in situ</w:t>
      </w:r>
      <w:r w:rsidRPr="00162838">
        <w:rPr>
          <w:szCs w:val="24"/>
          <w:lang w:eastAsia="en-US"/>
        </w:rPr>
        <w:t xml:space="preserve">. The head was then removed and skin removed for visual examination of the dorsal surface of the skull. The head (with calvaria intact) was placed in 4% paraformaldehyde for up to 23 h before the brain (including olfactory bulbs) was removed from the skull, weighed and measured. The intact brains were and sent to another laboratory (Neuroscience Associates, Inc.) for processing. The lungs and kidneys from all groups were also collected and preserved (10% neutral-buffered formalin) for possible future histopathological examination. The brains were then trimmed (Neuroscience Associates, Inc.) to the area of the SN to the striatum, multi-embedded and sectioned at 30 µm in the coronal plane and the serial sections stained using the following stains: TH stain, GFAP stain, IBA-1 stain, AM Cu Ag, Caspase 3, Thionine, TUNEL (refer to Beck, 2012a, </w:t>
      </w:r>
      <w:r w:rsidR="00F07346">
        <w:fldChar w:fldCharType="begin"/>
      </w:r>
      <w:r w:rsidR="00F07346">
        <w:instrText xml:space="preserve"> REF _Ref421608459 \h  \* MERGEFORMAT </w:instrText>
      </w:r>
      <w:r w:rsidR="00F07346">
        <w:fldChar w:fldCharType="separate"/>
      </w:r>
      <w:r w:rsidR="000E54B2" w:rsidRPr="000E54B2">
        <w:rPr>
          <w:bCs/>
          <w:szCs w:val="24"/>
          <w:lang w:val="en-US" w:eastAsia="en-US"/>
        </w:rPr>
        <w:t>Table 12</w:t>
      </w:r>
      <w:r w:rsidR="00F07346">
        <w:fldChar w:fldCharType="end"/>
      </w:r>
      <w:r w:rsidRPr="00162838">
        <w:rPr>
          <w:szCs w:val="24"/>
          <w:lang w:eastAsia="en-US"/>
        </w:rPr>
        <w:t xml:space="preserve"> for a description of these stains).</w:t>
      </w:r>
      <w:r w:rsidRPr="00162838">
        <w:rPr>
          <w:szCs w:val="24"/>
          <w:lang w:val="en-US" w:eastAsia="en-US"/>
        </w:rPr>
        <w:t xml:space="preserve"> </w:t>
      </w:r>
    </w:p>
    <w:p w14:paraId="363BF3DD" w14:textId="77777777" w:rsidR="00436573" w:rsidRDefault="00436573" w:rsidP="00C34954">
      <w:pPr>
        <w:ind w:left="720"/>
        <w:rPr>
          <w:szCs w:val="24"/>
          <w:lang w:val="en-US" w:eastAsia="en-US"/>
        </w:rPr>
      </w:pPr>
    </w:p>
    <w:p w14:paraId="350740EC" w14:textId="77777777" w:rsidR="00436573" w:rsidRPr="00C34954" w:rsidRDefault="00162838" w:rsidP="00B935F1">
      <w:pPr>
        <w:ind w:left="720"/>
        <w:rPr>
          <w:szCs w:val="24"/>
          <w:lang w:eastAsia="en-US"/>
        </w:rPr>
      </w:pPr>
      <w:r w:rsidRPr="00162838">
        <w:rPr>
          <w:szCs w:val="24"/>
          <w:lang w:val="en-US" w:eastAsia="en-US"/>
        </w:rPr>
        <w:t xml:space="preserve">All slides from the SN were sent to Tox Path Specialists, LLC for examination. This included an analysis of the presence of necrotic cells, any glial reaction and the degree of dopaminergic neuron loss. Additional detail of methodology is included in </w:t>
      </w:r>
      <w:r w:rsidR="00897462" w:rsidRPr="00A40882">
        <w:rPr>
          <w:szCs w:val="24"/>
          <w:lang w:val="en-US" w:eastAsia="en-US"/>
        </w:rPr>
        <w:fldChar w:fldCharType="begin"/>
      </w:r>
      <w:r w:rsidRPr="00162838">
        <w:rPr>
          <w:szCs w:val="24"/>
          <w:lang w:val="en-US" w:eastAsia="en-US"/>
        </w:rPr>
        <w:instrText xml:space="preserve"> REF _Ref420996283 \r \h </w:instrText>
      </w:r>
      <w:r w:rsidR="00897462" w:rsidRPr="00A40882">
        <w:rPr>
          <w:szCs w:val="24"/>
          <w:lang w:val="en-US" w:eastAsia="en-US"/>
        </w:rPr>
      </w:r>
      <w:r w:rsidR="00897462" w:rsidRPr="00A40882">
        <w:rPr>
          <w:szCs w:val="24"/>
          <w:lang w:val="en-US" w:eastAsia="en-US"/>
        </w:rPr>
        <w:fldChar w:fldCharType="separate"/>
      </w:r>
      <w:r w:rsidR="000E54B2">
        <w:rPr>
          <w:szCs w:val="24"/>
          <w:lang w:val="en-US" w:eastAsia="en-US"/>
        </w:rPr>
        <w:t>APPENDIX II</w:t>
      </w:r>
      <w:r w:rsidR="00897462" w:rsidRPr="00A40882">
        <w:rPr>
          <w:szCs w:val="24"/>
          <w:lang w:val="en-US" w:eastAsia="en-US"/>
        </w:rPr>
        <w:fldChar w:fldCharType="end"/>
      </w:r>
      <w:r w:rsidRPr="00162838">
        <w:rPr>
          <w:szCs w:val="24"/>
          <w:lang w:val="en-US" w:eastAsia="en-US"/>
        </w:rPr>
        <w:t xml:space="preserve">: Butt, 2012. </w:t>
      </w:r>
    </w:p>
    <w:p w14:paraId="72527D31" w14:textId="77777777" w:rsidR="00162838" w:rsidRDefault="00162838" w:rsidP="00162838">
      <w:pPr>
        <w:rPr>
          <w:szCs w:val="24"/>
          <w:lang w:val="en-US" w:eastAsia="en-US"/>
        </w:rPr>
      </w:pPr>
    </w:p>
    <w:p w14:paraId="6199AA5F" w14:textId="77777777" w:rsidR="00436573" w:rsidRDefault="00897462" w:rsidP="00C34954">
      <w:pPr>
        <w:numPr>
          <w:ilvl w:val="0"/>
          <w:numId w:val="4"/>
        </w:numPr>
        <w:rPr>
          <w:szCs w:val="24"/>
          <w:lang w:eastAsia="en-US"/>
        </w:rPr>
      </w:pPr>
      <w:r w:rsidRPr="00C34954">
        <w:rPr>
          <w:szCs w:val="24"/>
          <w:lang w:eastAsia="en-US"/>
        </w:rPr>
        <w:lastRenderedPageBreak/>
        <w:t>For the third subset of animals (neurochemistry), following 95 days of exposure, 6 sex/group</w:t>
      </w:r>
      <w:r w:rsidR="00162838" w:rsidRPr="00162838">
        <w:rPr>
          <w:szCs w:val="24"/>
          <w:lang w:val="en-US" w:eastAsia="en-US"/>
        </w:rPr>
        <w:t xml:space="preserve"> were euthanised via cervical dislocation, followed by decapitation and brain removal. Brains were placed in a matrix, and coronal sections prepared. The left and right striatum were dissected free, weighed and flash frozen. The midbrain was also collected and the remaining brain discarded. Collected portions were sent to RTI International for neurotransmitter analysis by ECD of DA, DOPAC, HVA and 5-HT.</w:t>
      </w:r>
      <w:r w:rsidR="00162838">
        <w:rPr>
          <w:szCs w:val="24"/>
          <w:lang w:eastAsia="en-US"/>
        </w:rPr>
        <w:t xml:space="preserve"> </w:t>
      </w:r>
    </w:p>
    <w:p w14:paraId="5F29FC2A" w14:textId="77777777" w:rsidR="00436573" w:rsidRDefault="00436573" w:rsidP="00C34954">
      <w:pPr>
        <w:ind w:left="720"/>
        <w:rPr>
          <w:szCs w:val="24"/>
          <w:lang w:val="en-US" w:eastAsia="en-US"/>
        </w:rPr>
      </w:pPr>
    </w:p>
    <w:p w14:paraId="68BBC88C" w14:textId="77777777" w:rsidR="00436573" w:rsidRPr="00C34954" w:rsidRDefault="00162838" w:rsidP="00C34954">
      <w:pPr>
        <w:ind w:left="720"/>
        <w:rPr>
          <w:szCs w:val="24"/>
          <w:lang w:eastAsia="en-US"/>
        </w:rPr>
      </w:pPr>
      <w:r w:rsidRPr="00162838">
        <w:rPr>
          <w:szCs w:val="24"/>
          <w:lang w:val="en-US" w:eastAsia="en-US"/>
        </w:rPr>
        <w:t xml:space="preserve">Striatal tissue from each mouse was homogenized, centrifuged and an aliquot of homogenate supernatant ran through an Electrochemical Detector (ECD). Striatal concentrations for each neurochemical was determined. Additional detail of methodology is included in APPENDIX II: Matthews, 2012  </w:t>
      </w:r>
    </w:p>
    <w:p w14:paraId="4818459A" w14:textId="77777777" w:rsidR="0005512A" w:rsidRPr="002B2CFC" w:rsidRDefault="0005512A" w:rsidP="0005512A">
      <w:pPr>
        <w:rPr>
          <w:szCs w:val="24"/>
          <w:lang w:val="en-US" w:eastAsia="en-US"/>
        </w:rPr>
      </w:pPr>
    </w:p>
    <w:p w14:paraId="663312DD" w14:textId="77777777" w:rsidR="0005512A" w:rsidRPr="002B2CFC" w:rsidRDefault="0005512A" w:rsidP="0005512A">
      <w:pPr>
        <w:rPr>
          <w:szCs w:val="24"/>
          <w:lang w:val="en-US" w:eastAsia="en-US"/>
        </w:rPr>
      </w:pPr>
      <w:r w:rsidRPr="002B2CFC">
        <w:rPr>
          <w:szCs w:val="24"/>
          <w:lang w:val="en-US" w:eastAsia="en-US"/>
        </w:rPr>
        <w:t>Results were subject to statistical analysis by an in-house system (‘WTDMS’), with the exception of the stereology data. Analyses were conducted using 2-tailed tests (unless otherwise noted) for minimum significance of 1% and 5%, as compared to the control group. Statistical analysis of the stereology data was conducted by Sielken &amp; Associates Consulting, Inc. The effects of treatment (paraquat or MPTP) were assessed using a one-sided t-test for dopaminergic (TH</w:t>
      </w:r>
      <w:r w:rsidRPr="002B2CFC">
        <w:rPr>
          <w:szCs w:val="24"/>
          <w:vertAlign w:val="superscript"/>
          <w:lang w:val="en-US" w:eastAsia="en-US"/>
        </w:rPr>
        <w:t>+</w:t>
      </w:r>
      <w:r w:rsidRPr="002B2CFC">
        <w:rPr>
          <w:szCs w:val="24"/>
          <w:lang w:val="en-US" w:eastAsia="en-US"/>
        </w:rPr>
        <w:t>) neurons, total (TH</w:t>
      </w:r>
      <w:r w:rsidRPr="002B2CFC">
        <w:rPr>
          <w:szCs w:val="24"/>
          <w:vertAlign w:val="superscript"/>
          <w:lang w:val="en-US" w:eastAsia="en-US"/>
        </w:rPr>
        <w:t>+</w:t>
      </w:r>
      <w:r w:rsidRPr="002B2CFC">
        <w:rPr>
          <w:szCs w:val="24"/>
          <w:lang w:val="en-US" w:eastAsia="en-US"/>
        </w:rPr>
        <w:t>+ TH</w:t>
      </w:r>
      <w:r w:rsidRPr="002B2CFC">
        <w:rPr>
          <w:szCs w:val="24"/>
          <w:vertAlign w:val="superscript"/>
          <w:lang w:val="en-US" w:eastAsia="en-US"/>
        </w:rPr>
        <w:t>-</w:t>
      </w:r>
      <w:r w:rsidRPr="002B2CFC">
        <w:rPr>
          <w:szCs w:val="24"/>
          <w:lang w:val="en-US" w:eastAsia="en-US"/>
        </w:rPr>
        <w:t xml:space="preserve">) neurons and contour volume. Differences in means were considered statistically significant at p≤ 0.05. </w:t>
      </w:r>
    </w:p>
    <w:p w14:paraId="50679408" w14:textId="77777777" w:rsidR="0005512A" w:rsidRPr="002B2CFC" w:rsidRDefault="0005512A" w:rsidP="0005512A">
      <w:pPr>
        <w:rPr>
          <w:szCs w:val="24"/>
          <w:lang w:val="en-US" w:eastAsia="en-US"/>
        </w:rPr>
      </w:pPr>
    </w:p>
    <w:p w14:paraId="30A6D864" w14:textId="77777777" w:rsidR="00D417BB" w:rsidRPr="002B2CFC" w:rsidRDefault="00D417BB" w:rsidP="00D417BB">
      <w:pPr>
        <w:spacing w:after="200"/>
        <w:rPr>
          <w:rFonts w:eastAsiaTheme="minorHAnsi" w:cstheme="minorBidi"/>
          <w:szCs w:val="22"/>
          <w:lang w:eastAsia="en-US"/>
        </w:rPr>
      </w:pPr>
      <w:r w:rsidRPr="002B2CFC">
        <w:rPr>
          <w:rFonts w:eastAsiaTheme="minorHAnsi" w:cstheme="minorBidi"/>
          <w:szCs w:val="22"/>
          <w:lang w:eastAsia="en-US"/>
        </w:rPr>
        <w:t xml:space="preserve">This was a non-Guideline study, although the ‘in-life’ portions of the study were well conducted and in keeping with OECD Guidelines (TG 424). The </w:t>
      </w:r>
      <w:r w:rsidR="00DA4463">
        <w:rPr>
          <w:rFonts w:eastAsiaTheme="minorHAnsi" w:cstheme="minorBidi"/>
          <w:szCs w:val="22"/>
          <w:lang w:eastAsia="en-US"/>
        </w:rPr>
        <w:t>Guideline</w:t>
      </w:r>
      <w:r w:rsidRPr="002B2CFC">
        <w:rPr>
          <w:rFonts w:eastAsiaTheme="minorHAnsi" w:cstheme="minorBidi"/>
          <w:szCs w:val="22"/>
          <w:lang w:eastAsia="en-US"/>
        </w:rPr>
        <w:t xml:space="preserve"> </w:t>
      </w:r>
      <w:r w:rsidR="00DA4463">
        <w:rPr>
          <w:rFonts w:eastAsiaTheme="minorHAnsi" w:cstheme="minorBidi"/>
          <w:szCs w:val="22"/>
          <w:lang w:eastAsia="en-US"/>
        </w:rPr>
        <w:t xml:space="preserve">protocol </w:t>
      </w:r>
      <w:r w:rsidRPr="002B2CFC">
        <w:rPr>
          <w:rFonts w:eastAsiaTheme="minorHAnsi" w:cstheme="minorBidi"/>
          <w:szCs w:val="22"/>
          <w:lang w:eastAsia="en-US"/>
        </w:rPr>
        <w:t xml:space="preserve">was then deviated to specifically assess </w:t>
      </w:r>
      <w:r w:rsidRPr="002B2CFC">
        <w:rPr>
          <w:szCs w:val="24"/>
          <w:lang w:val="en-US" w:eastAsia="en-US"/>
        </w:rPr>
        <w:t>the effect of paraquat on dop</w:t>
      </w:r>
      <w:r>
        <w:rPr>
          <w:szCs w:val="24"/>
          <w:lang w:val="en-US" w:eastAsia="en-US"/>
        </w:rPr>
        <w:t xml:space="preserve">aminergic neurons in the </w:t>
      </w:r>
      <w:r w:rsidRPr="002B2CFC">
        <w:rPr>
          <w:rFonts w:eastAsiaTheme="minorHAnsi" w:cstheme="minorBidi"/>
          <w:szCs w:val="22"/>
          <w:lang w:eastAsia="en-US"/>
        </w:rPr>
        <w:t>parts of the brain of interest, as per OECD Guidance Document for Neurotoxicity Testing (No. 20).</w:t>
      </w:r>
      <w:r>
        <w:rPr>
          <w:rFonts w:eastAsiaTheme="minorHAnsi" w:cstheme="minorBidi"/>
          <w:szCs w:val="22"/>
          <w:lang w:eastAsia="en-US"/>
        </w:rPr>
        <w:t>"</w:t>
      </w:r>
    </w:p>
    <w:p w14:paraId="0BC833DF" w14:textId="77777777" w:rsidR="0005512A" w:rsidRPr="002B2CFC" w:rsidRDefault="0005512A" w:rsidP="0005512A">
      <w:pPr>
        <w:rPr>
          <w:szCs w:val="24"/>
          <w:lang w:val="en-US" w:eastAsia="en-US"/>
        </w:rPr>
      </w:pPr>
      <w:r w:rsidRPr="002B2CFC">
        <w:rPr>
          <w:szCs w:val="24"/>
          <w:lang w:val="en-US" w:eastAsia="en-US"/>
        </w:rPr>
        <w:t xml:space="preserve">For this reason, the absence of more general tests (eg. functional tests, ophthalmology or histological examination of the complete central and peripheral nervous system) as required in TG 424, is acceptable. </w:t>
      </w:r>
      <w:r>
        <w:rPr>
          <w:szCs w:val="24"/>
          <w:lang w:val="en-US" w:eastAsia="en-US"/>
        </w:rPr>
        <w:t xml:space="preserve">It is noted that the study deviated from guidelines by </w:t>
      </w:r>
      <w:r w:rsidRPr="002B2CFC">
        <w:rPr>
          <w:szCs w:val="24"/>
          <w:lang w:val="en-US" w:eastAsia="en-US"/>
        </w:rPr>
        <w:t>only us</w:t>
      </w:r>
      <w:r>
        <w:rPr>
          <w:szCs w:val="24"/>
          <w:lang w:val="en-US" w:eastAsia="en-US"/>
        </w:rPr>
        <w:t>ing</w:t>
      </w:r>
      <w:r w:rsidRPr="002B2CFC">
        <w:rPr>
          <w:szCs w:val="24"/>
          <w:lang w:val="en-US" w:eastAsia="en-US"/>
        </w:rPr>
        <w:t xml:space="preserve"> two dose groups, whereas TG 424 states at least three should be used. This Guideline is supplemented by the OECD series on testing and assessment Number 20: ‘</w:t>
      </w:r>
      <w:r w:rsidRPr="002B2CFC">
        <w:rPr>
          <w:i/>
          <w:szCs w:val="24"/>
          <w:lang w:val="en-US" w:eastAsia="en-US"/>
        </w:rPr>
        <w:t>Guidance document for neurotoxicity testing provided additional guidance on strategies and methods for testing of chemicals for potential neurotoxicity’</w:t>
      </w:r>
      <w:r w:rsidRPr="002B2CFC">
        <w:rPr>
          <w:szCs w:val="24"/>
          <w:lang w:val="en-US" w:eastAsia="en-US"/>
        </w:rPr>
        <w:t xml:space="preserve">. This </w:t>
      </w:r>
      <w:r>
        <w:rPr>
          <w:szCs w:val="24"/>
          <w:lang w:val="en-US" w:eastAsia="en-US"/>
        </w:rPr>
        <w:t xml:space="preserve">guidance </w:t>
      </w:r>
      <w:r w:rsidRPr="002B2CFC">
        <w:rPr>
          <w:szCs w:val="24"/>
          <w:lang w:val="en-US" w:eastAsia="en-US"/>
        </w:rPr>
        <w:t>document describes the use of neuropathology and neurochemistry methods which are more specialised to further identify effects on the nervous system</w:t>
      </w:r>
      <w:r w:rsidR="00C34954">
        <w:rPr>
          <w:szCs w:val="24"/>
          <w:lang w:val="en-US" w:eastAsia="en-US"/>
        </w:rPr>
        <w:t>.</w:t>
      </w:r>
    </w:p>
    <w:p w14:paraId="1A7AA6B0" w14:textId="77777777" w:rsidR="0005512A" w:rsidRPr="002B2CFC" w:rsidRDefault="0005512A" w:rsidP="0005512A">
      <w:pPr>
        <w:rPr>
          <w:szCs w:val="24"/>
          <w:lang w:val="en-US" w:eastAsia="en-US"/>
        </w:rPr>
      </w:pPr>
    </w:p>
    <w:p w14:paraId="6E597C03" w14:textId="77777777" w:rsidR="0005512A" w:rsidRPr="002B2CFC" w:rsidRDefault="0005512A" w:rsidP="0005512A">
      <w:pPr>
        <w:rPr>
          <w:szCs w:val="24"/>
          <w:lang w:val="en-US" w:eastAsia="en-US"/>
        </w:rPr>
      </w:pPr>
      <w:r w:rsidRPr="002B2CFC">
        <w:rPr>
          <w:szCs w:val="24"/>
          <w:lang w:val="en-US" w:eastAsia="en-US"/>
        </w:rPr>
        <w:t>A number of deviations from the protocol occurred</w:t>
      </w:r>
      <w:r>
        <w:rPr>
          <w:szCs w:val="24"/>
          <w:lang w:val="en-US" w:eastAsia="en-US"/>
        </w:rPr>
        <w:t>, however are</w:t>
      </w:r>
      <w:r w:rsidRPr="002B2CFC">
        <w:rPr>
          <w:szCs w:val="24"/>
          <w:lang w:val="en-US" w:eastAsia="en-US"/>
        </w:rPr>
        <w:t xml:space="preserve"> not expected</w:t>
      </w:r>
      <w:r>
        <w:rPr>
          <w:szCs w:val="24"/>
          <w:lang w:val="en-US" w:eastAsia="en-US"/>
        </w:rPr>
        <w:t xml:space="preserve"> to have affected </w:t>
      </w:r>
      <w:r w:rsidRPr="002B2CFC">
        <w:rPr>
          <w:szCs w:val="24"/>
          <w:lang w:val="en-US" w:eastAsia="en-US"/>
        </w:rPr>
        <w:t>the quality, integrity or outcome of the study.</w:t>
      </w:r>
    </w:p>
    <w:p w14:paraId="79F76344" w14:textId="77777777" w:rsidR="0005512A" w:rsidRPr="002B2CFC" w:rsidRDefault="0005512A" w:rsidP="0005512A">
      <w:pPr>
        <w:rPr>
          <w:szCs w:val="24"/>
          <w:lang w:val="en-US" w:eastAsia="en-US"/>
        </w:rPr>
      </w:pPr>
    </w:p>
    <w:p w14:paraId="22A8225D" w14:textId="77777777" w:rsidR="0005512A" w:rsidRPr="00C34954" w:rsidRDefault="00897462" w:rsidP="0005512A">
      <w:pPr>
        <w:keepNext/>
        <w:rPr>
          <w:b/>
          <w:szCs w:val="24"/>
          <w:lang w:val="en-US" w:eastAsia="en-US"/>
        </w:rPr>
      </w:pPr>
      <w:r w:rsidRPr="00C34954">
        <w:rPr>
          <w:b/>
          <w:szCs w:val="24"/>
          <w:lang w:val="en-US" w:eastAsia="en-US"/>
        </w:rPr>
        <w:t>Results</w:t>
      </w:r>
    </w:p>
    <w:p w14:paraId="273B0A9A" w14:textId="77777777" w:rsidR="0005512A" w:rsidRPr="002B2CFC" w:rsidRDefault="00897462" w:rsidP="0005512A">
      <w:pPr>
        <w:spacing w:before="120" w:after="120"/>
        <w:rPr>
          <w:szCs w:val="24"/>
        </w:rPr>
      </w:pPr>
      <w:r w:rsidRPr="00C34954">
        <w:rPr>
          <w:i/>
          <w:szCs w:val="24"/>
        </w:rPr>
        <w:t>Mortality, moribundity and clinical observations:</w:t>
      </w:r>
      <w:r w:rsidR="0005512A" w:rsidRPr="002B2CFC">
        <w:rPr>
          <w:szCs w:val="24"/>
        </w:rPr>
        <w:t xml:space="preserve">A total of 5 animals died prior to scheduled sacrifice. Three males in the 10 ppm group were found dead on study days 5, 14 and 42. In addition, one male in the 50 ppm group was found dead on day 84. These males showed no significant clinical or macroscopic findings and the cause of death was not determined. The deaths showed a lack of a dose response relationship and the deaths in the lower dose group occurred earlier than the single death at the higher dose, therefore the deaths were not considered treatment related. One female in the high dose group was euthanised </w:t>
      </w:r>
      <w:r w:rsidR="0005512A" w:rsidRPr="002B2CFC">
        <w:rPr>
          <w:i/>
          <w:szCs w:val="24"/>
        </w:rPr>
        <w:t>in extremis</w:t>
      </w:r>
      <w:r w:rsidR="0005512A" w:rsidRPr="002B2CFC">
        <w:rPr>
          <w:szCs w:val="24"/>
        </w:rPr>
        <w:t xml:space="preserve"> on study day 77</w:t>
      </w:r>
      <w:r w:rsidR="0005512A">
        <w:rPr>
          <w:szCs w:val="24"/>
        </w:rPr>
        <w:t>, following clinical findings of</w:t>
      </w:r>
      <w:r w:rsidR="0005512A" w:rsidRPr="002B2CFC">
        <w:rPr>
          <w:szCs w:val="24"/>
        </w:rPr>
        <w:t xml:space="preserve"> hunched posture, decreased defaecation on the day of euthanasia and 7.7 g body weight loss the </w:t>
      </w:r>
      <w:r w:rsidR="0005512A">
        <w:rPr>
          <w:szCs w:val="24"/>
        </w:rPr>
        <w:t>preceding week</w:t>
      </w:r>
      <w:r w:rsidR="0005512A" w:rsidRPr="002B2CFC">
        <w:rPr>
          <w:szCs w:val="24"/>
        </w:rPr>
        <w:t xml:space="preserve">. There were no relevant findings </w:t>
      </w:r>
      <w:r w:rsidR="0005512A">
        <w:rPr>
          <w:szCs w:val="24"/>
        </w:rPr>
        <w:lastRenderedPageBreak/>
        <w:t>at gross necropsy</w:t>
      </w:r>
      <w:r w:rsidR="0005512A" w:rsidRPr="002B2CFC">
        <w:rPr>
          <w:szCs w:val="24"/>
        </w:rPr>
        <w:t xml:space="preserve"> and the cause of death could not be determined</w:t>
      </w:r>
      <w:r w:rsidR="0005512A">
        <w:rPr>
          <w:szCs w:val="24"/>
        </w:rPr>
        <w:t xml:space="preserve">, but </w:t>
      </w:r>
      <w:r w:rsidR="0005512A" w:rsidRPr="002B2CFC">
        <w:rPr>
          <w:szCs w:val="24"/>
        </w:rPr>
        <w:t xml:space="preserve">was not considered </w:t>
      </w:r>
      <w:r w:rsidR="0005512A">
        <w:rPr>
          <w:szCs w:val="24"/>
        </w:rPr>
        <w:t xml:space="preserve">by the study author to be </w:t>
      </w:r>
      <w:r w:rsidR="0005512A" w:rsidRPr="002B2CFC">
        <w:rPr>
          <w:szCs w:val="24"/>
        </w:rPr>
        <w:t>treatment related.</w:t>
      </w:r>
    </w:p>
    <w:p w14:paraId="1F126DFE" w14:textId="77777777" w:rsidR="0005512A" w:rsidRPr="002B2CFC" w:rsidRDefault="0005512A" w:rsidP="0005512A">
      <w:pPr>
        <w:spacing w:before="120" w:after="120"/>
        <w:rPr>
          <w:szCs w:val="24"/>
        </w:rPr>
      </w:pPr>
      <w:r w:rsidRPr="002B2CFC">
        <w:rPr>
          <w:szCs w:val="24"/>
        </w:rPr>
        <w:t xml:space="preserve">All other mice survived to scheduled euthanasia. There were </w:t>
      </w:r>
      <w:r>
        <w:rPr>
          <w:szCs w:val="24"/>
        </w:rPr>
        <w:t>no clinical signs considered related to paraquat,</w:t>
      </w:r>
      <w:r w:rsidRPr="002B2CFC">
        <w:rPr>
          <w:szCs w:val="24"/>
        </w:rPr>
        <w:t xml:space="preserve"> with findings occurring at similar incidence in the control group, limited to single animals, not occurring in a dose-related manner and/or were considered common for laboratory mice of this age</w:t>
      </w:r>
      <w:r>
        <w:rPr>
          <w:szCs w:val="24"/>
        </w:rPr>
        <w:t>/</w:t>
      </w:r>
      <w:r w:rsidRPr="002B2CFC">
        <w:rPr>
          <w:szCs w:val="24"/>
        </w:rPr>
        <w:t xml:space="preserve"> strain. The types of findings noted were hair loss on various parts of the body, scabbing of the ear(s) or other body part and hunched posture.</w:t>
      </w:r>
    </w:p>
    <w:p w14:paraId="21127E05" w14:textId="77777777" w:rsidR="0005512A" w:rsidRPr="002B2CFC" w:rsidRDefault="0005512A" w:rsidP="0005512A">
      <w:pPr>
        <w:spacing w:before="120" w:after="120"/>
        <w:rPr>
          <w:szCs w:val="24"/>
        </w:rPr>
      </w:pPr>
      <w:r w:rsidRPr="002B2CFC">
        <w:rPr>
          <w:szCs w:val="24"/>
        </w:rPr>
        <w:t>Positive control male mice showed hunched posture and/or hypoactivity, occurring at increasing incidence with subsequent doses (at the time of administration or one hour post –dosing). Piloerection was noted in 1 male at the time of the second dose administration</w:t>
      </w:r>
      <w:r>
        <w:rPr>
          <w:szCs w:val="24"/>
        </w:rPr>
        <w:t xml:space="preserve"> and another 1 h later</w:t>
      </w:r>
      <w:r w:rsidRPr="002B2CFC">
        <w:rPr>
          <w:szCs w:val="24"/>
        </w:rPr>
        <w:t>, and another male at the time of the third dose. Tremors were seen in 2</w:t>
      </w:r>
      <w:r>
        <w:rPr>
          <w:szCs w:val="24"/>
        </w:rPr>
        <w:t>, 3 and 4</w:t>
      </w:r>
      <w:r w:rsidRPr="002B2CFC">
        <w:rPr>
          <w:szCs w:val="24"/>
        </w:rPr>
        <w:t xml:space="preserve"> mice 1 h following the second</w:t>
      </w:r>
      <w:r>
        <w:rPr>
          <w:szCs w:val="24"/>
        </w:rPr>
        <w:t>,</w:t>
      </w:r>
      <w:r w:rsidRPr="002B2CFC">
        <w:rPr>
          <w:szCs w:val="24"/>
        </w:rPr>
        <w:t xml:space="preserve"> third</w:t>
      </w:r>
      <w:r>
        <w:rPr>
          <w:szCs w:val="24"/>
        </w:rPr>
        <w:t xml:space="preserve"> and </w:t>
      </w:r>
      <w:r w:rsidRPr="002B2CFC">
        <w:rPr>
          <w:szCs w:val="24"/>
        </w:rPr>
        <w:t>fourth dose</w:t>
      </w:r>
      <w:r>
        <w:rPr>
          <w:szCs w:val="24"/>
        </w:rPr>
        <w:t>, respectively</w:t>
      </w:r>
      <w:r w:rsidRPr="002B2CFC">
        <w:rPr>
          <w:szCs w:val="24"/>
        </w:rPr>
        <w:t>. For females administered MPTP, there were no significant  clinical observations noted at the time of dosing, but an increasing incidence of hunched posture, piloerection and/or hypoactivity was noted, one hour following the second, third and/or fo</w:t>
      </w:r>
      <w:r>
        <w:rPr>
          <w:szCs w:val="24"/>
        </w:rPr>
        <w:t>u</w:t>
      </w:r>
      <w:r w:rsidRPr="002B2CFC">
        <w:rPr>
          <w:szCs w:val="24"/>
        </w:rPr>
        <w:t xml:space="preserve">rth doses. A single female showed tremors 1 h after the fourth dose. </w:t>
      </w:r>
      <w:r>
        <w:rPr>
          <w:szCs w:val="24"/>
        </w:rPr>
        <w:t>None of these findings in male and female positive control mice were present in the examination one week following the final dose</w:t>
      </w:r>
      <w:r w:rsidRPr="002B2CFC">
        <w:rPr>
          <w:szCs w:val="24"/>
        </w:rPr>
        <w:t>.</w:t>
      </w:r>
    </w:p>
    <w:p w14:paraId="5D794A00" w14:textId="30954ED0" w:rsidR="0005512A" w:rsidRPr="002B2CFC" w:rsidRDefault="00897462" w:rsidP="0005512A">
      <w:pPr>
        <w:spacing w:before="120" w:after="120"/>
        <w:rPr>
          <w:szCs w:val="24"/>
        </w:rPr>
      </w:pPr>
      <w:r w:rsidRPr="00C34954">
        <w:rPr>
          <w:i/>
          <w:szCs w:val="24"/>
        </w:rPr>
        <w:t>Body weight and food consumption</w:t>
      </w:r>
      <w:r w:rsidR="005A10DF">
        <w:rPr>
          <w:i/>
          <w:szCs w:val="24"/>
        </w:rPr>
        <w:t>:</w:t>
      </w:r>
      <w:r w:rsidR="00686CE1">
        <w:rPr>
          <w:i/>
          <w:szCs w:val="24"/>
        </w:rPr>
        <w:t xml:space="preserve"> </w:t>
      </w:r>
      <w:r w:rsidR="0005512A" w:rsidRPr="002B2CFC">
        <w:rPr>
          <w:szCs w:val="24"/>
        </w:rPr>
        <w:t xml:space="preserve">Body weight gain fluctuations were noted throughout the study. In males, during the first week (Day 0-7) body weight change was statistically significantly lower than controls for the 50 ppm group only. Significantly lower weight gains were also noted in the week of 70-77, however significantly higher weight gains were noted for </w:t>
      </w:r>
      <w:r w:rsidR="0005512A">
        <w:rPr>
          <w:szCs w:val="24"/>
        </w:rPr>
        <w:t>an earlier interval (</w:t>
      </w:r>
      <w:r w:rsidR="0005512A" w:rsidRPr="002B2CFC">
        <w:rPr>
          <w:szCs w:val="24"/>
        </w:rPr>
        <w:t>day 42-49</w:t>
      </w:r>
      <w:r w:rsidR="0005512A">
        <w:rPr>
          <w:szCs w:val="24"/>
        </w:rPr>
        <w:t>)</w:t>
      </w:r>
      <w:r w:rsidR="0005512A" w:rsidRPr="002B2CFC">
        <w:rPr>
          <w:szCs w:val="24"/>
        </w:rPr>
        <w:t xml:space="preserve">. Males in the 10 ppm group showed </w:t>
      </w:r>
      <w:r w:rsidR="0005512A">
        <w:rPr>
          <w:szCs w:val="24"/>
        </w:rPr>
        <w:t xml:space="preserve">fluctuations over different periods with both </w:t>
      </w:r>
      <w:r w:rsidR="0005512A" w:rsidRPr="002B2CFC">
        <w:rPr>
          <w:szCs w:val="24"/>
        </w:rPr>
        <w:t>statistically significant</w:t>
      </w:r>
      <w:r w:rsidR="00686CE1">
        <w:rPr>
          <w:szCs w:val="24"/>
        </w:rPr>
        <w:t>ly</w:t>
      </w:r>
      <w:r w:rsidR="0005512A" w:rsidRPr="002B2CFC">
        <w:rPr>
          <w:szCs w:val="24"/>
        </w:rPr>
        <w:t xml:space="preserve"> reduced </w:t>
      </w:r>
      <w:r w:rsidR="0005512A">
        <w:rPr>
          <w:szCs w:val="24"/>
        </w:rPr>
        <w:t xml:space="preserve">or increased </w:t>
      </w:r>
      <w:r w:rsidR="0005512A" w:rsidRPr="002B2CFC">
        <w:rPr>
          <w:szCs w:val="24"/>
        </w:rPr>
        <w:t>weight</w:t>
      </w:r>
      <w:r w:rsidR="0005512A">
        <w:rPr>
          <w:szCs w:val="24"/>
        </w:rPr>
        <w:t xml:space="preserve"> gain noted. The period</w:t>
      </w:r>
      <w:r w:rsidR="0005512A" w:rsidRPr="002B2CFC">
        <w:rPr>
          <w:szCs w:val="24"/>
        </w:rPr>
        <w:t xml:space="preserve"> </w:t>
      </w:r>
      <w:r w:rsidR="0005512A">
        <w:rPr>
          <w:szCs w:val="24"/>
        </w:rPr>
        <w:t>of d</w:t>
      </w:r>
      <w:r w:rsidR="0005512A" w:rsidRPr="002B2CFC">
        <w:rPr>
          <w:szCs w:val="24"/>
        </w:rPr>
        <w:t xml:space="preserve">ay 70-77 is the only </w:t>
      </w:r>
      <w:r w:rsidR="0005512A">
        <w:rPr>
          <w:szCs w:val="24"/>
        </w:rPr>
        <w:t xml:space="preserve">time </w:t>
      </w:r>
      <w:r w:rsidR="0005512A" w:rsidRPr="002B2CFC">
        <w:rPr>
          <w:szCs w:val="24"/>
        </w:rPr>
        <w:t xml:space="preserve">where both paraquat treated groups showed a reduced body weight gain compared to controls (0.3 g for both treated groups </w:t>
      </w:r>
      <w:r w:rsidR="0005512A" w:rsidRPr="002B2CFC">
        <w:rPr>
          <w:i/>
          <w:szCs w:val="24"/>
        </w:rPr>
        <w:t>vs</w:t>
      </w:r>
      <w:r w:rsidR="0005512A" w:rsidRPr="002B2CFC">
        <w:rPr>
          <w:szCs w:val="24"/>
        </w:rPr>
        <w:t xml:space="preserve"> 0.5 g for controls (p&lt;0.05)). However, overall for the entire study (day 0-91), males dosed with 10 or 50 ppm paraquat, did not show any statistically significant difference in mean body weight change (</w:t>
      </w:r>
      <w:r w:rsidR="00F07346">
        <w:fldChar w:fldCharType="begin"/>
      </w:r>
      <w:r w:rsidR="00F07346">
        <w:instrText xml:space="preserve"> REF _Ref410219546 \h  \* MERGEFORMAT </w:instrText>
      </w:r>
      <w:r w:rsidR="00F07346">
        <w:fldChar w:fldCharType="separate"/>
      </w:r>
      <w:r w:rsidR="000E54B2" w:rsidRPr="000E54B2">
        <w:rPr>
          <w:bCs/>
          <w:szCs w:val="24"/>
          <w:lang w:val="en-US" w:eastAsia="en-US"/>
        </w:rPr>
        <w:t xml:space="preserve">Table </w:t>
      </w:r>
      <w:r w:rsidR="000E54B2" w:rsidRPr="000E54B2">
        <w:rPr>
          <w:bCs/>
          <w:noProof/>
          <w:szCs w:val="24"/>
          <w:lang w:val="en-US" w:eastAsia="en-US"/>
        </w:rPr>
        <w:t>24</w:t>
      </w:r>
      <w:r w:rsidR="00F07346">
        <w:fldChar w:fldCharType="end"/>
      </w:r>
      <w:r w:rsidR="00C31A63">
        <w:t xml:space="preserve"> </w:t>
      </w:r>
      <w:r w:rsidR="003A31EB">
        <w:fldChar w:fldCharType="begin"/>
      </w:r>
      <w:r w:rsidR="003A31EB">
        <w:instrText xml:space="preserve"> REF _Ref459037935 \p </w:instrText>
      </w:r>
      <w:r w:rsidR="003A31EB">
        <w:fldChar w:fldCharType="separate"/>
      </w:r>
      <w:r w:rsidR="000E54B2">
        <w:t>below</w:t>
      </w:r>
      <w:r w:rsidR="003A31EB">
        <w:fldChar w:fldCharType="end"/>
      </w:r>
      <w:r w:rsidR="0005512A" w:rsidRPr="002B2CFC">
        <w:rPr>
          <w:szCs w:val="24"/>
        </w:rPr>
        <w:t xml:space="preserve">). </w:t>
      </w:r>
    </w:p>
    <w:p w14:paraId="1118C715" w14:textId="3CC96100" w:rsidR="0005512A" w:rsidRDefault="0005512A" w:rsidP="0005512A">
      <w:pPr>
        <w:spacing w:before="120" w:after="120"/>
        <w:rPr>
          <w:szCs w:val="24"/>
        </w:rPr>
      </w:pPr>
      <w:r w:rsidRPr="002B2CFC">
        <w:rPr>
          <w:szCs w:val="24"/>
        </w:rPr>
        <w:t>Females also showed fluctuation in body weight gain with the 50 ppm group having a statistically significantly reduced body weight gain for intervals day 7-14 and 49-56 (as compared to the control group). Statistically significantly increased body weight gain was noted for interval days 56-63 and 77-84.</w:t>
      </w:r>
      <w:r>
        <w:rPr>
          <w:szCs w:val="24"/>
        </w:rPr>
        <w:t xml:space="preserve"> As for males at</w:t>
      </w:r>
      <w:r w:rsidRPr="002B2CFC">
        <w:rPr>
          <w:szCs w:val="24"/>
        </w:rPr>
        <w:t xml:space="preserve"> 10 ppm, females </w:t>
      </w:r>
      <w:r>
        <w:rPr>
          <w:szCs w:val="24"/>
        </w:rPr>
        <w:t>also</w:t>
      </w:r>
      <w:r w:rsidRPr="002B2CFC">
        <w:rPr>
          <w:szCs w:val="24"/>
        </w:rPr>
        <w:t xml:space="preserve"> showed a statistically significant reduced</w:t>
      </w:r>
      <w:r>
        <w:rPr>
          <w:szCs w:val="24"/>
        </w:rPr>
        <w:t xml:space="preserve"> or increased</w:t>
      </w:r>
      <w:r w:rsidRPr="002B2CFC">
        <w:rPr>
          <w:szCs w:val="24"/>
        </w:rPr>
        <w:t xml:space="preserve"> body weight gain for </w:t>
      </w:r>
      <w:r>
        <w:rPr>
          <w:szCs w:val="24"/>
        </w:rPr>
        <w:t>different intervals throughout the treatment period (decreases</w:t>
      </w:r>
      <w:r w:rsidRPr="002B2CFC">
        <w:rPr>
          <w:szCs w:val="24"/>
        </w:rPr>
        <w:t xml:space="preserve"> day 28-35, 49-56, and 84-91</w:t>
      </w:r>
      <w:r>
        <w:rPr>
          <w:szCs w:val="24"/>
        </w:rPr>
        <w:t xml:space="preserve"> and increases days </w:t>
      </w:r>
      <w:r w:rsidRPr="002B2CFC">
        <w:rPr>
          <w:szCs w:val="24"/>
        </w:rPr>
        <w:t xml:space="preserve"> 35-42, 42-49, 56-63 and 77-84</w:t>
      </w:r>
      <w:r>
        <w:rPr>
          <w:szCs w:val="24"/>
        </w:rPr>
        <w:t>)</w:t>
      </w:r>
      <w:r w:rsidRPr="002B2CFC">
        <w:rPr>
          <w:szCs w:val="24"/>
        </w:rPr>
        <w:t xml:space="preserve">. Overall, for the entire study (day 0-91), females dosed with 10 or 50 ppm paraquat, did not show any statistically significant difference in mean body weight change. The Day 49-56 interval is the only period where both paraquat treated groups showed a reduced body weight gain compared to controls (0.0 g for both treated groups vs 0.4 g for controls (p&lt;0.01)). </w:t>
      </w:r>
    </w:p>
    <w:p w14:paraId="7E9A2560" w14:textId="77777777" w:rsidR="0005512A" w:rsidRPr="002B2CFC" w:rsidRDefault="0005512A" w:rsidP="0005512A">
      <w:pPr>
        <w:spacing w:before="120" w:after="120"/>
        <w:rPr>
          <w:szCs w:val="24"/>
        </w:rPr>
      </w:pPr>
      <w:r w:rsidRPr="002B2CFC">
        <w:rPr>
          <w:szCs w:val="24"/>
        </w:rPr>
        <w:t>Considering the lack of dose relationship, or the direction of change being not toxicologically significant, the effects on body weight are not considered treatment related for males and females at 10 ppm. The initial reduction in body weight gain in males and females at 50 ppm is considered treatment related, but recovery was evident over the course of the study.</w:t>
      </w:r>
    </w:p>
    <w:p w14:paraId="7A98CF47" w14:textId="77777777" w:rsidR="0005512A" w:rsidRPr="002B2CFC" w:rsidRDefault="0005512A" w:rsidP="0005512A">
      <w:pPr>
        <w:spacing w:before="120" w:after="120"/>
        <w:rPr>
          <w:szCs w:val="24"/>
        </w:rPr>
      </w:pPr>
      <w:r w:rsidRPr="002B2CFC">
        <w:rPr>
          <w:szCs w:val="24"/>
        </w:rPr>
        <w:t>For the positive control group, after one week post-dosing, male mice had a statistically significant mean body weight loss of 0.4 g (</w:t>
      </w:r>
      <w:r w:rsidRPr="002B2CFC">
        <w:rPr>
          <w:i/>
          <w:szCs w:val="24"/>
        </w:rPr>
        <w:t>vs</w:t>
      </w:r>
      <w:r w:rsidRPr="002B2CFC">
        <w:rPr>
          <w:szCs w:val="24"/>
        </w:rPr>
        <w:t xml:space="preserve"> 0.1 g loss in control males). In females, a </w:t>
      </w:r>
      <w:r w:rsidRPr="002B2CFC">
        <w:rPr>
          <w:szCs w:val="24"/>
        </w:rPr>
        <w:lastRenderedPageBreak/>
        <w:t>statistically significant mean body weight loss of 0.1 g was noted (</w:t>
      </w:r>
      <w:r w:rsidRPr="002B2CFC">
        <w:rPr>
          <w:i/>
          <w:szCs w:val="24"/>
        </w:rPr>
        <w:t>vs</w:t>
      </w:r>
      <w:r w:rsidRPr="002B2CFC">
        <w:rPr>
          <w:szCs w:val="24"/>
        </w:rPr>
        <w:t xml:space="preserve"> 0.4 g body weight gain in control females). These were considered treatment related. Positive control males showed statistically significant fluctuations prior to treatment (decreases day 28-35, 70-77, increases day 42-49, 77-84) however, actual body weight loss was only noted the week following treatment. Similarly, in females statistically significant reductions in body weight gain occurred day 49-56 and increases day 42-49 and 77-84. These fluctuations are considered normal variation.</w:t>
      </w:r>
    </w:p>
    <w:p w14:paraId="5354DD4A" w14:textId="77777777" w:rsidR="0005512A" w:rsidRPr="002B2CFC" w:rsidRDefault="0005512A" w:rsidP="0005512A">
      <w:pPr>
        <w:keepNext/>
        <w:keepLines/>
        <w:spacing w:after="120"/>
        <w:rPr>
          <w:b/>
          <w:bCs/>
          <w:sz w:val="20"/>
          <w:lang w:val="en-US" w:eastAsia="en-US"/>
        </w:rPr>
      </w:pPr>
      <w:bookmarkStart w:id="105" w:name="_Ref410219546"/>
      <w:bookmarkStart w:id="106" w:name="_Ref459037935"/>
      <w:r w:rsidRPr="002B2CFC">
        <w:rPr>
          <w:b/>
          <w:bCs/>
          <w:sz w:val="20"/>
          <w:lang w:val="en-US" w:eastAsia="en-US"/>
        </w:rPr>
        <w:t xml:space="preserve">Table </w:t>
      </w:r>
      <w:r w:rsidR="00897462" w:rsidRPr="002B2CFC">
        <w:rPr>
          <w:b/>
          <w:bCs/>
          <w:sz w:val="20"/>
          <w:lang w:val="en-US" w:eastAsia="en-US"/>
        </w:rPr>
        <w:fldChar w:fldCharType="begin"/>
      </w:r>
      <w:r w:rsidRPr="002B2CFC">
        <w:rPr>
          <w:b/>
          <w:bCs/>
          <w:sz w:val="20"/>
          <w:lang w:val="en-US" w:eastAsia="en-US"/>
        </w:rPr>
        <w:instrText xml:space="preserve"> SEQ Table \* ARABIC </w:instrText>
      </w:r>
      <w:r w:rsidR="00897462" w:rsidRPr="002B2CFC">
        <w:rPr>
          <w:b/>
          <w:bCs/>
          <w:sz w:val="20"/>
          <w:lang w:val="en-US" w:eastAsia="en-US"/>
        </w:rPr>
        <w:fldChar w:fldCharType="separate"/>
      </w:r>
      <w:r w:rsidR="000E54B2">
        <w:rPr>
          <w:b/>
          <w:bCs/>
          <w:noProof/>
          <w:sz w:val="20"/>
          <w:lang w:val="en-US" w:eastAsia="en-US"/>
        </w:rPr>
        <w:t>24</w:t>
      </w:r>
      <w:r w:rsidR="00897462" w:rsidRPr="002B2CFC">
        <w:rPr>
          <w:b/>
          <w:bCs/>
          <w:sz w:val="20"/>
          <w:lang w:val="en-US" w:eastAsia="en-US"/>
        </w:rPr>
        <w:fldChar w:fldCharType="end"/>
      </w:r>
      <w:bookmarkEnd w:id="105"/>
      <w:r w:rsidRPr="002B2CFC">
        <w:rPr>
          <w:b/>
          <w:bCs/>
          <w:sz w:val="20"/>
          <w:lang w:val="en-US" w:eastAsia="en-US"/>
        </w:rPr>
        <w:t xml:space="preserve">. Summary of mean body weight change and final mean </w:t>
      </w:r>
      <w:r>
        <w:rPr>
          <w:b/>
          <w:bCs/>
          <w:sz w:val="20"/>
          <w:lang w:val="en-US" w:eastAsia="en-US"/>
        </w:rPr>
        <w:t>body weight</w:t>
      </w:r>
      <w:r w:rsidRPr="002B2CFC">
        <w:rPr>
          <w:b/>
          <w:bCs/>
          <w:sz w:val="20"/>
          <w:lang w:val="en-US" w:eastAsia="en-US"/>
        </w:rPr>
        <w:t>s (g)</w:t>
      </w:r>
      <w:bookmarkEnd w:id="106"/>
    </w:p>
    <w:tbl>
      <w:tblPr>
        <w:tblStyle w:val="TableGrid"/>
        <w:tblW w:w="0" w:type="auto"/>
        <w:tblLayout w:type="fixed"/>
        <w:tblLook w:val="04A0" w:firstRow="1" w:lastRow="0" w:firstColumn="1" w:lastColumn="0" w:noHBand="0" w:noVBand="1"/>
      </w:tblPr>
      <w:tblGrid>
        <w:gridCol w:w="1557"/>
        <w:gridCol w:w="976"/>
        <w:gridCol w:w="976"/>
        <w:gridCol w:w="976"/>
        <w:gridCol w:w="977"/>
        <w:gridCol w:w="945"/>
        <w:gridCol w:w="945"/>
        <w:gridCol w:w="945"/>
        <w:gridCol w:w="945"/>
      </w:tblGrid>
      <w:tr w:rsidR="0005512A" w:rsidRPr="00E10790" w14:paraId="6A4A61A7" w14:textId="77777777" w:rsidTr="0005512A">
        <w:trPr>
          <w:trHeight w:val="350"/>
        </w:trPr>
        <w:tc>
          <w:tcPr>
            <w:tcW w:w="1557" w:type="dxa"/>
            <w:vMerge w:val="restart"/>
            <w:shd w:val="clear" w:color="auto" w:fill="D9D9D9" w:themeFill="background1" w:themeFillShade="D9"/>
            <w:vAlign w:val="center"/>
          </w:tcPr>
          <w:p w14:paraId="79BA3B84" w14:textId="77777777" w:rsidR="0005512A" w:rsidRPr="00E10790" w:rsidRDefault="00897462" w:rsidP="00E10790">
            <w:pPr>
              <w:rPr>
                <w:sz w:val="20"/>
              </w:rPr>
            </w:pPr>
            <w:r w:rsidRPr="00E10790">
              <w:rPr>
                <w:sz w:val="20"/>
              </w:rPr>
              <w:t>Mean body weight change (g)</w:t>
            </w:r>
          </w:p>
        </w:tc>
        <w:tc>
          <w:tcPr>
            <w:tcW w:w="7685" w:type="dxa"/>
            <w:gridSpan w:val="8"/>
            <w:shd w:val="clear" w:color="auto" w:fill="D9D9D9" w:themeFill="background1" w:themeFillShade="D9"/>
            <w:vAlign w:val="center"/>
          </w:tcPr>
          <w:p w14:paraId="788A3CC6" w14:textId="77777777" w:rsidR="0005512A" w:rsidRPr="00E10790" w:rsidRDefault="00897462" w:rsidP="00E10790">
            <w:pPr>
              <w:rPr>
                <w:sz w:val="20"/>
              </w:rPr>
            </w:pPr>
            <w:r w:rsidRPr="00E10790">
              <w:rPr>
                <w:sz w:val="20"/>
              </w:rPr>
              <w:t>Dose group (ppm)</w:t>
            </w:r>
          </w:p>
        </w:tc>
      </w:tr>
      <w:tr w:rsidR="0005512A" w:rsidRPr="00E10790" w14:paraId="6185FDF5" w14:textId="77777777" w:rsidTr="0005512A">
        <w:trPr>
          <w:trHeight w:val="372"/>
        </w:trPr>
        <w:tc>
          <w:tcPr>
            <w:tcW w:w="1557" w:type="dxa"/>
            <w:vMerge/>
            <w:shd w:val="clear" w:color="auto" w:fill="D9D9D9" w:themeFill="background1" w:themeFillShade="D9"/>
          </w:tcPr>
          <w:p w14:paraId="429128E5" w14:textId="77777777" w:rsidR="0005512A" w:rsidRPr="00E10790" w:rsidRDefault="0005512A" w:rsidP="00E10790">
            <w:pPr>
              <w:rPr>
                <w:sz w:val="20"/>
              </w:rPr>
            </w:pPr>
          </w:p>
        </w:tc>
        <w:tc>
          <w:tcPr>
            <w:tcW w:w="3905" w:type="dxa"/>
            <w:gridSpan w:val="4"/>
            <w:tcBorders>
              <w:right w:val="single" w:sz="12" w:space="0" w:color="auto"/>
            </w:tcBorders>
            <w:shd w:val="clear" w:color="auto" w:fill="D9D9D9" w:themeFill="background1" w:themeFillShade="D9"/>
            <w:vAlign w:val="center"/>
          </w:tcPr>
          <w:p w14:paraId="55DAC23D" w14:textId="77777777" w:rsidR="0005512A" w:rsidRPr="00E10790" w:rsidRDefault="00897462" w:rsidP="00E10790">
            <w:pPr>
              <w:rPr>
                <w:sz w:val="20"/>
              </w:rPr>
            </w:pPr>
            <w:r w:rsidRPr="00E10790">
              <w:rPr>
                <w:sz w:val="20"/>
              </w:rPr>
              <w:t>Males</w:t>
            </w:r>
          </w:p>
        </w:tc>
        <w:tc>
          <w:tcPr>
            <w:tcW w:w="3780" w:type="dxa"/>
            <w:gridSpan w:val="4"/>
            <w:tcBorders>
              <w:left w:val="single" w:sz="12" w:space="0" w:color="auto"/>
            </w:tcBorders>
            <w:shd w:val="clear" w:color="auto" w:fill="D9D9D9" w:themeFill="background1" w:themeFillShade="D9"/>
            <w:vAlign w:val="center"/>
          </w:tcPr>
          <w:p w14:paraId="445A9153" w14:textId="77777777" w:rsidR="0005512A" w:rsidRPr="00E10790" w:rsidRDefault="00897462" w:rsidP="00E10790">
            <w:pPr>
              <w:rPr>
                <w:sz w:val="20"/>
              </w:rPr>
            </w:pPr>
            <w:r w:rsidRPr="00E10790">
              <w:rPr>
                <w:sz w:val="20"/>
              </w:rPr>
              <w:t>Females</w:t>
            </w:r>
          </w:p>
        </w:tc>
      </w:tr>
      <w:tr w:rsidR="0005512A" w:rsidRPr="00251893" w14:paraId="1611DABC" w14:textId="77777777" w:rsidTr="0005512A">
        <w:tc>
          <w:tcPr>
            <w:tcW w:w="1557" w:type="dxa"/>
            <w:vAlign w:val="center"/>
          </w:tcPr>
          <w:p w14:paraId="6C6C93EA" w14:textId="77777777" w:rsidR="0005512A" w:rsidRPr="00251893" w:rsidRDefault="00897462" w:rsidP="0005512A">
            <w:pPr>
              <w:keepNext/>
              <w:keepLines/>
              <w:spacing w:before="120" w:after="120"/>
              <w:jc w:val="left"/>
              <w:rPr>
                <w:b/>
                <w:sz w:val="20"/>
              </w:rPr>
            </w:pPr>
            <w:r w:rsidRPr="00897462">
              <w:rPr>
                <w:b/>
                <w:sz w:val="20"/>
              </w:rPr>
              <w:t>Study day interval:</w:t>
            </w:r>
          </w:p>
        </w:tc>
        <w:tc>
          <w:tcPr>
            <w:tcW w:w="976" w:type="dxa"/>
            <w:shd w:val="clear" w:color="auto" w:fill="BFBFBF"/>
            <w:vAlign w:val="center"/>
          </w:tcPr>
          <w:p w14:paraId="1C737823" w14:textId="77777777" w:rsidR="0005512A" w:rsidRPr="00251893" w:rsidRDefault="00897462" w:rsidP="0005512A">
            <w:pPr>
              <w:keepNext/>
              <w:keepLines/>
              <w:spacing w:before="120" w:after="120"/>
              <w:jc w:val="center"/>
              <w:rPr>
                <w:b/>
                <w:sz w:val="20"/>
              </w:rPr>
            </w:pPr>
            <w:r w:rsidRPr="00897462">
              <w:rPr>
                <w:b/>
                <w:sz w:val="20"/>
              </w:rPr>
              <w:t>0</w:t>
            </w:r>
          </w:p>
        </w:tc>
        <w:tc>
          <w:tcPr>
            <w:tcW w:w="976" w:type="dxa"/>
            <w:shd w:val="clear" w:color="auto" w:fill="BFBFBF"/>
            <w:vAlign w:val="center"/>
          </w:tcPr>
          <w:p w14:paraId="14D4A192" w14:textId="77777777" w:rsidR="0005512A" w:rsidRPr="00251893" w:rsidRDefault="00897462" w:rsidP="0005512A">
            <w:pPr>
              <w:keepNext/>
              <w:keepLines/>
              <w:spacing w:before="120" w:after="120"/>
              <w:jc w:val="center"/>
              <w:rPr>
                <w:b/>
                <w:sz w:val="20"/>
              </w:rPr>
            </w:pPr>
            <w:r w:rsidRPr="00897462">
              <w:rPr>
                <w:b/>
                <w:sz w:val="20"/>
              </w:rPr>
              <w:t>10</w:t>
            </w:r>
          </w:p>
        </w:tc>
        <w:tc>
          <w:tcPr>
            <w:tcW w:w="976" w:type="dxa"/>
            <w:shd w:val="clear" w:color="auto" w:fill="BFBFBF"/>
            <w:vAlign w:val="center"/>
          </w:tcPr>
          <w:p w14:paraId="3C472320" w14:textId="77777777" w:rsidR="0005512A" w:rsidRPr="00251893" w:rsidRDefault="00897462" w:rsidP="0005512A">
            <w:pPr>
              <w:keepNext/>
              <w:keepLines/>
              <w:spacing w:before="120" w:after="120"/>
              <w:jc w:val="center"/>
              <w:rPr>
                <w:b/>
                <w:sz w:val="20"/>
              </w:rPr>
            </w:pPr>
            <w:r w:rsidRPr="00897462">
              <w:rPr>
                <w:b/>
                <w:sz w:val="20"/>
              </w:rPr>
              <w:t>50</w:t>
            </w:r>
          </w:p>
        </w:tc>
        <w:tc>
          <w:tcPr>
            <w:tcW w:w="977" w:type="dxa"/>
            <w:tcBorders>
              <w:right w:val="single" w:sz="12" w:space="0" w:color="auto"/>
            </w:tcBorders>
            <w:shd w:val="clear" w:color="auto" w:fill="D9D9D9"/>
            <w:vAlign w:val="center"/>
          </w:tcPr>
          <w:p w14:paraId="101B483D" w14:textId="77777777" w:rsidR="0005512A" w:rsidRPr="00251893" w:rsidRDefault="00897462" w:rsidP="0005512A">
            <w:pPr>
              <w:keepNext/>
              <w:keepLines/>
              <w:spacing w:before="120" w:after="120"/>
              <w:jc w:val="center"/>
              <w:rPr>
                <w:b/>
                <w:sz w:val="20"/>
              </w:rPr>
            </w:pPr>
            <w:r w:rsidRPr="00897462">
              <w:rPr>
                <w:b/>
                <w:sz w:val="20"/>
              </w:rPr>
              <w:t>MPTP</w:t>
            </w:r>
          </w:p>
        </w:tc>
        <w:tc>
          <w:tcPr>
            <w:tcW w:w="945" w:type="dxa"/>
            <w:tcBorders>
              <w:left w:val="single" w:sz="12" w:space="0" w:color="auto"/>
            </w:tcBorders>
            <w:shd w:val="clear" w:color="auto" w:fill="BFBFBF"/>
            <w:vAlign w:val="center"/>
          </w:tcPr>
          <w:p w14:paraId="01AEF5D3" w14:textId="77777777" w:rsidR="0005512A" w:rsidRPr="00251893" w:rsidRDefault="00897462" w:rsidP="0005512A">
            <w:pPr>
              <w:keepNext/>
              <w:keepLines/>
              <w:spacing w:before="120" w:after="120"/>
              <w:jc w:val="center"/>
              <w:rPr>
                <w:b/>
                <w:sz w:val="20"/>
              </w:rPr>
            </w:pPr>
            <w:r w:rsidRPr="00897462">
              <w:rPr>
                <w:b/>
                <w:sz w:val="20"/>
              </w:rPr>
              <w:t>0</w:t>
            </w:r>
          </w:p>
        </w:tc>
        <w:tc>
          <w:tcPr>
            <w:tcW w:w="945" w:type="dxa"/>
            <w:shd w:val="clear" w:color="auto" w:fill="BFBFBF"/>
            <w:vAlign w:val="center"/>
          </w:tcPr>
          <w:p w14:paraId="301952D4" w14:textId="77777777" w:rsidR="0005512A" w:rsidRPr="00251893" w:rsidRDefault="00897462" w:rsidP="0005512A">
            <w:pPr>
              <w:keepNext/>
              <w:keepLines/>
              <w:spacing w:before="120" w:after="120"/>
              <w:jc w:val="center"/>
              <w:rPr>
                <w:b/>
                <w:sz w:val="20"/>
              </w:rPr>
            </w:pPr>
            <w:r w:rsidRPr="00897462">
              <w:rPr>
                <w:b/>
                <w:sz w:val="20"/>
              </w:rPr>
              <w:t>10</w:t>
            </w:r>
          </w:p>
        </w:tc>
        <w:tc>
          <w:tcPr>
            <w:tcW w:w="945" w:type="dxa"/>
            <w:shd w:val="clear" w:color="auto" w:fill="BFBFBF"/>
            <w:vAlign w:val="center"/>
          </w:tcPr>
          <w:p w14:paraId="568B6B2E" w14:textId="77777777" w:rsidR="0005512A" w:rsidRPr="00251893" w:rsidRDefault="00897462" w:rsidP="0005512A">
            <w:pPr>
              <w:keepNext/>
              <w:keepLines/>
              <w:spacing w:before="120" w:after="120"/>
              <w:jc w:val="center"/>
              <w:rPr>
                <w:b/>
                <w:sz w:val="20"/>
              </w:rPr>
            </w:pPr>
            <w:r w:rsidRPr="00897462">
              <w:rPr>
                <w:b/>
                <w:sz w:val="20"/>
              </w:rPr>
              <w:t>50</w:t>
            </w:r>
          </w:p>
        </w:tc>
        <w:tc>
          <w:tcPr>
            <w:tcW w:w="945" w:type="dxa"/>
            <w:shd w:val="clear" w:color="auto" w:fill="D9D9D9"/>
            <w:vAlign w:val="center"/>
          </w:tcPr>
          <w:p w14:paraId="3D9B9E3A" w14:textId="77777777" w:rsidR="0005512A" w:rsidRPr="00251893" w:rsidRDefault="00897462" w:rsidP="0005512A">
            <w:pPr>
              <w:keepNext/>
              <w:keepLines/>
              <w:spacing w:before="120" w:after="120"/>
              <w:jc w:val="center"/>
              <w:rPr>
                <w:b/>
                <w:sz w:val="20"/>
              </w:rPr>
            </w:pPr>
            <w:r w:rsidRPr="00897462">
              <w:rPr>
                <w:b/>
                <w:sz w:val="20"/>
              </w:rPr>
              <w:t>MPTP</w:t>
            </w:r>
          </w:p>
        </w:tc>
      </w:tr>
      <w:tr w:rsidR="0005512A" w:rsidRPr="00251893" w14:paraId="6E520861" w14:textId="77777777" w:rsidTr="0005512A">
        <w:tc>
          <w:tcPr>
            <w:tcW w:w="1557" w:type="dxa"/>
            <w:vAlign w:val="center"/>
          </w:tcPr>
          <w:p w14:paraId="46011299" w14:textId="77777777" w:rsidR="0005512A" w:rsidRPr="00251893" w:rsidRDefault="00897462" w:rsidP="0005512A">
            <w:pPr>
              <w:keepNext/>
              <w:keepLines/>
              <w:spacing w:before="120" w:after="120"/>
              <w:jc w:val="left"/>
              <w:rPr>
                <w:b/>
                <w:sz w:val="20"/>
              </w:rPr>
            </w:pPr>
            <w:r w:rsidRPr="00897462">
              <w:rPr>
                <w:b/>
                <w:sz w:val="20"/>
              </w:rPr>
              <w:t>0-28</w:t>
            </w:r>
          </w:p>
        </w:tc>
        <w:tc>
          <w:tcPr>
            <w:tcW w:w="976" w:type="dxa"/>
          </w:tcPr>
          <w:p w14:paraId="3233492E" w14:textId="77777777" w:rsidR="0005512A" w:rsidRPr="00251893" w:rsidRDefault="00897462" w:rsidP="0005512A">
            <w:pPr>
              <w:keepNext/>
              <w:keepLines/>
              <w:spacing w:before="120" w:after="120"/>
              <w:rPr>
                <w:sz w:val="20"/>
              </w:rPr>
            </w:pPr>
            <w:r w:rsidRPr="00897462">
              <w:rPr>
                <w:sz w:val="20"/>
              </w:rPr>
              <w:t>1.8</w:t>
            </w:r>
          </w:p>
        </w:tc>
        <w:tc>
          <w:tcPr>
            <w:tcW w:w="976" w:type="dxa"/>
          </w:tcPr>
          <w:p w14:paraId="748B3C21" w14:textId="77777777" w:rsidR="0005512A" w:rsidRPr="00251893" w:rsidRDefault="00897462" w:rsidP="0005512A">
            <w:pPr>
              <w:keepNext/>
              <w:keepLines/>
              <w:spacing w:before="120" w:after="120"/>
              <w:rPr>
                <w:sz w:val="20"/>
              </w:rPr>
            </w:pPr>
            <w:r w:rsidRPr="00897462">
              <w:rPr>
                <w:sz w:val="20"/>
              </w:rPr>
              <w:t>2.0</w:t>
            </w:r>
          </w:p>
        </w:tc>
        <w:tc>
          <w:tcPr>
            <w:tcW w:w="976" w:type="dxa"/>
          </w:tcPr>
          <w:p w14:paraId="1C8EB6B3" w14:textId="77777777" w:rsidR="0005512A" w:rsidRPr="00251893" w:rsidRDefault="00897462" w:rsidP="0005512A">
            <w:pPr>
              <w:keepNext/>
              <w:keepLines/>
              <w:spacing w:before="120" w:after="120"/>
              <w:rPr>
                <w:sz w:val="20"/>
              </w:rPr>
            </w:pPr>
            <w:r w:rsidRPr="00897462">
              <w:rPr>
                <w:sz w:val="20"/>
              </w:rPr>
              <w:t>1.5</w:t>
            </w:r>
          </w:p>
        </w:tc>
        <w:tc>
          <w:tcPr>
            <w:tcW w:w="977" w:type="dxa"/>
            <w:tcBorders>
              <w:right w:val="single" w:sz="12" w:space="0" w:color="auto"/>
            </w:tcBorders>
            <w:shd w:val="clear" w:color="auto" w:fill="D9D9D9"/>
          </w:tcPr>
          <w:p w14:paraId="2A03BC7B" w14:textId="77777777" w:rsidR="0005512A" w:rsidRPr="00251893" w:rsidRDefault="00897462" w:rsidP="0005512A">
            <w:pPr>
              <w:keepNext/>
              <w:keepLines/>
              <w:spacing w:before="120" w:after="120"/>
              <w:rPr>
                <w:sz w:val="20"/>
              </w:rPr>
            </w:pPr>
            <w:r w:rsidRPr="00897462">
              <w:rPr>
                <w:sz w:val="20"/>
              </w:rPr>
              <w:t>2.1</w:t>
            </w:r>
          </w:p>
        </w:tc>
        <w:tc>
          <w:tcPr>
            <w:tcW w:w="945" w:type="dxa"/>
            <w:tcBorders>
              <w:left w:val="single" w:sz="12" w:space="0" w:color="auto"/>
            </w:tcBorders>
          </w:tcPr>
          <w:p w14:paraId="6C629126" w14:textId="77777777" w:rsidR="0005512A" w:rsidRPr="00251893" w:rsidRDefault="00897462" w:rsidP="0005512A">
            <w:pPr>
              <w:keepNext/>
              <w:keepLines/>
              <w:spacing w:before="120" w:after="120"/>
              <w:rPr>
                <w:sz w:val="20"/>
              </w:rPr>
            </w:pPr>
            <w:r w:rsidRPr="00897462">
              <w:rPr>
                <w:sz w:val="20"/>
              </w:rPr>
              <w:t>2.1</w:t>
            </w:r>
          </w:p>
        </w:tc>
        <w:tc>
          <w:tcPr>
            <w:tcW w:w="945" w:type="dxa"/>
          </w:tcPr>
          <w:p w14:paraId="1C67502C" w14:textId="77777777" w:rsidR="0005512A" w:rsidRPr="00251893" w:rsidRDefault="00897462" w:rsidP="0005512A">
            <w:pPr>
              <w:keepNext/>
              <w:keepLines/>
              <w:spacing w:before="120" w:after="120"/>
              <w:rPr>
                <w:sz w:val="20"/>
              </w:rPr>
            </w:pPr>
            <w:r w:rsidRPr="00897462">
              <w:rPr>
                <w:sz w:val="20"/>
              </w:rPr>
              <w:t>2.2</w:t>
            </w:r>
          </w:p>
        </w:tc>
        <w:tc>
          <w:tcPr>
            <w:tcW w:w="945" w:type="dxa"/>
          </w:tcPr>
          <w:p w14:paraId="427B7B14" w14:textId="77777777" w:rsidR="0005512A" w:rsidRPr="00251893" w:rsidRDefault="00897462" w:rsidP="0005512A">
            <w:pPr>
              <w:keepNext/>
              <w:keepLines/>
              <w:spacing w:before="120" w:after="120"/>
              <w:rPr>
                <w:sz w:val="20"/>
              </w:rPr>
            </w:pPr>
            <w:r w:rsidRPr="00897462">
              <w:rPr>
                <w:sz w:val="20"/>
              </w:rPr>
              <w:t>2.0</w:t>
            </w:r>
          </w:p>
        </w:tc>
        <w:tc>
          <w:tcPr>
            <w:tcW w:w="945" w:type="dxa"/>
            <w:shd w:val="clear" w:color="auto" w:fill="D9D9D9"/>
          </w:tcPr>
          <w:p w14:paraId="162D98F7" w14:textId="77777777" w:rsidR="0005512A" w:rsidRPr="00251893" w:rsidRDefault="00897462" w:rsidP="0005512A">
            <w:pPr>
              <w:keepNext/>
              <w:keepLines/>
              <w:spacing w:before="120" w:after="120"/>
              <w:rPr>
                <w:sz w:val="20"/>
              </w:rPr>
            </w:pPr>
            <w:r w:rsidRPr="00897462">
              <w:rPr>
                <w:sz w:val="20"/>
              </w:rPr>
              <w:t>2.1</w:t>
            </w:r>
          </w:p>
        </w:tc>
      </w:tr>
      <w:tr w:rsidR="0005512A" w:rsidRPr="00251893" w14:paraId="394A9737" w14:textId="77777777" w:rsidTr="0005512A">
        <w:tc>
          <w:tcPr>
            <w:tcW w:w="1557" w:type="dxa"/>
            <w:vAlign w:val="center"/>
          </w:tcPr>
          <w:p w14:paraId="5C186A79" w14:textId="77777777" w:rsidR="0005512A" w:rsidRPr="00251893" w:rsidRDefault="00897462" w:rsidP="0005512A">
            <w:pPr>
              <w:keepNext/>
              <w:keepLines/>
              <w:spacing w:before="120" w:after="120"/>
              <w:jc w:val="left"/>
              <w:rPr>
                <w:b/>
                <w:sz w:val="20"/>
              </w:rPr>
            </w:pPr>
            <w:r w:rsidRPr="00897462">
              <w:rPr>
                <w:b/>
                <w:sz w:val="20"/>
              </w:rPr>
              <w:t>0-56</w:t>
            </w:r>
          </w:p>
        </w:tc>
        <w:tc>
          <w:tcPr>
            <w:tcW w:w="976" w:type="dxa"/>
          </w:tcPr>
          <w:p w14:paraId="2FB979E7" w14:textId="77777777" w:rsidR="0005512A" w:rsidRPr="00251893" w:rsidRDefault="00897462" w:rsidP="0005512A">
            <w:pPr>
              <w:keepNext/>
              <w:keepLines/>
              <w:spacing w:before="120" w:after="120"/>
              <w:rPr>
                <w:sz w:val="20"/>
              </w:rPr>
            </w:pPr>
            <w:r w:rsidRPr="00897462">
              <w:rPr>
                <w:sz w:val="20"/>
              </w:rPr>
              <w:t>3.3</w:t>
            </w:r>
          </w:p>
        </w:tc>
        <w:tc>
          <w:tcPr>
            <w:tcW w:w="976" w:type="dxa"/>
          </w:tcPr>
          <w:p w14:paraId="79865381" w14:textId="77777777" w:rsidR="0005512A" w:rsidRPr="00251893" w:rsidRDefault="00897462" w:rsidP="0005512A">
            <w:pPr>
              <w:keepNext/>
              <w:keepLines/>
              <w:spacing w:before="120" w:after="120"/>
              <w:rPr>
                <w:sz w:val="20"/>
              </w:rPr>
            </w:pPr>
            <w:r w:rsidRPr="00897462">
              <w:rPr>
                <w:sz w:val="20"/>
              </w:rPr>
              <w:t>3.8</w:t>
            </w:r>
          </w:p>
        </w:tc>
        <w:tc>
          <w:tcPr>
            <w:tcW w:w="976" w:type="dxa"/>
          </w:tcPr>
          <w:p w14:paraId="313E6BBC" w14:textId="77777777" w:rsidR="0005512A" w:rsidRPr="00251893" w:rsidRDefault="00897462" w:rsidP="0005512A">
            <w:pPr>
              <w:keepNext/>
              <w:keepLines/>
              <w:spacing w:before="120" w:after="120"/>
              <w:rPr>
                <w:b/>
                <w:sz w:val="20"/>
              </w:rPr>
            </w:pPr>
            <w:r w:rsidRPr="00897462">
              <w:rPr>
                <w:b/>
                <w:sz w:val="20"/>
              </w:rPr>
              <w:t>2.7</w:t>
            </w:r>
            <w:r w:rsidRPr="00897462">
              <w:rPr>
                <w:b/>
                <w:sz w:val="20"/>
                <w:vertAlign w:val="superscript"/>
              </w:rPr>
              <w:t>*</w:t>
            </w:r>
          </w:p>
        </w:tc>
        <w:tc>
          <w:tcPr>
            <w:tcW w:w="977" w:type="dxa"/>
            <w:tcBorders>
              <w:right w:val="single" w:sz="12" w:space="0" w:color="auto"/>
            </w:tcBorders>
            <w:shd w:val="clear" w:color="auto" w:fill="D9D9D9"/>
          </w:tcPr>
          <w:p w14:paraId="42B7C61E" w14:textId="77777777" w:rsidR="0005512A" w:rsidRPr="00251893" w:rsidRDefault="00897462" w:rsidP="0005512A">
            <w:pPr>
              <w:keepNext/>
              <w:keepLines/>
              <w:spacing w:before="120" w:after="120"/>
              <w:rPr>
                <w:sz w:val="20"/>
              </w:rPr>
            </w:pPr>
            <w:r w:rsidRPr="00897462">
              <w:rPr>
                <w:sz w:val="20"/>
              </w:rPr>
              <w:t>3.4</w:t>
            </w:r>
          </w:p>
        </w:tc>
        <w:tc>
          <w:tcPr>
            <w:tcW w:w="945" w:type="dxa"/>
            <w:tcBorders>
              <w:left w:val="single" w:sz="12" w:space="0" w:color="auto"/>
            </w:tcBorders>
          </w:tcPr>
          <w:p w14:paraId="1F3836EE" w14:textId="77777777" w:rsidR="0005512A" w:rsidRPr="00251893" w:rsidRDefault="00897462" w:rsidP="0005512A">
            <w:pPr>
              <w:keepNext/>
              <w:keepLines/>
              <w:spacing w:before="120" w:after="120"/>
              <w:rPr>
                <w:sz w:val="20"/>
              </w:rPr>
            </w:pPr>
            <w:r w:rsidRPr="00897462">
              <w:rPr>
                <w:sz w:val="20"/>
              </w:rPr>
              <w:t>3.6</w:t>
            </w:r>
          </w:p>
        </w:tc>
        <w:tc>
          <w:tcPr>
            <w:tcW w:w="945" w:type="dxa"/>
          </w:tcPr>
          <w:p w14:paraId="4AA00D9F" w14:textId="77777777" w:rsidR="0005512A" w:rsidRPr="00251893" w:rsidRDefault="00897462" w:rsidP="0005512A">
            <w:pPr>
              <w:keepNext/>
              <w:keepLines/>
              <w:spacing w:before="120" w:after="120"/>
              <w:rPr>
                <w:sz w:val="20"/>
              </w:rPr>
            </w:pPr>
            <w:r w:rsidRPr="00897462">
              <w:rPr>
                <w:sz w:val="20"/>
              </w:rPr>
              <w:t>3.5</w:t>
            </w:r>
          </w:p>
        </w:tc>
        <w:tc>
          <w:tcPr>
            <w:tcW w:w="945" w:type="dxa"/>
          </w:tcPr>
          <w:p w14:paraId="79375956" w14:textId="77777777" w:rsidR="0005512A" w:rsidRPr="00251893" w:rsidRDefault="00897462" w:rsidP="0005512A">
            <w:pPr>
              <w:keepNext/>
              <w:keepLines/>
              <w:spacing w:before="120" w:after="120"/>
              <w:rPr>
                <w:sz w:val="20"/>
              </w:rPr>
            </w:pPr>
            <w:r w:rsidRPr="00897462">
              <w:rPr>
                <w:sz w:val="20"/>
              </w:rPr>
              <w:t>3.4</w:t>
            </w:r>
          </w:p>
        </w:tc>
        <w:tc>
          <w:tcPr>
            <w:tcW w:w="945" w:type="dxa"/>
            <w:shd w:val="clear" w:color="auto" w:fill="D9D9D9"/>
          </w:tcPr>
          <w:p w14:paraId="5B6B2A82" w14:textId="77777777" w:rsidR="0005512A" w:rsidRPr="00251893" w:rsidRDefault="00897462" w:rsidP="0005512A">
            <w:pPr>
              <w:keepNext/>
              <w:keepLines/>
              <w:spacing w:before="120" w:after="120"/>
              <w:rPr>
                <w:sz w:val="20"/>
              </w:rPr>
            </w:pPr>
            <w:r w:rsidRPr="00897462">
              <w:rPr>
                <w:sz w:val="20"/>
              </w:rPr>
              <w:t>3.9</w:t>
            </w:r>
          </w:p>
        </w:tc>
      </w:tr>
      <w:tr w:rsidR="0005512A" w:rsidRPr="00251893" w14:paraId="7F9E9109" w14:textId="77777777" w:rsidTr="0005512A">
        <w:tc>
          <w:tcPr>
            <w:tcW w:w="1557" w:type="dxa"/>
            <w:shd w:val="clear" w:color="auto" w:fill="D9D9D9"/>
            <w:vAlign w:val="center"/>
          </w:tcPr>
          <w:p w14:paraId="7D97F896" w14:textId="77777777" w:rsidR="0005512A" w:rsidRPr="00251893" w:rsidRDefault="00897462" w:rsidP="0005512A">
            <w:pPr>
              <w:keepNext/>
              <w:keepLines/>
              <w:spacing w:before="120" w:after="120"/>
              <w:jc w:val="left"/>
              <w:rPr>
                <w:b/>
                <w:sz w:val="20"/>
              </w:rPr>
            </w:pPr>
            <w:r w:rsidRPr="00897462">
              <w:rPr>
                <w:b/>
                <w:sz w:val="20"/>
              </w:rPr>
              <w:t>Total:</w:t>
            </w:r>
          </w:p>
          <w:p w14:paraId="4A288A01" w14:textId="77777777" w:rsidR="0005512A" w:rsidRPr="00251893" w:rsidRDefault="00897462" w:rsidP="0005512A">
            <w:pPr>
              <w:keepNext/>
              <w:keepLines/>
              <w:spacing w:before="120" w:after="120"/>
              <w:jc w:val="left"/>
              <w:rPr>
                <w:b/>
                <w:sz w:val="20"/>
              </w:rPr>
            </w:pPr>
            <w:r w:rsidRPr="00897462">
              <w:rPr>
                <w:b/>
                <w:sz w:val="20"/>
              </w:rPr>
              <w:t>0-91</w:t>
            </w:r>
          </w:p>
        </w:tc>
        <w:tc>
          <w:tcPr>
            <w:tcW w:w="976" w:type="dxa"/>
            <w:shd w:val="clear" w:color="auto" w:fill="D9D9D9"/>
          </w:tcPr>
          <w:p w14:paraId="1043176A" w14:textId="77777777" w:rsidR="0005512A" w:rsidRPr="00251893" w:rsidRDefault="00897462" w:rsidP="0005512A">
            <w:pPr>
              <w:keepNext/>
              <w:keepLines/>
              <w:spacing w:before="120" w:after="120"/>
              <w:rPr>
                <w:b/>
                <w:sz w:val="20"/>
              </w:rPr>
            </w:pPr>
            <w:r w:rsidRPr="00897462">
              <w:rPr>
                <w:b/>
                <w:sz w:val="20"/>
              </w:rPr>
              <w:t>4.3 (n=31)</w:t>
            </w:r>
          </w:p>
        </w:tc>
        <w:tc>
          <w:tcPr>
            <w:tcW w:w="976" w:type="dxa"/>
            <w:shd w:val="clear" w:color="auto" w:fill="D9D9D9"/>
          </w:tcPr>
          <w:p w14:paraId="78E6092F" w14:textId="77777777" w:rsidR="0005512A" w:rsidRPr="00251893" w:rsidRDefault="00897462" w:rsidP="0005512A">
            <w:pPr>
              <w:keepNext/>
              <w:keepLines/>
              <w:spacing w:before="120" w:after="120"/>
              <w:rPr>
                <w:b/>
                <w:sz w:val="20"/>
              </w:rPr>
            </w:pPr>
            <w:r w:rsidRPr="00897462">
              <w:rPr>
                <w:b/>
                <w:sz w:val="20"/>
              </w:rPr>
              <w:t>4.6 (n=30)</w:t>
            </w:r>
          </w:p>
        </w:tc>
        <w:tc>
          <w:tcPr>
            <w:tcW w:w="976" w:type="dxa"/>
            <w:shd w:val="clear" w:color="auto" w:fill="D9D9D9"/>
          </w:tcPr>
          <w:p w14:paraId="2BFB3B73" w14:textId="77777777" w:rsidR="0005512A" w:rsidRPr="00251893" w:rsidRDefault="00897462" w:rsidP="0005512A">
            <w:pPr>
              <w:keepNext/>
              <w:keepLines/>
              <w:spacing w:before="120" w:after="120"/>
              <w:rPr>
                <w:b/>
                <w:sz w:val="20"/>
              </w:rPr>
            </w:pPr>
            <w:r w:rsidRPr="00897462">
              <w:rPr>
                <w:b/>
                <w:sz w:val="20"/>
              </w:rPr>
              <w:t>3.8 (n=30)</w:t>
            </w:r>
          </w:p>
        </w:tc>
        <w:tc>
          <w:tcPr>
            <w:tcW w:w="977" w:type="dxa"/>
            <w:tcBorders>
              <w:right w:val="single" w:sz="12" w:space="0" w:color="auto"/>
            </w:tcBorders>
            <w:shd w:val="clear" w:color="auto" w:fill="D9D9D9"/>
          </w:tcPr>
          <w:p w14:paraId="6024697E" w14:textId="77777777" w:rsidR="0005512A" w:rsidRPr="00251893" w:rsidRDefault="00897462" w:rsidP="0005512A">
            <w:pPr>
              <w:keepNext/>
              <w:keepLines/>
              <w:spacing w:before="120" w:after="120"/>
              <w:rPr>
                <w:b/>
                <w:sz w:val="20"/>
              </w:rPr>
            </w:pPr>
            <w:r w:rsidRPr="00897462">
              <w:rPr>
                <w:b/>
                <w:sz w:val="20"/>
              </w:rPr>
              <w:t>4.3 (n=31)</w:t>
            </w:r>
          </w:p>
        </w:tc>
        <w:tc>
          <w:tcPr>
            <w:tcW w:w="945" w:type="dxa"/>
            <w:tcBorders>
              <w:left w:val="single" w:sz="12" w:space="0" w:color="auto"/>
            </w:tcBorders>
            <w:shd w:val="clear" w:color="auto" w:fill="D9D9D9"/>
          </w:tcPr>
          <w:p w14:paraId="6FEFE1E2" w14:textId="77777777" w:rsidR="0005512A" w:rsidRPr="00251893" w:rsidRDefault="00897462" w:rsidP="0005512A">
            <w:pPr>
              <w:keepNext/>
              <w:keepLines/>
              <w:spacing w:before="120" w:after="120"/>
              <w:rPr>
                <w:b/>
                <w:sz w:val="20"/>
              </w:rPr>
            </w:pPr>
            <w:r w:rsidRPr="00897462">
              <w:rPr>
                <w:b/>
                <w:sz w:val="20"/>
              </w:rPr>
              <w:t>4.8 (n=31)</w:t>
            </w:r>
          </w:p>
        </w:tc>
        <w:tc>
          <w:tcPr>
            <w:tcW w:w="945" w:type="dxa"/>
            <w:shd w:val="clear" w:color="auto" w:fill="D9D9D9"/>
          </w:tcPr>
          <w:p w14:paraId="60B99682" w14:textId="77777777" w:rsidR="0005512A" w:rsidRPr="00251893" w:rsidRDefault="00897462" w:rsidP="0005512A">
            <w:pPr>
              <w:keepNext/>
              <w:keepLines/>
              <w:spacing w:before="120" w:after="120"/>
              <w:rPr>
                <w:b/>
                <w:sz w:val="20"/>
              </w:rPr>
            </w:pPr>
            <w:r w:rsidRPr="00897462">
              <w:rPr>
                <w:b/>
                <w:sz w:val="20"/>
              </w:rPr>
              <w:t>4.8 (n=31)</w:t>
            </w:r>
          </w:p>
        </w:tc>
        <w:tc>
          <w:tcPr>
            <w:tcW w:w="945" w:type="dxa"/>
            <w:shd w:val="clear" w:color="auto" w:fill="D9D9D9"/>
          </w:tcPr>
          <w:p w14:paraId="4ACFD95C" w14:textId="77777777" w:rsidR="0005512A" w:rsidRPr="00251893" w:rsidRDefault="00897462" w:rsidP="0005512A">
            <w:pPr>
              <w:keepNext/>
              <w:keepLines/>
              <w:spacing w:before="120" w:after="120"/>
              <w:rPr>
                <w:b/>
                <w:sz w:val="20"/>
              </w:rPr>
            </w:pPr>
            <w:r w:rsidRPr="00897462">
              <w:rPr>
                <w:b/>
                <w:sz w:val="20"/>
              </w:rPr>
              <w:t>5.2 (n=30)</w:t>
            </w:r>
          </w:p>
        </w:tc>
        <w:tc>
          <w:tcPr>
            <w:tcW w:w="945" w:type="dxa"/>
            <w:shd w:val="clear" w:color="auto" w:fill="D9D9D9"/>
          </w:tcPr>
          <w:p w14:paraId="22D279FD" w14:textId="77777777" w:rsidR="0005512A" w:rsidRPr="00251893" w:rsidRDefault="00897462" w:rsidP="0005512A">
            <w:pPr>
              <w:keepNext/>
              <w:keepLines/>
              <w:spacing w:before="120" w:after="120"/>
              <w:rPr>
                <w:b/>
                <w:sz w:val="20"/>
              </w:rPr>
            </w:pPr>
            <w:r w:rsidRPr="00897462">
              <w:rPr>
                <w:b/>
                <w:sz w:val="20"/>
              </w:rPr>
              <w:t>4.9 (n=31)</w:t>
            </w:r>
          </w:p>
        </w:tc>
      </w:tr>
      <w:tr w:rsidR="0005512A" w:rsidRPr="00251893" w14:paraId="205A0E1C" w14:textId="77777777" w:rsidTr="0005512A">
        <w:tc>
          <w:tcPr>
            <w:tcW w:w="1557" w:type="dxa"/>
            <w:shd w:val="clear" w:color="auto" w:fill="FFFFFF"/>
            <w:vAlign w:val="center"/>
          </w:tcPr>
          <w:p w14:paraId="012EF3F8" w14:textId="77777777" w:rsidR="0005512A" w:rsidRPr="00251893" w:rsidRDefault="00897462" w:rsidP="0005512A">
            <w:pPr>
              <w:keepNext/>
              <w:keepLines/>
              <w:spacing w:before="120" w:after="120"/>
              <w:jc w:val="left"/>
              <w:rPr>
                <w:b/>
                <w:sz w:val="20"/>
              </w:rPr>
            </w:pPr>
            <w:r w:rsidRPr="00897462">
              <w:rPr>
                <w:b/>
                <w:sz w:val="20"/>
              </w:rPr>
              <w:t>Mean body weight (g)</w:t>
            </w:r>
          </w:p>
          <w:p w14:paraId="01522194" w14:textId="77777777" w:rsidR="0005512A" w:rsidRPr="00251893" w:rsidRDefault="00897462" w:rsidP="0005512A">
            <w:pPr>
              <w:keepNext/>
              <w:keepLines/>
              <w:spacing w:before="120" w:after="120"/>
              <w:jc w:val="left"/>
              <w:rPr>
                <w:b/>
                <w:sz w:val="20"/>
              </w:rPr>
            </w:pPr>
            <w:r w:rsidRPr="00897462">
              <w:rPr>
                <w:b/>
                <w:sz w:val="20"/>
              </w:rPr>
              <w:t>(% difference from control)</w:t>
            </w:r>
          </w:p>
          <w:p w14:paraId="46DECBE3" w14:textId="77777777" w:rsidR="0005512A" w:rsidRPr="00251893" w:rsidRDefault="00897462" w:rsidP="0005512A">
            <w:pPr>
              <w:keepNext/>
              <w:keepLines/>
              <w:spacing w:before="120" w:after="120"/>
              <w:jc w:val="left"/>
              <w:rPr>
                <w:b/>
                <w:sz w:val="20"/>
              </w:rPr>
            </w:pPr>
            <w:r w:rsidRPr="00897462">
              <w:rPr>
                <w:b/>
                <w:sz w:val="20"/>
              </w:rPr>
              <w:t>(Day 91)</w:t>
            </w:r>
          </w:p>
        </w:tc>
        <w:tc>
          <w:tcPr>
            <w:tcW w:w="976" w:type="dxa"/>
            <w:shd w:val="clear" w:color="auto" w:fill="FFFFFF"/>
          </w:tcPr>
          <w:p w14:paraId="6C408D60" w14:textId="77777777" w:rsidR="0005512A" w:rsidRPr="00251893" w:rsidRDefault="00897462" w:rsidP="0005512A">
            <w:pPr>
              <w:keepNext/>
              <w:keepLines/>
              <w:spacing w:before="120" w:after="120"/>
              <w:rPr>
                <w:sz w:val="20"/>
              </w:rPr>
            </w:pPr>
            <w:r w:rsidRPr="00897462">
              <w:rPr>
                <w:sz w:val="20"/>
              </w:rPr>
              <w:t>27.1</w:t>
            </w:r>
          </w:p>
          <w:p w14:paraId="037C9F87" w14:textId="77777777" w:rsidR="0005512A" w:rsidRPr="00251893" w:rsidRDefault="00897462" w:rsidP="0005512A">
            <w:pPr>
              <w:keepNext/>
              <w:keepLines/>
              <w:spacing w:before="120" w:after="120"/>
              <w:rPr>
                <w:sz w:val="20"/>
              </w:rPr>
            </w:pPr>
            <w:r w:rsidRPr="00897462">
              <w:rPr>
                <w:sz w:val="20"/>
              </w:rPr>
              <w:t>(n=31)</w:t>
            </w:r>
          </w:p>
        </w:tc>
        <w:tc>
          <w:tcPr>
            <w:tcW w:w="976" w:type="dxa"/>
            <w:shd w:val="clear" w:color="auto" w:fill="FFFFFF"/>
          </w:tcPr>
          <w:p w14:paraId="5F00B710" w14:textId="77777777" w:rsidR="0005512A" w:rsidRPr="00251893" w:rsidRDefault="00897462" w:rsidP="0005512A">
            <w:pPr>
              <w:keepNext/>
              <w:keepLines/>
              <w:spacing w:before="120" w:after="120"/>
              <w:rPr>
                <w:sz w:val="20"/>
              </w:rPr>
            </w:pPr>
            <w:r w:rsidRPr="00897462">
              <w:rPr>
                <w:sz w:val="20"/>
              </w:rPr>
              <w:t>27.3 (+0.7%) (n=30)</w:t>
            </w:r>
          </w:p>
        </w:tc>
        <w:tc>
          <w:tcPr>
            <w:tcW w:w="976" w:type="dxa"/>
            <w:shd w:val="clear" w:color="auto" w:fill="FFFFFF"/>
          </w:tcPr>
          <w:p w14:paraId="397BC36B" w14:textId="77777777" w:rsidR="0005512A" w:rsidRPr="00251893" w:rsidRDefault="00897462" w:rsidP="0005512A">
            <w:pPr>
              <w:keepNext/>
              <w:keepLines/>
              <w:spacing w:before="120" w:after="120"/>
              <w:rPr>
                <w:sz w:val="20"/>
              </w:rPr>
            </w:pPr>
            <w:r w:rsidRPr="00897462">
              <w:rPr>
                <w:sz w:val="20"/>
              </w:rPr>
              <w:t>26.4      (-2.6%) (n=30)</w:t>
            </w:r>
          </w:p>
        </w:tc>
        <w:tc>
          <w:tcPr>
            <w:tcW w:w="977" w:type="dxa"/>
            <w:tcBorders>
              <w:right w:val="single" w:sz="12" w:space="0" w:color="auto"/>
            </w:tcBorders>
            <w:shd w:val="clear" w:color="auto" w:fill="FFFFFF"/>
          </w:tcPr>
          <w:p w14:paraId="5C04BB35" w14:textId="77777777" w:rsidR="0005512A" w:rsidRPr="00251893" w:rsidRDefault="00897462" w:rsidP="0005512A">
            <w:pPr>
              <w:keepNext/>
              <w:keepLines/>
              <w:spacing w:before="120" w:after="120"/>
              <w:rPr>
                <w:sz w:val="20"/>
              </w:rPr>
            </w:pPr>
            <w:r w:rsidRPr="00897462">
              <w:rPr>
                <w:sz w:val="20"/>
              </w:rPr>
              <w:t>26.5       (-2.2%) (n=31)</w:t>
            </w:r>
          </w:p>
        </w:tc>
        <w:tc>
          <w:tcPr>
            <w:tcW w:w="945" w:type="dxa"/>
            <w:tcBorders>
              <w:left w:val="single" w:sz="12" w:space="0" w:color="auto"/>
            </w:tcBorders>
            <w:shd w:val="clear" w:color="auto" w:fill="FFFFFF"/>
          </w:tcPr>
          <w:p w14:paraId="3C8ECA34" w14:textId="77777777" w:rsidR="0005512A" w:rsidRPr="00251893" w:rsidRDefault="00897462" w:rsidP="0005512A">
            <w:pPr>
              <w:keepNext/>
              <w:keepLines/>
              <w:spacing w:before="120" w:after="120"/>
              <w:rPr>
                <w:sz w:val="20"/>
              </w:rPr>
            </w:pPr>
            <w:r w:rsidRPr="00897462">
              <w:rPr>
                <w:sz w:val="20"/>
              </w:rPr>
              <w:t>22.2</w:t>
            </w:r>
          </w:p>
          <w:p w14:paraId="4CF00096" w14:textId="77777777" w:rsidR="0005512A" w:rsidRPr="00251893" w:rsidRDefault="00897462" w:rsidP="0005512A">
            <w:pPr>
              <w:keepNext/>
              <w:keepLines/>
              <w:spacing w:before="120" w:after="120"/>
              <w:rPr>
                <w:sz w:val="20"/>
              </w:rPr>
            </w:pPr>
            <w:r w:rsidRPr="00897462">
              <w:rPr>
                <w:sz w:val="20"/>
              </w:rPr>
              <w:t>(n=31)</w:t>
            </w:r>
          </w:p>
        </w:tc>
        <w:tc>
          <w:tcPr>
            <w:tcW w:w="945" w:type="dxa"/>
            <w:shd w:val="clear" w:color="auto" w:fill="FFFFFF"/>
          </w:tcPr>
          <w:p w14:paraId="2E535036" w14:textId="77777777" w:rsidR="0005512A" w:rsidRPr="00251893" w:rsidRDefault="00897462" w:rsidP="0005512A">
            <w:pPr>
              <w:keepNext/>
              <w:keepLines/>
              <w:spacing w:before="120" w:after="120"/>
              <w:rPr>
                <w:sz w:val="20"/>
              </w:rPr>
            </w:pPr>
            <w:r w:rsidRPr="00897462">
              <w:rPr>
                <w:sz w:val="20"/>
              </w:rPr>
              <w:t>21.7     (-2.3%) (n=31)</w:t>
            </w:r>
          </w:p>
        </w:tc>
        <w:tc>
          <w:tcPr>
            <w:tcW w:w="945" w:type="dxa"/>
            <w:shd w:val="clear" w:color="auto" w:fill="FFFFFF"/>
          </w:tcPr>
          <w:p w14:paraId="4D38F9AA" w14:textId="77777777" w:rsidR="0005512A" w:rsidRPr="00251893" w:rsidRDefault="00897462" w:rsidP="0005512A">
            <w:pPr>
              <w:keepNext/>
              <w:keepLines/>
              <w:spacing w:before="120" w:after="120"/>
              <w:rPr>
                <w:sz w:val="20"/>
              </w:rPr>
            </w:pPr>
            <w:r w:rsidRPr="00897462">
              <w:rPr>
                <w:sz w:val="20"/>
              </w:rPr>
              <w:t>22.3 (0.5%) (n=30)</w:t>
            </w:r>
          </w:p>
        </w:tc>
        <w:tc>
          <w:tcPr>
            <w:tcW w:w="945" w:type="dxa"/>
            <w:shd w:val="clear" w:color="auto" w:fill="FFFFFF"/>
          </w:tcPr>
          <w:p w14:paraId="1DCEC4A1" w14:textId="77777777" w:rsidR="0005512A" w:rsidRPr="00251893" w:rsidRDefault="00897462" w:rsidP="0005512A">
            <w:pPr>
              <w:keepNext/>
              <w:keepLines/>
              <w:spacing w:before="120" w:after="120"/>
              <w:rPr>
                <w:sz w:val="20"/>
              </w:rPr>
            </w:pPr>
            <w:r w:rsidRPr="00897462">
              <w:rPr>
                <w:sz w:val="20"/>
              </w:rPr>
              <w:t>22.0      (-0.9%) (n=31)</w:t>
            </w:r>
          </w:p>
        </w:tc>
      </w:tr>
      <w:tr w:rsidR="0005512A" w:rsidRPr="00251893" w14:paraId="74296853" w14:textId="77777777" w:rsidTr="0005512A">
        <w:tc>
          <w:tcPr>
            <w:tcW w:w="1557" w:type="dxa"/>
            <w:shd w:val="clear" w:color="auto" w:fill="FFFFFF"/>
            <w:vAlign w:val="center"/>
          </w:tcPr>
          <w:p w14:paraId="39DC15CC" w14:textId="77777777" w:rsidR="0005512A" w:rsidRPr="00251893" w:rsidRDefault="00897462" w:rsidP="0005512A">
            <w:pPr>
              <w:keepNext/>
              <w:keepLines/>
              <w:spacing w:before="120" w:after="120"/>
              <w:jc w:val="left"/>
              <w:rPr>
                <w:b/>
                <w:sz w:val="20"/>
              </w:rPr>
            </w:pPr>
            <w:r w:rsidRPr="00897462">
              <w:rPr>
                <w:b/>
                <w:sz w:val="20"/>
              </w:rPr>
              <w:t xml:space="preserve">Final mean body weight (g) </w:t>
            </w:r>
          </w:p>
          <w:p w14:paraId="4B3D13D7" w14:textId="77777777" w:rsidR="0005512A" w:rsidRPr="00251893" w:rsidRDefault="00897462" w:rsidP="0005512A">
            <w:pPr>
              <w:keepNext/>
              <w:keepLines/>
              <w:spacing w:before="120" w:after="120"/>
              <w:jc w:val="left"/>
              <w:rPr>
                <w:b/>
                <w:sz w:val="20"/>
              </w:rPr>
            </w:pPr>
            <w:r w:rsidRPr="00897462">
              <w:rPr>
                <w:b/>
                <w:sz w:val="20"/>
              </w:rPr>
              <w:t>(Day 95)</w:t>
            </w:r>
          </w:p>
        </w:tc>
        <w:tc>
          <w:tcPr>
            <w:tcW w:w="976" w:type="dxa"/>
            <w:shd w:val="clear" w:color="auto" w:fill="FFFFFF"/>
          </w:tcPr>
          <w:p w14:paraId="012F0C0E" w14:textId="77777777" w:rsidR="0005512A" w:rsidRPr="00251893" w:rsidRDefault="00897462" w:rsidP="0005512A">
            <w:pPr>
              <w:keepNext/>
              <w:keepLines/>
              <w:spacing w:before="120" w:after="120"/>
              <w:rPr>
                <w:sz w:val="20"/>
              </w:rPr>
            </w:pPr>
            <w:r w:rsidRPr="00897462">
              <w:rPr>
                <w:sz w:val="20"/>
              </w:rPr>
              <w:t>27.5 (n=6)</w:t>
            </w:r>
          </w:p>
        </w:tc>
        <w:tc>
          <w:tcPr>
            <w:tcW w:w="976" w:type="dxa"/>
            <w:shd w:val="clear" w:color="auto" w:fill="FFFFFF"/>
          </w:tcPr>
          <w:p w14:paraId="04EE2C9D" w14:textId="77777777" w:rsidR="0005512A" w:rsidRPr="00251893" w:rsidRDefault="00897462" w:rsidP="0005512A">
            <w:pPr>
              <w:keepNext/>
              <w:keepLines/>
              <w:spacing w:before="120" w:after="120"/>
              <w:rPr>
                <w:sz w:val="20"/>
              </w:rPr>
            </w:pPr>
            <w:r w:rsidRPr="00897462">
              <w:rPr>
                <w:sz w:val="20"/>
              </w:rPr>
              <w:t>27.2 (n=5)</w:t>
            </w:r>
          </w:p>
        </w:tc>
        <w:tc>
          <w:tcPr>
            <w:tcW w:w="976" w:type="dxa"/>
            <w:shd w:val="clear" w:color="auto" w:fill="FFFFFF"/>
          </w:tcPr>
          <w:p w14:paraId="40322701" w14:textId="77777777" w:rsidR="0005512A" w:rsidRPr="00251893" w:rsidRDefault="00897462" w:rsidP="0005512A">
            <w:pPr>
              <w:keepNext/>
              <w:keepLines/>
              <w:spacing w:before="120" w:after="120"/>
              <w:rPr>
                <w:sz w:val="20"/>
              </w:rPr>
            </w:pPr>
            <w:r w:rsidRPr="00897462">
              <w:rPr>
                <w:sz w:val="20"/>
              </w:rPr>
              <w:t>27.7 (n=5)</w:t>
            </w:r>
          </w:p>
        </w:tc>
        <w:tc>
          <w:tcPr>
            <w:tcW w:w="977" w:type="dxa"/>
            <w:tcBorders>
              <w:right w:val="single" w:sz="12" w:space="0" w:color="auto"/>
            </w:tcBorders>
            <w:shd w:val="clear" w:color="auto" w:fill="FFFFFF"/>
          </w:tcPr>
          <w:p w14:paraId="5F0F1787" w14:textId="77777777" w:rsidR="0005512A" w:rsidRPr="00251893" w:rsidRDefault="00897462" w:rsidP="0005512A">
            <w:pPr>
              <w:keepNext/>
              <w:keepLines/>
              <w:spacing w:before="120" w:after="120"/>
              <w:rPr>
                <w:sz w:val="20"/>
              </w:rPr>
            </w:pPr>
            <w:r w:rsidRPr="00897462">
              <w:rPr>
                <w:sz w:val="20"/>
              </w:rPr>
              <w:t>26.5 (n=6)</w:t>
            </w:r>
          </w:p>
        </w:tc>
        <w:tc>
          <w:tcPr>
            <w:tcW w:w="945" w:type="dxa"/>
            <w:tcBorders>
              <w:left w:val="single" w:sz="12" w:space="0" w:color="auto"/>
            </w:tcBorders>
            <w:shd w:val="clear" w:color="auto" w:fill="FFFFFF"/>
          </w:tcPr>
          <w:p w14:paraId="61067F8A" w14:textId="77777777" w:rsidR="0005512A" w:rsidRPr="00251893" w:rsidRDefault="00897462" w:rsidP="0005512A">
            <w:pPr>
              <w:keepNext/>
              <w:keepLines/>
              <w:spacing w:before="120" w:after="120"/>
              <w:rPr>
                <w:sz w:val="20"/>
              </w:rPr>
            </w:pPr>
            <w:r w:rsidRPr="00897462">
              <w:rPr>
                <w:sz w:val="20"/>
              </w:rPr>
              <w:t>22.8 (n=6)</w:t>
            </w:r>
          </w:p>
        </w:tc>
        <w:tc>
          <w:tcPr>
            <w:tcW w:w="945" w:type="dxa"/>
            <w:shd w:val="clear" w:color="auto" w:fill="FFFFFF"/>
          </w:tcPr>
          <w:p w14:paraId="5157C7BE" w14:textId="77777777" w:rsidR="0005512A" w:rsidRPr="00251893" w:rsidRDefault="00897462" w:rsidP="0005512A">
            <w:pPr>
              <w:keepNext/>
              <w:keepLines/>
              <w:spacing w:before="120" w:after="120"/>
              <w:rPr>
                <w:sz w:val="20"/>
              </w:rPr>
            </w:pPr>
            <w:r w:rsidRPr="00897462">
              <w:rPr>
                <w:sz w:val="20"/>
              </w:rPr>
              <w:t>21.4 (n=6)</w:t>
            </w:r>
          </w:p>
        </w:tc>
        <w:tc>
          <w:tcPr>
            <w:tcW w:w="945" w:type="dxa"/>
            <w:shd w:val="clear" w:color="auto" w:fill="FFFFFF"/>
          </w:tcPr>
          <w:p w14:paraId="2F96B278" w14:textId="77777777" w:rsidR="0005512A" w:rsidRPr="00251893" w:rsidRDefault="00897462" w:rsidP="0005512A">
            <w:pPr>
              <w:keepNext/>
              <w:keepLines/>
              <w:spacing w:before="120" w:after="120"/>
              <w:rPr>
                <w:sz w:val="20"/>
              </w:rPr>
            </w:pPr>
            <w:r w:rsidRPr="00897462">
              <w:rPr>
                <w:sz w:val="20"/>
              </w:rPr>
              <w:t>22.4 (n=5)</w:t>
            </w:r>
          </w:p>
        </w:tc>
        <w:tc>
          <w:tcPr>
            <w:tcW w:w="945" w:type="dxa"/>
            <w:shd w:val="clear" w:color="auto" w:fill="FFFFFF"/>
          </w:tcPr>
          <w:p w14:paraId="43497564" w14:textId="77777777" w:rsidR="0005512A" w:rsidRPr="00251893" w:rsidRDefault="00897462" w:rsidP="0005512A">
            <w:pPr>
              <w:keepNext/>
              <w:keepLines/>
              <w:spacing w:before="120" w:after="120"/>
              <w:rPr>
                <w:sz w:val="20"/>
              </w:rPr>
            </w:pPr>
            <w:r w:rsidRPr="00897462">
              <w:rPr>
                <w:sz w:val="20"/>
              </w:rPr>
              <w:t>21.9 (n=6)</w:t>
            </w:r>
          </w:p>
        </w:tc>
      </w:tr>
    </w:tbl>
    <w:p w14:paraId="739420AD" w14:textId="77777777" w:rsidR="0005512A" w:rsidRPr="002B2CFC" w:rsidRDefault="0005512A" w:rsidP="0005512A">
      <w:pPr>
        <w:keepNext/>
        <w:keepLines/>
        <w:spacing w:before="120" w:after="120"/>
        <w:rPr>
          <w:sz w:val="20"/>
        </w:rPr>
      </w:pPr>
      <w:r w:rsidRPr="002B2CFC">
        <w:rPr>
          <w:sz w:val="20"/>
          <w:vertAlign w:val="superscript"/>
        </w:rPr>
        <w:t>*</w:t>
      </w:r>
      <w:r w:rsidRPr="002B2CFC">
        <w:rPr>
          <w:sz w:val="20"/>
        </w:rPr>
        <w:t xml:space="preserve"> Statistically significantly different from control group (0 ppm) at 0.05 using Dunnett’s test</w:t>
      </w:r>
    </w:p>
    <w:p w14:paraId="14B675AD" w14:textId="77777777" w:rsidR="0005512A" w:rsidRPr="002B2CFC" w:rsidRDefault="0005512A" w:rsidP="0005512A">
      <w:pPr>
        <w:spacing w:before="120" w:after="120"/>
        <w:rPr>
          <w:szCs w:val="24"/>
        </w:rPr>
      </w:pPr>
      <w:r w:rsidRPr="002B2CFC">
        <w:rPr>
          <w:szCs w:val="24"/>
        </w:rPr>
        <w:t>Mean food consumption for 10 and 50 ppm treated groups were similar to controls throughout the study, although there were sporadic stati</w:t>
      </w:r>
      <w:r w:rsidR="00DA4463">
        <w:rPr>
          <w:szCs w:val="24"/>
        </w:rPr>
        <w:t>stically significant reductions</w:t>
      </w:r>
      <w:r w:rsidRPr="002B2CFC">
        <w:rPr>
          <w:szCs w:val="24"/>
        </w:rPr>
        <w:t>. However, these were not considered test substance related due to the lack of a dose relationship and a similar occurrence in the pre-treatment period.</w:t>
      </w:r>
    </w:p>
    <w:p w14:paraId="36CD25D2" w14:textId="77777777" w:rsidR="0005512A" w:rsidRPr="002B2CFC" w:rsidRDefault="0005512A" w:rsidP="0005512A">
      <w:pPr>
        <w:spacing w:before="120" w:after="120"/>
        <w:rPr>
          <w:szCs w:val="24"/>
        </w:rPr>
      </w:pPr>
      <w:r w:rsidRPr="002B2CFC">
        <w:rPr>
          <w:szCs w:val="24"/>
        </w:rPr>
        <w:t xml:space="preserve">In the positive control mice, mean food consumption was slightly lower than controls (-0.9 g/animal/day for both males and females) during the week following administration. </w:t>
      </w:r>
      <w:r>
        <w:rPr>
          <w:szCs w:val="24"/>
        </w:rPr>
        <w:t>This difference was statistically significant in males only</w:t>
      </w:r>
      <w:r w:rsidRPr="002B2CFC">
        <w:rPr>
          <w:szCs w:val="24"/>
        </w:rPr>
        <w:t>. Mean food consumption was however of a greater difference in the previous week i.e before MPTP administration (</w:t>
      </w:r>
      <w:r>
        <w:rPr>
          <w:szCs w:val="24"/>
        </w:rPr>
        <w:t>-</w:t>
      </w:r>
      <w:r w:rsidRPr="002B2CFC">
        <w:rPr>
          <w:szCs w:val="24"/>
        </w:rPr>
        <w:t>1.6 g/animal/day</w:t>
      </w:r>
      <w:r>
        <w:rPr>
          <w:szCs w:val="24"/>
        </w:rPr>
        <w:t xml:space="preserve"> M</w:t>
      </w:r>
      <w:r w:rsidRPr="002B2CFC">
        <w:rPr>
          <w:szCs w:val="24"/>
        </w:rPr>
        <w:t xml:space="preserve">, and </w:t>
      </w:r>
      <w:r>
        <w:rPr>
          <w:szCs w:val="24"/>
        </w:rPr>
        <w:t>-</w:t>
      </w:r>
      <w:r w:rsidRPr="002B2CFC">
        <w:rPr>
          <w:szCs w:val="24"/>
        </w:rPr>
        <w:t>2.6 g/animal/day</w:t>
      </w:r>
      <w:r>
        <w:rPr>
          <w:szCs w:val="24"/>
        </w:rPr>
        <w:t xml:space="preserve"> F</w:t>
      </w:r>
      <w:r w:rsidRPr="002B2CFC">
        <w:rPr>
          <w:szCs w:val="24"/>
        </w:rPr>
        <w:t>). This is therefore not considered to be treatment related.</w:t>
      </w:r>
    </w:p>
    <w:p w14:paraId="7730B710" w14:textId="77777777" w:rsidR="0005512A" w:rsidRPr="00C34954" w:rsidRDefault="00897462" w:rsidP="0005512A">
      <w:pPr>
        <w:spacing w:before="120" w:after="120"/>
        <w:rPr>
          <w:i/>
          <w:szCs w:val="24"/>
        </w:rPr>
      </w:pPr>
      <w:r w:rsidRPr="00C34954">
        <w:rPr>
          <w:i/>
          <w:szCs w:val="24"/>
        </w:rPr>
        <w:t>Dietary analysis:</w:t>
      </w:r>
    </w:p>
    <w:p w14:paraId="22EBCF7C" w14:textId="77777777" w:rsidR="0005512A" w:rsidRPr="00FB63CD" w:rsidRDefault="0005512A" w:rsidP="0005512A">
      <w:pPr>
        <w:spacing w:before="120" w:after="120"/>
        <w:rPr>
          <w:szCs w:val="24"/>
        </w:rPr>
      </w:pPr>
      <w:r>
        <w:rPr>
          <w:szCs w:val="24"/>
        </w:rPr>
        <w:t xml:space="preserve">Diet admix prepared with 10 and 50 ppm paraquat dichloride met the protocol specified requirements for target concentrations and stability (over 12 days), with a few exceptions. The homogeneity did not meet the protocol-specified criteria. </w:t>
      </w:r>
      <w:r w:rsidRPr="00FB63CD">
        <w:rPr>
          <w:szCs w:val="24"/>
        </w:rPr>
        <w:t>The analysed MPTP formulation was found to be within acceptable limits (90% to 110% of target).</w:t>
      </w:r>
    </w:p>
    <w:p w14:paraId="4B838676" w14:textId="77777777" w:rsidR="0005512A" w:rsidRPr="00C34954" w:rsidRDefault="00897462" w:rsidP="0005512A">
      <w:pPr>
        <w:spacing w:before="120" w:after="120"/>
        <w:rPr>
          <w:i/>
          <w:szCs w:val="24"/>
        </w:rPr>
      </w:pPr>
      <w:r w:rsidRPr="00C34954">
        <w:rPr>
          <w:i/>
          <w:szCs w:val="24"/>
        </w:rPr>
        <w:lastRenderedPageBreak/>
        <w:t>Macroscopic findings:</w:t>
      </w:r>
    </w:p>
    <w:p w14:paraId="0FCA4279" w14:textId="77777777" w:rsidR="0005512A" w:rsidRPr="002B2CFC" w:rsidRDefault="0005512A" w:rsidP="0005512A">
      <w:pPr>
        <w:spacing w:before="120" w:after="120"/>
        <w:rPr>
          <w:szCs w:val="24"/>
        </w:rPr>
      </w:pPr>
      <w:r w:rsidRPr="002B2CFC">
        <w:rPr>
          <w:i/>
          <w:szCs w:val="24"/>
        </w:rPr>
        <w:t>Unscheduled deaths:</w:t>
      </w:r>
      <w:r w:rsidRPr="002B2CFC">
        <w:rPr>
          <w:szCs w:val="24"/>
        </w:rPr>
        <w:t xml:space="preserve">The four males that were found dead (3 x 10 ppm, 1 x 50 ppm) and the one female killed </w:t>
      </w:r>
      <w:r w:rsidRPr="002B2CFC">
        <w:rPr>
          <w:i/>
          <w:szCs w:val="24"/>
        </w:rPr>
        <w:t>in extremis</w:t>
      </w:r>
      <w:r w:rsidRPr="002B2CFC">
        <w:rPr>
          <w:szCs w:val="24"/>
        </w:rPr>
        <w:t xml:space="preserve"> (50 ppm) were subject to gross necropsy</w:t>
      </w:r>
      <w:r>
        <w:rPr>
          <w:szCs w:val="24"/>
        </w:rPr>
        <w:t xml:space="preserve">, which did not reveal any </w:t>
      </w:r>
      <w:r w:rsidRPr="002B2CFC">
        <w:rPr>
          <w:szCs w:val="24"/>
        </w:rPr>
        <w:t>significant findings</w:t>
      </w:r>
      <w:r>
        <w:rPr>
          <w:szCs w:val="24"/>
        </w:rPr>
        <w:t xml:space="preserve">. The </w:t>
      </w:r>
      <w:r w:rsidRPr="002B2CFC">
        <w:rPr>
          <w:szCs w:val="24"/>
        </w:rPr>
        <w:t xml:space="preserve">cause of death was not </w:t>
      </w:r>
      <w:r>
        <w:rPr>
          <w:szCs w:val="24"/>
        </w:rPr>
        <w:t>determined</w:t>
      </w:r>
      <w:r w:rsidRPr="002B2CFC">
        <w:rPr>
          <w:szCs w:val="24"/>
        </w:rPr>
        <w:t>.</w:t>
      </w:r>
    </w:p>
    <w:p w14:paraId="5D64DB1F" w14:textId="77777777" w:rsidR="0005512A" w:rsidRPr="002B2CFC" w:rsidRDefault="0005512A" w:rsidP="0005512A">
      <w:pPr>
        <w:spacing w:before="120" w:after="120"/>
        <w:rPr>
          <w:szCs w:val="24"/>
        </w:rPr>
      </w:pPr>
      <w:r w:rsidRPr="002B2CFC">
        <w:rPr>
          <w:i/>
          <w:szCs w:val="24"/>
        </w:rPr>
        <w:t>Scheduled necropsy:</w:t>
      </w:r>
      <w:r w:rsidRPr="002B2CFC">
        <w:rPr>
          <w:szCs w:val="24"/>
        </w:rPr>
        <w:t>In subset I (stereology group), there was one male (50 ppm) noted to have a small left kidney, dilated renal pelvis and distended ureter. This was not considered treatment-related as it only occurred in</w:t>
      </w:r>
      <w:r>
        <w:rPr>
          <w:szCs w:val="24"/>
        </w:rPr>
        <w:t xml:space="preserve"> a single animal</w:t>
      </w:r>
      <w:r w:rsidRPr="002B2CFC">
        <w:rPr>
          <w:szCs w:val="24"/>
        </w:rPr>
        <w:t>.</w:t>
      </w:r>
    </w:p>
    <w:p w14:paraId="013712D3" w14:textId="6A0BC873" w:rsidR="0005512A" w:rsidRPr="006E0A02" w:rsidRDefault="0005512A" w:rsidP="00E439AD">
      <w:pPr>
        <w:rPr>
          <w:bCs/>
          <w:szCs w:val="24"/>
          <w:lang w:val="en-US" w:eastAsia="en-US"/>
        </w:rPr>
      </w:pPr>
      <w:r w:rsidRPr="002B2CFC">
        <w:rPr>
          <w:szCs w:val="24"/>
        </w:rPr>
        <w:t xml:space="preserve">In subset II (pathology), there were no gross findings </w:t>
      </w:r>
      <w:r>
        <w:rPr>
          <w:szCs w:val="24"/>
        </w:rPr>
        <w:t xml:space="preserve">in the brain </w:t>
      </w:r>
      <w:r w:rsidRPr="002B2CFC">
        <w:rPr>
          <w:szCs w:val="24"/>
        </w:rPr>
        <w:t>considered treatment-related at</w:t>
      </w:r>
      <w:r>
        <w:rPr>
          <w:szCs w:val="24"/>
        </w:rPr>
        <w:t xml:space="preserve"> any</w:t>
      </w:r>
      <w:r w:rsidRPr="002B2CFC">
        <w:rPr>
          <w:szCs w:val="24"/>
        </w:rPr>
        <w:t xml:space="preserve"> scheduled necropsies </w:t>
      </w:r>
      <w:r>
        <w:rPr>
          <w:szCs w:val="24"/>
        </w:rPr>
        <w:t>(</w:t>
      </w:r>
      <w:r w:rsidRPr="002B2CFC">
        <w:rPr>
          <w:szCs w:val="24"/>
        </w:rPr>
        <w:t>weeks 4, 8 or 13</w:t>
      </w:r>
      <w:r>
        <w:rPr>
          <w:szCs w:val="24"/>
        </w:rPr>
        <w:t>)</w:t>
      </w:r>
      <w:r w:rsidRPr="002B2CFC">
        <w:rPr>
          <w:szCs w:val="24"/>
        </w:rPr>
        <w:t xml:space="preserve">. Findings in the brain (red areas and/or areas of red discolouration) did not demonstrate a dose relationship, were observed at levels similar to those in controls and were recorded during weeks 4 and 13 only (not week 8) </w:t>
      </w:r>
      <w:r w:rsidRPr="006965D0">
        <w:rPr>
          <w:szCs w:val="24"/>
        </w:rPr>
        <w:t>(</w:t>
      </w:r>
      <w:r w:rsidR="00F07346">
        <w:fldChar w:fldCharType="begin"/>
      </w:r>
      <w:r w:rsidR="00F07346">
        <w:instrText xml:space="preserve"> REF _Ref415146050 \h  \* MERGEFORMAT </w:instrText>
      </w:r>
      <w:r w:rsidR="00F07346">
        <w:fldChar w:fldCharType="separate"/>
      </w:r>
      <w:r w:rsidR="000E54B2" w:rsidRPr="000E54B2">
        <w:rPr>
          <w:bCs/>
          <w:szCs w:val="24"/>
          <w:lang w:val="en-US" w:eastAsia="en-US"/>
        </w:rPr>
        <w:t xml:space="preserve">Table </w:t>
      </w:r>
      <w:r w:rsidR="000E54B2" w:rsidRPr="000E54B2">
        <w:rPr>
          <w:bCs/>
          <w:noProof/>
          <w:szCs w:val="24"/>
          <w:lang w:val="en-US" w:eastAsia="en-US"/>
        </w:rPr>
        <w:t>25</w:t>
      </w:r>
      <w:r w:rsidR="00F07346">
        <w:fldChar w:fldCharType="end"/>
      </w:r>
      <w:r w:rsidR="00C31A63">
        <w:t xml:space="preserve"> </w:t>
      </w:r>
      <w:r w:rsidR="003A31EB">
        <w:fldChar w:fldCharType="begin"/>
      </w:r>
      <w:r w:rsidR="003A31EB">
        <w:instrText xml:space="preserve"> REF _Ref459037967 \p </w:instrText>
      </w:r>
      <w:r w:rsidR="003A31EB">
        <w:fldChar w:fldCharType="separate"/>
      </w:r>
      <w:r w:rsidR="000E54B2">
        <w:t>below</w:t>
      </w:r>
      <w:r w:rsidR="003A31EB">
        <w:fldChar w:fldCharType="end"/>
      </w:r>
      <w:r w:rsidRPr="006965D0">
        <w:rPr>
          <w:szCs w:val="24"/>
        </w:rPr>
        <w:t>).</w:t>
      </w:r>
      <w:r w:rsidRPr="002B2CFC">
        <w:rPr>
          <w:szCs w:val="24"/>
        </w:rPr>
        <w:t xml:space="preserve"> The reviewing neuropathologist stated that these gross lesions did not correlate to any microscopic change and such findings are very common in the brain of animals, particularly those that are perfusion fixed. All gross lesions were attributed to artifactual changes related to death, intravascular perfusion, and/or necropsy.</w:t>
      </w:r>
    </w:p>
    <w:p w14:paraId="38D9E4F8" w14:textId="77777777" w:rsidR="0005512A" w:rsidRDefault="0005512A" w:rsidP="0005512A">
      <w:pPr>
        <w:rPr>
          <w:b/>
          <w:bCs/>
          <w:sz w:val="20"/>
          <w:lang w:val="en-US" w:eastAsia="en-US"/>
        </w:rPr>
      </w:pPr>
      <w:bookmarkStart w:id="107" w:name="_Ref410219641"/>
    </w:p>
    <w:p w14:paraId="1A31E067" w14:textId="77777777" w:rsidR="0005512A" w:rsidRPr="002B2CFC" w:rsidRDefault="0005512A" w:rsidP="0005512A">
      <w:pPr>
        <w:spacing w:after="120"/>
        <w:rPr>
          <w:b/>
          <w:bCs/>
          <w:sz w:val="20"/>
          <w:lang w:val="en-US" w:eastAsia="en-US"/>
        </w:rPr>
      </w:pPr>
      <w:bookmarkStart w:id="108" w:name="_Ref415146050"/>
      <w:bookmarkStart w:id="109" w:name="_Ref459037967"/>
      <w:r w:rsidRPr="002B2CFC">
        <w:rPr>
          <w:b/>
          <w:bCs/>
          <w:sz w:val="20"/>
          <w:lang w:val="en-US" w:eastAsia="en-US"/>
        </w:rPr>
        <w:t xml:space="preserve">Table </w:t>
      </w:r>
      <w:r w:rsidR="00897462" w:rsidRPr="002B2CFC">
        <w:rPr>
          <w:b/>
          <w:bCs/>
          <w:sz w:val="20"/>
          <w:lang w:val="en-US" w:eastAsia="en-US"/>
        </w:rPr>
        <w:fldChar w:fldCharType="begin"/>
      </w:r>
      <w:r w:rsidRPr="002B2CFC">
        <w:rPr>
          <w:b/>
          <w:bCs/>
          <w:sz w:val="20"/>
          <w:lang w:val="en-US" w:eastAsia="en-US"/>
        </w:rPr>
        <w:instrText xml:space="preserve"> SEQ Table \* ARABIC </w:instrText>
      </w:r>
      <w:r w:rsidR="00897462" w:rsidRPr="002B2CFC">
        <w:rPr>
          <w:b/>
          <w:bCs/>
          <w:sz w:val="20"/>
          <w:lang w:val="en-US" w:eastAsia="en-US"/>
        </w:rPr>
        <w:fldChar w:fldCharType="separate"/>
      </w:r>
      <w:r w:rsidR="000E54B2">
        <w:rPr>
          <w:b/>
          <w:bCs/>
          <w:noProof/>
          <w:sz w:val="20"/>
          <w:lang w:val="en-US" w:eastAsia="en-US"/>
        </w:rPr>
        <w:t>25</w:t>
      </w:r>
      <w:r w:rsidR="00897462" w:rsidRPr="002B2CFC">
        <w:rPr>
          <w:b/>
          <w:bCs/>
          <w:sz w:val="20"/>
          <w:lang w:val="en-US" w:eastAsia="en-US"/>
        </w:rPr>
        <w:fldChar w:fldCharType="end"/>
      </w:r>
      <w:bookmarkEnd w:id="107"/>
      <w:bookmarkEnd w:id="108"/>
      <w:r w:rsidRPr="002B2CFC">
        <w:rPr>
          <w:b/>
          <w:bCs/>
          <w:sz w:val="20"/>
          <w:lang w:val="en-US" w:eastAsia="en-US"/>
        </w:rPr>
        <w:t>. Incidence of macroscopic findings in the brain (Subset II)</w:t>
      </w:r>
      <w:bookmarkEnd w:id="109"/>
    </w:p>
    <w:tbl>
      <w:tblPr>
        <w:tblStyle w:val="TableGrid"/>
        <w:tblW w:w="9169" w:type="dxa"/>
        <w:tblLayout w:type="fixed"/>
        <w:tblLook w:val="04A0" w:firstRow="1" w:lastRow="0" w:firstColumn="1" w:lastColumn="0" w:noHBand="0" w:noVBand="1"/>
      </w:tblPr>
      <w:tblGrid>
        <w:gridCol w:w="1526"/>
        <w:gridCol w:w="567"/>
        <w:gridCol w:w="769"/>
        <w:gridCol w:w="911"/>
        <w:gridCol w:w="912"/>
        <w:gridCol w:w="952"/>
        <w:gridCol w:w="870"/>
        <w:gridCol w:w="912"/>
        <w:gridCol w:w="769"/>
        <w:gridCol w:w="981"/>
      </w:tblGrid>
      <w:tr w:rsidR="00AF5C6E" w:rsidRPr="00251893" w14:paraId="53E1C18A" w14:textId="77777777" w:rsidTr="00AF5C6E">
        <w:tc>
          <w:tcPr>
            <w:tcW w:w="1526" w:type="dxa"/>
            <w:vMerge w:val="restart"/>
            <w:shd w:val="clear" w:color="auto" w:fill="BFBFBF"/>
          </w:tcPr>
          <w:p w14:paraId="067A9A5A" w14:textId="77777777" w:rsidR="00AF5C6E" w:rsidRPr="00D70D0A" w:rsidRDefault="00AF5C6E" w:rsidP="00AF5C6E">
            <w:pPr>
              <w:jc w:val="left"/>
            </w:pPr>
            <w:r w:rsidRPr="00E10790">
              <w:t>Finding in brain</w:t>
            </w:r>
            <w:r>
              <w:t xml:space="preserve"> </w:t>
            </w:r>
            <w:r w:rsidRPr="00E10790">
              <w:t>(n=5)</w:t>
            </w:r>
          </w:p>
        </w:tc>
        <w:tc>
          <w:tcPr>
            <w:tcW w:w="567" w:type="dxa"/>
            <w:tcBorders>
              <w:bottom w:val="nil"/>
            </w:tcBorders>
            <w:shd w:val="clear" w:color="auto" w:fill="BFBFBF"/>
          </w:tcPr>
          <w:p w14:paraId="28801463" w14:textId="77777777" w:rsidR="00AF5C6E" w:rsidRPr="00D70D0A" w:rsidRDefault="00AF5C6E" w:rsidP="00E10790"/>
        </w:tc>
        <w:tc>
          <w:tcPr>
            <w:tcW w:w="7076" w:type="dxa"/>
            <w:gridSpan w:val="8"/>
            <w:shd w:val="clear" w:color="auto" w:fill="BFBFBF"/>
          </w:tcPr>
          <w:p w14:paraId="549ADB74" w14:textId="77777777" w:rsidR="00AF5C6E" w:rsidRPr="00E10790" w:rsidRDefault="00AF5C6E" w:rsidP="00E10790">
            <w:r w:rsidRPr="00E10790">
              <w:t>Dose group (ppm)</w:t>
            </w:r>
          </w:p>
        </w:tc>
      </w:tr>
      <w:tr w:rsidR="00AF5C6E" w:rsidRPr="00251893" w14:paraId="65C004E7" w14:textId="77777777" w:rsidTr="00AF5C6E">
        <w:tc>
          <w:tcPr>
            <w:tcW w:w="1526" w:type="dxa"/>
            <w:vMerge/>
            <w:shd w:val="clear" w:color="auto" w:fill="BFBFBF"/>
          </w:tcPr>
          <w:p w14:paraId="16CAA127" w14:textId="77777777" w:rsidR="00AF5C6E" w:rsidRPr="00E10790" w:rsidRDefault="00AF5C6E" w:rsidP="00AF5C6E">
            <w:pPr>
              <w:jc w:val="left"/>
            </w:pPr>
          </w:p>
        </w:tc>
        <w:tc>
          <w:tcPr>
            <w:tcW w:w="567" w:type="dxa"/>
            <w:tcBorders>
              <w:top w:val="nil"/>
              <w:bottom w:val="nil"/>
            </w:tcBorders>
            <w:shd w:val="clear" w:color="auto" w:fill="BFBFBF"/>
          </w:tcPr>
          <w:p w14:paraId="76951CB9" w14:textId="77777777" w:rsidR="00AF5C6E" w:rsidRPr="00E10790" w:rsidRDefault="00AF5C6E" w:rsidP="00E10790">
            <w:pPr>
              <w:rPr>
                <w:u w:val="single"/>
              </w:rPr>
            </w:pPr>
          </w:p>
        </w:tc>
        <w:tc>
          <w:tcPr>
            <w:tcW w:w="3544" w:type="dxa"/>
            <w:gridSpan w:val="4"/>
            <w:tcBorders>
              <w:right w:val="single" w:sz="12" w:space="0" w:color="auto"/>
            </w:tcBorders>
            <w:shd w:val="clear" w:color="auto" w:fill="BFBFBF"/>
          </w:tcPr>
          <w:p w14:paraId="517BD0F4" w14:textId="77777777" w:rsidR="00AF5C6E" w:rsidRPr="00E10790" w:rsidRDefault="00AF5C6E" w:rsidP="00E10790">
            <w:r w:rsidRPr="00E10790">
              <w:t>Males</w:t>
            </w:r>
          </w:p>
        </w:tc>
        <w:tc>
          <w:tcPr>
            <w:tcW w:w="3532" w:type="dxa"/>
            <w:gridSpan w:val="4"/>
            <w:tcBorders>
              <w:left w:val="single" w:sz="12" w:space="0" w:color="auto"/>
            </w:tcBorders>
            <w:shd w:val="clear" w:color="auto" w:fill="BFBFBF"/>
            <w:vAlign w:val="center"/>
          </w:tcPr>
          <w:p w14:paraId="160C0246" w14:textId="77777777" w:rsidR="00AF5C6E" w:rsidRPr="00E10790" w:rsidRDefault="00AF5C6E" w:rsidP="00E10790">
            <w:r w:rsidRPr="00E10790">
              <w:t>Females</w:t>
            </w:r>
          </w:p>
        </w:tc>
      </w:tr>
      <w:tr w:rsidR="00AF5C6E" w:rsidRPr="00251893" w14:paraId="6202BAE1" w14:textId="77777777" w:rsidTr="00AF5C6E">
        <w:tc>
          <w:tcPr>
            <w:tcW w:w="1526" w:type="dxa"/>
            <w:vMerge/>
            <w:shd w:val="clear" w:color="auto" w:fill="BFBFBF"/>
            <w:vAlign w:val="center"/>
          </w:tcPr>
          <w:p w14:paraId="12890B15" w14:textId="77777777" w:rsidR="00AF5C6E" w:rsidRPr="00E10790" w:rsidRDefault="00AF5C6E" w:rsidP="00AF5C6E">
            <w:pPr>
              <w:jc w:val="left"/>
            </w:pPr>
          </w:p>
        </w:tc>
        <w:tc>
          <w:tcPr>
            <w:tcW w:w="567" w:type="dxa"/>
            <w:tcBorders>
              <w:top w:val="nil"/>
            </w:tcBorders>
            <w:shd w:val="clear" w:color="auto" w:fill="BFBFBF"/>
          </w:tcPr>
          <w:p w14:paraId="2E7ACD17" w14:textId="77777777" w:rsidR="00AF5C6E" w:rsidRPr="00E10790" w:rsidRDefault="00AF5C6E" w:rsidP="00E10790">
            <w:r w:rsidRPr="00E10790">
              <w:t>Wk</w:t>
            </w:r>
          </w:p>
        </w:tc>
        <w:tc>
          <w:tcPr>
            <w:tcW w:w="769" w:type="dxa"/>
            <w:shd w:val="clear" w:color="auto" w:fill="BFBFBF"/>
            <w:vAlign w:val="center"/>
          </w:tcPr>
          <w:p w14:paraId="381AC87E" w14:textId="77777777" w:rsidR="00AF5C6E" w:rsidRPr="00E10790" w:rsidRDefault="00AF5C6E" w:rsidP="00E10790">
            <w:r w:rsidRPr="00E10790">
              <w:t>0</w:t>
            </w:r>
          </w:p>
        </w:tc>
        <w:tc>
          <w:tcPr>
            <w:tcW w:w="911" w:type="dxa"/>
            <w:shd w:val="clear" w:color="auto" w:fill="BFBFBF"/>
            <w:vAlign w:val="center"/>
          </w:tcPr>
          <w:p w14:paraId="768A5B24" w14:textId="77777777" w:rsidR="00AF5C6E" w:rsidRPr="00E10790" w:rsidRDefault="00AF5C6E" w:rsidP="00E10790">
            <w:r w:rsidRPr="00E10790">
              <w:t>10</w:t>
            </w:r>
          </w:p>
        </w:tc>
        <w:tc>
          <w:tcPr>
            <w:tcW w:w="912" w:type="dxa"/>
            <w:shd w:val="clear" w:color="auto" w:fill="BFBFBF"/>
            <w:vAlign w:val="center"/>
          </w:tcPr>
          <w:p w14:paraId="34D77E52" w14:textId="77777777" w:rsidR="00AF5C6E" w:rsidRPr="00E10790" w:rsidRDefault="00AF5C6E" w:rsidP="00E10790">
            <w:r w:rsidRPr="00E10790">
              <w:t>50</w:t>
            </w:r>
          </w:p>
        </w:tc>
        <w:tc>
          <w:tcPr>
            <w:tcW w:w="952" w:type="dxa"/>
            <w:tcBorders>
              <w:right w:val="single" w:sz="12" w:space="0" w:color="auto"/>
            </w:tcBorders>
            <w:shd w:val="clear" w:color="auto" w:fill="D9D9D9"/>
            <w:vAlign w:val="center"/>
          </w:tcPr>
          <w:p w14:paraId="4A15EE93" w14:textId="77777777" w:rsidR="00AF5C6E" w:rsidRPr="00E10790" w:rsidRDefault="00AF5C6E" w:rsidP="00E10790">
            <w:r w:rsidRPr="00E10790">
              <w:t>MPTP</w:t>
            </w:r>
          </w:p>
        </w:tc>
        <w:tc>
          <w:tcPr>
            <w:tcW w:w="870" w:type="dxa"/>
            <w:tcBorders>
              <w:left w:val="single" w:sz="12" w:space="0" w:color="auto"/>
            </w:tcBorders>
            <w:shd w:val="clear" w:color="auto" w:fill="BFBFBF"/>
            <w:vAlign w:val="center"/>
          </w:tcPr>
          <w:p w14:paraId="466E4EA0" w14:textId="77777777" w:rsidR="00AF5C6E" w:rsidRPr="00E10790" w:rsidRDefault="00AF5C6E" w:rsidP="00E10790">
            <w:r w:rsidRPr="00E10790">
              <w:t>0</w:t>
            </w:r>
          </w:p>
        </w:tc>
        <w:tc>
          <w:tcPr>
            <w:tcW w:w="912" w:type="dxa"/>
            <w:shd w:val="clear" w:color="auto" w:fill="BFBFBF"/>
            <w:vAlign w:val="center"/>
          </w:tcPr>
          <w:p w14:paraId="10CB2612" w14:textId="77777777" w:rsidR="00AF5C6E" w:rsidRPr="00E10790" w:rsidRDefault="00AF5C6E" w:rsidP="00E10790">
            <w:r w:rsidRPr="00E10790">
              <w:t>10</w:t>
            </w:r>
          </w:p>
        </w:tc>
        <w:tc>
          <w:tcPr>
            <w:tcW w:w="769" w:type="dxa"/>
            <w:shd w:val="clear" w:color="auto" w:fill="BFBFBF"/>
            <w:vAlign w:val="center"/>
          </w:tcPr>
          <w:p w14:paraId="5C804120" w14:textId="77777777" w:rsidR="00AF5C6E" w:rsidRPr="00E10790" w:rsidRDefault="00AF5C6E" w:rsidP="00E10790">
            <w:r w:rsidRPr="00E10790">
              <w:t>50</w:t>
            </w:r>
          </w:p>
        </w:tc>
        <w:tc>
          <w:tcPr>
            <w:tcW w:w="981" w:type="dxa"/>
            <w:shd w:val="clear" w:color="auto" w:fill="D9D9D9"/>
            <w:vAlign w:val="center"/>
          </w:tcPr>
          <w:p w14:paraId="3F4F587E" w14:textId="77777777" w:rsidR="00AF5C6E" w:rsidRPr="00E10790" w:rsidRDefault="00AF5C6E" w:rsidP="00E10790">
            <w:r w:rsidRPr="00E10790">
              <w:t>MPTP</w:t>
            </w:r>
          </w:p>
        </w:tc>
      </w:tr>
      <w:tr w:rsidR="0005512A" w:rsidRPr="00251893" w14:paraId="2FA713BE" w14:textId="77777777" w:rsidTr="00E10790">
        <w:tc>
          <w:tcPr>
            <w:tcW w:w="1526" w:type="dxa"/>
            <w:vMerge w:val="restart"/>
            <w:vAlign w:val="center"/>
          </w:tcPr>
          <w:p w14:paraId="1DC8332A" w14:textId="77777777" w:rsidR="00436573" w:rsidRPr="00E10790" w:rsidRDefault="00897462" w:rsidP="00E10790">
            <w:pPr>
              <w:spacing w:before="120" w:after="120"/>
              <w:jc w:val="left"/>
              <w:rPr>
                <w:b/>
                <w:sz w:val="20"/>
              </w:rPr>
            </w:pPr>
            <w:r w:rsidRPr="00E10790">
              <w:rPr>
                <w:b/>
                <w:sz w:val="20"/>
              </w:rPr>
              <w:t>Red area(s)</w:t>
            </w:r>
          </w:p>
        </w:tc>
        <w:tc>
          <w:tcPr>
            <w:tcW w:w="567" w:type="dxa"/>
            <w:vAlign w:val="center"/>
          </w:tcPr>
          <w:p w14:paraId="245F9B8A" w14:textId="77777777" w:rsidR="0005512A" w:rsidRPr="00E10790" w:rsidRDefault="00897462" w:rsidP="0005512A">
            <w:pPr>
              <w:spacing w:before="120" w:after="120"/>
              <w:jc w:val="center"/>
              <w:rPr>
                <w:b/>
                <w:sz w:val="20"/>
              </w:rPr>
            </w:pPr>
            <w:r w:rsidRPr="00E10790">
              <w:rPr>
                <w:b/>
                <w:sz w:val="20"/>
              </w:rPr>
              <w:t>4</w:t>
            </w:r>
          </w:p>
        </w:tc>
        <w:tc>
          <w:tcPr>
            <w:tcW w:w="769" w:type="dxa"/>
            <w:vAlign w:val="center"/>
          </w:tcPr>
          <w:p w14:paraId="02DEC957" w14:textId="77777777" w:rsidR="0005512A" w:rsidRPr="00E10790" w:rsidRDefault="00897462" w:rsidP="0005512A">
            <w:pPr>
              <w:spacing w:before="120" w:after="120"/>
              <w:jc w:val="center"/>
              <w:rPr>
                <w:sz w:val="20"/>
              </w:rPr>
            </w:pPr>
            <w:r w:rsidRPr="00E10790">
              <w:rPr>
                <w:sz w:val="20"/>
              </w:rPr>
              <w:t>1</w:t>
            </w:r>
          </w:p>
        </w:tc>
        <w:tc>
          <w:tcPr>
            <w:tcW w:w="911" w:type="dxa"/>
            <w:vAlign w:val="center"/>
          </w:tcPr>
          <w:p w14:paraId="37DEB7AB" w14:textId="77777777" w:rsidR="0005512A" w:rsidRPr="00E10790" w:rsidRDefault="00897462" w:rsidP="0005512A">
            <w:pPr>
              <w:spacing w:before="120" w:after="120"/>
              <w:jc w:val="center"/>
              <w:rPr>
                <w:sz w:val="20"/>
              </w:rPr>
            </w:pPr>
            <w:r w:rsidRPr="00E10790">
              <w:rPr>
                <w:sz w:val="20"/>
              </w:rPr>
              <w:t>1</w:t>
            </w:r>
          </w:p>
        </w:tc>
        <w:tc>
          <w:tcPr>
            <w:tcW w:w="912" w:type="dxa"/>
            <w:vAlign w:val="center"/>
          </w:tcPr>
          <w:p w14:paraId="7638E347" w14:textId="77777777" w:rsidR="0005512A" w:rsidRPr="00E10790" w:rsidRDefault="00897462" w:rsidP="0005512A">
            <w:pPr>
              <w:spacing w:before="120" w:after="120"/>
              <w:jc w:val="center"/>
              <w:rPr>
                <w:sz w:val="20"/>
              </w:rPr>
            </w:pPr>
            <w:r w:rsidRPr="00E10790">
              <w:rPr>
                <w:sz w:val="20"/>
              </w:rPr>
              <w:t>2</w:t>
            </w:r>
          </w:p>
        </w:tc>
        <w:tc>
          <w:tcPr>
            <w:tcW w:w="952" w:type="dxa"/>
            <w:tcBorders>
              <w:right w:val="single" w:sz="12" w:space="0" w:color="auto"/>
            </w:tcBorders>
            <w:shd w:val="clear" w:color="auto" w:fill="D9D9D9"/>
            <w:vAlign w:val="center"/>
          </w:tcPr>
          <w:p w14:paraId="7F74088F" w14:textId="77777777" w:rsidR="0005512A" w:rsidRPr="00E10790" w:rsidRDefault="00897462" w:rsidP="0005512A">
            <w:pPr>
              <w:spacing w:before="120" w:after="120"/>
              <w:jc w:val="center"/>
              <w:rPr>
                <w:sz w:val="20"/>
              </w:rPr>
            </w:pPr>
            <w:r w:rsidRPr="00E10790">
              <w:rPr>
                <w:sz w:val="20"/>
              </w:rPr>
              <w:t>NA</w:t>
            </w:r>
          </w:p>
        </w:tc>
        <w:tc>
          <w:tcPr>
            <w:tcW w:w="870" w:type="dxa"/>
            <w:tcBorders>
              <w:left w:val="single" w:sz="12" w:space="0" w:color="auto"/>
            </w:tcBorders>
            <w:vAlign w:val="center"/>
          </w:tcPr>
          <w:p w14:paraId="21795A33" w14:textId="77777777" w:rsidR="0005512A" w:rsidRPr="00E10790" w:rsidRDefault="00897462" w:rsidP="0005512A">
            <w:pPr>
              <w:spacing w:before="120" w:after="120"/>
              <w:jc w:val="center"/>
              <w:rPr>
                <w:sz w:val="20"/>
              </w:rPr>
            </w:pPr>
            <w:r w:rsidRPr="00E10790">
              <w:rPr>
                <w:sz w:val="20"/>
              </w:rPr>
              <w:t>2</w:t>
            </w:r>
          </w:p>
        </w:tc>
        <w:tc>
          <w:tcPr>
            <w:tcW w:w="912" w:type="dxa"/>
            <w:vAlign w:val="center"/>
          </w:tcPr>
          <w:p w14:paraId="478620EE" w14:textId="77777777" w:rsidR="0005512A" w:rsidRPr="00E10790" w:rsidRDefault="00897462" w:rsidP="0005512A">
            <w:pPr>
              <w:spacing w:before="120" w:after="120"/>
              <w:jc w:val="center"/>
              <w:rPr>
                <w:sz w:val="20"/>
              </w:rPr>
            </w:pPr>
            <w:r w:rsidRPr="00E10790">
              <w:rPr>
                <w:sz w:val="20"/>
              </w:rPr>
              <w:t>3</w:t>
            </w:r>
          </w:p>
        </w:tc>
        <w:tc>
          <w:tcPr>
            <w:tcW w:w="769" w:type="dxa"/>
            <w:vAlign w:val="center"/>
          </w:tcPr>
          <w:p w14:paraId="7FAA3275" w14:textId="77777777" w:rsidR="0005512A" w:rsidRPr="00E10790" w:rsidRDefault="00897462" w:rsidP="0005512A">
            <w:pPr>
              <w:spacing w:before="120" w:after="120"/>
              <w:jc w:val="center"/>
              <w:rPr>
                <w:sz w:val="20"/>
              </w:rPr>
            </w:pPr>
            <w:r w:rsidRPr="00E10790">
              <w:rPr>
                <w:sz w:val="20"/>
              </w:rPr>
              <w:t>2</w:t>
            </w:r>
          </w:p>
        </w:tc>
        <w:tc>
          <w:tcPr>
            <w:tcW w:w="981" w:type="dxa"/>
            <w:shd w:val="clear" w:color="auto" w:fill="D9D9D9"/>
            <w:vAlign w:val="center"/>
          </w:tcPr>
          <w:p w14:paraId="3F5EB734" w14:textId="77777777" w:rsidR="0005512A" w:rsidRPr="00E10790" w:rsidRDefault="00897462" w:rsidP="0005512A">
            <w:pPr>
              <w:spacing w:before="120" w:after="120"/>
              <w:jc w:val="center"/>
              <w:rPr>
                <w:sz w:val="20"/>
              </w:rPr>
            </w:pPr>
            <w:r w:rsidRPr="00E10790">
              <w:rPr>
                <w:sz w:val="20"/>
              </w:rPr>
              <w:t>NA</w:t>
            </w:r>
          </w:p>
        </w:tc>
      </w:tr>
      <w:tr w:rsidR="0005512A" w:rsidRPr="00251893" w14:paraId="64DD7BAD" w14:textId="77777777" w:rsidTr="00E10790">
        <w:tc>
          <w:tcPr>
            <w:tcW w:w="1526" w:type="dxa"/>
            <w:vMerge/>
            <w:vAlign w:val="center"/>
          </w:tcPr>
          <w:p w14:paraId="37AD2F4C" w14:textId="77777777" w:rsidR="00436573" w:rsidRPr="00E10790" w:rsidRDefault="00436573" w:rsidP="00E10790">
            <w:pPr>
              <w:spacing w:before="120" w:after="120"/>
              <w:jc w:val="left"/>
              <w:rPr>
                <w:b/>
                <w:sz w:val="20"/>
              </w:rPr>
            </w:pPr>
          </w:p>
        </w:tc>
        <w:tc>
          <w:tcPr>
            <w:tcW w:w="567" w:type="dxa"/>
            <w:vAlign w:val="center"/>
          </w:tcPr>
          <w:p w14:paraId="09FC5732" w14:textId="77777777" w:rsidR="0005512A" w:rsidRPr="00E10790" w:rsidRDefault="00897462" w:rsidP="0005512A">
            <w:pPr>
              <w:spacing w:before="120" w:after="120"/>
              <w:jc w:val="center"/>
              <w:rPr>
                <w:b/>
                <w:sz w:val="20"/>
              </w:rPr>
            </w:pPr>
            <w:r w:rsidRPr="00E10790">
              <w:rPr>
                <w:b/>
                <w:sz w:val="20"/>
              </w:rPr>
              <w:t>8</w:t>
            </w:r>
          </w:p>
        </w:tc>
        <w:tc>
          <w:tcPr>
            <w:tcW w:w="769" w:type="dxa"/>
            <w:vAlign w:val="center"/>
          </w:tcPr>
          <w:p w14:paraId="30A9D1D0" w14:textId="77777777" w:rsidR="0005512A" w:rsidRPr="00E10790" w:rsidRDefault="00897462" w:rsidP="0005512A">
            <w:pPr>
              <w:spacing w:before="120" w:after="120"/>
              <w:jc w:val="center"/>
              <w:rPr>
                <w:sz w:val="20"/>
              </w:rPr>
            </w:pPr>
            <w:r w:rsidRPr="00E10790">
              <w:rPr>
                <w:sz w:val="20"/>
              </w:rPr>
              <w:t>0</w:t>
            </w:r>
          </w:p>
        </w:tc>
        <w:tc>
          <w:tcPr>
            <w:tcW w:w="911" w:type="dxa"/>
            <w:vAlign w:val="center"/>
          </w:tcPr>
          <w:p w14:paraId="7DE2D853" w14:textId="77777777" w:rsidR="0005512A" w:rsidRPr="00E10790" w:rsidRDefault="00897462" w:rsidP="0005512A">
            <w:pPr>
              <w:spacing w:before="120" w:after="120"/>
              <w:jc w:val="center"/>
              <w:rPr>
                <w:sz w:val="20"/>
              </w:rPr>
            </w:pPr>
            <w:r w:rsidRPr="00E10790">
              <w:rPr>
                <w:sz w:val="20"/>
              </w:rPr>
              <w:t>0 (n=3)</w:t>
            </w:r>
          </w:p>
        </w:tc>
        <w:tc>
          <w:tcPr>
            <w:tcW w:w="912" w:type="dxa"/>
            <w:vAlign w:val="center"/>
          </w:tcPr>
          <w:p w14:paraId="0291D819" w14:textId="77777777" w:rsidR="0005512A" w:rsidRPr="00E10790" w:rsidRDefault="00897462" w:rsidP="0005512A">
            <w:pPr>
              <w:spacing w:before="120" w:after="120"/>
              <w:jc w:val="center"/>
              <w:rPr>
                <w:sz w:val="20"/>
              </w:rPr>
            </w:pPr>
            <w:r w:rsidRPr="00E10790">
              <w:rPr>
                <w:sz w:val="20"/>
              </w:rPr>
              <w:t>0</w:t>
            </w:r>
          </w:p>
        </w:tc>
        <w:tc>
          <w:tcPr>
            <w:tcW w:w="952" w:type="dxa"/>
            <w:tcBorders>
              <w:right w:val="single" w:sz="12" w:space="0" w:color="auto"/>
            </w:tcBorders>
            <w:shd w:val="clear" w:color="auto" w:fill="D9D9D9"/>
            <w:vAlign w:val="center"/>
          </w:tcPr>
          <w:p w14:paraId="301BF8F2" w14:textId="77777777" w:rsidR="0005512A" w:rsidRPr="00E10790" w:rsidRDefault="00897462" w:rsidP="0005512A">
            <w:pPr>
              <w:spacing w:before="120" w:after="120"/>
              <w:jc w:val="center"/>
              <w:rPr>
                <w:sz w:val="20"/>
              </w:rPr>
            </w:pPr>
            <w:r w:rsidRPr="00E10790">
              <w:rPr>
                <w:sz w:val="20"/>
              </w:rPr>
              <w:t>NA</w:t>
            </w:r>
          </w:p>
        </w:tc>
        <w:tc>
          <w:tcPr>
            <w:tcW w:w="870" w:type="dxa"/>
            <w:tcBorders>
              <w:left w:val="single" w:sz="12" w:space="0" w:color="auto"/>
            </w:tcBorders>
            <w:vAlign w:val="center"/>
          </w:tcPr>
          <w:p w14:paraId="3C2A28CB" w14:textId="77777777" w:rsidR="0005512A" w:rsidRPr="00E10790" w:rsidRDefault="00897462" w:rsidP="0005512A">
            <w:pPr>
              <w:spacing w:before="120" w:after="120"/>
              <w:jc w:val="center"/>
              <w:rPr>
                <w:sz w:val="20"/>
              </w:rPr>
            </w:pPr>
            <w:r w:rsidRPr="00E10790">
              <w:rPr>
                <w:sz w:val="20"/>
              </w:rPr>
              <w:t>0</w:t>
            </w:r>
          </w:p>
        </w:tc>
        <w:tc>
          <w:tcPr>
            <w:tcW w:w="912" w:type="dxa"/>
            <w:vAlign w:val="center"/>
          </w:tcPr>
          <w:p w14:paraId="386BCC2A" w14:textId="77777777" w:rsidR="0005512A" w:rsidRPr="00E10790" w:rsidRDefault="00897462" w:rsidP="0005512A">
            <w:pPr>
              <w:spacing w:before="120" w:after="120"/>
              <w:jc w:val="center"/>
              <w:rPr>
                <w:sz w:val="20"/>
              </w:rPr>
            </w:pPr>
            <w:r w:rsidRPr="00E10790">
              <w:rPr>
                <w:sz w:val="20"/>
              </w:rPr>
              <w:t>0</w:t>
            </w:r>
          </w:p>
        </w:tc>
        <w:tc>
          <w:tcPr>
            <w:tcW w:w="769" w:type="dxa"/>
            <w:vAlign w:val="center"/>
          </w:tcPr>
          <w:p w14:paraId="1A8427A0" w14:textId="77777777" w:rsidR="0005512A" w:rsidRPr="00E10790" w:rsidRDefault="00897462" w:rsidP="0005512A">
            <w:pPr>
              <w:spacing w:before="120" w:after="120"/>
              <w:jc w:val="center"/>
              <w:rPr>
                <w:sz w:val="20"/>
              </w:rPr>
            </w:pPr>
            <w:r w:rsidRPr="00E10790">
              <w:rPr>
                <w:sz w:val="20"/>
              </w:rPr>
              <w:t>0</w:t>
            </w:r>
          </w:p>
        </w:tc>
        <w:tc>
          <w:tcPr>
            <w:tcW w:w="981" w:type="dxa"/>
            <w:shd w:val="clear" w:color="auto" w:fill="D9D9D9"/>
            <w:vAlign w:val="center"/>
          </w:tcPr>
          <w:p w14:paraId="5AF0D9B9" w14:textId="77777777" w:rsidR="0005512A" w:rsidRPr="00E10790" w:rsidRDefault="00897462" w:rsidP="0005512A">
            <w:pPr>
              <w:spacing w:before="120" w:after="120"/>
              <w:jc w:val="center"/>
              <w:rPr>
                <w:sz w:val="20"/>
              </w:rPr>
            </w:pPr>
            <w:r w:rsidRPr="00E10790">
              <w:rPr>
                <w:sz w:val="20"/>
              </w:rPr>
              <w:t>NA</w:t>
            </w:r>
          </w:p>
        </w:tc>
      </w:tr>
      <w:tr w:rsidR="0005512A" w:rsidRPr="00251893" w14:paraId="1A48BD46" w14:textId="77777777" w:rsidTr="00E10790">
        <w:tc>
          <w:tcPr>
            <w:tcW w:w="1526" w:type="dxa"/>
            <w:vMerge/>
            <w:vAlign w:val="center"/>
          </w:tcPr>
          <w:p w14:paraId="1FDE8426" w14:textId="77777777" w:rsidR="00436573" w:rsidRPr="00E10790" w:rsidRDefault="00436573" w:rsidP="00E10790">
            <w:pPr>
              <w:spacing w:before="120" w:after="120"/>
              <w:jc w:val="left"/>
              <w:rPr>
                <w:b/>
                <w:sz w:val="20"/>
              </w:rPr>
            </w:pPr>
          </w:p>
        </w:tc>
        <w:tc>
          <w:tcPr>
            <w:tcW w:w="567" w:type="dxa"/>
            <w:vAlign w:val="center"/>
          </w:tcPr>
          <w:p w14:paraId="368079A6" w14:textId="77777777" w:rsidR="0005512A" w:rsidRPr="00E10790" w:rsidRDefault="00897462" w:rsidP="0005512A">
            <w:pPr>
              <w:spacing w:before="120" w:after="120"/>
              <w:jc w:val="center"/>
              <w:rPr>
                <w:b/>
                <w:sz w:val="20"/>
              </w:rPr>
            </w:pPr>
            <w:r w:rsidRPr="00E10790">
              <w:rPr>
                <w:b/>
                <w:sz w:val="20"/>
              </w:rPr>
              <w:t>13</w:t>
            </w:r>
          </w:p>
        </w:tc>
        <w:tc>
          <w:tcPr>
            <w:tcW w:w="769" w:type="dxa"/>
            <w:vAlign w:val="center"/>
          </w:tcPr>
          <w:p w14:paraId="79C7B8F5" w14:textId="77777777" w:rsidR="0005512A" w:rsidRPr="00E10790" w:rsidRDefault="00897462" w:rsidP="0005512A">
            <w:pPr>
              <w:spacing w:before="120" w:after="120"/>
              <w:jc w:val="center"/>
              <w:rPr>
                <w:sz w:val="20"/>
              </w:rPr>
            </w:pPr>
            <w:r w:rsidRPr="00E10790">
              <w:rPr>
                <w:sz w:val="20"/>
              </w:rPr>
              <w:t>2</w:t>
            </w:r>
          </w:p>
        </w:tc>
        <w:tc>
          <w:tcPr>
            <w:tcW w:w="911" w:type="dxa"/>
            <w:vAlign w:val="center"/>
          </w:tcPr>
          <w:p w14:paraId="7E0F7F2B" w14:textId="77777777" w:rsidR="0005512A" w:rsidRPr="00E10790" w:rsidRDefault="00897462" w:rsidP="0005512A">
            <w:pPr>
              <w:spacing w:before="120" w:after="120"/>
              <w:jc w:val="center"/>
              <w:rPr>
                <w:sz w:val="20"/>
              </w:rPr>
            </w:pPr>
            <w:r w:rsidRPr="00E10790">
              <w:rPr>
                <w:sz w:val="20"/>
              </w:rPr>
              <w:t>2</w:t>
            </w:r>
          </w:p>
        </w:tc>
        <w:tc>
          <w:tcPr>
            <w:tcW w:w="912" w:type="dxa"/>
            <w:vAlign w:val="center"/>
          </w:tcPr>
          <w:p w14:paraId="338E91AD" w14:textId="77777777" w:rsidR="0005512A" w:rsidRPr="00E10790" w:rsidRDefault="00897462" w:rsidP="0005512A">
            <w:pPr>
              <w:spacing w:before="120" w:after="120"/>
              <w:jc w:val="center"/>
              <w:rPr>
                <w:sz w:val="20"/>
              </w:rPr>
            </w:pPr>
            <w:r w:rsidRPr="00E10790">
              <w:rPr>
                <w:sz w:val="20"/>
              </w:rPr>
              <w:t>2</w:t>
            </w:r>
          </w:p>
        </w:tc>
        <w:tc>
          <w:tcPr>
            <w:tcW w:w="952" w:type="dxa"/>
            <w:tcBorders>
              <w:right w:val="single" w:sz="12" w:space="0" w:color="auto"/>
            </w:tcBorders>
            <w:shd w:val="clear" w:color="auto" w:fill="D9D9D9"/>
            <w:vAlign w:val="center"/>
          </w:tcPr>
          <w:p w14:paraId="7F7779D4" w14:textId="77777777" w:rsidR="0005512A" w:rsidRPr="00E10790" w:rsidRDefault="00897462" w:rsidP="0005512A">
            <w:pPr>
              <w:spacing w:before="120" w:after="120"/>
              <w:jc w:val="center"/>
              <w:rPr>
                <w:sz w:val="20"/>
              </w:rPr>
            </w:pPr>
            <w:r w:rsidRPr="00E10790">
              <w:rPr>
                <w:sz w:val="20"/>
              </w:rPr>
              <w:t>1</w:t>
            </w:r>
          </w:p>
        </w:tc>
        <w:tc>
          <w:tcPr>
            <w:tcW w:w="870" w:type="dxa"/>
            <w:tcBorders>
              <w:left w:val="single" w:sz="12" w:space="0" w:color="auto"/>
            </w:tcBorders>
            <w:vAlign w:val="center"/>
          </w:tcPr>
          <w:p w14:paraId="2589AE02" w14:textId="77777777" w:rsidR="0005512A" w:rsidRPr="00E10790" w:rsidRDefault="00897462" w:rsidP="0005512A">
            <w:pPr>
              <w:spacing w:before="120" w:after="120"/>
              <w:jc w:val="center"/>
              <w:rPr>
                <w:sz w:val="20"/>
              </w:rPr>
            </w:pPr>
            <w:r w:rsidRPr="00E10790">
              <w:rPr>
                <w:sz w:val="20"/>
              </w:rPr>
              <w:t>1</w:t>
            </w:r>
          </w:p>
        </w:tc>
        <w:tc>
          <w:tcPr>
            <w:tcW w:w="912" w:type="dxa"/>
            <w:vAlign w:val="center"/>
          </w:tcPr>
          <w:p w14:paraId="2DE53D19" w14:textId="77777777" w:rsidR="0005512A" w:rsidRPr="00E10790" w:rsidRDefault="00897462" w:rsidP="0005512A">
            <w:pPr>
              <w:spacing w:before="120" w:after="120"/>
              <w:jc w:val="center"/>
              <w:rPr>
                <w:sz w:val="20"/>
              </w:rPr>
            </w:pPr>
            <w:r w:rsidRPr="00E10790">
              <w:rPr>
                <w:sz w:val="20"/>
              </w:rPr>
              <w:t>1</w:t>
            </w:r>
          </w:p>
        </w:tc>
        <w:tc>
          <w:tcPr>
            <w:tcW w:w="769" w:type="dxa"/>
            <w:vAlign w:val="center"/>
          </w:tcPr>
          <w:p w14:paraId="4E65AEAA" w14:textId="77777777" w:rsidR="0005512A" w:rsidRPr="00E10790" w:rsidRDefault="00897462" w:rsidP="0005512A">
            <w:pPr>
              <w:spacing w:before="120" w:after="120"/>
              <w:jc w:val="center"/>
              <w:rPr>
                <w:sz w:val="20"/>
              </w:rPr>
            </w:pPr>
            <w:r w:rsidRPr="00E10790">
              <w:rPr>
                <w:sz w:val="20"/>
              </w:rPr>
              <w:t>1</w:t>
            </w:r>
          </w:p>
        </w:tc>
        <w:tc>
          <w:tcPr>
            <w:tcW w:w="981" w:type="dxa"/>
            <w:shd w:val="clear" w:color="auto" w:fill="D9D9D9"/>
            <w:vAlign w:val="center"/>
          </w:tcPr>
          <w:p w14:paraId="2DEA8DA5" w14:textId="77777777" w:rsidR="0005512A" w:rsidRPr="00E10790" w:rsidRDefault="00897462" w:rsidP="0005512A">
            <w:pPr>
              <w:spacing w:before="120" w:after="120"/>
              <w:jc w:val="center"/>
              <w:rPr>
                <w:sz w:val="20"/>
              </w:rPr>
            </w:pPr>
            <w:r w:rsidRPr="00E10790">
              <w:rPr>
                <w:sz w:val="20"/>
              </w:rPr>
              <w:t>0</w:t>
            </w:r>
          </w:p>
        </w:tc>
      </w:tr>
      <w:tr w:rsidR="0005512A" w:rsidRPr="00251893" w14:paraId="53080F2D" w14:textId="77777777" w:rsidTr="00E10790">
        <w:tc>
          <w:tcPr>
            <w:tcW w:w="1526" w:type="dxa"/>
            <w:vMerge w:val="restart"/>
            <w:vAlign w:val="center"/>
          </w:tcPr>
          <w:p w14:paraId="7391E119" w14:textId="77777777" w:rsidR="00436573" w:rsidRPr="00E10790" w:rsidRDefault="00897462" w:rsidP="00E10790">
            <w:pPr>
              <w:spacing w:before="120" w:after="120"/>
              <w:jc w:val="left"/>
              <w:rPr>
                <w:b/>
                <w:sz w:val="20"/>
              </w:rPr>
            </w:pPr>
            <w:r w:rsidRPr="00E10790">
              <w:rPr>
                <w:b/>
                <w:sz w:val="20"/>
              </w:rPr>
              <w:t>Red discolouration</w:t>
            </w:r>
          </w:p>
        </w:tc>
        <w:tc>
          <w:tcPr>
            <w:tcW w:w="567" w:type="dxa"/>
            <w:vAlign w:val="center"/>
          </w:tcPr>
          <w:p w14:paraId="3E755E8A" w14:textId="77777777" w:rsidR="0005512A" w:rsidRPr="00E10790" w:rsidRDefault="00897462" w:rsidP="0005512A">
            <w:pPr>
              <w:spacing w:before="120" w:after="120"/>
              <w:jc w:val="center"/>
              <w:rPr>
                <w:b/>
                <w:sz w:val="20"/>
              </w:rPr>
            </w:pPr>
            <w:r w:rsidRPr="00E10790">
              <w:rPr>
                <w:b/>
                <w:sz w:val="20"/>
              </w:rPr>
              <w:t>4</w:t>
            </w:r>
          </w:p>
        </w:tc>
        <w:tc>
          <w:tcPr>
            <w:tcW w:w="769" w:type="dxa"/>
            <w:vAlign w:val="center"/>
          </w:tcPr>
          <w:p w14:paraId="37B8A1AF" w14:textId="77777777" w:rsidR="0005512A" w:rsidRPr="00E10790" w:rsidRDefault="00897462" w:rsidP="0005512A">
            <w:pPr>
              <w:spacing w:before="120" w:after="120"/>
              <w:jc w:val="center"/>
              <w:rPr>
                <w:sz w:val="20"/>
              </w:rPr>
            </w:pPr>
            <w:r w:rsidRPr="00E10790">
              <w:rPr>
                <w:sz w:val="20"/>
              </w:rPr>
              <w:t>1</w:t>
            </w:r>
          </w:p>
        </w:tc>
        <w:tc>
          <w:tcPr>
            <w:tcW w:w="911" w:type="dxa"/>
            <w:vAlign w:val="center"/>
          </w:tcPr>
          <w:p w14:paraId="411F9057" w14:textId="77777777" w:rsidR="0005512A" w:rsidRPr="00E10790" w:rsidRDefault="00897462" w:rsidP="0005512A">
            <w:pPr>
              <w:spacing w:before="120" w:after="120"/>
              <w:jc w:val="center"/>
              <w:rPr>
                <w:sz w:val="20"/>
              </w:rPr>
            </w:pPr>
            <w:r w:rsidRPr="00E10790">
              <w:rPr>
                <w:sz w:val="20"/>
              </w:rPr>
              <w:t>4</w:t>
            </w:r>
          </w:p>
        </w:tc>
        <w:tc>
          <w:tcPr>
            <w:tcW w:w="912" w:type="dxa"/>
            <w:vAlign w:val="center"/>
          </w:tcPr>
          <w:p w14:paraId="72F1244E" w14:textId="77777777" w:rsidR="0005512A" w:rsidRPr="00E10790" w:rsidRDefault="00897462" w:rsidP="0005512A">
            <w:pPr>
              <w:spacing w:before="120" w:after="120"/>
              <w:jc w:val="center"/>
              <w:rPr>
                <w:sz w:val="20"/>
              </w:rPr>
            </w:pPr>
            <w:r w:rsidRPr="00E10790">
              <w:rPr>
                <w:sz w:val="20"/>
              </w:rPr>
              <w:t>4</w:t>
            </w:r>
          </w:p>
        </w:tc>
        <w:tc>
          <w:tcPr>
            <w:tcW w:w="952" w:type="dxa"/>
            <w:tcBorders>
              <w:right w:val="single" w:sz="12" w:space="0" w:color="auto"/>
            </w:tcBorders>
            <w:shd w:val="clear" w:color="auto" w:fill="D9D9D9"/>
            <w:vAlign w:val="center"/>
          </w:tcPr>
          <w:p w14:paraId="280AC836" w14:textId="77777777" w:rsidR="0005512A" w:rsidRPr="00E10790" w:rsidRDefault="00897462" w:rsidP="0005512A">
            <w:pPr>
              <w:spacing w:before="120" w:after="120"/>
              <w:jc w:val="center"/>
              <w:rPr>
                <w:sz w:val="20"/>
              </w:rPr>
            </w:pPr>
            <w:r w:rsidRPr="00E10790">
              <w:rPr>
                <w:sz w:val="20"/>
              </w:rPr>
              <w:t>NA</w:t>
            </w:r>
          </w:p>
        </w:tc>
        <w:tc>
          <w:tcPr>
            <w:tcW w:w="870" w:type="dxa"/>
            <w:tcBorders>
              <w:left w:val="single" w:sz="12" w:space="0" w:color="auto"/>
            </w:tcBorders>
            <w:vAlign w:val="center"/>
          </w:tcPr>
          <w:p w14:paraId="40AF8D78" w14:textId="77777777" w:rsidR="0005512A" w:rsidRPr="00E10790" w:rsidRDefault="00897462" w:rsidP="0005512A">
            <w:pPr>
              <w:spacing w:before="120" w:after="120"/>
              <w:jc w:val="center"/>
              <w:rPr>
                <w:sz w:val="20"/>
              </w:rPr>
            </w:pPr>
            <w:r w:rsidRPr="00E10790">
              <w:rPr>
                <w:sz w:val="20"/>
              </w:rPr>
              <w:t>2</w:t>
            </w:r>
          </w:p>
        </w:tc>
        <w:tc>
          <w:tcPr>
            <w:tcW w:w="912" w:type="dxa"/>
            <w:vAlign w:val="center"/>
          </w:tcPr>
          <w:p w14:paraId="29D303DF" w14:textId="77777777" w:rsidR="0005512A" w:rsidRPr="00E10790" w:rsidRDefault="00897462" w:rsidP="0005512A">
            <w:pPr>
              <w:spacing w:before="120" w:after="120"/>
              <w:jc w:val="center"/>
              <w:rPr>
                <w:sz w:val="20"/>
              </w:rPr>
            </w:pPr>
            <w:r w:rsidRPr="00E10790">
              <w:rPr>
                <w:sz w:val="20"/>
              </w:rPr>
              <w:t>2</w:t>
            </w:r>
          </w:p>
        </w:tc>
        <w:tc>
          <w:tcPr>
            <w:tcW w:w="769" w:type="dxa"/>
            <w:vAlign w:val="center"/>
          </w:tcPr>
          <w:p w14:paraId="1F483C3C" w14:textId="77777777" w:rsidR="0005512A" w:rsidRPr="00E10790" w:rsidRDefault="00897462" w:rsidP="0005512A">
            <w:pPr>
              <w:spacing w:before="120" w:after="120"/>
              <w:jc w:val="center"/>
              <w:rPr>
                <w:sz w:val="20"/>
              </w:rPr>
            </w:pPr>
            <w:r w:rsidRPr="00E10790">
              <w:rPr>
                <w:sz w:val="20"/>
              </w:rPr>
              <w:t>4</w:t>
            </w:r>
          </w:p>
        </w:tc>
        <w:tc>
          <w:tcPr>
            <w:tcW w:w="981" w:type="dxa"/>
            <w:shd w:val="clear" w:color="auto" w:fill="D9D9D9"/>
            <w:vAlign w:val="center"/>
          </w:tcPr>
          <w:p w14:paraId="313B8272" w14:textId="77777777" w:rsidR="0005512A" w:rsidRPr="00E10790" w:rsidRDefault="00897462" w:rsidP="0005512A">
            <w:pPr>
              <w:spacing w:before="120" w:after="120"/>
              <w:jc w:val="center"/>
              <w:rPr>
                <w:sz w:val="20"/>
              </w:rPr>
            </w:pPr>
            <w:r w:rsidRPr="00E10790">
              <w:rPr>
                <w:sz w:val="20"/>
              </w:rPr>
              <w:t>NA</w:t>
            </w:r>
          </w:p>
        </w:tc>
      </w:tr>
      <w:tr w:rsidR="0005512A" w:rsidRPr="00251893" w14:paraId="0881E84A" w14:textId="77777777" w:rsidTr="00E10790">
        <w:tc>
          <w:tcPr>
            <w:tcW w:w="1526" w:type="dxa"/>
            <w:vMerge/>
          </w:tcPr>
          <w:p w14:paraId="773B214A" w14:textId="77777777" w:rsidR="0005512A" w:rsidRPr="00E10790" w:rsidRDefault="0005512A" w:rsidP="0005512A">
            <w:pPr>
              <w:spacing w:before="120" w:after="120"/>
              <w:rPr>
                <w:b/>
                <w:sz w:val="20"/>
              </w:rPr>
            </w:pPr>
          </w:p>
        </w:tc>
        <w:tc>
          <w:tcPr>
            <w:tcW w:w="567" w:type="dxa"/>
            <w:vAlign w:val="center"/>
          </w:tcPr>
          <w:p w14:paraId="3278FBF6" w14:textId="77777777" w:rsidR="0005512A" w:rsidRPr="00E10790" w:rsidRDefault="00897462" w:rsidP="0005512A">
            <w:pPr>
              <w:spacing w:before="120" w:after="120"/>
              <w:jc w:val="center"/>
              <w:rPr>
                <w:b/>
                <w:sz w:val="20"/>
              </w:rPr>
            </w:pPr>
            <w:r w:rsidRPr="00E10790">
              <w:rPr>
                <w:b/>
                <w:sz w:val="20"/>
              </w:rPr>
              <w:t>8</w:t>
            </w:r>
          </w:p>
        </w:tc>
        <w:tc>
          <w:tcPr>
            <w:tcW w:w="769" w:type="dxa"/>
            <w:vAlign w:val="center"/>
          </w:tcPr>
          <w:p w14:paraId="6666CB61" w14:textId="77777777" w:rsidR="0005512A" w:rsidRPr="00E10790" w:rsidRDefault="00897462" w:rsidP="0005512A">
            <w:pPr>
              <w:spacing w:before="120" w:after="120"/>
              <w:jc w:val="center"/>
              <w:rPr>
                <w:sz w:val="20"/>
              </w:rPr>
            </w:pPr>
            <w:r w:rsidRPr="00E10790">
              <w:rPr>
                <w:sz w:val="20"/>
              </w:rPr>
              <w:t>0</w:t>
            </w:r>
          </w:p>
        </w:tc>
        <w:tc>
          <w:tcPr>
            <w:tcW w:w="911" w:type="dxa"/>
            <w:vAlign w:val="center"/>
          </w:tcPr>
          <w:p w14:paraId="10953F3A" w14:textId="77777777" w:rsidR="0005512A" w:rsidRPr="00E10790" w:rsidRDefault="00897462" w:rsidP="0005512A">
            <w:pPr>
              <w:spacing w:before="120" w:after="120"/>
              <w:jc w:val="center"/>
              <w:rPr>
                <w:sz w:val="20"/>
              </w:rPr>
            </w:pPr>
            <w:r w:rsidRPr="00E10790">
              <w:rPr>
                <w:sz w:val="20"/>
              </w:rPr>
              <w:t>0</w:t>
            </w:r>
          </w:p>
        </w:tc>
        <w:tc>
          <w:tcPr>
            <w:tcW w:w="912" w:type="dxa"/>
            <w:vAlign w:val="center"/>
          </w:tcPr>
          <w:p w14:paraId="48A758A1" w14:textId="77777777" w:rsidR="0005512A" w:rsidRPr="00E10790" w:rsidRDefault="00897462" w:rsidP="0005512A">
            <w:pPr>
              <w:spacing w:before="120" w:after="120"/>
              <w:jc w:val="center"/>
              <w:rPr>
                <w:sz w:val="20"/>
              </w:rPr>
            </w:pPr>
            <w:r w:rsidRPr="00E10790">
              <w:rPr>
                <w:sz w:val="20"/>
              </w:rPr>
              <w:t>0</w:t>
            </w:r>
          </w:p>
        </w:tc>
        <w:tc>
          <w:tcPr>
            <w:tcW w:w="952" w:type="dxa"/>
            <w:tcBorders>
              <w:right w:val="single" w:sz="12" w:space="0" w:color="auto"/>
            </w:tcBorders>
            <w:shd w:val="clear" w:color="auto" w:fill="D9D9D9"/>
            <w:vAlign w:val="center"/>
          </w:tcPr>
          <w:p w14:paraId="56FFFA0B" w14:textId="77777777" w:rsidR="0005512A" w:rsidRPr="00E10790" w:rsidRDefault="00897462" w:rsidP="0005512A">
            <w:pPr>
              <w:spacing w:before="120" w:after="120"/>
              <w:jc w:val="center"/>
              <w:rPr>
                <w:sz w:val="20"/>
              </w:rPr>
            </w:pPr>
            <w:r w:rsidRPr="00E10790">
              <w:rPr>
                <w:sz w:val="20"/>
              </w:rPr>
              <w:t>NA</w:t>
            </w:r>
          </w:p>
        </w:tc>
        <w:tc>
          <w:tcPr>
            <w:tcW w:w="870" w:type="dxa"/>
            <w:tcBorders>
              <w:left w:val="single" w:sz="12" w:space="0" w:color="auto"/>
            </w:tcBorders>
            <w:vAlign w:val="center"/>
          </w:tcPr>
          <w:p w14:paraId="352864DE" w14:textId="77777777" w:rsidR="0005512A" w:rsidRPr="00E10790" w:rsidRDefault="00897462" w:rsidP="0005512A">
            <w:pPr>
              <w:spacing w:before="120" w:after="120"/>
              <w:jc w:val="center"/>
              <w:rPr>
                <w:sz w:val="20"/>
              </w:rPr>
            </w:pPr>
            <w:r w:rsidRPr="00E10790">
              <w:rPr>
                <w:sz w:val="20"/>
              </w:rPr>
              <w:t>0</w:t>
            </w:r>
          </w:p>
        </w:tc>
        <w:tc>
          <w:tcPr>
            <w:tcW w:w="912" w:type="dxa"/>
            <w:vAlign w:val="center"/>
          </w:tcPr>
          <w:p w14:paraId="69B26F90" w14:textId="77777777" w:rsidR="0005512A" w:rsidRPr="00E10790" w:rsidRDefault="00897462" w:rsidP="0005512A">
            <w:pPr>
              <w:spacing w:before="120" w:after="120"/>
              <w:jc w:val="center"/>
              <w:rPr>
                <w:sz w:val="20"/>
              </w:rPr>
            </w:pPr>
            <w:r w:rsidRPr="00E10790">
              <w:rPr>
                <w:sz w:val="20"/>
              </w:rPr>
              <w:t>0</w:t>
            </w:r>
          </w:p>
        </w:tc>
        <w:tc>
          <w:tcPr>
            <w:tcW w:w="769" w:type="dxa"/>
            <w:vAlign w:val="center"/>
          </w:tcPr>
          <w:p w14:paraId="7D6EDC1F" w14:textId="77777777" w:rsidR="0005512A" w:rsidRPr="00E10790" w:rsidRDefault="00897462" w:rsidP="0005512A">
            <w:pPr>
              <w:spacing w:before="120" w:after="120"/>
              <w:jc w:val="center"/>
              <w:rPr>
                <w:sz w:val="20"/>
              </w:rPr>
            </w:pPr>
            <w:r w:rsidRPr="00E10790">
              <w:rPr>
                <w:sz w:val="20"/>
              </w:rPr>
              <w:t>0</w:t>
            </w:r>
          </w:p>
        </w:tc>
        <w:tc>
          <w:tcPr>
            <w:tcW w:w="981" w:type="dxa"/>
            <w:shd w:val="clear" w:color="auto" w:fill="D9D9D9"/>
            <w:vAlign w:val="center"/>
          </w:tcPr>
          <w:p w14:paraId="20FF9849" w14:textId="77777777" w:rsidR="0005512A" w:rsidRPr="00E10790" w:rsidRDefault="00897462" w:rsidP="0005512A">
            <w:pPr>
              <w:spacing w:before="120" w:after="120"/>
              <w:jc w:val="center"/>
              <w:rPr>
                <w:sz w:val="20"/>
              </w:rPr>
            </w:pPr>
            <w:r w:rsidRPr="00E10790">
              <w:rPr>
                <w:sz w:val="20"/>
              </w:rPr>
              <w:t>NA</w:t>
            </w:r>
          </w:p>
        </w:tc>
      </w:tr>
      <w:tr w:rsidR="0005512A" w:rsidRPr="00251893" w14:paraId="2FD5DCF2" w14:textId="77777777" w:rsidTr="00E10790">
        <w:tc>
          <w:tcPr>
            <w:tcW w:w="1526" w:type="dxa"/>
            <w:vMerge/>
          </w:tcPr>
          <w:p w14:paraId="7AB90219" w14:textId="77777777" w:rsidR="0005512A" w:rsidRPr="00E10790" w:rsidRDefault="0005512A" w:rsidP="0005512A">
            <w:pPr>
              <w:spacing w:before="120" w:after="120"/>
              <w:rPr>
                <w:b/>
                <w:sz w:val="20"/>
              </w:rPr>
            </w:pPr>
          </w:p>
        </w:tc>
        <w:tc>
          <w:tcPr>
            <w:tcW w:w="567" w:type="dxa"/>
            <w:vAlign w:val="center"/>
          </w:tcPr>
          <w:p w14:paraId="26926129" w14:textId="77777777" w:rsidR="0005512A" w:rsidRPr="00E10790" w:rsidRDefault="00897462" w:rsidP="0005512A">
            <w:pPr>
              <w:spacing w:before="120" w:after="120"/>
              <w:jc w:val="center"/>
              <w:rPr>
                <w:b/>
                <w:sz w:val="20"/>
              </w:rPr>
            </w:pPr>
            <w:r w:rsidRPr="00E10790">
              <w:rPr>
                <w:b/>
                <w:sz w:val="20"/>
              </w:rPr>
              <w:t>13</w:t>
            </w:r>
          </w:p>
        </w:tc>
        <w:tc>
          <w:tcPr>
            <w:tcW w:w="769" w:type="dxa"/>
            <w:vAlign w:val="center"/>
          </w:tcPr>
          <w:p w14:paraId="58A620E8" w14:textId="77777777" w:rsidR="0005512A" w:rsidRPr="00E10790" w:rsidRDefault="00897462" w:rsidP="0005512A">
            <w:pPr>
              <w:spacing w:before="120" w:after="120"/>
              <w:jc w:val="center"/>
              <w:rPr>
                <w:sz w:val="20"/>
              </w:rPr>
            </w:pPr>
            <w:r w:rsidRPr="00E10790">
              <w:rPr>
                <w:sz w:val="20"/>
              </w:rPr>
              <w:t>0</w:t>
            </w:r>
          </w:p>
        </w:tc>
        <w:tc>
          <w:tcPr>
            <w:tcW w:w="911" w:type="dxa"/>
            <w:vAlign w:val="center"/>
          </w:tcPr>
          <w:p w14:paraId="78495B44" w14:textId="77777777" w:rsidR="0005512A" w:rsidRPr="00E10790" w:rsidRDefault="00897462" w:rsidP="0005512A">
            <w:pPr>
              <w:spacing w:before="120" w:after="120"/>
              <w:jc w:val="center"/>
              <w:rPr>
                <w:sz w:val="20"/>
              </w:rPr>
            </w:pPr>
            <w:r w:rsidRPr="00E10790">
              <w:rPr>
                <w:sz w:val="20"/>
              </w:rPr>
              <w:t>1</w:t>
            </w:r>
          </w:p>
        </w:tc>
        <w:tc>
          <w:tcPr>
            <w:tcW w:w="912" w:type="dxa"/>
            <w:vAlign w:val="center"/>
          </w:tcPr>
          <w:p w14:paraId="313F2AA1" w14:textId="77777777" w:rsidR="0005512A" w:rsidRPr="00E10790" w:rsidRDefault="00897462" w:rsidP="0005512A">
            <w:pPr>
              <w:spacing w:before="120" w:after="120"/>
              <w:jc w:val="center"/>
              <w:rPr>
                <w:sz w:val="20"/>
              </w:rPr>
            </w:pPr>
            <w:r w:rsidRPr="00E10790">
              <w:rPr>
                <w:sz w:val="20"/>
              </w:rPr>
              <w:t>2</w:t>
            </w:r>
          </w:p>
        </w:tc>
        <w:tc>
          <w:tcPr>
            <w:tcW w:w="952" w:type="dxa"/>
            <w:tcBorders>
              <w:right w:val="single" w:sz="12" w:space="0" w:color="auto"/>
            </w:tcBorders>
            <w:shd w:val="clear" w:color="auto" w:fill="D9D9D9"/>
            <w:vAlign w:val="center"/>
          </w:tcPr>
          <w:p w14:paraId="5F531DC1" w14:textId="77777777" w:rsidR="0005512A" w:rsidRPr="00E10790" w:rsidRDefault="00897462" w:rsidP="0005512A">
            <w:pPr>
              <w:spacing w:before="120" w:after="120"/>
              <w:jc w:val="center"/>
              <w:rPr>
                <w:sz w:val="20"/>
              </w:rPr>
            </w:pPr>
            <w:r w:rsidRPr="00E10790">
              <w:rPr>
                <w:sz w:val="20"/>
              </w:rPr>
              <w:t>2</w:t>
            </w:r>
          </w:p>
        </w:tc>
        <w:tc>
          <w:tcPr>
            <w:tcW w:w="870" w:type="dxa"/>
            <w:tcBorders>
              <w:left w:val="single" w:sz="12" w:space="0" w:color="auto"/>
            </w:tcBorders>
            <w:vAlign w:val="center"/>
          </w:tcPr>
          <w:p w14:paraId="12A968F5" w14:textId="77777777" w:rsidR="0005512A" w:rsidRPr="00E10790" w:rsidRDefault="00897462" w:rsidP="0005512A">
            <w:pPr>
              <w:spacing w:before="120" w:after="120"/>
              <w:jc w:val="center"/>
              <w:rPr>
                <w:sz w:val="20"/>
              </w:rPr>
            </w:pPr>
            <w:r w:rsidRPr="00E10790">
              <w:rPr>
                <w:sz w:val="20"/>
              </w:rPr>
              <w:t>1</w:t>
            </w:r>
          </w:p>
        </w:tc>
        <w:tc>
          <w:tcPr>
            <w:tcW w:w="912" w:type="dxa"/>
            <w:vAlign w:val="center"/>
          </w:tcPr>
          <w:p w14:paraId="082C2B71" w14:textId="77777777" w:rsidR="0005512A" w:rsidRPr="00E10790" w:rsidRDefault="00897462" w:rsidP="0005512A">
            <w:pPr>
              <w:spacing w:before="120" w:after="120"/>
              <w:jc w:val="center"/>
              <w:rPr>
                <w:sz w:val="20"/>
              </w:rPr>
            </w:pPr>
            <w:r w:rsidRPr="00E10790">
              <w:rPr>
                <w:sz w:val="20"/>
              </w:rPr>
              <w:t>0</w:t>
            </w:r>
          </w:p>
        </w:tc>
        <w:tc>
          <w:tcPr>
            <w:tcW w:w="769" w:type="dxa"/>
            <w:vAlign w:val="center"/>
          </w:tcPr>
          <w:p w14:paraId="218B3684" w14:textId="77777777" w:rsidR="0005512A" w:rsidRPr="00E10790" w:rsidRDefault="00897462" w:rsidP="0005512A">
            <w:pPr>
              <w:spacing w:before="120" w:after="120"/>
              <w:jc w:val="center"/>
              <w:rPr>
                <w:sz w:val="20"/>
              </w:rPr>
            </w:pPr>
            <w:r w:rsidRPr="00E10790">
              <w:rPr>
                <w:sz w:val="20"/>
              </w:rPr>
              <w:t>1</w:t>
            </w:r>
          </w:p>
        </w:tc>
        <w:tc>
          <w:tcPr>
            <w:tcW w:w="981" w:type="dxa"/>
            <w:shd w:val="clear" w:color="auto" w:fill="D9D9D9"/>
            <w:vAlign w:val="center"/>
          </w:tcPr>
          <w:p w14:paraId="74B71CB9" w14:textId="77777777" w:rsidR="0005512A" w:rsidRPr="00E10790" w:rsidRDefault="00897462" w:rsidP="0005512A">
            <w:pPr>
              <w:spacing w:before="120" w:after="120"/>
              <w:jc w:val="center"/>
              <w:rPr>
                <w:sz w:val="20"/>
              </w:rPr>
            </w:pPr>
            <w:r w:rsidRPr="00E10790">
              <w:rPr>
                <w:sz w:val="20"/>
              </w:rPr>
              <w:t>1</w:t>
            </w:r>
          </w:p>
        </w:tc>
      </w:tr>
    </w:tbl>
    <w:p w14:paraId="3A89ED95" w14:textId="77777777" w:rsidR="0005512A" w:rsidRPr="002B2CFC" w:rsidRDefault="0005512A" w:rsidP="0005512A">
      <w:pPr>
        <w:spacing w:before="120" w:after="120"/>
        <w:rPr>
          <w:sz w:val="20"/>
        </w:rPr>
      </w:pPr>
      <w:r w:rsidRPr="002B2CFC">
        <w:rPr>
          <w:sz w:val="20"/>
        </w:rPr>
        <w:t xml:space="preserve">NA- </w:t>
      </w:r>
      <w:r>
        <w:rPr>
          <w:sz w:val="20"/>
        </w:rPr>
        <w:t xml:space="preserve">Not applicable, as </w:t>
      </w:r>
      <w:r w:rsidRPr="002B2CFC">
        <w:rPr>
          <w:sz w:val="20"/>
        </w:rPr>
        <w:t>not necropsied at this time</w:t>
      </w:r>
    </w:p>
    <w:p w14:paraId="586C3369" w14:textId="77777777" w:rsidR="0005512A" w:rsidRPr="002B2CFC" w:rsidRDefault="0005512A" w:rsidP="0005512A">
      <w:pPr>
        <w:spacing w:before="120" w:after="120"/>
        <w:rPr>
          <w:szCs w:val="24"/>
        </w:rPr>
      </w:pPr>
      <w:r w:rsidRPr="002B2CFC">
        <w:rPr>
          <w:szCs w:val="24"/>
        </w:rPr>
        <w:t xml:space="preserve">Mice treated with MPTP were not found to have any </w:t>
      </w:r>
      <w:r>
        <w:rPr>
          <w:szCs w:val="24"/>
        </w:rPr>
        <w:t>treatment-</w:t>
      </w:r>
      <w:r w:rsidRPr="002B2CFC">
        <w:rPr>
          <w:szCs w:val="24"/>
        </w:rPr>
        <w:t>related changes to the gross appearance of the brain at the week 13 necropsy.</w:t>
      </w:r>
    </w:p>
    <w:p w14:paraId="49FD2B85" w14:textId="77777777" w:rsidR="0005512A" w:rsidRDefault="00897462" w:rsidP="0005512A">
      <w:pPr>
        <w:rPr>
          <w:szCs w:val="24"/>
          <w:lang w:val="en-US" w:eastAsia="en-US"/>
        </w:rPr>
      </w:pPr>
      <w:r w:rsidRPr="00C34954">
        <w:rPr>
          <w:i/>
          <w:szCs w:val="24"/>
          <w:lang w:val="en-US" w:eastAsia="en-US"/>
        </w:rPr>
        <w:t>Brain weights and measurements (Subset II)</w:t>
      </w:r>
      <w:r w:rsidR="005A10DF">
        <w:rPr>
          <w:i/>
          <w:szCs w:val="24"/>
          <w:lang w:val="en-US" w:eastAsia="en-US"/>
        </w:rPr>
        <w:t>:</w:t>
      </w:r>
      <w:r w:rsidR="0005512A" w:rsidRPr="002B2CFC">
        <w:rPr>
          <w:szCs w:val="24"/>
          <w:lang w:val="en-US" w:eastAsia="en-US"/>
        </w:rPr>
        <w:t xml:space="preserve">Brain weights, length and width did not show a </w:t>
      </w:r>
      <w:r w:rsidR="0005512A">
        <w:rPr>
          <w:szCs w:val="24"/>
          <w:lang w:val="en-US" w:eastAsia="en-US"/>
        </w:rPr>
        <w:t>treatment-related</w:t>
      </w:r>
      <w:r w:rsidR="0005512A" w:rsidRPr="002B2CFC">
        <w:rPr>
          <w:szCs w:val="24"/>
          <w:lang w:val="en-US" w:eastAsia="en-US"/>
        </w:rPr>
        <w:t xml:space="preserve"> effect </w:t>
      </w:r>
      <w:r w:rsidR="0005512A">
        <w:rPr>
          <w:szCs w:val="24"/>
          <w:lang w:val="en-US" w:eastAsia="en-US"/>
        </w:rPr>
        <w:t>at any scheduled necropsy, including positive control (MPTP) mice</w:t>
      </w:r>
      <w:r w:rsidR="0005512A" w:rsidRPr="002B2CFC">
        <w:rPr>
          <w:szCs w:val="24"/>
          <w:lang w:val="en-US" w:eastAsia="en-US"/>
        </w:rPr>
        <w:t>. There was no statistical difference with controls.</w:t>
      </w:r>
    </w:p>
    <w:p w14:paraId="107B6822" w14:textId="77777777" w:rsidR="0005512A" w:rsidRPr="002B2CFC" w:rsidRDefault="0005512A" w:rsidP="0005512A">
      <w:pPr>
        <w:rPr>
          <w:szCs w:val="24"/>
          <w:lang w:val="en-US" w:eastAsia="en-US"/>
        </w:rPr>
      </w:pPr>
    </w:p>
    <w:p w14:paraId="69569985" w14:textId="77777777" w:rsidR="0005512A" w:rsidRPr="002B2CFC" w:rsidRDefault="00897462" w:rsidP="0005512A">
      <w:pPr>
        <w:rPr>
          <w:szCs w:val="24"/>
          <w:lang w:val="en-US" w:eastAsia="en-US"/>
        </w:rPr>
      </w:pPr>
      <w:r w:rsidRPr="00C34954">
        <w:rPr>
          <w:i/>
          <w:szCs w:val="24"/>
          <w:lang w:val="en-US" w:eastAsia="en-US"/>
        </w:rPr>
        <w:t>Brain striatum weights (Subset III)</w:t>
      </w:r>
      <w:r w:rsidR="005A10DF">
        <w:rPr>
          <w:i/>
          <w:szCs w:val="24"/>
          <w:lang w:val="en-US" w:eastAsia="en-US"/>
        </w:rPr>
        <w:t>:</w:t>
      </w:r>
      <w:r w:rsidR="0005512A" w:rsidRPr="002B2CFC">
        <w:rPr>
          <w:szCs w:val="24"/>
          <w:lang w:val="en-US" w:eastAsia="en-US"/>
        </w:rPr>
        <w:t xml:space="preserve">Mean brain striatum weights for both paraquat treated groups and the MPTP positive control group were similar to the control group. No statistically significant differences or dose response was noted. </w:t>
      </w:r>
    </w:p>
    <w:p w14:paraId="3A4C73DC" w14:textId="77777777" w:rsidR="0005512A" w:rsidRPr="002B2CFC" w:rsidRDefault="0005512A" w:rsidP="0005512A">
      <w:pPr>
        <w:rPr>
          <w:szCs w:val="24"/>
          <w:lang w:val="en-US" w:eastAsia="en-US"/>
        </w:rPr>
      </w:pPr>
    </w:p>
    <w:p w14:paraId="22059205" w14:textId="77777777" w:rsidR="0005512A" w:rsidRPr="005A10DF" w:rsidRDefault="0005512A" w:rsidP="0005512A">
      <w:pPr>
        <w:rPr>
          <w:szCs w:val="24"/>
          <w:u w:val="single"/>
          <w:lang w:val="en-US" w:eastAsia="en-US"/>
        </w:rPr>
      </w:pPr>
      <w:r w:rsidRPr="005A10DF">
        <w:rPr>
          <w:szCs w:val="24"/>
          <w:u w:val="single"/>
          <w:lang w:val="en-US" w:eastAsia="en-US"/>
        </w:rPr>
        <w:t>Stereology assessment (Subset I)</w:t>
      </w:r>
    </w:p>
    <w:p w14:paraId="4ABF8E27" w14:textId="77777777" w:rsidR="0005512A" w:rsidRDefault="0005512A" w:rsidP="0005512A">
      <w:pPr>
        <w:rPr>
          <w:szCs w:val="24"/>
          <w:lang w:val="en-US" w:eastAsia="en-US"/>
        </w:rPr>
      </w:pPr>
      <w:r w:rsidRPr="002B2CFC">
        <w:rPr>
          <w:szCs w:val="24"/>
          <w:lang w:val="en-US" w:eastAsia="en-US"/>
        </w:rPr>
        <w:t>In male and female mice treated with paraquat (10 or 50 ppm), there was no significant treatment-related effect. The number of TH</w:t>
      </w:r>
      <w:r w:rsidRPr="002B2CFC">
        <w:rPr>
          <w:szCs w:val="24"/>
          <w:vertAlign w:val="superscript"/>
          <w:lang w:val="en-US" w:eastAsia="en-US"/>
        </w:rPr>
        <w:t>+</w:t>
      </w:r>
      <w:r w:rsidRPr="002B2CFC">
        <w:rPr>
          <w:szCs w:val="24"/>
          <w:lang w:val="en-US" w:eastAsia="en-US"/>
        </w:rPr>
        <w:t xml:space="preserve"> neurons, TH</w:t>
      </w:r>
      <w:r w:rsidRPr="002B2CFC">
        <w:rPr>
          <w:szCs w:val="24"/>
          <w:vertAlign w:val="superscript"/>
          <w:lang w:val="en-US" w:eastAsia="en-US"/>
        </w:rPr>
        <w:t>-</w:t>
      </w:r>
      <w:r w:rsidRPr="002B2CFC">
        <w:rPr>
          <w:szCs w:val="24"/>
          <w:lang w:val="en-US" w:eastAsia="en-US"/>
        </w:rPr>
        <w:t xml:space="preserve"> neurons, total neurons and total contour volumes of the SN pc were not statistically different from the controls.</w:t>
      </w:r>
    </w:p>
    <w:p w14:paraId="31BD3AD2" w14:textId="77777777" w:rsidR="0005512A" w:rsidRPr="002B2CFC" w:rsidRDefault="0005512A" w:rsidP="0005512A">
      <w:pPr>
        <w:rPr>
          <w:szCs w:val="24"/>
          <w:lang w:val="en-US" w:eastAsia="en-US"/>
        </w:rPr>
      </w:pPr>
    </w:p>
    <w:p w14:paraId="43865D29" w14:textId="0C9C8FE8" w:rsidR="0005512A" w:rsidRPr="002B2CFC" w:rsidRDefault="0005512A" w:rsidP="0005512A">
      <w:pPr>
        <w:rPr>
          <w:szCs w:val="24"/>
          <w:lang w:val="en-US" w:eastAsia="en-US"/>
        </w:rPr>
      </w:pPr>
      <w:r w:rsidRPr="002B2CFC">
        <w:rPr>
          <w:szCs w:val="24"/>
          <w:lang w:val="en-US" w:eastAsia="en-US"/>
        </w:rPr>
        <w:t xml:space="preserve">In positive control male mice (MPTP), </w:t>
      </w:r>
      <w:r>
        <w:rPr>
          <w:szCs w:val="24"/>
          <w:lang w:val="en-US" w:eastAsia="en-US"/>
        </w:rPr>
        <w:t>the number of TH</w:t>
      </w:r>
      <w:r w:rsidRPr="003A6822">
        <w:rPr>
          <w:szCs w:val="24"/>
          <w:vertAlign w:val="superscript"/>
          <w:lang w:val="en-US" w:eastAsia="en-US"/>
        </w:rPr>
        <w:t>+</w:t>
      </w:r>
      <w:r>
        <w:rPr>
          <w:szCs w:val="24"/>
          <w:lang w:val="en-US" w:eastAsia="en-US"/>
        </w:rPr>
        <w:t xml:space="preserve"> neurons was reduced (10%) and TH- neurons slightly increased (1%), but the total number of neurons (TH</w:t>
      </w:r>
      <w:r w:rsidRPr="003A6822">
        <w:rPr>
          <w:szCs w:val="24"/>
          <w:vertAlign w:val="superscript"/>
          <w:lang w:val="en-US" w:eastAsia="en-US"/>
        </w:rPr>
        <w:t>+</w:t>
      </w:r>
      <w:r>
        <w:rPr>
          <w:szCs w:val="24"/>
          <w:lang w:val="en-US" w:eastAsia="en-US"/>
        </w:rPr>
        <w:t xml:space="preserve"> + TH</w:t>
      </w:r>
      <w:r w:rsidRPr="003A6822">
        <w:rPr>
          <w:szCs w:val="24"/>
          <w:vertAlign w:val="superscript"/>
          <w:lang w:val="en-US" w:eastAsia="en-US"/>
        </w:rPr>
        <w:t>-</w:t>
      </w:r>
      <w:r>
        <w:rPr>
          <w:szCs w:val="24"/>
          <w:lang w:val="en-US" w:eastAsia="en-US"/>
        </w:rPr>
        <w:t xml:space="preserve">) was reduced (-6%), as compared to negative control </w:t>
      </w:r>
      <w:r w:rsidRPr="00C31A63">
        <w:rPr>
          <w:szCs w:val="24"/>
          <w:lang w:val="en-US" w:eastAsia="en-US"/>
        </w:rPr>
        <w:t>animals (</w:t>
      </w:r>
      <w:r w:rsidR="00C31A63" w:rsidRPr="00C31A63">
        <w:rPr>
          <w:szCs w:val="24"/>
          <w:lang w:val="en-US" w:eastAsia="en-US"/>
        </w:rPr>
        <w:fldChar w:fldCharType="begin"/>
      </w:r>
      <w:r w:rsidR="00C31A63" w:rsidRPr="00C31A63">
        <w:rPr>
          <w:szCs w:val="24"/>
          <w:lang w:val="en-US" w:eastAsia="en-US"/>
        </w:rPr>
        <w:instrText xml:space="preserve"> REF _Ref459038001  \* MERGEFORMAT </w:instrText>
      </w:r>
      <w:r w:rsidR="00C31A63" w:rsidRPr="00C31A63">
        <w:rPr>
          <w:szCs w:val="24"/>
          <w:lang w:val="en-US" w:eastAsia="en-US"/>
        </w:rPr>
        <w:fldChar w:fldCharType="separate"/>
      </w:r>
      <w:r w:rsidR="000E54B2" w:rsidRPr="000E54B2">
        <w:rPr>
          <w:bCs/>
          <w:szCs w:val="24"/>
          <w:lang w:val="en-US" w:eastAsia="en-US"/>
        </w:rPr>
        <w:t xml:space="preserve">Table </w:t>
      </w:r>
      <w:r w:rsidR="000E54B2" w:rsidRPr="000E54B2">
        <w:rPr>
          <w:bCs/>
          <w:noProof/>
          <w:szCs w:val="24"/>
          <w:lang w:val="en-US" w:eastAsia="en-US"/>
        </w:rPr>
        <w:t>26</w:t>
      </w:r>
      <w:r w:rsidR="00C31A63" w:rsidRPr="00C31A63">
        <w:rPr>
          <w:szCs w:val="24"/>
          <w:lang w:val="en-US" w:eastAsia="en-US"/>
        </w:rPr>
        <w:fldChar w:fldCharType="end"/>
      </w:r>
      <w:r w:rsidR="00C31A63">
        <w:rPr>
          <w:szCs w:val="24"/>
          <w:lang w:val="en-US" w:eastAsia="en-US"/>
        </w:rPr>
        <w:t xml:space="preserve"> </w:t>
      </w:r>
      <w:r w:rsidR="00C31A63">
        <w:rPr>
          <w:szCs w:val="24"/>
          <w:lang w:val="en-US" w:eastAsia="en-US"/>
        </w:rPr>
        <w:fldChar w:fldCharType="begin"/>
      </w:r>
      <w:r w:rsidR="00C31A63">
        <w:rPr>
          <w:szCs w:val="24"/>
          <w:lang w:val="en-US" w:eastAsia="en-US"/>
        </w:rPr>
        <w:instrText xml:space="preserve"> REF _Ref459038024 \p </w:instrText>
      </w:r>
      <w:r w:rsidR="00C31A63">
        <w:rPr>
          <w:szCs w:val="24"/>
          <w:lang w:val="en-US" w:eastAsia="en-US"/>
        </w:rPr>
        <w:fldChar w:fldCharType="separate"/>
      </w:r>
      <w:r w:rsidR="000E54B2">
        <w:rPr>
          <w:szCs w:val="24"/>
          <w:lang w:val="en-US" w:eastAsia="en-US"/>
        </w:rPr>
        <w:t>below</w:t>
      </w:r>
      <w:r w:rsidR="00C31A63">
        <w:rPr>
          <w:szCs w:val="24"/>
          <w:lang w:val="en-US" w:eastAsia="en-US"/>
        </w:rPr>
        <w:fldChar w:fldCharType="end"/>
      </w:r>
      <w:r w:rsidRPr="00C31A63">
        <w:rPr>
          <w:szCs w:val="24"/>
          <w:lang w:val="en-US" w:eastAsia="en-US"/>
        </w:rPr>
        <w:t>).</w:t>
      </w:r>
      <w:r>
        <w:rPr>
          <w:szCs w:val="24"/>
          <w:lang w:val="en-US" w:eastAsia="en-US"/>
        </w:rPr>
        <w:t xml:space="preserve"> However only the reduction in TH</w:t>
      </w:r>
      <w:r w:rsidRPr="003A6822">
        <w:rPr>
          <w:szCs w:val="24"/>
          <w:vertAlign w:val="superscript"/>
          <w:lang w:val="en-US" w:eastAsia="en-US"/>
        </w:rPr>
        <w:t>+</w:t>
      </w:r>
      <w:r>
        <w:rPr>
          <w:szCs w:val="24"/>
          <w:lang w:val="en-US" w:eastAsia="en-US"/>
        </w:rPr>
        <w:t xml:space="preserve"> neurons was statistically </w:t>
      </w:r>
      <w:r w:rsidRPr="005520C8">
        <w:rPr>
          <w:szCs w:val="24"/>
          <w:lang w:val="en-US" w:eastAsia="en-US"/>
        </w:rPr>
        <w:t>significant</w:t>
      </w:r>
      <w:r>
        <w:rPr>
          <w:szCs w:val="24"/>
          <w:lang w:val="en-US" w:eastAsia="en-US"/>
        </w:rPr>
        <w:t>.</w:t>
      </w:r>
      <w:r w:rsidRPr="005520C8">
        <w:rPr>
          <w:szCs w:val="24"/>
          <w:lang w:val="en-US" w:eastAsia="en-US"/>
        </w:rPr>
        <w:t xml:space="preserve"> The total contour volume was statistically significantly reduced (-9%) in</w:t>
      </w:r>
      <w:r w:rsidRPr="006965D0">
        <w:rPr>
          <w:szCs w:val="24"/>
          <w:lang w:val="en-US" w:eastAsia="en-US"/>
        </w:rPr>
        <w:t xml:space="preserve"> positive</w:t>
      </w:r>
      <w:r w:rsidRPr="002B2CFC">
        <w:rPr>
          <w:szCs w:val="24"/>
          <w:lang w:val="en-US" w:eastAsia="en-US"/>
        </w:rPr>
        <w:t xml:space="preserve"> control males as compared to negative controls.</w:t>
      </w:r>
    </w:p>
    <w:p w14:paraId="14B0C3B1" w14:textId="77777777" w:rsidR="0005512A" w:rsidRPr="002B2CFC" w:rsidRDefault="0005512A" w:rsidP="0005512A">
      <w:pPr>
        <w:rPr>
          <w:szCs w:val="24"/>
          <w:lang w:val="en-US" w:eastAsia="en-US"/>
        </w:rPr>
      </w:pPr>
    </w:p>
    <w:p w14:paraId="5C500FF3" w14:textId="77777777" w:rsidR="0005512A" w:rsidRPr="002B2CFC" w:rsidRDefault="0005512A" w:rsidP="0005512A">
      <w:pPr>
        <w:rPr>
          <w:szCs w:val="24"/>
          <w:lang w:val="en-US" w:eastAsia="en-US"/>
        </w:rPr>
      </w:pPr>
      <w:r w:rsidRPr="002B2CFC">
        <w:rPr>
          <w:szCs w:val="24"/>
          <w:lang w:val="en-US" w:eastAsia="en-US"/>
        </w:rPr>
        <w:t>In females in the positive control group (MPTP), the results reflected those in males with the number of TH</w:t>
      </w:r>
      <w:r w:rsidRPr="002B2CFC">
        <w:rPr>
          <w:szCs w:val="24"/>
          <w:vertAlign w:val="superscript"/>
          <w:lang w:val="en-US" w:eastAsia="en-US"/>
        </w:rPr>
        <w:t>+</w:t>
      </w:r>
      <w:r w:rsidRPr="002B2CFC">
        <w:rPr>
          <w:szCs w:val="24"/>
          <w:lang w:val="en-US" w:eastAsia="en-US"/>
        </w:rPr>
        <w:t xml:space="preserve"> neurons reduced (-5%), the number of TH</w:t>
      </w:r>
      <w:r w:rsidRPr="002B2CFC">
        <w:rPr>
          <w:szCs w:val="24"/>
          <w:vertAlign w:val="superscript"/>
          <w:lang w:val="en-US" w:eastAsia="en-US"/>
        </w:rPr>
        <w:t>-</w:t>
      </w:r>
      <w:r w:rsidRPr="002B2CFC">
        <w:rPr>
          <w:szCs w:val="24"/>
          <w:lang w:val="en-US" w:eastAsia="en-US"/>
        </w:rPr>
        <w:t xml:space="preserve"> neurons increased (4%), the total number of neurons reduced (-3%) and the total contour volume reduced (-3%) as compared to the negative controls. However, in females none of the results were statistically significant.</w:t>
      </w:r>
    </w:p>
    <w:p w14:paraId="17871753" w14:textId="77777777" w:rsidR="0005512A" w:rsidRPr="002B2CFC" w:rsidRDefault="0005512A" w:rsidP="00E439AD">
      <w:pPr>
        <w:rPr>
          <w:b/>
          <w:bCs/>
          <w:sz w:val="20"/>
          <w:lang w:val="en-US" w:eastAsia="en-US"/>
        </w:rPr>
      </w:pPr>
    </w:p>
    <w:p w14:paraId="34969542" w14:textId="77777777" w:rsidR="0005512A" w:rsidRPr="002B2CFC" w:rsidRDefault="0005512A" w:rsidP="0005512A">
      <w:pPr>
        <w:keepNext/>
        <w:keepLines/>
        <w:spacing w:after="120"/>
        <w:rPr>
          <w:b/>
          <w:bCs/>
          <w:sz w:val="20"/>
          <w:lang w:val="en-US" w:eastAsia="en-US"/>
        </w:rPr>
      </w:pPr>
      <w:bookmarkStart w:id="110" w:name="_Ref459038001"/>
      <w:bookmarkStart w:id="111" w:name="_Ref459038024"/>
      <w:r w:rsidRPr="002B2CFC">
        <w:rPr>
          <w:b/>
          <w:bCs/>
          <w:sz w:val="20"/>
          <w:lang w:val="en-US" w:eastAsia="en-US"/>
        </w:rPr>
        <w:t xml:space="preserve">Table </w:t>
      </w:r>
      <w:r w:rsidR="00897462" w:rsidRPr="002B2CFC">
        <w:rPr>
          <w:b/>
          <w:bCs/>
          <w:sz w:val="20"/>
          <w:lang w:val="en-US" w:eastAsia="en-US"/>
        </w:rPr>
        <w:fldChar w:fldCharType="begin"/>
      </w:r>
      <w:r w:rsidRPr="002B2CFC">
        <w:rPr>
          <w:b/>
          <w:bCs/>
          <w:sz w:val="20"/>
          <w:lang w:val="en-US" w:eastAsia="en-US"/>
        </w:rPr>
        <w:instrText xml:space="preserve"> SEQ Table \* ARABIC </w:instrText>
      </w:r>
      <w:r w:rsidR="00897462" w:rsidRPr="002B2CFC">
        <w:rPr>
          <w:b/>
          <w:bCs/>
          <w:sz w:val="20"/>
          <w:lang w:val="en-US" w:eastAsia="en-US"/>
        </w:rPr>
        <w:fldChar w:fldCharType="separate"/>
      </w:r>
      <w:r w:rsidR="000E54B2">
        <w:rPr>
          <w:b/>
          <w:bCs/>
          <w:noProof/>
          <w:sz w:val="20"/>
          <w:lang w:val="en-US" w:eastAsia="en-US"/>
        </w:rPr>
        <w:t>26</w:t>
      </w:r>
      <w:r w:rsidR="00897462" w:rsidRPr="002B2CFC">
        <w:rPr>
          <w:b/>
          <w:bCs/>
          <w:sz w:val="20"/>
          <w:lang w:val="en-US" w:eastAsia="en-US"/>
        </w:rPr>
        <w:fldChar w:fldCharType="end"/>
      </w:r>
      <w:bookmarkEnd w:id="110"/>
      <w:r w:rsidRPr="002B2CFC">
        <w:rPr>
          <w:b/>
          <w:bCs/>
          <w:sz w:val="20"/>
          <w:lang w:val="en-US" w:eastAsia="en-US"/>
        </w:rPr>
        <w:t>.</w:t>
      </w:r>
      <w:r>
        <w:rPr>
          <w:b/>
          <w:bCs/>
          <w:sz w:val="20"/>
          <w:lang w:val="en-US" w:eastAsia="en-US"/>
        </w:rPr>
        <w:t xml:space="preserve"> </w:t>
      </w:r>
      <w:r w:rsidRPr="002B2CFC">
        <w:rPr>
          <w:b/>
          <w:bCs/>
          <w:sz w:val="20"/>
          <w:lang w:val="en-US" w:eastAsia="en-US"/>
        </w:rPr>
        <w:t xml:space="preserve">Significant stereological findings in the </w:t>
      </w:r>
      <w:r w:rsidR="00A4092E">
        <w:rPr>
          <w:b/>
          <w:bCs/>
          <w:sz w:val="20"/>
          <w:lang w:val="en-US" w:eastAsia="en-US"/>
        </w:rPr>
        <w:t>SN</w:t>
      </w:r>
      <w:r w:rsidRPr="002B2CFC">
        <w:rPr>
          <w:b/>
          <w:bCs/>
          <w:sz w:val="20"/>
          <w:lang w:val="en-US" w:eastAsia="en-US"/>
        </w:rPr>
        <w:t xml:space="preserve"> </w:t>
      </w:r>
      <w:r w:rsidR="00A4092E">
        <w:rPr>
          <w:b/>
          <w:bCs/>
          <w:sz w:val="20"/>
          <w:lang w:val="en-US" w:eastAsia="en-US"/>
        </w:rPr>
        <w:t>pc</w:t>
      </w:r>
      <w:r w:rsidR="00D417BB">
        <w:rPr>
          <w:b/>
          <w:bCs/>
          <w:sz w:val="20"/>
          <w:lang w:val="en-US" w:eastAsia="en-US"/>
        </w:rPr>
        <w:t xml:space="preserve"> for MPTP</w:t>
      </w:r>
      <w:bookmarkEnd w:id="111"/>
    </w:p>
    <w:tbl>
      <w:tblPr>
        <w:tblStyle w:val="TableGrid"/>
        <w:tblW w:w="0" w:type="auto"/>
        <w:tblLayout w:type="fixed"/>
        <w:tblLook w:val="04A0" w:firstRow="1" w:lastRow="0" w:firstColumn="1" w:lastColumn="0" w:noHBand="0" w:noVBand="1"/>
      </w:tblPr>
      <w:tblGrid>
        <w:gridCol w:w="817"/>
        <w:gridCol w:w="851"/>
        <w:gridCol w:w="850"/>
        <w:gridCol w:w="851"/>
        <w:gridCol w:w="850"/>
        <w:gridCol w:w="1276"/>
        <w:gridCol w:w="850"/>
        <w:gridCol w:w="851"/>
        <w:gridCol w:w="850"/>
        <w:gridCol w:w="1196"/>
      </w:tblGrid>
      <w:tr w:rsidR="0005512A" w:rsidRPr="002B2CFC" w14:paraId="6CC4198A" w14:textId="77777777" w:rsidTr="0005512A">
        <w:tc>
          <w:tcPr>
            <w:tcW w:w="817" w:type="dxa"/>
            <w:tcBorders>
              <w:bottom w:val="nil"/>
            </w:tcBorders>
            <w:shd w:val="clear" w:color="auto" w:fill="BFBFBF"/>
            <w:vAlign w:val="center"/>
          </w:tcPr>
          <w:p w14:paraId="0FE8D11B" w14:textId="77777777" w:rsidR="0005512A" w:rsidRPr="002B2CFC" w:rsidRDefault="0005512A" w:rsidP="0005512A">
            <w:pPr>
              <w:keepNext/>
              <w:keepLines/>
              <w:jc w:val="center"/>
              <w:rPr>
                <w:b/>
                <w:sz w:val="18"/>
                <w:szCs w:val="18"/>
                <w:lang w:val="en-US" w:eastAsia="en-US"/>
              </w:rPr>
            </w:pPr>
          </w:p>
        </w:tc>
        <w:tc>
          <w:tcPr>
            <w:tcW w:w="851" w:type="dxa"/>
            <w:tcBorders>
              <w:bottom w:val="nil"/>
            </w:tcBorders>
            <w:shd w:val="clear" w:color="auto" w:fill="BFBFBF"/>
            <w:vAlign w:val="center"/>
          </w:tcPr>
          <w:p w14:paraId="71AAC143" w14:textId="77777777" w:rsidR="0005512A" w:rsidRPr="002B2CFC" w:rsidRDefault="0005512A" w:rsidP="0005512A">
            <w:pPr>
              <w:keepNext/>
              <w:keepLines/>
              <w:jc w:val="center"/>
              <w:rPr>
                <w:b/>
                <w:sz w:val="18"/>
                <w:szCs w:val="18"/>
                <w:lang w:val="en-US" w:eastAsia="en-US"/>
              </w:rPr>
            </w:pPr>
          </w:p>
        </w:tc>
        <w:tc>
          <w:tcPr>
            <w:tcW w:w="3827" w:type="dxa"/>
            <w:gridSpan w:val="4"/>
            <w:tcBorders>
              <w:right w:val="single" w:sz="12" w:space="0" w:color="auto"/>
            </w:tcBorders>
            <w:shd w:val="clear" w:color="auto" w:fill="BFBFBF"/>
            <w:vAlign w:val="center"/>
          </w:tcPr>
          <w:p w14:paraId="3EC519FB" w14:textId="77777777" w:rsidR="0005512A" w:rsidRPr="002B2CFC" w:rsidRDefault="0005512A" w:rsidP="0005512A">
            <w:pPr>
              <w:keepNext/>
              <w:keepLines/>
              <w:jc w:val="center"/>
              <w:rPr>
                <w:b/>
                <w:sz w:val="18"/>
                <w:szCs w:val="18"/>
                <w:lang w:val="en-US" w:eastAsia="en-US"/>
              </w:rPr>
            </w:pPr>
            <w:r w:rsidRPr="002B2CFC">
              <w:rPr>
                <w:b/>
                <w:sz w:val="18"/>
                <w:szCs w:val="18"/>
                <w:lang w:val="en-US" w:eastAsia="en-US"/>
              </w:rPr>
              <w:t>Males</w:t>
            </w:r>
          </w:p>
        </w:tc>
        <w:tc>
          <w:tcPr>
            <w:tcW w:w="3747" w:type="dxa"/>
            <w:gridSpan w:val="4"/>
            <w:tcBorders>
              <w:left w:val="single" w:sz="12" w:space="0" w:color="auto"/>
            </w:tcBorders>
            <w:shd w:val="clear" w:color="auto" w:fill="BFBFBF"/>
            <w:vAlign w:val="center"/>
          </w:tcPr>
          <w:p w14:paraId="2A8288BA" w14:textId="77777777" w:rsidR="0005512A" w:rsidRPr="002B2CFC" w:rsidRDefault="0005512A" w:rsidP="0005512A">
            <w:pPr>
              <w:keepNext/>
              <w:keepLines/>
              <w:jc w:val="center"/>
              <w:rPr>
                <w:b/>
                <w:sz w:val="18"/>
                <w:szCs w:val="18"/>
                <w:lang w:val="en-US" w:eastAsia="en-US"/>
              </w:rPr>
            </w:pPr>
            <w:r w:rsidRPr="002B2CFC">
              <w:rPr>
                <w:b/>
                <w:sz w:val="18"/>
                <w:szCs w:val="18"/>
                <w:lang w:val="en-US" w:eastAsia="en-US"/>
              </w:rPr>
              <w:t>Females</w:t>
            </w:r>
          </w:p>
        </w:tc>
      </w:tr>
      <w:tr w:rsidR="0005512A" w:rsidRPr="00AF5C6E" w14:paraId="223514B1" w14:textId="77777777" w:rsidTr="0005512A">
        <w:tc>
          <w:tcPr>
            <w:tcW w:w="817" w:type="dxa"/>
            <w:tcBorders>
              <w:top w:val="nil"/>
            </w:tcBorders>
            <w:shd w:val="clear" w:color="auto" w:fill="BFBFBF"/>
          </w:tcPr>
          <w:p w14:paraId="3A14B865" w14:textId="77777777" w:rsidR="0005512A" w:rsidRPr="00AF5C6E" w:rsidRDefault="0005512A" w:rsidP="00AF5C6E">
            <w:pPr>
              <w:rPr>
                <w:sz w:val="20"/>
                <w:lang w:val="en-US" w:eastAsia="en-US"/>
              </w:rPr>
            </w:pPr>
            <w:r w:rsidRPr="00AF5C6E">
              <w:rPr>
                <w:sz w:val="20"/>
                <w:lang w:val="en-US" w:eastAsia="en-US"/>
              </w:rPr>
              <w:t>Group</w:t>
            </w:r>
          </w:p>
        </w:tc>
        <w:tc>
          <w:tcPr>
            <w:tcW w:w="851" w:type="dxa"/>
            <w:tcBorders>
              <w:top w:val="nil"/>
            </w:tcBorders>
            <w:shd w:val="clear" w:color="auto" w:fill="BFBFBF"/>
          </w:tcPr>
          <w:p w14:paraId="47F2DEDF" w14:textId="77777777" w:rsidR="0005512A" w:rsidRPr="00AF5C6E" w:rsidRDefault="0005512A" w:rsidP="00AF5C6E">
            <w:pPr>
              <w:rPr>
                <w:sz w:val="20"/>
                <w:lang w:val="en-US" w:eastAsia="en-US"/>
              </w:rPr>
            </w:pPr>
          </w:p>
        </w:tc>
        <w:tc>
          <w:tcPr>
            <w:tcW w:w="850" w:type="dxa"/>
            <w:shd w:val="clear" w:color="auto" w:fill="BFBFBF"/>
          </w:tcPr>
          <w:p w14:paraId="4B5CE53B" w14:textId="77777777" w:rsidR="0005512A" w:rsidRPr="00AF5C6E" w:rsidRDefault="0005512A" w:rsidP="00AF5C6E">
            <w:pPr>
              <w:rPr>
                <w:sz w:val="20"/>
                <w:lang w:val="en-US" w:eastAsia="en-US"/>
              </w:rPr>
            </w:pPr>
            <w:r w:rsidRPr="00AF5C6E">
              <w:rPr>
                <w:sz w:val="20"/>
                <w:lang w:val="en-US" w:eastAsia="en-US"/>
              </w:rPr>
              <w:t>TH</w:t>
            </w:r>
            <w:r w:rsidRPr="00AF5C6E">
              <w:rPr>
                <w:sz w:val="20"/>
                <w:vertAlign w:val="superscript"/>
                <w:lang w:val="en-US" w:eastAsia="en-US"/>
              </w:rPr>
              <w:t>+</w:t>
            </w:r>
            <w:r w:rsidRPr="00AF5C6E">
              <w:rPr>
                <w:sz w:val="20"/>
                <w:lang w:val="en-US" w:eastAsia="en-US"/>
              </w:rPr>
              <w:t xml:space="preserve"> neurons</w:t>
            </w:r>
          </w:p>
        </w:tc>
        <w:tc>
          <w:tcPr>
            <w:tcW w:w="851" w:type="dxa"/>
            <w:shd w:val="clear" w:color="auto" w:fill="BFBFBF"/>
          </w:tcPr>
          <w:p w14:paraId="45D2E891" w14:textId="77777777" w:rsidR="0005512A" w:rsidRPr="00AF5C6E" w:rsidRDefault="0005512A" w:rsidP="00AF5C6E">
            <w:pPr>
              <w:rPr>
                <w:sz w:val="20"/>
                <w:lang w:val="en-US" w:eastAsia="en-US"/>
              </w:rPr>
            </w:pPr>
            <w:r w:rsidRPr="00AF5C6E">
              <w:rPr>
                <w:sz w:val="20"/>
                <w:lang w:val="en-US" w:eastAsia="en-US"/>
              </w:rPr>
              <w:t>TH</w:t>
            </w:r>
            <w:r w:rsidRPr="00AF5C6E">
              <w:rPr>
                <w:sz w:val="20"/>
                <w:vertAlign w:val="superscript"/>
                <w:lang w:val="en-US" w:eastAsia="en-US"/>
              </w:rPr>
              <w:t xml:space="preserve">- </w:t>
            </w:r>
            <w:r w:rsidRPr="00AF5C6E">
              <w:rPr>
                <w:sz w:val="20"/>
                <w:lang w:val="en-US" w:eastAsia="en-US"/>
              </w:rPr>
              <w:t>neurons</w:t>
            </w:r>
          </w:p>
        </w:tc>
        <w:tc>
          <w:tcPr>
            <w:tcW w:w="850" w:type="dxa"/>
            <w:shd w:val="clear" w:color="auto" w:fill="BFBFBF"/>
          </w:tcPr>
          <w:p w14:paraId="4730DE3D" w14:textId="77777777" w:rsidR="0005512A" w:rsidRPr="00AF5C6E" w:rsidRDefault="0005512A" w:rsidP="00AF5C6E">
            <w:pPr>
              <w:rPr>
                <w:sz w:val="20"/>
                <w:lang w:val="en-US" w:eastAsia="en-US"/>
              </w:rPr>
            </w:pPr>
            <w:r w:rsidRPr="00AF5C6E">
              <w:rPr>
                <w:sz w:val="20"/>
                <w:lang w:val="en-US" w:eastAsia="en-US"/>
              </w:rPr>
              <w:t>Total neurons (TH</w:t>
            </w:r>
            <w:r w:rsidRPr="00AF5C6E">
              <w:rPr>
                <w:sz w:val="20"/>
                <w:vertAlign w:val="superscript"/>
                <w:lang w:val="en-US" w:eastAsia="en-US"/>
              </w:rPr>
              <w:t>+</w:t>
            </w:r>
            <w:r w:rsidRPr="00AF5C6E">
              <w:rPr>
                <w:sz w:val="20"/>
                <w:lang w:val="en-US" w:eastAsia="en-US"/>
              </w:rPr>
              <w:t xml:space="preserve"> &amp; TH</w:t>
            </w:r>
            <w:r w:rsidRPr="00AF5C6E">
              <w:rPr>
                <w:sz w:val="20"/>
                <w:vertAlign w:val="superscript"/>
                <w:lang w:val="en-US" w:eastAsia="en-US"/>
              </w:rPr>
              <w:t>-</w:t>
            </w:r>
            <w:r w:rsidRPr="00AF5C6E">
              <w:rPr>
                <w:sz w:val="20"/>
                <w:lang w:val="en-US" w:eastAsia="en-US"/>
              </w:rPr>
              <w:t>)</w:t>
            </w:r>
          </w:p>
        </w:tc>
        <w:tc>
          <w:tcPr>
            <w:tcW w:w="1276" w:type="dxa"/>
            <w:tcBorders>
              <w:right w:val="single" w:sz="12" w:space="0" w:color="auto"/>
            </w:tcBorders>
            <w:shd w:val="clear" w:color="auto" w:fill="BFBFBF"/>
          </w:tcPr>
          <w:p w14:paraId="38CAA2A7" w14:textId="77777777" w:rsidR="0005512A" w:rsidRPr="00AF5C6E" w:rsidRDefault="0005512A" w:rsidP="00AF5C6E">
            <w:pPr>
              <w:rPr>
                <w:sz w:val="20"/>
                <w:lang w:val="en-US" w:eastAsia="en-US"/>
              </w:rPr>
            </w:pPr>
            <w:r w:rsidRPr="00AF5C6E">
              <w:rPr>
                <w:sz w:val="20"/>
                <w:lang w:val="en-US" w:eastAsia="en-US"/>
              </w:rPr>
              <w:t>Total contour volume (µm</w:t>
            </w:r>
            <w:r w:rsidRPr="00AF5C6E">
              <w:rPr>
                <w:sz w:val="20"/>
                <w:vertAlign w:val="superscript"/>
                <w:lang w:val="en-US" w:eastAsia="en-US"/>
              </w:rPr>
              <w:t>3</w:t>
            </w:r>
            <w:r w:rsidRPr="00AF5C6E">
              <w:rPr>
                <w:sz w:val="20"/>
                <w:lang w:val="en-US" w:eastAsia="en-US"/>
              </w:rPr>
              <w:t>)</w:t>
            </w:r>
          </w:p>
        </w:tc>
        <w:tc>
          <w:tcPr>
            <w:tcW w:w="850" w:type="dxa"/>
            <w:tcBorders>
              <w:left w:val="single" w:sz="12" w:space="0" w:color="auto"/>
            </w:tcBorders>
            <w:shd w:val="clear" w:color="auto" w:fill="BFBFBF"/>
          </w:tcPr>
          <w:p w14:paraId="50CEA800" w14:textId="77777777" w:rsidR="0005512A" w:rsidRPr="00AF5C6E" w:rsidRDefault="0005512A" w:rsidP="00AF5C6E">
            <w:pPr>
              <w:rPr>
                <w:sz w:val="20"/>
                <w:lang w:val="en-US" w:eastAsia="en-US"/>
              </w:rPr>
            </w:pPr>
            <w:r w:rsidRPr="00AF5C6E">
              <w:rPr>
                <w:sz w:val="20"/>
                <w:lang w:val="en-US" w:eastAsia="en-US"/>
              </w:rPr>
              <w:t>TH</w:t>
            </w:r>
            <w:r w:rsidRPr="00AF5C6E">
              <w:rPr>
                <w:sz w:val="20"/>
                <w:vertAlign w:val="superscript"/>
                <w:lang w:val="en-US" w:eastAsia="en-US"/>
              </w:rPr>
              <w:t>+</w:t>
            </w:r>
            <w:r w:rsidRPr="00AF5C6E">
              <w:rPr>
                <w:sz w:val="20"/>
                <w:lang w:val="en-US" w:eastAsia="en-US"/>
              </w:rPr>
              <w:t xml:space="preserve"> neurons</w:t>
            </w:r>
          </w:p>
        </w:tc>
        <w:tc>
          <w:tcPr>
            <w:tcW w:w="851" w:type="dxa"/>
            <w:shd w:val="clear" w:color="auto" w:fill="BFBFBF"/>
          </w:tcPr>
          <w:p w14:paraId="230FDED8" w14:textId="77777777" w:rsidR="0005512A" w:rsidRPr="00AF5C6E" w:rsidRDefault="0005512A" w:rsidP="00AF5C6E">
            <w:pPr>
              <w:rPr>
                <w:sz w:val="20"/>
                <w:lang w:val="en-US" w:eastAsia="en-US"/>
              </w:rPr>
            </w:pPr>
            <w:r w:rsidRPr="00AF5C6E">
              <w:rPr>
                <w:sz w:val="20"/>
                <w:lang w:val="en-US" w:eastAsia="en-US"/>
              </w:rPr>
              <w:t>TH</w:t>
            </w:r>
            <w:r w:rsidRPr="00AF5C6E">
              <w:rPr>
                <w:sz w:val="20"/>
                <w:vertAlign w:val="superscript"/>
                <w:lang w:val="en-US" w:eastAsia="en-US"/>
              </w:rPr>
              <w:t xml:space="preserve">- </w:t>
            </w:r>
            <w:r w:rsidRPr="00AF5C6E">
              <w:rPr>
                <w:sz w:val="20"/>
                <w:lang w:val="en-US" w:eastAsia="en-US"/>
              </w:rPr>
              <w:t>neurons</w:t>
            </w:r>
          </w:p>
        </w:tc>
        <w:tc>
          <w:tcPr>
            <w:tcW w:w="850" w:type="dxa"/>
            <w:shd w:val="clear" w:color="auto" w:fill="BFBFBF"/>
          </w:tcPr>
          <w:p w14:paraId="32E4CBF4" w14:textId="77777777" w:rsidR="0005512A" w:rsidRPr="00AF5C6E" w:rsidRDefault="0005512A" w:rsidP="00AF5C6E">
            <w:pPr>
              <w:rPr>
                <w:sz w:val="20"/>
                <w:lang w:val="en-US" w:eastAsia="en-US"/>
              </w:rPr>
            </w:pPr>
            <w:r w:rsidRPr="00AF5C6E">
              <w:rPr>
                <w:sz w:val="20"/>
                <w:lang w:val="en-US" w:eastAsia="en-US"/>
              </w:rPr>
              <w:t>Total neurons (TH</w:t>
            </w:r>
            <w:r w:rsidRPr="00AF5C6E">
              <w:rPr>
                <w:sz w:val="20"/>
                <w:vertAlign w:val="superscript"/>
                <w:lang w:val="en-US" w:eastAsia="en-US"/>
              </w:rPr>
              <w:t>+</w:t>
            </w:r>
            <w:r w:rsidRPr="00AF5C6E">
              <w:rPr>
                <w:sz w:val="20"/>
                <w:lang w:val="en-US" w:eastAsia="en-US"/>
              </w:rPr>
              <w:t xml:space="preserve"> &amp; TH</w:t>
            </w:r>
            <w:r w:rsidRPr="00AF5C6E">
              <w:rPr>
                <w:sz w:val="20"/>
                <w:vertAlign w:val="superscript"/>
                <w:lang w:val="en-US" w:eastAsia="en-US"/>
              </w:rPr>
              <w:t>-</w:t>
            </w:r>
            <w:r w:rsidRPr="00AF5C6E">
              <w:rPr>
                <w:sz w:val="20"/>
                <w:lang w:val="en-US" w:eastAsia="en-US"/>
              </w:rPr>
              <w:t>)</w:t>
            </w:r>
          </w:p>
        </w:tc>
        <w:tc>
          <w:tcPr>
            <w:tcW w:w="1196" w:type="dxa"/>
            <w:shd w:val="clear" w:color="auto" w:fill="BFBFBF"/>
          </w:tcPr>
          <w:p w14:paraId="0E710E0F" w14:textId="77777777" w:rsidR="0005512A" w:rsidRPr="00AF5C6E" w:rsidRDefault="0005512A" w:rsidP="00AF5C6E">
            <w:pPr>
              <w:rPr>
                <w:sz w:val="20"/>
                <w:lang w:val="en-US" w:eastAsia="en-US"/>
              </w:rPr>
            </w:pPr>
            <w:r w:rsidRPr="00AF5C6E">
              <w:rPr>
                <w:sz w:val="20"/>
                <w:lang w:val="en-US" w:eastAsia="en-US"/>
              </w:rPr>
              <w:t>Total contour volume (µm</w:t>
            </w:r>
            <w:r w:rsidRPr="00AF5C6E">
              <w:rPr>
                <w:sz w:val="20"/>
                <w:vertAlign w:val="superscript"/>
                <w:lang w:val="en-US" w:eastAsia="en-US"/>
              </w:rPr>
              <w:t>3</w:t>
            </w:r>
            <w:r w:rsidRPr="00AF5C6E">
              <w:rPr>
                <w:sz w:val="20"/>
                <w:lang w:val="en-US" w:eastAsia="en-US"/>
              </w:rPr>
              <w:t>)</w:t>
            </w:r>
          </w:p>
        </w:tc>
      </w:tr>
      <w:tr w:rsidR="0005512A" w:rsidRPr="002B2CFC" w14:paraId="1FD04CBA" w14:textId="77777777" w:rsidTr="0005512A">
        <w:tc>
          <w:tcPr>
            <w:tcW w:w="817" w:type="dxa"/>
            <w:vMerge w:val="restart"/>
            <w:vAlign w:val="center"/>
          </w:tcPr>
          <w:p w14:paraId="69678977" w14:textId="77777777" w:rsidR="0005512A" w:rsidRPr="002B2CFC" w:rsidRDefault="0005512A" w:rsidP="0005512A">
            <w:pPr>
              <w:keepNext/>
              <w:keepLines/>
              <w:jc w:val="center"/>
              <w:rPr>
                <w:b/>
                <w:sz w:val="18"/>
                <w:szCs w:val="18"/>
                <w:lang w:val="en-US" w:eastAsia="en-US"/>
              </w:rPr>
            </w:pPr>
            <w:r w:rsidRPr="002B2CFC">
              <w:rPr>
                <w:b/>
                <w:sz w:val="18"/>
                <w:szCs w:val="18"/>
                <w:lang w:val="en-US" w:eastAsia="en-US"/>
              </w:rPr>
              <w:t>0 ppm</w:t>
            </w:r>
          </w:p>
        </w:tc>
        <w:tc>
          <w:tcPr>
            <w:tcW w:w="851" w:type="dxa"/>
          </w:tcPr>
          <w:p w14:paraId="441178CA" w14:textId="77777777" w:rsidR="0005512A" w:rsidRPr="002B2CFC" w:rsidRDefault="0005512A" w:rsidP="0005512A">
            <w:pPr>
              <w:keepNext/>
              <w:keepLines/>
              <w:rPr>
                <w:b/>
                <w:sz w:val="18"/>
                <w:szCs w:val="18"/>
                <w:lang w:val="en-US" w:eastAsia="en-US"/>
              </w:rPr>
            </w:pPr>
            <w:r w:rsidRPr="002B2CFC">
              <w:rPr>
                <w:b/>
                <w:sz w:val="18"/>
                <w:szCs w:val="18"/>
                <w:lang w:val="en-US" w:eastAsia="en-US"/>
              </w:rPr>
              <w:t>n</w:t>
            </w:r>
          </w:p>
        </w:tc>
        <w:tc>
          <w:tcPr>
            <w:tcW w:w="3827" w:type="dxa"/>
            <w:gridSpan w:val="4"/>
            <w:tcBorders>
              <w:right w:val="single" w:sz="12" w:space="0" w:color="auto"/>
            </w:tcBorders>
            <w:vAlign w:val="center"/>
          </w:tcPr>
          <w:p w14:paraId="6D53C010" w14:textId="77777777" w:rsidR="0005512A" w:rsidRPr="002B2CFC" w:rsidRDefault="0005512A" w:rsidP="0005512A">
            <w:pPr>
              <w:keepNext/>
              <w:keepLines/>
              <w:jc w:val="center"/>
              <w:rPr>
                <w:sz w:val="18"/>
                <w:szCs w:val="18"/>
                <w:lang w:val="en-US" w:eastAsia="en-US"/>
              </w:rPr>
            </w:pPr>
            <w:r w:rsidRPr="002B2CFC">
              <w:rPr>
                <w:sz w:val="18"/>
                <w:szCs w:val="18"/>
                <w:lang w:val="en-US" w:eastAsia="en-US"/>
              </w:rPr>
              <w:t>20</w:t>
            </w:r>
          </w:p>
        </w:tc>
        <w:tc>
          <w:tcPr>
            <w:tcW w:w="3747" w:type="dxa"/>
            <w:gridSpan w:val="4"/>
            <w:tcBorders>
              <w:left w:val="single" w:sz="12" w:space="0" w:color="auto"/>
            </w:tcBorders>
            <w:vAlign w:val="center"/>
          </w:tcPr>
          <w:p w14:paraId="40FC081E" w14:textId="77777777" w:rsidR="0005512A" w:rsidRPr="002B2CFC" w:rsidRDefault="0005512A" w:rsidP="0005512A">
            <w:pPr>
              <w:keepNext/>
              <w:keepLines/>
              <w:jc w:val="center"/>
              <w:rPr>
                <w:sz w:val="18"/>
                <w:szCs w:val="18"/>
                <w:lang w:val="en-US" w:eastAsia="en-US"/>
              </w:rPr>
            </w:pPr>
            <w:r w:rsidRPr="002B2CFC">
              <w:rPr>
                <w:sz w:val="18"/>
                <w:szCs w:val="18"/>
                <w:lang w:val="en-US" w:eastAsia="en-US"/>
              </w:rPr>
              <w:t>20</w:t>
            </w:r>
          </w:p>
        </w:tc>
      </w:tr>
      <w:tr w:rsidR="0005512A" w:rsidRPr="002B2CFC" w14:paraId="6D91A752" w14:textId="77777777" w:rsidTr="0005512A">
        <w:tc>
          <w:tcPr>
            <w:tcW w:w="817" w:type="dxa"/>
            <w:vMerge/>
            <w:vAlign w:val="center"/>
          </w:tcPr>
          <w:p w14:paraId="151C4FA5" w14:textId="77777777" w:rsidR="0005512A" w:rsidRPr="002B2CFC" w:rsidRDefault="0005512A" w:rsidP="0005512A">
            <w:pPr>
              <w:keepNext/>
              <w:keepLines/>
              <w:jc w:val="center"/>
              <w:rPr>
                <w:b/>
                <w:sz w:val="18"/>
                <w:szCs w:val="18"/>
                <w:lang w:val="en-US" w:eastAsia="en-US"/>
              </w:rPr>
            </w:pPr>
          </w:p>
        </w:tc>
        <w:tc>
          <w:tcPr>
            <w:tcW w:w="851" w:type="dxa"/>
          </w:tcPr>
          <w:p w14:paraId="7A2818C5" w14:textId="77777777" w:rsidR="0005512A" w:rsidRPr="002B2CFC" w:rsidRDefault="0005512A" w:rsidP="0005512A">
            <w:pPr>
              <w:keepNext/>
              <w:keepLines/>
              <w:rPr>
                <w:b/>
                <w:sz w:val="18"/>
                <w:szCs w:val="18"/>
                <w:lang w:val="en-US" w:eastAsia="en-US"/>
              </w:rPr>
            </w:pPr>
            <w:r w:rsidRPr="002B2CFC">
              <w:rPr>
                <w:b/>
                <w:sz w:val="18"/>
                <w:szCs w:val="18"/>
                <w:lang w:val="en-US" w:eastAsia="en-US"/>
              </w:rPr>
              <w:t>Mean</w:t>
            </w:r>
          </w:p>
        </w:tc>
        <w:tc>
          <w:tcPr>
            <w:tcW w:w="850" w:type="dxa"/>
          </w:tcPr>
          <w:p w14:paraId="6F4B47BB" w14:textId="77777777" w:rsidR="0005512A" w:rsidRPr="002B2CFC" w:rsidRDefault="0005512A" w:rsidP="0005512A">
            <w:pPr>
              <w:keepNext/>
              <w:keepLines/>
              <w:rPr>
                <w:sz w:val="18"/>
                <w:szCs w:val="18"/>
                <w:lang w:val="en-US" w:eastAsia="en-US"/>
              </w:rPr>
            </w:pPr>
            <w:r w:rsidRPr="002B2CFC">
              <w:rPr>
                <w:sz w:val="18"/>
                <w:szCs w:val="18"/>
                <w:lang w:val="en-US" w:eastAsia="en-US"/>
              </w:rPr>
              <w:t>15,173</w:t>
            </w:r>
          </w:p>
        </w:tc>
        <w:tc>
          <w:tcPr>
            <w:tcW w:w="851" w:type="dxa"/>
          </w:tcPr>
          <w:p w14:paraId="360BCF0A" w14:textId="77777777" w:rsidR="0005512A" w:rsidRPr="002B2CFC" w:rsidRDefault="0005512A" w:rsidP="0005512A">
            <w:pPr>
              <w:keepNext/>
              <w:keepLines/>
              <w:rPr>
                <w:sz w:val="18"/>
                <w:szCs w:val="18"/>
                <w:lang w:val="en-US" w:eastAsia="en-US"/>
              </w:rPr>
            </w:pPr>
            <w:r w:rsidRPr="002B2CFC">
              <w:rPr>
                <w:sz w:val="18"/>
                <w:szCs w:val="18"/>
                <w:lang w:val="en-US" w:eastAsia="en-US"/>
              </w:rPr>
              <w:t>7,510</w:t>
            </w:r>
          </w:p>
        </w:tc>
        <w:tc>
          <w:tcPr>
            <w:tcW w:w="850" w:type="dxa"/>
          </w:tcPr>
          <w:p w14:paraId="7E128114" w14:textId="77777777" w:rsidR="0005512A" w:rsidRPr="002B2CFC" w:rsidRDefault="0005512A" w:rsidP="0005512A">
            <w:pPr>
              <w:keepNext/>
              <w:keepLines/>
              <w:rPr>
                <w:sz w:val="18"/>
                <w:szCs w:val="18"/>
                <w:lang w:val="en-US" w:eastAsia="en-US"/>
              </w:rPr>
            </w:pPr>
            <w:r w:rsidRPr="002B2CFC">
              <w:rPr>
                <w:sz w:val="18"/>
                <w:szCs w:val="18"/>
                <w:lang w:val="en-US" w:eastAsia="en-US"/>
              </w:rPr>
              <w:t>22,683</w:t>
            </w:r>
          </w:p>
        </w:tc>
        <w:tc>
          <w:tcPr>
            <w:tcW w:w="1276" w:type="dxa"/>
            <w:tcBorders>
              <w:right w:val="single" w:sz="12" w:space="0" w:color="auto"/>
            </w:tcBorders>
          </w:tcPr>
          <w:p w14:paraId="26EEE34A" w14:textId="77777777" w:rsidR="0005512A" w:rsidRPr="002B2CFC" w:rsidRDefault="0005512A" w:rsidP="0005512A">
            <w:pPr>
              <w:keepNext/>
              <w:keepLines/>
              <w:rPr>
                <w:sz w:val="18"/>
                <w:szCs w:val="18"/>
                <w:lang w:val="en-US" w:eastAsia="en-US"/>
              </w:rPr>
            </w:pPr>
            <w:r w:rsidRPr="002B2CFC">
              <w:rPr>
                <w:sz w:val="18"/>
                <w:szCs w:val="18"/>
                <w:lang w:val="en-US" w:eastAsia="en-US"/>
              </w:rPr>
              <w:t>345,661,900</w:t>
            </w:r>
          </w:p>
        </w:tc>
        <w:tc>
          <w:tcPr>
            <w:tcW w:w="850" w:type="dxa"/>
            <w:tcBorders>
              <w:left w:val="single" w:sz="12" w:space="0" w:color="auto"/>
            </w:tcBorders>
          </w:tcPr>
          <w:p w14:paraId="35924DA6" w14:textId="77777777" w:rsidR="0005512A" w:rsidRPr="002B2CFC" w:rsidRDefault="0005512A" w:rsidP="0005512A">
            <w:pPr>
              <w:keepNext/>
              <w:keepLines/>
              <w:rPr>
                <w:sz w:val="18"/>
                <w:szCs w:val="18"/>
                <w:lang w:val="en-US" w:eastAsia="en-US"/>
              </w:rPr>
            </w:pPr>
            <w:r w:rsidRPr="002B2CFC">
              <w:rPr>
                <w:sz w:val="18"/>
                <w:szCs w:val="18"/>
                <w:lang w:val="en-US" w:eastAsia="en-US"/>
              </w:rPr>
              <w:t>14,813</w:t>
            </w:r>
          </w:p>
        </w:tc>
        <w:tc>
          <w:tcPr>
            <w:tcW w:w="851" w:type="dxa"/>
          </w:tcPr>
          <w:p w14:paraId="48B9A2E2" w14:textId="77777777" w:rsidR="0005512A" w:rsidRPr="002B2CFC" w:rsidRDefault="0005512A" w:rsidP="0005512A">
            <w:pPr>
              <w:keepNext/>
              <w:keepLines/>
              <w:rPr>
                <w:sz w:val="18"/>
                <w:szCs w:val="18"/>
                <w:lang w:val="en-US" w:eastAsia="en-US"/>
              </w:rPr>
            </w:pPr>
            <w:r w:rsidRPr="002B2CFC">
              <w:rPr>
                <w:sz w:val="18"/>
                <w:szCs w:val="18"/>
                <w:lang w:val="en-US" w:eastAsia="en-US"/>
              </w:rPr>
              <w:t>6,024</w:t>
            </w:r>
          </w:p>
        </w:tc>
        <w:tc>
          <w:tcPr>
            <w:tcW w:w="850" w:type="dxa"/>
          </w:tcPr>
          <w:p w14:paraId="14AAA02E" w14:textId="77777777" w:rsidR="0005512A" w:rsidRPr="002B2CFC" w:rsidRDefault="0005512A" w:rsidP="0005512A">
            <w:pPr>
              <w:keepNext/>
              <w:keepLines/>
              <w:rPr>
                <w:sz w:val="18"/>
                <w:szCs w:val="18"/>
                <w:lang w:val="en-US" w:eastAsia="en-US"/>
              </w:rPr>
            </w:pPr>
            <w:r w:rsidRPr="002B2CFC">
              <w:rPr>
                <w:sz w:val="18"/>
                <w:szCs w:val="18"/>
                <w:lang w:val="en-US" w:eastAsia="en-US"/>
              </w:rPr>
              <w:t>20,838</w:t>
            </w:r>
          </w:p>
        </w:tc>
        <w:tc>
          <w:tcPr>
            <w:tcW w:w="1196" w:type="dxa"/>
          </w:tcPr>
          <w:p w14:paraId="70CFC3A6" w14:textId="77777777" w:rsidR="0005512A" w:rsidRPr="002B2CFC" w:rsidRDefault="0005512A" w:rsidP="0005512A">
            <w:pPr>
              <w:keepNext/>
              <w:keepLines/>
              <w:rPr>
                <w:sz w:val="18"/>
                <w:szCs w:val="18"/>
                <w:lang w:val="en-US" w:eastAsia="en-US"/>
              </w:rPr>
            </w:pPr>
            <w:r w:rsidRPr="002B2CFC">
              <w:rPr>
                <w:sz w:val="18"/>
                <w:szCs w:val="18"/>
                <w:lang w:val="en-US" w:eastAsia="en-US"/>
              </w:rPr>
              <w:t>339,634,150</w:t>
            </w:r>
          </w:p>
        </w:tc>
      </w:tr>
      <w:tr w:rsidR="0005512A" w:rsidRPr="002B2CFC" w14:paraId="37726CFF" w14:textId="77777777" w:rsidTr="0005512A">
        <w:tc>
          <w:tcPr>
            <w:tcW w:w="817" w:type="dxa"/>
            <w:vMerge/>
            <w:tcBorders>
              <w:bottom w:val="single" w:sz="12" w:space="0" w:color="auto"/>
            </w:tcBorders>
            <w:vAlign w:val="center"/>
          </w:tcPr>
          <w:p w14:paraId="07CCE3E9" w14:textId="77777777" w:rsidR="0005512A" w:rsidRPr="002B2CFC" w:rsidRDefault="0005512A" w:rsidP="0005512A">
            <w:pPr>
              <w:keepNext/>
              <w:keepLines/>
              <w:jc w:val="center"/>
              <w:rPr>
                <w:b/>
                <w:sz w:val="18"/>
                <w:szCs w:val="18"/>
                <w:lang w:val="en-US" w:eastAsia="en-US"/>
              </w:rPr>
            </w:pPr>
          </w:p>
        </w:tc>
        <w:tc>
          <w:tcPr>
            <w:tcW w:w="851" w:type="dxa"/>
            <w:tcBorders>
              <w:bottom w:val="single" w:sz="12" w:space="0" w:color="auto"/>
            </w:tcBorders>
          </w:tcPr>
          <w:p w14:paraId="5A502381" w14:textId="77777777" w:rsidR="0005512A" w:rsidRPr="002B2CFC" w:rsidRDefault="0005512A" w:rsidP="0005512A">
            <w:pPr>
              <w:keepNext/>
              <w:keepLines/>
              <w:rPr>
                <w:b/>
                <w:sz w:val="18"/>
                <w:szCs w:val="18"/>
                <w:lang w:val="en-US" w:eastAsia="en-US"/>
              </w:rPr>
            </w:pPr>
            <w:r w:rsidRPr="002B2CFC">
              <w:rPr>
                <w:b/>
                <w:sz w:val="18"/>
                <w:szCs w:val="18"/>
                <w:lang w:val="en-US" w:eastAsia="en-US"/>
              </w:rPr>
              <w:t>SD</w:t>
            </w:r>
          </w:p>
        </w:tc>
        <w:tc>
          <w:tcPr>
            <w:tcW w:w="850" w:type="dxa"/>
            <w:tcBorders>
              <w:bottom w:val="single" w:sz="12" w:space="0" w:color="auto"/>
            </w:tcBorders>
          </w:tcPr>
          <w:p w14:paraId="4F6EFF1A" w14:textId="77777777" w:rsidR="0005512A" w:rsidRPr="002B2CFC" w:rsidRDefault="0005512A" w:rsidP="0005512A">
            <w:pPr>
              <w:keepNext/>
              <w:keepLines/>
              <w:rPr>
                <w:sz w:val="18"/>
                <w:szCs w:val="18"/>
                <w:lang w:val="en-US" w:eastAsia="en-US"/>
              </w:rPr>
            </w:pPr>
            <w:r w:rsidRPr="002B2CFC">
              <w:rPr>
                <w:sz w:val="18"/>
                <w:szCs w:val="18"/>
                <w:lang w:val="en-US" w:eastAsia="en-US"/>
              </w:rPr>
              <w:t>2,447</w:t>
            </w:r>
          </w:p>
        </w:tc>
        <w:tc>
          <w:tcPr>
            <w:tcW w:w="851" w:type="dxa"/>
            <w:tcBorders>
              <w:bottom w:val="single" w:sz="12" w:space="0" w:color="auto"/>
            </w:tcBorders>
          </w:tcPr>
          <w:p w14:paraId="703D7038" w14:textId="77777777" w:rsidR="0005512A" w:rsidRPr="002B2CFC" w:rsidRDefault="0005512A" w:rsidP="0005512A">
            <w:pPr>
              <w:keepNext/>
              <w:keepLines/>
              <w:rPr>
                <w:sz w:val="18"/>
                <w:szCs w:val="18"/>
                <w:lang w:val="en-US" w:eastAsia="en-US"/>
              </w:rPr>
            </w:pPr>
            <w:r w:rsidRPr="002B2CFC">
              <w:rPr>
                <w:sz w:val="18"/>
                <w:szCs w:val="18"/>
                <w:lang w:val="en-US" w:eastAsia="en-US"/>
              </w:rPr>
              <w:t>2,039</w:t>
            </w:r>
          </w:p>
        </w:tc>
        <w:tc>
          <w:tcPr>
            <w:tcW w:w="850" w:type="dxa"/>
            <w:tcBorders>
              <w:bottom w:val="single" w:sz="12" w:space="0" w:color="auto"/>
            </w:tcBorders>
          </w:tcPr>
          <w:p w14:paraId="00070424" w14:textId="77777777" w:rsidR="0005512A" w:rsidRPr="002B2CFC" w:rsidRDefault="0005512A" w:rsidP="0005512A">
            <w:pPr>
              <w:keepNext/>
              <w:keepLines/>
              <w:rPr>
                <w:sz w:val="18"/>
                <w:szCs w:val="18"/>
                <w:lang w:val="en-US" w:eastAsia="en-US"/>
              </w:rPr>
            </w:pPr>
            <w:r w:rsidRPr="002B2CFC">
              <w:rPr>
                <w:sz w:val="18"/>
                <w:szCs w:val="18"/>
                <w:lang w:val="en-US" w:eastAsia="en-US"/>
              </w:rPr>
              <w:t>3,197</w:t>
            </w:r>
          </w:p>
        </w:tc>
        <w:tc>
          <w:tcPr>
            <w:tcW w:w="1276" w:type="dxa"/>
            <w:tcBorders>
              <w:bottom w:val="single" w:sz="12" w:space="0" w:color="auto"/>
              <w:right w:val="single" w:sz="12" w:space="0" w:color="auto"/>
            </w:tcBorders>
          </w:tcPr>
          <w:p w14:paraId="28368CDB" w14:textId="77777777" w:rsidR="0005512A" w:rsidRPr="002B2CFC" w:rsidRDefault="0005512A" w:rsidP="0005512A">
            <w:pPr>
              <w:keepNext/>
              <w:keepLines/>
              <w:rPr>
                <w:sz w:val="18"/>
                <w:szCs w:val="18"/>
                <w:lang w:val="en-US" w:eastAsia="en-US"/>
              </w:rPr>
            </w:pPr>
            <w:r w:rsidRPr="002B2CFC">
              <w:rPr>
                <w:sz w:val="18"/>
                <w:szCs w:val="18"/>
                <w:lang w:val="en-US" w:eastAsia="en-US"/>
              </w:rPr>
              <w:t>27,303,337</w:t>
            </w:r>
          </w:p>
        </w:tc>
        <w:tc>
          <w:tcPr>
            <w:tcW w:w="850" w:type="dxa"/>
            <w:tcBorders>
              <w:left w:val="single" w:sz="12" w:space="0" w:color="auto"/>
              <w:bottom w:val="single" w:sz="12" w:space="0" w:color="auto"/>
            </w:tcBorders>
          </w:tcPr>
          <w:p w14:paraId="4FC674BE" w14:textId="77777777" w:rsidR="0005512A" w:rsidRPr="002B2CFC" w:rsidRDefault="0005512A" w:rsidP="0005512A">
            <w:pPr>
              <w:keepNext/>
              <w:keepLines/>
              <w:rPr>
                <w:sz w:val="18"/>
                <w:szCs w:val="18"/>
                <w:lang w:val="en-US" w:eastAsia="en-US"/>
              </w:rPr>
            </w:pPr>
            <w:r w:rsidRPr="002B2CFC">
              <w:rPr>
                <w:sz w:val="18"/>
                <w:szCs w:val="18"/>
                <w:lang w:val="en-US" w:eastAsia="en-US"/>
              </w:rPr>
              <w:t>2,657</w:t>
            </w:r>
          </w:p>
        </w:tc>
        <w:tc>
          <w:tcPr>
            <w:tcW w:w="851" w:type="dxa"/>
            <w:tcBorders>
              <w:bottom w:val="single" w:sz="12" w:space="0" w:color="auto"/>
            </w:tcBorders>
          </w:tcPr>
          <w:p w14:paraId="0B797392" w14:textId="77777777" w:rsidR="0005512A" w:rsidRPr="002B2CFC" w:rsidRDefault="0005512A" w:rsidP="0005512A">
            <w:pPr>
              <w:keepNext/>
              <w:keepLines/>
              <w:rPr>
                <w:sz w:val="18"/>
                <w:szCs w:val="18"/>
                <w:lang w:val="en-US" w:eastAsia="en-US"/>
              </w:rPr>
            </w:pPr>
            <w:r w:rsidRPr="002B2CFC">
              <w:rPr>
                <w:sz w:val="18"/>
                <w:szCs w:val="18"/>
                <w:lang w:val="en-US" w:eastAsia="en-US"/>
              </w:rPr>
              <w:t>1,442</w:t>
            </w:r>
          </w:p>
        </w:tc>
        <w:tc>
          <w:tcPr>
            <w:tcW w:w="850" w:type="dxa"/>
            <w:tcBorders>
              <w:bottom w:val="single" w:sz="12" w:space="0" w:color="auto"/>
            </w:tcBorders>
          </w:tcPr>
          <w:p w14:paraId="4D5353A6" w14:textId="77777777" w:rsidR="0005512A" w:rsidRPr="002B2CFC" w:rsidRDefault="0005512A" w:rsidP="0005512A">
            <w:pPr>
              <w:keepNext/>
              <w:keepLines/>
              <w:rPr>
                <w:sz w:val="18"/>
                <w:szCs w:val="18"/>
                <w:lang w:val="en-US" w:eastAsia="en-US"/>
              </w:rPr>
            </w:pPr>
            <w:r w:rsidRPr="002B2CFC">
              <w:rPr>
                <w:sz w:val="18"/>
                <w:szCs w:val="18"/>
                <w:lang w:val="en-US" w:eastAsia="en-US"/>
              </w:rPr>
              <w:t>2,937</w:t>
            </w:r>
          </w:p>
        </w:tc>
        <w:tc>
          <w:tcPr>
            <w:tcW w:w="1196" w:type="dxa"/>
            <w:tcBorders>
              <w:bottom w:val="single" w:sz="12" w:space="0" w:color="auto"/>
            </w:tcBorders>
          </w:tcPr>
          <w:p w14:paraId="10BCD635" w14:textId="77777777" w:rsidR="0005512A" w:rsidRPr="002B2CFC" w:rsidRDefault="0005512A" w:rsidP="0005512A">
            <w:pPr>
              <w:keepNext/>
              <w:keepLines/>
              <w:rPr>
                <w:sz w:val="18"/>
                <w:szCs w:val="18"/>
                <w:lang w:val="en-US" w:eastAsia="en-US"/>
              </w:rPr>
            </w:pPr>
            <w:r w:rsidRPr="002B2CFC">
              <w:rPr>
                <w:sz w:val="18"/>
                <w:szCs w:val="18"/>
                <w:lang w:val="en-US" w:eastAsia="en-US"/>
              </w:rPr>
              <w:t>29,853,427</w:t>
            </w:r>
          </w:p>
        </w:tc>
      </w:tr>
      <w:tr w:rsidR="0005512A" w:rsidRPr="002B2CFC" w14:paraId="07967E50" w14:textId="77777777" w:rsidTr="0005512A">
        <w:tc>
          <w:tcPr>
            <w:tcW w:w="817" w:type="dxa"/>
            <w:vMerge w:val="restart"/>
            <w:tcBorders>
              <w:top w:val="single" w:sz="12" w:space="0" w:color="auto"/>
            </w:tcBorders>
            <w:vAlign w:val="center"/>
          </w:tcPr>
          <w:p w14:paraId="3BCC3FE3" w14:textId="77777777" w:rsidR="0005512A" w:rsidRPr="002B2CFC" w:rsidRDefault="0005512A" w:rsidP="0005512A">
            <w:pPr>
              <w:keepNext/>
              <w:keepLines/>
              <w:jc w:val="center"/>
              <w:rPr>
                <w:b/>
                <w:sz w:val="18"/>
                <w:szCs w:val="18"/>
                <w:lang w:val="en-US" w:eastAsia="en-US"/>
              </w:rPr>
            </w:pPr>
            <w:r w:rsidRPr="002B2CFC">
              <w:rPr>
                <w:b/>
                <w:sz w:val="18"/>
                <w:szCs w:val="18"/>
                <w:lang w:val="en-US" w:eastAsia="en-US"/>
              </w:rPr>
              <w:t>MPTP</w:t>
            </w:r>
          </w:p>
        </w:tc>
        <w:tc>
          <w:tcPr>
            <w:tcW w:w="851" w:type="dxa"/>
            <w:tcBorders>
              <w:top w:val="single" w:sz="12" w:space="0" w:color="auto"/>
            </w:tcBorders>
          </w:tcPr>
          <w:p w14:paraId="25BBCBB9" w14:textId="77777777" w:rsidR="0005512A" w:rsidRPr="002B2CFC" w:rsidRDefault="0005512A" w:rsidP="0005512A">
            <w:pPr>
              <w:keepNext/>
              <w:keepLines/>
              <w:rPr>
                <w:b/>
                <w:sz w:val="18"/>
                <w:szCs w:val="18"/>
                <w:lang w:val="en-US" w:eastAsia="en-US"/>
              </w:rPr>
            </w:pPr>
            <w:r w:rsidRPr="002B2CFC">
              <w:rPr>
                <w:b/>
                <w:sz w:val="18"/>
                <w:szCs w:val="18"/>
                <w:lang w:val="en-US" w:eastAsia="en-US"/>
              </w:rPr>
              <w:t>n</w:t>
            </w:r>
          </w:p>
        </w:tc>
        <w:tc>
          <w:tcPr>
            <w:tcW w:w="3827" w:type="dxa"/>
            <w:gridSpan w:val="4"/>
            <w:tcBorders>
              <w:top w:val="single" w:sz="12" w:space="0" w:color="auto"/>
              <w:right w:val="single" w:sz="12" w:space="0" w:color="auto"/>
            </w:tcBorders>
            <w:vAlign w:val="center"/>
          </w:tcPr>
          <w:p w14:paraId="30832D08" w14:textId="77777777" w:rsidR="0005512A" w:rsidRPr="002B2CFC" w:rsidRDefault="0005512A" w:rsidP="0005512A">
            <w:pPr>
              <w:keepNext/>
              <w:keepLines/>
              <w:jc w:val="center"/>
              <w:rPr>
                <w:sz w:val="18"/>
                <w:szCs w:val="18"/>
                <w:lang w:val="en-US" w:eastAsia="en-US"/>
              </w:rPr>
            </w:pPr>
            <w:r w:rsidRPr="002B2CFC">
              <w:rPr>
                <w:sz w:val="18"/>
                <w:szCs w:val="18"/>
                <w:lang w:val="en-US" w:eastAsia="en-US"/>
              </w:rPr>
              <w:t>17</w:t>
            </w:r>
            <w:r w:rsidRPr="002B2CFC">
              <w:rPr>
                <w:sz w:val="18"/>
                <w:szCs w:val="18"/>
                <w:vertAlign w:val="superscript"/>
                <w:lang w:val="en-US" w:eastAsia="en-US"/>
              </w:rPr>
              <w:t>#</w:t>
            </w:r>
          </w:p>
        </w:tc>
        <w:tc>
          <w:tcPr>
            <w:tcW w:w="3747" w:type="dxa"/>
            <w:gridSpan w:val="4"/>
            <w:tcBorders>
              <w:top w:val="single" w:sz="12" w:space="0" w:color="auto"/>
              <w:left w:val="single" w:sz="12" w:space="0" w:color="auto"/>
            </w:tcBorders>
            <w:vAlign w:val="center"/>
          </w:tcPr>
          <w:p w14:paraId="336367EB" w14:textId="77777777" w:rsidR="0005512A" w:rsidRPr="002B2CFC" w:rsidRDefault="0005512A" w:rsidP="0005512A">
            <w:pPr>
              <w:keepNext/>
              <w:keepLines/>
              <w:jc w:val="center"/>
              <w:rPr>
                <w:sz w:val="18"/>
                <w:szCs w:val="18"/>
                <w:lang w:val="en-US" w:eastAsia="en-US"/>
              </w:rPr>
            </w:pPr>
            <w:r w:rsidRPr="002B2CFC">
              <w:rPr>
                <w:sz w:val="18"/>
                <w:szCs w:val="18"/>
                <w:lang w:val="en-US" w:eastAsia="en-US"/>
              </w:rPr>
              <w:t>20</w:t>
            </w:r>
          </w:p>
        </w:tc>
      </w:tr>
      <w:tr w:rsidR="0005512A" w:rsidRPr="002B2CFC" w14:paraId="6C182568" w14:textId="77777777" w:rsidTr="0005512A">
        <w:tc>
          <w:tcPr>
            <w:tcW w:w="817" w:type="dxa"/>
            <w:vMerge/>
          </w:tcPr>
          <w:p w14:paraId="337871AB" w14:textId="77777777" w:rsidR="0005512A" w:rsidRPr="002B2CFC" w:rsidRDefault="0005512A" w:rsidP="0005512A">
            <w:pPr>
              <w:keepNext/>
              <w:keepLines/>
              <w:rPr>
                <w:b/>
                <w:sz w:val="18"/>
                <w:szCs w:val="18"/>
                <w:lang w:val="en-US" w:eastAsia="en-US"/>
              </w:rPr>
            </w:pPr>
          </w:p>
        </w:tc>
        <w:tc>
          <w:tcPr>
            <w:tcW w:w="851" w:type="dxa"/>
          </w:tcPr>
          <w:p w14:paraId="2EAD8636" w14:textId="77777777" w:rsidR="0005512A" w:rsidRPr="002B2CFC" w:rsidRDefault="0005512A" w:rsidP="0005512A">
            <w:pPr>
              <w:keepNext/>
              <w:keepLines/>
              <w:rPr>
                <w:b/>
                <w:sz w:val="18"/>
                <w:szCs w:val="18"/>
                <w:lang w:val="en-US" w:eastAsia="en-US"/>
              </w:rPr>
            </w:pPr>
            <w:r w:rsidRPr="002B2CFC">
              <w:rPr>
                <w:b/>
                <w:sz w:val="18"/>
                <w:szCs w:val="18"/>
                <w:lang w:val="en-US" w:eastAsia="en-US"/>
              </w:rPr>
              <w:t>Mean</w:t>
            </w:r>
          </w:p>
        </w:tc>
        <w:tc>
          <w:tcPr>
            <w:tcW w:w="850" w:type="dxa"/>
            <w:shd w:val="clear" w:color="auto" w:fill="D9D9D9"/>
          </w:tcPr>
          <w:p w14:paraId="52029E55" w14:textId="77777777" w:rsidR="0005512A" w:rsidRPr="002B2CFC" w:rsidRDefault="0005512A" w:rsidP="0005512A">
            <w:pPr>
              <w:keepNext/>
              <w:keepLines/>
              <w:rPr>
                <w:sz w:val="18"/>
                <w:szCs w:val="18"/>
                <w:lang w:val="en-US" w:eastAsia="en-US"/>
              </w:rPr>
            </w:pPr>
            <w:r w:rsidRPr="002B2CFC">
              <w:rPr>
                <w:sz w:val="18"/>
                <w:szCs w:val="18"/>
                <w:lang w:val="en-US" w:eastAsia="en-US"/>
              </w:rPr>
              <w:t>13,675</w:t>
            </w:r>
            <w:r w:rsidRPr="002B2CFC">
              <w:rPr>
                <w:sz w:val="18"/>
                <w:szCs w:val="18"/>
                <w:vertAlign w:val="superscript"/>
                <w:lang w:val="en-US" w:eastAsia="en-US"/>
              </w:rPr>
              <w:t>*</w:t>
            </w:r>
          </w:p>
        </w:tc>
        <w:tc>
          <w:tcPr>
            <w:tcW w:w="851" w:type="dxa"/>
          </w:tcPr>
          <w:p w14:paraId="4980FF1E" w14:textId="77777777" w:rsidR="0005512A" w:rsidRPr="002B2CFC" w:rsidRDefault="0005512A" w:rsidP="0005512A">
            <w:pPr>
              <w:keepNext/>
              <w:keepLines/>
              <w:rPr>
                <w:sz w:val="18"/>
                <w:szCs w:val="18"/>
                <w:lang w:val="en-US" w:eastAsia="en-US"/>
              </w:rPr>
            </w:pPr>
            <w:r w:rsidRPr="002B2CFC">
              <w:rPr>
                <w:sz w:val="18"/>
                <w:szCs w:val="18"/>
                <w:lang w:val="en-US" w:eastAsia="en-US"/>
              </w:rPr>
              <w:t>7,599</w:t>
            </w:r>
          </w:p>
        </w:tc>
        <w:tc>
          <w:tcPr>
            <w:tcW w:w="850" w:type="dxa"/>
          </w:tcPr>
          <w:p w14:paraId="74C7EC60" w14:textId="77777777" w:rsidR="0005512A" w:rsidRPr="002B2CFC" w:rsidRDefault="0005512A" w:rsidP="0005512A">
            <w:pPr>
              <w:keepNext/>
              <w:keepLines/>
              <w:rPr>
                <w:sz w:val="18"/>
                <w:szCs w:val="18"/>
                <w:lang w:val="en-US" w:eastAsia="en-US"/>
              </w:rPr>
            </w:pPr>
            <w:r w:rsidRPr="002B2CFC">
              <w:rPr>
                <w:sz w:val="18"/>
                <w:szCs w:val="18"/>
                <w:lang w:val="en-US" w:eastAsia="en-US"/>
              </w:rPr>
              <w:t>21,274</w:t>
            </w:r>
          </w:p>
        </w:tc>
        <w:tc>
          <w:tcPr>
            <w:tcW w:w="1276" w:type="dxa"/>
            <w:tcBorders>
              <w:right w:val="single" w:sz="12" w:space="0" w:color="auto"/>
            </w:tcBorders>
            <w:shd w:val="clear" w:color="auto" w:fill="D9D9D9"/>
          </w:tcPr>
          <w:p w14:paraId="34C40DD8" w14:textId="77777777" w:rsidR="0005512A" w:rsidRPr="002B2CFC" w:rsidRDefault="0005512A" w:rsidP="0005512A">
            <w:pPr>
              <w:keepNext/>
              <w:keepLines/>
              <w:rPr>
                <w:sz w:val="18"/>
                <w:szCs w:val="18"/>
                <w:lang w:val="en-US" w:eastAsia="en-US"/>
              </w:rPr>
            </w:pPr>
            <w:r w:rsidRPr="002B2CFC">
              <w:rPr>
                <w:sz w:val="18"/>
                <w:szCs w:val="18"/>
                <w:lang w:val="en-US" w:eastAsia="en-US"/>
              </w:rPr>
              <w:t>313,410,412</w:t>
            </w:r>
            <w:r w:rsidRPr="002B2CFC">
              <w:rPr>
                <w:sz w:val="18"/>
                <w:szCs w:val="18"/>
                <w:vertAlign w:val="superscript"/>
                <w:lang w:val="en-US" w:eastAsia="en-US"/>
              </w:rPr>
              <w:t>**</w:t>
            </w:r>
          </w:p>
        </w:tc>
        <w:tc>
          <w:tcPr>
            <w:tcW w:w="850" w:type="dxa"/>
            <w:tcBorders>
              <w:left w:val="single" w:sz="12" w:space="0" w:color="auto"/>
            </w:tcBorders>
          </w:tcPr>
          <w:p w14:paraId="6053F1C1" w14:textId="77777777" w:rsidR="0005512A" w:rsidRPr="002B2CFC" w:rsidRDefault="0005512A" w:rsidP="0005512A">
            <w:pPr>
              <w:keepNext/>
              <w:keepLines/>
              <w:rPr>
                <w:sz w:val="18"/>
                <w:szCs w:val="18"/>
                <w:lang w:val="en-US" w:eastAsia="en-US"/>
              </w:rPr>
            </w:pPr>
            <w:r w:rsidRPr="002B2CFC">
              <w:rPr>
                <w:sz w:val="18"/>
                <w:szCs w:val="18"/>
                <w:lang w:val="en-US" w:eastAsia="en-US"/>
              </w:rPr>
              <w:t>14,004</w:t>
            </w:r>
          </w:p>
        </w:tc>
        <w:tc>
          <w:tcPr>
            <w:tcW w:w="851" w:type="dxa"/>
          </w:tcPr>
          <w:p w14:paraId="0F6E7499" w14:textId="77777777" w:rsidR="0005512A" w:rsidRPr="002B2CFC" w:rsidRDefault="0005512A" w:rsidP="0005512A">
            <w:pPr>
              <w:keepNext/>
              <w:keepLines/>
              <w:rPr>
                <w:sz w:val="18"/>
                <w:szCs w:val="18"/>
                <w:lang w:val="en-US" w:eastAsia="en-US"/>
              </w:rPr>
            </w:pPr>
            <w:r w:rsidRPr="002B2CFC">
              <w:rPr>
                <w:sz w:val="18"/>
                <w:szCs w:val="18"/>
                <w:lang w:val="en-US" w:eastAsia="en-US"/>
              </w:rPr>
              <w:t>6,298</w:t>
            </w:r>
          </w:p>
        </w:tc>
        <w:tc>
          <w:tcPr>
            <w:tcW w:w="850" w:type="dxa"/>
          </w:tcPr>
          <w:p w14:paraId="1B7BD23F" w14:textId="77777777" w:rsidR="0005512A" w:rsidRPr="002B2CFC" w:rsidRDefault="0005512A" w:rsidP="0005512A">
            <w:pPr>
              <w:keepNext/>
              <w:keepLines/>
              <w:rPr>
                <w:sz w:val="18"/>
                <w:szCs w:val="18"/>
                <w:lang w:val="en-US" w:eastAsia="en-US"/>
              </w:rPr>
            </w:pPr>
            <w:r w:rsidRPr="002B2CFC">
              <w:rPr>
                <w:sz w:val="18"/>
                <w:szCs w:val="18"/>
                <w:lang w:val="en-US" w:eastAsia="en-US"/>
              </w:rPr>
              <w:t>20,302</w:t>
            </w:r>
          </w:p>
        </w:tc>
        <w:tc>
          <w:tcPr>
            <w:tcW w:w="1196" w:type="dxa"/>
          </w:tcPr>
          <w:p w14:paraId="783D8B5B" w14:textId="77777777" w:rsidR="0005512A" w:rsidRPr="002B2CFC" w:rsidRDefault="0005512A" w:rsidP="0005512A">
            <w:pPr>
              <w:keepNext/>
              <w:keepLines/>
              <w:rPr>
                <w:sz w:val="18"/>
                <w:szCs w:val="18"/>
                <w:lang w:val="en-US" w:eastAsia="en-US"/>
              </w:rPr>
            </w:pPr>
            <w:r w:rsidRPr="002B2CFC">
              <w:rPr>
                <w:sz w:val="18"/>
                <w:szCs w:val="18"/>
                <w:lang w:val="en-US" w:eastAsia="en-US"/>
              </w:rPr>
              <w:t>329,448,500</w:t>
            </w:r>
          </w:p>
        </w:tc>
      </w:tr>
      <w:tr w:rsidR="0005512A" w:rsidRPr="002B2CFC" w14:paraId="5D62BFF7" w14:textId="77777777" w:rsidTr="0005512A">
        <w:tc>
          <w:tcPr>
            <w:tcW w:w="817" w:type="dxa"/>
            <w:vMerge/>
          </w:tcPr>
          <w:p w14:paraId="755FF0A7" w14:textId="77777777" w:rsidR="0005512A" w:rsidRPr="002B2CFC" w:rsidRDefault="0005512A" w:rsidP="0005512A">
            <w:pPr>
              <w:keepNext/>
              <w:keepLines/>
              <w:rPr>
                <w:b/>
                <w:sz w:val="18"/>
                <w:szCs w:val="18"/>
                <w:lang w:val="en-US" w:eastAsia="en-US"/>
              </w:rPr>
            </w:pPr>
          </w:p>
        </w:tc>
        <w:tc>
          <w:tcPr>
            <w:tcW w:w="851" w:type="dxa"/>
          </w:tcPr>
          <w:p w14:paraId="7CA029D4" w14:textId="77777777" w:rsidR="0005512A" w:rsidRPr="002B2CFC" w:rsidRDefault="0005512A" w:rsidP="0005512A">
            <w:pPr>
              <w:keepNext/>
              <w:keepLines/>
              <w:rPr>
                <w:b/>
                <w:sz w:val="18"/>
                <w:szCs w:val="18"/>
                <w:lang w:val="en-US" w:eastAsia="en-US"/>
              </w:rPr>
            </w:pPr>
            <w:r w:rsidRPr="002B2CFC">
              <w:rPr>
                <w:b/>
                <w:sz w:val="18"/>
                <w:szCs w:val="18"/>
                <w:lang w:val="en-US" w:eastAsia="en-US"/>
              </w:rPr>
              <w:t>SD</w:t>
            </w:r>
          </w:p>
        </w:tc>
        <w:tc>
          <w:tcPr>
            <w:tcW w:w="850" w:type="dxa"/>
          </w:tcPr>
          <w:p w14:paraId="2771B143" w14:textId="77777777" w:rsidR="0005512A" w:rsidRPr="002B2CFC" w:rsidRDefault="0005512A" w:rsidP="0005512A">
            <w:pPr>
              <w:keepNext/>
              <w:keepLines/>
              <w:rPr>
                <w:sz w:val="18"/>
                <w:szCs w:val="18"/>
                <w:lang w:val="en-US" w:eastAsia="en-US"/>
              </w:rPr>
            </w:pPr>
            <w:r w:rsidRPr="002B2CFC">
              <w:rPr>
                <w:sz w:val="18"/>
                <w:szCs w:val="18"/>
                <w:lang w:val="en-US" w:eastAsia="en-US"/>
              </w:rPr>
              <w:t>2,298</w:t>
            </w:r>
          </w:p>
        </w:tc>
        <w:tc>
          <w:tcPr>
            <w:tcW w:w="851" w:type="dxa"/>
          </w:tcPr>
          <w:p w14:paraId="4FAA2BEF" w14:textId="77777777" w:rsidR="0005512A" w:rsidRPr="002B2CFC" w:rsidRDefault="0005512A" w:rsidP="0005512A">
            <w:pPr>
              <w:keepNext/>
              <w:keepLines/>
              <w:rPr>
                <w:sz w:val="18"/>
                <w:szCs w:val="18"/>
                <w:lang w:val="en-US" w:eastAsia="en-US"/>
              </w:rPr>
            </w:pPr>
            <w:r w:rsidRPr="002B2CFC">
              <w:rPr>
                <w:sz w:val="18"/>
                <w:szCs w:val="18"/>
                <w:lang w:val="en-US" w:eastAsia="en-US"/>
              </w:rPr>
              <w:t>1,816</w:t>
            </w:r>
          </w:p>
        </w:tc>
        <w:tc>
          <w:tcPr>
            <w:tcW w:w="850" w:type="dxa"/>
          </w:tcPr>
          <w:p w14:paraId="4E644C6F" w14:textId="77777777" w:rsidR="0005512A" w:rsidRPr="002B2CFC" w:rsidRDefault="0005512A" w:rsidP="0005512A">
            <w:pPr>
              <w:keepNext/>
              <w:keepLines/>
              <w:rPr>
                <w:sz w:val="18"/>
                <w:szCs w:val="18"/>
                <w:lang w:val="en-US" w:eastAsia="en-US"/>
              </w:rPr>
            </w:pPr>
            <w:r w:rsidRPr="002B2CFC">
              <w:rPr>
                <w:sz w:val="18"/>
                <w:szCs w:val="18"/>
                <w:lang w:val="en-US" w:eastAsia="en-US"/>
              </w:rPr>
              <w:t>3,449</w:t>
            </w:r>
          </w:p>
        </w:tc>
        <w:tc>
          <w:tcPr>
            <w:tcW w:w="1276" w:type="dxa"/>
            <w:tcBorders>
              <w:right w:val="single" w:sz="12" w:space="0" w:color="auto"/>
            </w:tcBorders>
          </w:tcPr>
          <w:p w14:paraId="78D52BA4" w14:textId="77777777" w:rsidR="0005512A" w:rsidRPr="002B2CFC" w:rsidRDefault="0005512A" w:rsidP="0005512A">
            <w:pPr>
              <w:keepNext/>
              <w:keepLines/>
              <w:rPr>
                <w:sz w:val="18"/>
                <w:szCs w:val="18"/>
                <w:lang w:val="en-US" w:eastAsia="en-US"/>
              </w:rPr>
            </w:pPr>
            <w:r w:rsidRPr="002B2CFC">
              <w:rPr>
                <w:sz w:val="18"/>
                <w:szCs w:val="18"/>
                <w:lang w:val="en-US" w:eastAsia="en-US"/>
              </w:rPr>
              <w:t>32,778,538</w:t>
            </w:r>
          </w:p>
        </w:tc>
        <w:tc>
          <w:tcPr>
            <w:tcW w:w="850" w:type="dxa"/>
            <w:tcBorders>
              <w:left w:val="single" w:sz="12" w:space="0" w:color="auto"/>
            </w:tcBorders>
          </w:tcPr>
          <w:p w14:paraId="24F8334F" w14:textId="77777777" w:rsidR="0005512A" w:rsidRPr="002B2CFC" w:rsidRDefault="0005512A" w:rsidP="0005512A">
            <w:pPr>
              <w:keepNext/>
              <w:keepLines/>
              <w:rPr>
                <w:sz w:val="18"/>
                <w:szCs w:val="18"/>
                <w:lang w:val="en-US" w:eastAsia="en-US"/>
              </w:rPr>
            </w:pPr>
            <w:r w:rsidRPr="002B2CFC">
              <w:rPr>
                <w:sz w:val="18"/>
                <w:szCs w:val="18"/>
                <w:lang w:val="en-US" w:eastAsia="en-US"/>
              </w:rPr>
              <w:t>2,344</w:t>
            </w:r>
          </w:p>
        </w:tc>
        <w:tc>
          <w:tcPr>
            <w:tcW w:w="851" w:type="dxa"/>
          </w:tcPr>
          <w:p w14:paraId="60D51392" w14:textId="77777777" w:rsidR="0005512A" w:rsidRPr="002B2CFC" w:rsidRDefault="0005512A" w:rsidP="0005512A">
            <w:pPr>
              <w:keepNext/>
              <w:keepLines/>
              <w:rPr>
                <w:sz w:val="18"/>
                <w:szCs w:val="18"/>
                <w:lang w:val="en-US" w:eastAsia="en-US"/>
              </w:rPr>
            </w:pPr>
            <w:r w:rsidRPr="002B2CFC">
              <w:rPr>
                <w:sz w:val="18"/>
                <w:szCs w:val="18"/>
                <w:lang w:val="en-US" w:eastAsia="en-US"/>
              </w:rPr>
              <w:t>1,420</w:t>
            </w:r>
          </w:p>
        </w:tc>
        <w:tc>
          <w:tcPr>
            <w:tcW w:w="850" w:type="dxa"/>
          </w:tcPr>
          <w:p w14:paraId="695CB8E1" w14:textId="77777777" w:rsidR="0005512A" w:rsidRPr="002B2CFC" w:rsidRDefault="0005512A" w:rsidP="0005512A">
            <w:pPr>
              <w:keepNext/>
              <w:keepLines/>
              <w:rPr>
                <w:sz w:val="18"/>
                <w:szCs w:val="18"/>
                <w:lang w:val="en-US" w:eastAsia="en-US"/>
              </w:rPr>
            </w:pPr>
            <w:r w:rsidRPr="002B2CFC">
              <w:rPr>
                <w:sz w:val="18"/>
                <w:szCs w:val="18"/>
                <w:lang w:val="en-US" w:eastAsia="en-US"/>
              </w:rPr>
              <w:t>2,692</w:t>
            </w:r>
          </w:p>
        </w:tc>
        <w:tc>
          <w:tcPr>
            <w:tcW w:w="1196" w:type="dxa"/>
          </w:tcPr>
          <w:p w14:paraId="252D7EB6" w14:textId="77777777" w:rsidR="0005512A" w:rsidRPr="002B2CFC" w:rsidRDefault="0005512A" w:rsidP="0005512A">
            <w:pPr>
              <w:keepNext/>
              <w:keepLines/>
              <w:rPr>
                <w:sz w:val="18"/>
                <w:szCs w:val="18"/>
                <w:lang w:val="en-US" w:eastAsia="en-US"/>
              </w:rPr>
            </w:pPr>
            <w:r w:rsidRPr="002B2CFC">
              <w:rPr>
                <w:sz w:val="18"/>
                <w:szCs w:val="18"/>
                <w:lang w:val="en-US" w:eastAsia="en-US"/>
              </w:rPr>
              <w:t>34,881,823</w:t>
            </w:r>
          </w:p>
        </w:tc>
      </w:tr>
      <w:tr w:rsidR="0005512A" w:rsidRPr="002B2CFC" w14:paraId="3F0602C7" w14:textId="77777777" w:rsidTr="0005512A">
        <w:tc>
          <w:tcPr>
            <w:tcW w:w="817" w:type="dxa"/>
            <w:vMerge/>
          </w:tcPr>
          <w:p w14:paraId="306B5B3F" w14:textId="77777777" w:rsidR="0005512A" w:rsidRPr="002B2CFC" w:rsidRDefault="0005512A" w:rsidP="0005512A">
            <w:pPr>
              <w:keepNext/>
              <w:keepLines/>
              <w:rPr>
                <w:b/>
                <w:sz w:val="18"/>
                <w:szCs w:val="18"/>
                <w:lang w:val="en-US" w:eastAsia="en-US"/>
              </w:rPr>
            </w:pPr>
          </w:p>
        </w:tc>
        <w:tc>
          <w:tcPr>
            <w:tcW w:w="851" w:type="dxa"/>
          </w:tcPr>
          <w:p w14:paraId="219844AC" w14:textId="77777777" w:rsidR="0005512A" w:rsidRPr="002B2CFC" w:rsidRDefault="0005512A" w:rsidP="0005512A">
            <w:pPr>
              <w:keepNext/>
              <w:keepLines/>
              <w:rPr>
                <w:b/>
                <w:sz w:val="18"/>
                <w:szCs w:val="18"/>
                <w:lang w:val="en-US" w:eastAsia="en-US"/>
              </w:rPr>
            </w:pPr>
            <w:r w:rsidRPr="002B2CFC">
              <w:rPr>
                <w:b/>
                <w:sz w:val="18"/>
                <w:szCs w:val="18"/>
                <w:lang w:val="en-US" w:eastAsia="en-US"/>
              </w:rPr>
              <w:t>% change</w:t>
            </w:r>
          </w:p>
        </w:tc>
        <w:tc>
          <w:tcPr>
            <w:tcW w:w="850" w:type="dxa"/>
          </w:tcPr>
          <w:p w14:paraId="698F4A95" w14:textId="77777777" w:rsidR="0005512A" w:rsidRPr="002B2CFC" w:rsidRDefault="0005512A" w:rsidP="0005512A">
            <w:pPr>
              <w:keepNext/>
              <w:keepLines/>
              <w:rPr>
                <w:sz w:val="18"/>
                <w:szCs w:val="18"/>
                <w:lang w:val="en-US" w:eastAsia="en-US"/>
              </w:rPr>
            </w:pPr>
            <w:r w:rsidRPr="002B2CFC">
              <w:rPr>
                <w:sz w:val="18"/>
                <w:szCs w:val="18"/>
                <w:lang w:val="en-US" w:eastAsia="en-US"/>
              </w:rPr>
              <w:t>-10</w:t>
            </w:r>
          </w:p>
        </w:tc>
        <w:tc>
          <w:tcPr>
            <w:tcW w:w="851" w:type="dxa"/>
          </w:tcPr>
          <w:p w14:paraId="392D16A3" w14:textId="77777777" w:rsidR="0005512A" w:rsidRPr="002B2CFC" w:rsidRDefault="0005512A" w:rsidP="0005512A">
            <w:pPr>
              <w:keepNext/>
              <w:keepLines/>
              <w:rPr>
                <w:sz w:val="18"/>
                <w:szCs w:val="18"/>
                <w:lang w:val="en-US" w:eastAsia="en-US"/>
              </w:rPr>
            </w:pPr>
            <w:r w:rsidRPr="002B2CFC">
              <w:rPr>
                <w:sz w:val="18"/>
                <w:szCs w:val="18"/>
                <w:lang w:val="en-US" w:eastAsia="en-US"/>
              </w:rPr>
              <w:t>+1</w:t>
            </w:r>
          </w:p>
        </w:tc>
        <w:tc>
          <w:tcPr>
            <w:tcW w:w="850" w:type="dxa"/>
          </w:tcPr>
          <w:p w14:paraId="11CA4342" w14:textId="77777777" w:rsidR="0005512A" w:rsidRPr="002B2CFC" w:rsidRDefault="0005512A" w:rsidP="0005512A">
            <w:pPr>
              <w:keepNext/>
              <w:keepLines/>
              <w:rPr>
                <w:sz w:val="18"/>
                <w:szCs w:val="18"/>
                <w:lang w:val="en-US" w:eastAsia="en-US"/>
              </w:rPr>
            </w:pPr>
            <w:r w:rsidRPr="002B2CFC">
              <w:rPr>
                <w:sz w:val="18"/>
                <w:szCs w:val="18"/>
                <w:lang w:val="en-US" w:eastAsia="en-US"/>
              </w:rPr>
              <w:t>-6</w:t>
            </w:r>
          </w:p>
        </w:tc>
        <w:tc>
          <w:tcPr>
            <w:tcW w:w="1276" w:type="dxa"/>
            <w:tcBorders>
              <w:right w:val="single" w:sz="12" w:space="0" w:color="auto"/>
            </w:tcBorders>
          </w:tcPr>
          <w:p w14:paraId="1782FEDD" w14:textId="77777777" w:rsidR="0005512A" w:rsidRPr="002B2CFC" w:rsidRDefault="0005512A" w:rsidP="0005512A">
            <w:pPr>
              <w:keepNext/>
              <w:keepLines/>
              <w:rPr>
                <w:sz w:val="18"/>
                <w:szCs w:val="18"/>
                <w:lang w:val="en-US" w:eastAsia="en-US"/>
              </w:rPr>
            </w:pPr>
            <w:r w:rsidRPr="002B2CFC">
              <w:rPr>
                <w:sz w:val="18"/>
                <w:szCs w:val="18"/>
                <w:lang w:val="en-US" w:eastAsia="en-US"/>
              </w:rPr>
              <w:t>-9</w:t>
            </w:r>
          </w:p>
        </w:tc>
        <w:tc>
          <w:tcPr>
            <w:tcW w:w="850" w:type="dxa"/>
            <w:tcBorders>
              <w:left w:val="single" w:sz="12" w:space="0" w:color="auto"/>
            </w:tcBorders>
          </w:tcPr>
          <w:p w14:paraId="17782D7E" w14:textId="77777777" w:rsidR="0005512A" w:rsidRPr="002B2CFC" w:rsidRDefault="0005512A" w:rsidP="0005512A">
            <w:pPr>
              <w:keepNext/>
              <w:keepLines/>
              <w:rPr>
                <w:sz w:val="18"/>
                <w:szCs w:val="18"/>
                <w:lang w:val="en-US" w:eastAsia="en-US"/>
              </w:rPr>
            </w:pPr>
            <w:r w:rsidRPr="002B2CFC">
              <w:rPr>
                <w:sz w:val="18"/>
                <w:szCs w:val="18"/>
                <w:lang w:val="en-US" w:eastAsia="en-US"/>
              </w:rPr>
              <w:t>-5</w:t>
            </w:r>
          </w:p>
        </w:tc>
        <w:tc>
          <w:tcPr>
            <w:tcW w:w="851" w:type="dxa"/>
          </w:tcPr>
          <w:p w14:paraId="78760001" w14:textId="77777777" w:rsidR="0005512A" w:rsidRPr="002B2CFC" w:rsidRDefault="0005512A" w:rsidP="0005512A">
            <w:pPr>
              <w:keepNext/>
              <w:keepLines/>
              <w:rPr>
                <w:sz w:val="18"/>
                <w:szCs w:val="18"/>
                <w:lang w:val="en-US" w:eastAsia="en-US"/>
              </w:rPr>
            </w:pPr>
            <w:r w:rsidRPr="002B2CFC">
              <w:rPr>
                <w:sz w:val="18"/>
                <w:szCs w:val="18"/>
                <w:lang w:val="en-US" w:eastAsia="en-US"/>
              </w:rPr>
              <w:t>+4</w:t>
            </w:r>
          </w:p>
        </w:tc>
        <w:tc>
          <w:tcPr>
            <w:tcW w:w="850" w:type="dxa"/>
          </w:tcPr>
          <w:p w14:paraId="61EB2045" w14:textId="77777777" w:rsidR="0005512A" w:rsidRPr="002B2CFC" w:rsidRDefault="0005512A" w:rsidP="0005512A">
            <w:pPr>
              <w:keepNext/>
              <w:keepLines/>
              <w:rPr>
                <w:sz w:val="18"/>
                <w:szCs w:val="18"/>
                <w:lang w:val="en-US" w:eastAsia="en-US"/>
              </w:rPr>
            </w:pPr>
            <w:r w:rsidRPr="002B2CFC">
              <w:rPr>
                <w:sz w:val="18"/>
                <w:szCs w:val="18"/>
                <w:lang w:val="en-US" w:eastAsia="en-US"/>
              </w:rPr>
              <w:t>-3</w:t>
            </w:r>
          </w:p>
        </w:tc>
        <w:tc>
          <w:tcPr>
            <w:tcW w:w="1196" w:type="dxa"/>
          </w:tcPr>
          <w:p w14:paraId="1441E54A" w14:textId="77777777" w:rsidR="0005512A" w:rsidRPr="002B2CFC" w:rsidRDefault="0005512A" w:rsidP="0005512A">
            <w:pPr>
              <w:keepNext/>
              <w:keepLines/>
              <w:rPr>
                <w:sz w:val="18"/>
                <w:szCs w:val="18"/>
                <w:lang w:val="en-US" w:eastAsia="en-US"/>
              </w:rPr>
            </w:pPr>
            <w:r w:rsidRPr="002B2CFC">
              <w:rPr>
                <w:sz w:val="18"/>
                <w:szCs w:val="18"/>
                <w:lang w:val="en-US" w:eastAsia="en-US"/>
              </w:rPr>
              <w:t>-3</w:t>
            </w:r>
          </w:p>
        </w:tc>
      </w:tr>
    </w:tbl>
    <w:p w14:paraId="64A55D4A" w14:textId="77777777" w:rsidR="0005512A" w:rsidRPr="002B2CFC" w:rsidRDefault="0005512A" w:rsidP="0005512A">
      <w:pPr>
        <w:keepNext/>
        <w:keepLines/>
        <w:rPr>
          <w:sz w:val="20"/>
          <w:lang w:val="en-US" w:eastAsia="en-US"/>
        </w:rPr>
      </w:pPr>
      <w:r w:rsidRPr="002B2CFC">
        <w:rPr>
          <w:sz w:val="18"/>
          <w:szCs w:val="18"/>
          <w:lang w:val="en-US" w:eastAsia="en-US"/>
        </w:rPr>
        <w:t>*</w:t>
      </w:r>
      <w:r w:rsidRPr="002B2CFC">
        <w:rPr>
          <w:sz w:val="20"/>
          <w:lang w:val="en-US" w:eastAsia="en-US"/>
        </w:rPr>
        <w:t xml:space="preserve">Significant p ≤ 0.05, </w:t>
      </w:r>
      <w:r w:rsidRPr="002B2CFC">
        <w:rPr>
          <w:sz w:val="18"/>
          <w:szCs w:val="18"/>
          <w:lang w:val="en-US" w:eastAsia="en-US"/>
        </w:rPr>
        <w:t>**</w:t>
      </w:r>
      <w:r w:rsidRPr="002B2CFC">
        <w:rPr>
          <w:sz w:val="20"/>
          <w:lang w:val="en-US" w:eastAsia="en-US"/>
        </w:rPr>
        <w:t xml:space="preserve"> p≤ 0.01, </w:t>
      </w:r>
      <w:r w:rsidRPr="002B2CFC">
        <w:rPr>
          <w:sz w:val="20"/>
          <w:vertAlign w:val="superscript"/>
          <w:lang w:val="en-US" w:eastAsia="en-US"/>
        </w:rPr>
        <w:t>#</w:t>
      </w:r>
      <w:r w:rsidRPr="002B2CFC">
        <w:rPr>
          <w:sz w:val="20"/>
          <w:lang w:val="en-US" w:eastAsia="en-US"/>
        </w:rPr>
        <w:t xml:space="preserve"> 3 mice from this group could not be evaluated due to irreparable tissue artifacts. </w:t>
      </w:r>
    </w:p>
    <w:p w14:paraId="0102087A" w14:textId="77777777" w:rsidR="0005512A" w:rsidRDefault="0005512A" w:rsidP="0005512A">
      <w:pPr>
        <w:rPr>
          <w:szCs w:val="24"/>
          <w:u w:val="single"/>
          <w:lang w:val="en-US" w:eastAsia="en-US"/>
        </w:rPr>
      </w:pPr>
    </w:p>
    <w:p w14:paraId="460BD256" w14:textId="77777777" w:rsidR="0005512A" w:rsidRDefault="0005512A" w:rsidP="0005512A">
      <w:pPr>
        <w:keepNext/>
        <w:rPr>
          <w:szCs w:val="24"/>
          <w:u w:val="single"/>
          <w:lang w:val="en-US" w:eastAsia="en-US"/>
        </w:rPr>
      </w:pPr>
      <w:r w:rsidRPr="002B2CFC">
        <w:rPr>
          <w:szCs w:val="24"/>
          <w:u w:val="single"/>
          <w:lang w:val="en-US" w:eastAsia="en-US"/>
        </w:rPr>
        <w:t>Neuropathology (Subset II)</w:t>
      </w:r>
    </w:p>
    <w:p w14:paraId="4E9118EA" w14:textId="77777777" w:rsidR="0005512A" w:rsidRPr="002B2CFC" w:rsidRDefault="0005512A" w:rsidP="0005512A">
      <w:pPr>
        <w:keepNext/>
        <w:rPr>
          <w:szCs w:val="24"/>
          <w:u w:val="single"/>
          <w:lang w:val="en-US" w:eastAsia="en-US"/>
        </w:rPr>
      </w:pPr>
    </w:p>
    <w:p w14:paraId="2F75AEFD" w14:textId="77777777" w:rsidR="00436573" w:rsidRDefault="0005512A" w:rsidP="00C34954">
      <w:pPr>
        <w:keepNext/>
        <w:rPr>
          <w:szCs w:val="24"/>
          <w:lang w:val="en-US" w:eastAsia="en-US"/>
        </w:rPr>
      </w:pPr>
      <w:r w:rsidRPr="002B2CFC">
        <w:rPr>
          <w:i/>
          <w:szCs w:val="24"/>
          <w:lang w:val="en-US" w:eastAsia="en-US"/>
        </w:rPr>
        <w:t>Microscopic pathology</w:t>
      </w:r>
      <w:r w:rsidR="005A10DF">
        <w:rPr>
          <w:i/>
          <w:szCs w:val="24"/>
          <w:lang w:val="en-US" w:eastAsia="en-US"/>
        </w:rPr>
        <w:t>:</w:t>
      </w:r>
      <w:r w:rsidRPr="002B2CFC">
        <w:rPr>
          <w:szCs w:val="24"/>
          <w:lang w:val="en-US" w:eastAsia="en-US"/>
        </w:rPr>
        <w:t>The use of several specialty staining techniques to assess the presence of necrotic cells, the character of the glial reaction and the degree of dopaminergic neuron loss showed there were no microscopic changes, in the parts of the brain examined, associated with 4, 8 or 13 weeks of administration of paraquat</w:t>
      </w:r>
      <w:r>
        <w:rPr>
          <w:szCs w:val="24"/>
          <w:lang w:val="en-US" w:eastAsia="en-US"/>
        </w:rPr>
        <w:t xml:space="preserve"> dichloride </w:t>
      </w:r>
      <w:r w:rsidRPr="002B2CFC">
        <w:rPr>
          <w:szCs w:val="24"/>
          <w:lang w:val="en-US" w:eastAsia="en-US"/>
        </w:rPr>
        <w:t xml:space="preserve"> at 10 or 50 ppm to mice. The staining technique was verified by concurrent staining of positive control</w:t>
      </w:r>
      <w:r>
        <w:rPr>
          <w:szCs w:val="24"/>
          <w:lang w:val="en-US" w:eastAsia="en-US"/>
        </w:rPr>
        <w:t>s.</w:t>
      </w:r>
    </w:p>
    <w:p w14:paraId="50C6DB8D" w14:textId="77777777" w:rsidR="0005512A" w:rsidRPr="002B2CFC" w:rsidRDefault="0005512A" w:rsidP="0005512A">
      <w:pPr>
        <w:rPr>
          <w:szCs w:val="24"/>
          <w:lang w:val="en-US" w:eastAsia="en-US"/>
        </w:rPr>
      </w:pPr>
    </w:p>
    <w:p w14:paraId="77E1A089" w14:textId="142CFF65" w:rsidR="0005512A" w:rsidRPr="002B2CFC" w:rsidRDefault="0005512A" w:rsidP="0005512A">
      <w:pPr>
        <w:rPr>
          <w:szCs w:val="24"/>
          <w:lang w:val="en-US" w:eastAsia="en-US"/>
        </w:rPr>
      </w:pPr>
      <w:r>
        <w:rPr>
          <w:szCs w:val="24"/>
          <w:lang w:val="en-US" w:eastAsia="en-US"/>
        </w:rPr>
        <w:t>The positive control mice showed treatment related neurohistopathology</w:t>
      </w:r>
      <w:r w:rsidRPr="002B2CFC">
        <w:rPr>
          <w:szCs w:val="24"/>
          <w:lang w:val="en-US" w:eastAsia="en-US"/>
        </w:rPr>
        <w:t xml:space="preserve">. The </w:t>
      </w:r>
      <w:r w:rsidRPr="00DE4D85">
        <w:rPr>
          <w:szCs w:val="24"/>
          <w:lang w:val="en-US" w:eastAsia="en-US"/>
        </w:rPr>
        <w:t>effects</w:t>
      </w:r>
      <w:r>
        <w:rPr>
          <w:szCs w:val="24"/>
          <w:lang w:val="en-US" w:eastAsia="en-US"/>
        </w:rPr>
        <w:t xml:space="preserve"> </w:t>
      </w:r>
      <w:r w:rsidRPr="00DE4D85">
        <w:rPr>
          <w:szCs w:val="24"/>
          <w:lang w:val="en-US" w:eastAsia="en-US"/>
        </w:rPr>
        <w:t>were</w:t>
      </w:r>
      <w:r w:rsidRPr="002B2CFC">
        <w:rPr>
          <w:szCs w:val="24"/>
          <w:lang w:val="en-US" w:eastAsia="en-US"/>
        </w:rPr>
        <w:t xml:space="preserve"> considered by the study author as being consistent with direct toxicity to the dopaminergic neurons of the </w:t>
      </w:r>
      <w:r>
        <w:rPr>
          <w:szCs w:val="24"/>
          <w:lang w:val="en-US" w:eastAsia="en-US"/>
        </w:rPr>
        <w:t>SN pc</w:t>
      </w:r>
      <w:r w:rsidRPr="002B2CFC">
        <w:rPr>
          <w:szCs w:val="24"/>
          <w:lang w:val="en-US" w:eastAsia="en-US"/>
        </w:rPr>
        <w:t xml:space="preserve">. </w:t>
      </w:r>
      <w:r>
        <w:rPr>
          <w:szCs w:val="24"/>
          <w:lang w:val="en-US" w:eastAsia="en-US"/>
        </w:rPr>
        <w:t xml:space="preserve">Results are detailed in </w:t>
      </w:r>
      <w:r w:rsidR="00F07346">
        <w:fldChar w:fldCharType="begin"/>
      </w:r>
      <w:r w:rsidR="00F07346">
        <w:instrText xml:space="preserve"> REF _Ref420996605 \r \h  \* MERGEFORMAT </w:instrText>
      </w:r>
      <w:r w:rsidR="00F07346">
        <w:fldChar w:fldCharType="separate"/>
      </w:r>
      <w:r w:rsidR="000E54B2" w:rsidRPr="000E54B2">
        <w:rPr>
          <w:szCs w:val="24"/>
          <w:lang w:val="en-US" w:eastAsia="en-US"/>
        </w:rPr>
        <w:t>APPENDIX II</w:t>
      </w:r>
      <w:r w:rsidR="00F07346">
        <w:fldChar w:fldCharType="end"/>
      </w:r>
      <w:r w:rsidR="00897462" w:rsidRPr="00C34954">
        <w:rPr>
          <w:szCs w:val="24"/>
          <w:lang w:val="en-US" w:eastAsia="en-US"/>
        </w:rPr>
        <w:t>: Butt, 2012</w:t>
      </w:r>
      <w:r w:rsidRPr="00A1249E">
        <w:rPr>
          <w:szCs w:val="24"/>
          <w:lang w:val="en-US" w:eastAsia="en-US"/>
        </w:rPr>
        <w:t>. There</w:t>
      </w:r>
      <w:r>
        <w:rPr>
          <w:szCs w:val="24"/>
          <w:lang w:val="en-US" w:eastAsia="en-US"/>
        </w:rPr>
        <w:t xml:space="preserve"> was</w:t>
      </w:r>
      <w:r w:rsidRPr="002B2CFC">
        <w:rPr>
          <w:szCs w:val="24"/>
          <w:lang w:val="en-US" w:eastAsia="en-US"/>
        </w:rPr>
        <w:t xml:space="preserve"> decrease</w:t>
      </w:r>
      <w:r>
        <w:rPr>
          <w:szCs w:val="24"/>
          <w:lang w:val="en-US" w:eastAsia="en-US"/>
        </w:rPr>
        <w:t>d</w:t>
      </w:r>
      <w:r w:rsidRPr="002B2CFC">
        <w:rPr>
          <w:szCs w:val="24"/>
          <w:lang w:val="en-US" w:eastAsia="en-US"/>
        </w:rPr>
        <w:t xml:space="preserve"> TH staining in the striatum in all MPTP animals, and was due to a persistent decrease in dopaminergic synaptic terminals in this region. This finding was less consistent in the </w:t>
      </w:r>
      <w:r w:rsidR="00A4092E">
        <w:rPr>
          <w:szCs w:val="24"/>
          <w:lang w:val="en-US" w:eastAsia="en-US"/>
        </w:rPr>
        <w:t>SN</w:t>
      </w:r>
      <w:r w:rsidRPr="002B2CFC">
        <w:rPr>
          <w:szCs w:val="24"/>
          <w:lang w:val="en-US" w:eastAsia="en-US"/>
        </w:rPr>
        <w:t xml:space="preserve"> (3/5 males and not found in any females). Increase in GFAP (astrocyte stain) and IBA-1 (microglial) staining was seen consistently across all males and females in the striatum. An increase in staining in the </w:t>
      </w:r>
      <w:r w:rsidR="00A4092E">
        <w:rPr>
          <w:szCs w:val="24"/>
          <w:lang w:val="en-US" w:eastAsia="en-US"/>
        </w:rPr>
        <w:t>SN</w:t>
      </w:r>
      <w:r w:rsidRPr="002B2CFC">
        <w:rPr>
          <w:szCs w:val="24"/>
          <w:lang w:val="en-US" w:eastAsia="en-US"/>
        </w:rPr>
        <w:t xml:space="preserve"> was only detected in a single male and no females. </w:t>
      </w:r>
      <w:r>
        <w:rPr>
          <w:szCs w:val="24"/>
          <w:lang w:val="en-US" w:eastAsia="en-US"/>
        </w:rPr>
        <w:t>These stains indicate microglial activation and an astrocyte response.</w:t>
      </w:r>
    </w:p>
    <w:p w14:paraId="25D8B2B0" w14:textId="77777777" w:rsidR="0005512A" w:rsidRPr="002B2CFC" w:rsidRDefault="0005512A" w:rsidP="0005512A">
      <w:pPr>
        <w:rPr>
          <w:szCs w:val="24"/>
          <w:lang w:val="en-US" w:eastAsia="en-US"/>
        </w:rPr>
      </w:pPr>
    </w:p>
    <w:p w14:paraId="054BDACA" w14:textId="77777777" w:rsidR="0005512A" w:rsidRPr="002B2CFC" w:rsidRDefault="0005512A" w:rsidP="0005512A">
      <w:pPr>
        <w:rPr>
          <w:szCs w:val="24"/>
          <w:lang w:val="en-US" w:eastAsia="en-US"/>
        </w:rPr>
      </w:pPr>
      <w:r w:rsidRPr="002B2CFC">
        <w:rPr>
          <w:szCs w:val="24"/>
          <w:lang w:val="en-US" w:eastAsia="en-US"/>
        </w:rPr>
        <w:t>There were no apoptotic cells detected (via Caspase-3 or TUNEL stains). The study pathologist notes there were no findings in the Amino Cupric silver stained sections (to detect necrotic/disintegrating neurons and processes) and attributes this to the time frame of harvesting the tissues</w:t>
      </w:r>
      <w:r>
        <w:rPr>
          <w:szCs w:val="24"/>
          <w:lang w:val="en-US" w:eastAsia="en-US"/>
        </w:rPr>
        <w:t>.</w:t>
      </w:r>
      <w:r w:rsidRPr="002B2CFC">
        <w:rPr>
          <w:szCs w:val="24"/>
          <w:lang w:val="en-US" w:eastAsia="en-US"/>
        </w:rPr>
        <w:t xml:space="preserve"> </w:t>
      </w:r>
    </w:p>
    <w:p w14:paraId="4A152A7C" w14:textId="77777777" w:rsidR="0005512A" w:rsidRPr="002B2CFC" w:rsidRDefault="0005512A" w:rsidP="0005512A">
      <w:pPr>
        <w:rPr>
          <w:szCs w:val="24"/>
          <w:lang w:val="en-US" w:eastAsia="en-US"/>
        </w:rPr>
      </w:pPr>
    </w:p>
    <w:p w14:paraId="290BAC3E" w14:textId="77777777" w:rsidR="0005512A" w:rsidRPr="002B2CFC" w:rsidRDefault="0005512A" w:rsidP="0005512A">
      <w:pPr>
        <w:rPr>
          <w:sz w:val="20"/>
          <w:lang w:val="en-US" w:eastAsia="en-US"/>
        </w:rPr>
      </w:pPr>
    </w:p>
    <w:p w14:paraId="3FDB8E28" w14:textId="77777777" w:rsidR="0005512A" w:rsidRPr="002B2CFC" w:rsidRDefault="0005512A" w:rsidP="0005512A">
      <w:pPr>
        <w:rPr>
          <w:szCs w:val="24"/>
          <w:u w:val="single"/>
          <w:lang w:val="en-US" w:eastAsia="en-US"/>
        </w:rPr>
      </w:pPr>
      <w:r w:rsidRPr="002B2CFC">
        <w:rPr>
          <w:szCs w:val="24"/>
          <w:u w:val="single"/>
          <w:lang w:val="en-US" w:eastAsia="en-US"/>
        </w:rPr>
        <w:t>Neurochemistry Assessment (Subset III)</w:t>
      </w:r>
    </w:p>
    <w:p w14:paraId="64E960E2" w14:textId="77777777" w:rsidR="0005512A" w:rsidRPr="002B2CFC" w:rsidRDefault="0005512A" w:rsidP="0005512A">
      <w:pPr>
        <w:rPr>
          <w:szCs w:val="24"/>
          <w:lang w:val="en-US" w:eastAsia="en-US"/>
        </w:rPr>
      </w:pPr>
    </w:p>
    <w:p w14:paraId="68369B76" w14:textId="2B80A780" w:rsidR="0005512A" w:rsidRDefault="0005512A" w:rsidP="0005512A">
      <w:pPr>
        <w:rPr>
          <w:szCs w:val="24"/>
          <w:lang w:val="en-US" w:eastAsia="en-US"/>
        </w:rPr>
      </w:pPr>
      <w:r w:rsidRPr="002B2CFC">
        <w:rPr>
          <w:szCs w:val="24"/>
          <w:lang w:val="en-US" w:eastAsia="en-US"/>
        </w:rPr>
        <w:t xml:space="preserve">Mice treated with paraquat did not show a consistent effect on </w:t>
      </w:r>
      <w:r w:rsidR="00A4092E">
        <w:rPr>
          <w:szCs w:val="24"/>
          <w:lang w:val="en-US" w:eastAsia="en-US"/>
        </w:rPr>
        <w:t>DA</w:t>
      </w:r>
      <w:r w:rsidRPr="002B2CFC">
        <w:rPr>
          <w:szCs w:val="24"/>
          <w:lang w:val="en-US" w:eastAsia="en-US"/>
        </w:rPr>
        <w:t xml:space="preserve"> or its two metabolites, across both dose groups, with both increases and decreases in percentage difference from negative controls noted (</w:t>
      </w:r>
      <w:r w:rsidR="00F07346">
        <w:fldChar w:fldCharType="begin"/>
      </w:r>
      <w:r w:rsidR="00F07346">
        <w:instrText xml:space="preserve"> REF _Ref410219775 \h  \* MERGEFORMAT </w:instrText>
      </w:r>
      <w:r w:rsidR="00F07346">
        <w:fldChar w:fldCharType="separate"/>
      </w:r>
      <w:r w:rsidR="000E54B2" w:rsidRPr="000E54B2">
        <w:rPr>
          <w:bCs/>
          <w:szCs w:val="24"/>
          <w:lang w:val="en-US" w:eastAsia="en-US"/>
        </w:rPr>
        <w:t xml:space="preserve">Table </w:t>
      </w:r>
      <w:r w:rsidR="000E54B2" w:rsidRPr="000E54B2">
        <w:rPr>
          <w:bCs/>
          <w:noProof/>
          <w:szCs w:val="24"/>
          <w:lang w:val="en-US" w:eastAsia="en-US"/>
        </w:rPr>
        <w:t>27</w:t>
      </w:r>
      <w:r w:rsidR="00F07346">
        <w:fldChar w:fldCharType="end"/>
      </w:r>
      <w:r w:rsidR="00C31A63">
        <w:t xml:space="preserve"> </w:t>
      </w:r>
      <w:r w:rsidR="003A31EB">
        <w:fldChar w:fldCharType="begin"/>
      </w:r>
      <w:r w:rsidR="003A31EB">
        <w:instrText xml:space="preserve"> </w:instrText>
      </w:r>
      <w:r w:rsidR="003A31EB">
        <w:instrText xml:space="preserve">REF _Ref459038050 \p </w:instrText>
      </w:r>
      <w:r w:rsidR="003A31EB">
        <w:fldChar w:fldCharType="separate"/>
      </w:r>
      <w:r w:rsidR="000E54B2">
        <w:t>below</w:t>
      </w:r>
      <w:r w:rsidR="003A31EB">
        <w:fldChar w:fldCharType="end"/>
      </w:r>
      <w:r w:rsidRPr="002B2CFC">
        <w:rPr>
          <w:szCs w:val="24"/>
          <w:lang w:val="en-US" w:eastAsia="en-US"/>
        </w:rPr>
        <w:t xml:space="preserve">). For males, this was particularly inconsistent. For females, </w:t>
      </w:r>
      <w:r w:rsidR="00A4092E">
        <w:rPr>
          <w:szCs w:val="24"/>
          <w:lang w:val="en-US" w:eastAsia="en-US"/>
        </w:rPr>
        <w:t>DA</w:t>
      </w:r>
      <w:r w:rsidRPr="002B2CFC">
        <w:rPr>
          <w:szCs w:val="24"/>
          <w:lang w:val="en-US" w:eastAsia="en-US"/>
        </w:rPr>
        <w:t xml:space="preserve"> was unchanged at 10 ppm and increased from controls by 20% at 50 ppm (positive control -33%)</w:t>
      </w:r>
      <w:r>
        <w:rPr>
          <w:szCs w:val="24"/>
          <w:lang w:val="en-US" w:eastAsia="en-US"/>
        </w:rPr>
        <w:t xml:space="preserve"> however the direction</w:t>
      </w:r>
      <w:r w:rsidRPr="002B2CFC">
        <w:rPr>
          <w:szCs w:val="24"/>
          <w:lang w:val="en-US" w:eastAsia="en-US"/>
        </w:rPr>
        <w:t xml:space="preserve"> of change </w:t>
      </w:r>
      <w:r>
        <w:rPr>
          <w:szCs w:val="24"/>
          <w:lang w:val="en-US" w:eastAsia="en-US"/>
        </w:rPr>
        <w:t xml:space="preserve">is </w:t>
      </w:r>
      <w:r w:rsidRPr="002B2CFC">
        <w:rPr>
          <w:szCs w:val="24"/>
          <w:lang w:val="en-US" w:eastAsia="en-US"/>
        </w:rPr>
        <w:t xml:space="preserve">not toxicologically significant. For DOPAC, levels in females were dose relatedly reduced (-43% and -49%) for paraquat treated groups (positive control reduced by -49%), and for HVA the levels were reduced, but not </w:t>
      </w:r>
      <w:r>
        <w:rPr>
          <w:szCs w:val="24"/>
          <w:lang w:val="en-US" w:eastAsia="en-US"/>
        </w:rPr>
        <w:t xml:space="preserve">in a dose related manner </w:t>
      </w:r>
      <w:r w:rsidRPr="002B2CFC">
        <w:rPr>
          <w:szCs w:val="24"/>
          <w:lang w:val="en-US" w:eastAsia="en-US"/>
        </w:rPr>
        <w:t xml:space="preserve">(-14% and -2%, positive control -20%). The significance of the DOPAC levels being dose relatedly reduced in females is unclear, without corresponding findings in the </w:t>
      </w:r>
      <w:r w:rsidR="00A4092E">
        <w:rPr>
          <w:szCs w:val="24"/>
          <w:lang w:val="en-US" w:eastAsia="en-US"/>
        </w:rPr>
        <w:t>DA</w:t>
      </w:r>
      <w:r w:rsidRPr="002B2CFC">
        <w:rPr>
          <w:szCs w:val="24"/>
          <w:lang w:val="en-US" w:eastAsia="en-US"/>
        </w:rPr>
        <w:t xml:space="preserve"> levels, and findings in males</w:t>
      </w:r>
      <w:r>
        <w:rPr>
          <w:szCs w:val="24"/>
          <w:lang w:val="en-US" w:eastAsia="en-US"/>
        </w:rPr>
        <w:t>, and is further complicated by unusually high levels in negative control females</w:t>
      </w:r>
      <w:r w:rsidRPr="002B2CFC">
        <w:rPr>
          <w:szCs w:val="24"/>
          <w:lang w:val="en-US" w:eastAsia="en-US"/>
        </w:rPr>
        <w:t>.</w:t>
      </w:r>
    </w:p>
    <w:p w14:paraId="11F6E426" w14:textId="77777777" w:rsidR="0005512A" w:rsidRPr="002B2CFC" w:rsidRDefault="0005512A" w:rsidP="0005512A">
      <w:pPr>
        <w:rPr>
          <w:szCs w:val="24"/>
          <w:lang w:val="en-US" w:eastAsia="en-US"/>
        </w:rPr>
      </w:pPr>
    </w:p>
    <w:p w14:paraId="479B36F5" w14:textId="77777777" w:rsidR="0005512A" w:rsidRPr="002B2CFC" w:rsidRDefault="001875D7" w:rsidP="0005512A">
      <w:pPr>
        <w:rPr>
          <w:szCs w:val="24"/>
          <w:lang w:val="en-US" w:eastAsia="en-US"/>
        </w:rPr>
      </w:pPr>
      <w:r>
        <w:rPr>
          <w:szCs w:val="24"/>
          <w:lang w:val="en-US" w:eastAsia="en-US"/>
        </w:rPr>
        <w:t>5-HT</w:t>
      </w:r>
      <w:r w:rsidR="0005512A" w:rsidRPr="002B2CFC">
        <w:rPr>
          <w:szCs w:val="24"/>
          <w:lang w:val="en-US" w:eastAsia="en-US"/>
        </w:rPr>
        <w:t xml:space="preserve">, as an estimate only, was increased from controls in all groups tested. For 10 ppm, 50 ppm and positive controls, the percentage increased from controls for males was + 44% and +22% (+21% for positive controls), and for females was +11% and +2.9% (+9.4% for positive controls), respectively. </w:t>
      </w:r>
      <w:r w:rsidR="0005512A">
        <w:rPr>
          <w:szCs w:val="24"/>
          <w:lang w:val="en-US" w:eastAsia="en-US"/>
        </w:rPr>
        <w:t>A dose response is therefore lacking and in addition, i</w:t>
      </w:r>
      <w:r w:rsidR="0005512A" w:rsidRPr="002B2CFC">
        <w:rPr>
          <w:szCs w:val="24"/>
          <w:lang w:val="en-US" w:eastAsia="en-US"/>
        </w:rPr>
        <w:t xml:space="preserve">nterpretation of the </w:t>
      </w:r>
      <w:r>
        <w:rPr>
          <w:szCs w:val="24"/>
          <w:lang w:val="en-US" w:eastAsia="en-US"/>
        </w:rPr>
        <w:t>5-HT</w:t>
      </w:r>
      <w:r w:rsidR="0005512A" w:rsidRPr="002B2CFC">
        <w:rPr>
          <w:szCs w:val="24"/>
          <w:lang w:val="en-US" w:eastAsia="en-US"/>
        </w:rPr>
        <w:t xml:space="preserve"> levels are limited due to their lack of </w:t>
      </w:r>
      <w:r w:rsidR="0005512A">
        <w:rPr>
          <w:szCs w:val="24"/>
          <w:lang w:val="en-US" w:eastAsia="en-US"/>
        </w:rPr>
        <w:t>accuracy as the methodology did not pass the validation process.</w:t>
      </w:r>
      <w:r w:rsidR="0005512A" w:rsidRPr="002B2CFC">
        <w:rPr>
          <w:szCs w:val="24"/>
          <w:lang w:val="en-US" w:eastAsia="en-US"/>
        </w:rPr>
        <w:t xml:space="preserve"> </w:t>
      </w:r>
    </w:p>
    <w:p w14:paraId="289834D7" w14:textId="77777777" w:rsidR="0005512A" w:rsidRPr="002B2CFC" w:rsidRDefault="0005512A" w:rsidP="0005512A">
      <w:pPr>
        <w:rPr>
          <w:szCs w:val="24"/>
          <w:lang w:val="en-US" w:eastAsia="en-US"/>
        </w:rPr>
      </w:pPr>
    </w:p>
    <w:p w14:paraId="722FDBCB" w14:textId="3AF3D4E4" w:rsidR="0005512A" w:rsidRPr="002B2CFC" w:rsidRDefault="0005512A" w:rsidP="0005512A">
      <w:pPr>
        <w:rPr>
          <w:szCs w:val="24"/>
          <w:lang w:val="en-US" w:eastAsia="en-US"/>
        </w:rPr>
      </w:pPr>
      <w:r w:rsidRPr="002B2CFC">
        <w:rPr>
          <w:szCs w:val="24"/>
          <w:lang w:val="en-US" w:eastAsia="en-US"/>
        </w:rPr>
        <w:t xml:space="preserve">The positive control group showed marked effects in the levels of these neurotransmitters. The percentage difference from controls for </w:t>
      </w:r>
      <w:r w:rsidR="00A4092E">
        <w:rPr>
          <w:szCs w:val="24"/>
          <w:lang w:val="en-US" w:eastAsia="en-US"/>
        </w:rPr>
        <w:t>DA</w:t>
      </w:r>
      <w:r w:rsidRPr="002B2CFC">
        <w:rPr>
          <w:szCs w:val="24"/>
          <w:lang w:val="en-US" w:eastAsia="en-US"/>
        </w:rPr>
        <w:t>, DOPAC and HVA were -86%, -68% and -52% (males) and -33%, -49% and -20% (females)</w:t>
      </w:r>
      <w:r>
        <w:rPr>
          <w:szCs w:val="24"/>
          <w:lang w:val="en-US" w:eastAsia="en-US"/>
        </w:rPr>
        <w:t xml:space="preserve"> </w:t>
      </w:r>
      <w:r w:rsidRPr="002B2CFC">
        <w:rPr>
          <w:szCs w:val="24"/>
          <w:lang w:val="en-US" w:eastAsia="en-US"/>
        </w:rPr>
        <w:t xml:space="preserve">respectively. The mean </w:t>
      </w:r>
      <w:r w:rsidR="00A4092E">
        <w:rPr>
          <w:szCs w:val="24"/>
          <w:lang w:val="en-US" w:eastAsia="en-US"/>
        </w:rPr>
        <w:t>DA</w:t>
      </w:r>
      <w:r w:rsidRPr="002B2CFC">
        <w:rPr>
          <w:szCs w:val="24"/>
          <w:lang w:val="en-US" w:eastAsia="en-US"/>
        </w:rPr>
        <w:t xml:space="preserve"> turnover for male mice was +221% and for females was only +1.3%. It is evident from these figures that the effects in females were not as great as those for males, however the study author stated that MPTP has previously been demonstrated to induce greater neurotoxicity in male mice than females</w:t>
      </w:r>
      <w:r>
        <w:rPr>
          <w:szCs w:val="24"/>
          <w:lang w:val="en-US" w:eastAsia="en-US"/>
        </w:rPr>
        <w:t>. Cons</w:t>
      </w:r>
      <w:r w:rsidRPr="002B2CFC">
        <w:rPr>
          <w:szCs w:val="24"/>
          <w:lang w:val="en-US" w:eastAsia="en-US"/>
        </w:rPr>
        <w:t xml:space="preserve">idering the higher than expected mean DOPAC levels detected in female negative control mice, this finding would have artificially increased the apparent difference in DOPAC concentrations in other groups, as well as the lower </w:t>
      </w:r>
      <w:r w:rsidR="00A4092E">
        <w:rPr>
          <w:szCs w:val="24"/>
          <w:lang w:val="en-US" w:eastAsia="en-US"/>
        </w:rPr>
        <w:t>DA</w:t>
      </w:r>
      <w:r w:rsidRPr="002B2CFC">
        <w:rPr>
          <w:szCs w:val="24"/>
          <w:lang w:val="en-US" w:eastAsia="en-US"/>
        </w:rPr>
        <w:t xml:space="preserve"> turnover in positive control females. </w:t>
      </w:r>
    </w:p>
    <w:p w14:paraId="310FE3B9" w14:textId="77777777" w:rsidR="0005512A" w:rsidRPr="002B2CFC" w:rsidRDefault="0005512A" w:rsidP="0005512A">
      <w:pPr>
        <w:rPr>
          <w:szCs w:val="24"/>
          <w:lang w:val="en-US" w:eastAsia="en-US"/>
        </w:rPr>
      </w:pPr>
    </w:p>
    <w:p w14:paraId="499FF61D" w14:textId="77777777" w:rsidR="0005512A" w:rsidRPr="002B2CFC" w:rsidRDefault="0005512A" w:rsidP="00E439AD">
      <w:pPr>
        <w:keepNext/>
        <w:keepLines/>
        <w:spacing w:after="120"/>
        <w:rPr>
          <w:b/>
          <w:bCs/>
          <w:sz w:val="20"/>
          <w:lang w:val="en-US" w:eastAsia="en-US"/>
        </w:rPr>
      </w:pPr>
      <w:bookmarkStart w:id="112" w:name="_Ref410219775"/>
      <w:bookmarkStart w:id="113" w:name="_Ref459038050"/>
      <w:r w:rsidRPr="002B2CFC">
        <w:rPr>
          <w:b/>
          <w:bCs/>
          <w:sz w:val="20"/>
          <w:lang w:val="en-US" w:eastAsia="en-US"/>
        </w:rPr>
        <w:lastRenderedPageBreak/>
        <w:t xml:space="preserve">Table </w:t>
      </w:r>
      <w:r w:rsidR="00897462" w:rsidRPr="002B2CFC">
        <w:rPr>
          <w:b/>
          <w:bCs/>
          <w:sz w:val="20"/>
          <w:lang w:val="en-US" w:eastAsia="en-US"/>
        </w:rPr>
        <w:fldChar w:fldCharType="begin"/>
      </w:r>
      <w:r w:rsidRPr="002B2CFC">
        <w:rPr>
          <w:b/>
          <w:bCs/>
          <w:sz w:val="20"/>
          <w:lang w:val="en-US" w:eastAsia="en-US"/>
        </w:rPr>
        <w:instrText xml:space="preserve"> SEQ Table \* ARABIC </w:instrText>
      </w:r>
      <w:r w:rsidR="00897462" w:rsidRPr="002B2CFC">
        <w:rPr>
          <w:b/>
          <w:bCs/>
          <w:sz w:val="20"/>
          <w:lang w:val="en-US" w:eastAsia="en-US"/>
        </w:rPr>
        <w:fldChar w:fldCharType="separate"/>
      </w:r>
      <w:r w:rsidR="000E54B2">
        <w:rPr>
          <w:b/>
          <w:bCs/>
          <w:noProof/>
          <w:sz w:val="20"/>
          <w:lang w:val="en-US" w:eastAsia="en-US"/>
        </w:rPr>
        <w:t>27</w:t>
      </w:r>
      <w:r w:rsidR="00897462" w:rsidRPr="002B2CFC">
        <w:rPr>
          <w:b/>
          <w:bCs/>
          <w:sz w:val="20"/>
          <w:lang w:val="en-US" w:eastAsia="en-US"/>
        </w:rPr>
        <w:fldChar w:fldCharType="end"/>
      </w:r>
      <w:bookmarkEnd w:id="112"/>
      <w:r w:rsidRPr="002B2CFC">
        <w:rPr>
          <w:b/>
          <w:bCs/>
          <w:sz w:val="20"/>
          <w:lang w:val="en-US" w:eastAsia="en-US"/>
        </w:rPr>
        <w:t>. Striatal neurotransmitter and metabolite levels (mean and percentage change from negative control)</w:t>
      </w:r>
      <w:bookmarkEnd w:id="113"/>
    </w:p>
    <w:tbl>
      <w:tblPr>
        <w:tblStyle w:val="TableGrid"/>
        <w:tblW w:w="0" w:type="auto"/>
        <w:tblLayout w:type="fixed"/>
        <w:tblLook w:val="04A0" w:firstRow="1" w:lastRow="0" w:firstColumn="1" w:lastColumn="0" w:noHBand="0" w:noVBand="1"/>
      </w:tblPr>
      <w:tblGrid>
        <w:gridCol w:w="1242"/>
        <w:gridCol w:w="709"/>
        <w:gridCol w:w="1280"/>
        <w:gridCol w:w="1280"/>
        <w:gridCol w:w="1280"/>
        <w:gridCol w:w="1405"/>
        <w:gridCol w:w="1559"/>
      </w:tblGrid>
      <w:tr w:rsidR="0005512A" w:rsidRPr="00251893" w14:paraId="25D6EE1D" w14:textId="77777777" w:rsidTr="0005512A">
        <w:tc>
          <w:tcPr>
            <w:tcW w:w="1242" w:type="dxa"/>
            <w:shd w:val="clear" w:color="auto" w:fill="BFBFBF"/>
            <w:vAlign w:val="center"/>
          </w:tcPr>
          <w:p w14:paraId="18B1A26F" w14:textId="77777777" w:rsidR="0005512A" w:rsidRPr="00AF5C6E" w:rsidRDefault="00897462" w:rsidP="00E439AD">
            <w:pPr>
              <w:keepNext/>
              <w:rPr>
                <w:b/>
                <w:sz w:val="22"/>
                <w:szCs w:val="22"/>
                <w:lang w:val="en-US" w:eastAsia="en-US"/>
              </w:rPr>
            </w:pPr>
            <w:r w:rsidRPr="00AF5C6E">
              <w:rPr>
                <w:b/>
                <w:sz w:val="22"/>
                <w:szCs w:val="22"/>
                <w:lang w:val="en-US" w:eastAsia="en-US"/>
              </w:rPr>
              <w:t>Mean /</w:t>
            </w:r>
            <w:r w:rsidR="00D70D0A" w:rsidRPr="00AF5C6E">
              <w:rPr>
                <w:b/>
                <w:sz w:val="22"/>
                <w:szCs w:val="22"/>
                <w:lang w:val="en-US" w:eastAsia="en-US"/>
              </w:rPr>
              <w:t xml:space="preserve"> </w:t>
            </w:r>
            <w:r w:rsidRPr="00AF5C6E">
              <w:rPr>
                <w:b/>
                <w:sz w:val="22"/>
                <w:szCs w:val="22"/>
                <w:lang w:val="en-US" w:eastAsia="en-US"/>
              </w:rPr>
              <w:t>% change from ctrl</w:t>
            </w:r>
          </w:p>
        </w:tc>
        <w:tc>
          <w:tcPr>
            <w:tcW w:w="709" w:type="dxa"/>
            <w:tcBorders>
              <w:bottom w:val="nil"/>
            </w:tcBorders>
            <w:shd w:val="clear" w:color="auto" w:fill="BFBFBF"/>
            <w:vAlign w:val="center"/>
          </w:tcPr>
          <w:p w14:paraId="71B14560" w14:textId="77777777" w:rsidR="0005512A" w:rsidRPr="00D70D0A" w:rsidRDefault="0005512A" w:rsidP="00E439AD">
            <w:pPr>
              <w:keepNext/>
              <w:keepLines/>
              <w:jc w:val="center"/>
              <w:rPr>
                <w:b/>
                <w:sz w:val="20"/>
                <w:lang w:val="en-US" w:eastAsia="en-US"/>
              </w:rPr>
            </w:pPr>
          </w:p>
        </w:tc>
        <w:tc>
          <w:tcPr>
            <w:tcW w:w="5245" w:type="dxa"/>
            <w:gridSpan w:val="4"/>
            <w:shd w:val="clear" w:color="auto" w:fill="BFBFBF"/>
            <w:vAlign w:val="center"/>
          </w:tcPr>
          <w:p w14:paraId="38BF77E6" w14:textId="77777777" w:rsidR="0005512A" w:rsidRPr="00D70D0A" w:rsidRDefault="00897462" w:rsidP="00E439AD">
            <w:pPr>
              <w:keepNext/>
              <w:keepLines/>
              <w:jc w:val="center"/>
              <w:rPr>
                <w:b/>
                <w:sz w:val="20"/>
                <w:lang w:val="en-US" w:eastAsia="en-US"/>
              </w:rPr>
            </w:pPr>
            <w:r w:rsidRPr="00D70D0A">
              <w:rPr>
                <w:b/>
                <w:sz w:val="20"/>
                <w:lang w:val="en-US" w:eastAsia="en-US"/>
              </w:rPr>
              <w:t>Striatal Neurotransmitter/Metabolite Levels</w:t>
            </w:r>
          </w:p>
          <w:p w14:paraId="24678E7E" w14:textId="77777777" w:rsidR="0005512A" w:rsidRPr="00D70D0A" w:rsidRDefault="00897462" w:rsidP="00E439AD">
            <w:pPr>
              <w:keepNext/>
              <w:keepLines/>
              <w:jc w:val="center"/>
              <w:rPr>
                <w:b/>
                <w:sz w:val="20"/>
                <w:lang w:val="en-US" w:eastAsia="en-US"/>
              </w:rPr>
            </w:pPr>
            <w:r w:rsidRPr="00D70D0A">
              <w:rPr>
                <w:b/>
                <w:sz w:val="20"/>
                <w:lang w:val="en-US" w:eastAsia="en-US"/>
              </w:rPr>
              <w:t>(ng/mg tissue)</w:t>
            </w:r>
          </w:p>
        </w:tc>
        <w:tc>
          <w:tcPr>
            <w:tcW w:w="1559" w:type="dxa"/>
            <w:vMerge w:val="restart"/>
            <w:shd w:val="clear" w:color="auto" w:fill="BFBFBF"/>
            <w:vAlign w:val="center"/>
          </w:tcPr>
          <w:p w14:paraId="33D24CBE" w14:textId="77777777" w:rsidR="0005512A" w:rsidRPr="00D70D0A" w:rsidRDefault="00A4092E" w:rsidP="00E439AD">
            <w:pPr>
              <w:keepNext/>
              <w:keepLines/>
              <w:jc w:val="center"/>
              <w:rPr>
                <w:b/>
                <w:sz w:val="20"/>
                <w:lang w:val="en-US" w:eastAsia="en-US"/>
              </w:rPr>
            </w:pPr>
            <w:r>
              <w:rPr>
                <w:b/>
                <w:sz w:val="20"/>
                <w:lang w:val="en-US" w:eastAsia="en-US"/>
              </w:rPr>
              <w:t>DA</w:t>
            </w:r>
            <w:r w:rsidR="00897462" w:rsidRPr="00D70D0A">
              <w:rPr>
                <w:b/>
                <w:sz w:val="20"/>
                <w:lang w:val="en-US" w:eastAsia="en-US"/>
              </w:rPr>
              <w:t xml:space="preserve"> turnover</w:t>
            </w:r>
            <w:r w:rsidR="00897462" w:rsidRPr="00D70D0A">
              <w:rPr>
                <w:b/>
                <w:sz w:val="20"/>
                <w:vertAlign w:val="superscript"/>
                <w:lang w:val="en-US" w:eastAsia="en-US"/>
              </w:rPr>
              <w:t>*</w:t>
            </w:r>
          </w:p>
        </w:tc>
      </w:tr>
      <w:tr w:rsidR="0005512A" w:rsidRPr="00251893" w14:paraId="0E59B7A6" w14:textId="77777777" w:rsidTr="0005512A">
        <w:tc>
          <w:tcPr>
            <w:tcW w:w="1242" w:type="dxa"/>
            <w:tcBorders>
              <w:bottom w:val="single" w:sz="4" w:space="0" w:color="auto"/>
            </w:tcBorders>
            <w:shd w:val="clear" w:color="auto" w:fill="BFBFBF"/>
            <w:vAlign w:val="center"/>
          </w:tcPr>
          <w:p w14:paraId="4179A740" w14:textId="77777777" w:rsidR="0005512A" w:rsidRPr="00D70D0A" w:rsidRDefault="00897462" w:rsidP="00E439AD">
            <w:pPr>
              <w:keepNext/>
              <w:keepLines/>
              <w:jc w:val="center"/>
              <w:rPr>
                <w:b/>
                <w:sz w:val="20"/>
                <w:lang w:val="en-US" w:eastAsia="en-US"/>
              </w:rPr>
            </w:pPr>
            <w:r w:rsidRPr="00D70D0A">
              <w:rPr>
                <w:b/>
                <w:sz w:val="20"/>
                <w:lang w:val="en-US" w:eastAsia="en-US"/>
              </w:rPr>
              <w:t>Group</w:t>
            </w:r>
          </w:p>
        </w:tc>
        <w:tc>
          <w:tcPr>
            <w:tcW w:w="709" w:type="dxa"/>
            <w:tcBorders>
              <w:top w:val="nil"/>
              <w:bottom w:val="single" w:sz="4" w:space="0" w:color="auto"/>
            </w:tcBorders>
            <w:shd w:val="clear" w:color="auto" w:fill="BFBFBF"/>
            <w:vAlign w:val="center"/>
          </w:tcPr>
          <w:p w14:paraId="73121E7C" w14:textId="77777777" w:rsidR="0005512A" w:rsidRPr="00D70D0A" w:rsidRDefault="00897462" w:rsidP="00E439AD">
            <w:pPr>
              <w:keepNext/>
              <w:keepLines/>
              <w:jc w:val="center"/>
              <w:rPr>
                <w:b/>
                <w:sz w:val="20"/>
                <w:lang w:val="en-US" w:eastAsia="en-US"/>
              </w:rPr>
            </w:pPr>
            <w:r w:rsidRPr="00D70D0A">
              <w:rPr>
                <w:b/>
                <w:sz w:val="20"/>
                <w:lang w:val="en-US" w:eastAsia="en-US"/>
              </w:rPr>
              <w:t>Sex</w:t>
            </w:r>
          </w:p>
          <w:p w14:paraId="19286BE4" w14:textId="77777777" w:rsidR="0005512A" w:rsidRPr="00D70D0A" w:rsidRDefault="00897462" w:rsidP="00E439AD">
            <w:pPr>
              <w:keepNext/>
              <w:keepLines/>
              <w:jc w:val="center"/>
              <w:rPr>
                <w:b/>
                <w:sz w:val="20"/>
                <w:lang w:val="en-US" w:eastAsia="en-US"/>
              </w:rPr>
            </w:pPr>
            <w:r w:rsidRPr="00D70D0A">
              <w:rPr>
                <w:b/>
                <w:sz w:val="20"/>
                <w:lang w:val="en-US" w:eastAsia="en-US"/>
              </w:rPr>
              <w:t>(n)</w:t>
            </w:r>
          </w:p>
        </w:tc>
        <w:tc>
          <w:tcPr>
            <w:tcW w:w="1280" w:type="dxa"/>
            <w:tcBorders>
              <w:bottom w:val="single" w:sz="4" w:space="0" w:color="auto"/>
            </w:tcBorders>
            <w:shd w:val="clear" w:color="auto" w:fill="BFBFBF"/>
            <w:vAlign w:val="center"/>
          </w:tcPr>
          <w:p w14:paraId="3EBFD295" w14:textId="77777777" w:rsidR="0005512A" w:rsidRPr="00D70D0A" w:rsidRDefault="00A4092E" w:rsidP="00E439AD">
            <w:pPr>
              <w:keepNext/>
              <w:keepLines/>
              <w:jc w:val="center"/>
              <w:rPr>
                <w:b/>
                <w:sz w:val="20"/>
                <w:lang w:val="en-US" w:eastAsia="en-US"/>
              </w:rPr>
            </w:pPr>
            <w:r>
              <w:rPr>
                <w:b/>
                <w:sz w:val="20"/>
                <w:lang w:val="en-US" w:eastAsia="en-US"/>
              </w:rPr>
              <w:t>DA</w:t>
            </w:r>
          </w:p>
        </w:tc>
        <w:tc>
          <w:tcPr>
            <w:tcW w:w="1280" w:type="dxa"/>
            <w:tcBorders>
              <w:bottom w:val="single" w:sz="4" w:space="0" w:color="auto"/>
            </w:tcBorders>
            <w:shd w:val="clear" w:color="auto" w:fill="BFBFBF"/>
            <w:vAlign w:val="center"/>
          </w:tcPr>
          <w:p w14:paraId="5FFE8647" w14:textId="77777777" w:rsidR="0005512A" w:rsidRPr="00D70D0A" w:rsidRDefault="00897462" w:rsidP="00E439AD">
            <w:pPr>
              <w:keepNext/>
              <w:keepLines/>
              <w:jc w:val="center"/>
              <w:rPr>
                <w:b/>
                <w:sz w:val="20"/>
                <w:lang w:val="en-US" w:eastAsia="en-US"/>
              </w:rPr>
            </w:pPr>
            <w:r w:rsidRPr="00D70D0A">
              <w:rPr>
                <w:b/>
                <w:sz w:val="20"/>
                <w:lang w:val="en-US" w:eastAsia="en-US"/>
              </w:rPr>
              <w:t>DOPAC</w:t>
            </w:r>
          </w:p>
        </w:tc>
        <w:tc>
          <w:tcPr>
            <w:tcW w:w="1280" w:type="dxa"/>
            <w:tcBorders>
              <w:bottom w:val="single" w:sz="4" w:space="0" w:color="auto"/>
            </w:tcBorders>
            <w:shd w:val="clear" w:color="auto" w:fill="BFBFBF"/>
            <w:vAlign w:val="center"/>
          </w:tcPr>
          <w:p w14:paraId="42723E11" w14:textId="77777777" w:rsidR="0005512A" w:rsidRPr="00D70D0A" w:rsidRDefault="00897462" w:rsidP="00E439AD">
            <w:pPr>
              <w:keepNext/>
              <w:keepLines/>
              <w:jc w:val="center"/>
              <w:rPr>
                <w:b/>
                <w:sz w:val="20"/>
                <w:lang w:val="en-US" w:eastAsia="en-US"/>
              </w:rPr>
            </w:pPr>
            <w:r w:rsidRPr="00D70D0A">
              <w:rPr>
                <w:b/>
                <w:sz w:val="20"/>
                <w:lang w:val="en-US" w:eastAsia="en-US"/>
              </w:rPr>
              <w:t>HVA</w:t>
            </w:r>
          </w:p>
        </w:tc>
        <w:tc>
          <w:tcPr>
            <w:tcW w:w="1405" w:type="dxa"/>
            <w:tcBorders>
              <w:bottom w:val="single" w:sz="4" w:space="0" w:color="auto"/>
            </w:tcBorders>
            <w:shd w:val="clear" w:color="auto" w:fill="BFBFBF"/>
            <w:vAlign w:val="center"/>
          </w:tcPr>
          <w:p w14:paraId="33C3D7B6" w14:textId="77777777" w:rsidR="0005512A" w:rsidRPr="00D70D0A" w:rsidRDefault="00897462" w:rsidP="00E439AD">
            <w:pPr>
              <w:keepNext/>
              <w:keepLines/>
              <w:jc w:val="center"/>
              <w:rPr>
                <w:b/>
                <w:sz w:val="20"/>
                <w:lang w:val="en-US" w:eastAsia="en-US"/>
              </w:rPr>
            </w:pPr>
            <w:r w:rsidRPr="00D70D0A">
              <w:rPr>
                <w:b/>
                <w:sz w:val="20"/>
                <w:lang w:val="en-US" w:eastAsia="en-US"/>
              </w:rPr>
              <w:t>5-HT</w:t>
            </w:r>
            <w:r w:rsidRPr="00D70D0A">
              <w:rPr>
                <w:b/>
                <w:sz w:val="20"/>
                <w:vertAlign w:val="superscript"/>
                <w:lang w:val="en-US" w:eastAsia="en-US"/>
              </w:rPr>
              <w:t>#</w:t>
            </w:r>
          </w:p>
        </w:tc>
        <w:tc>
          <w:tcPr>
            <w:tcW w:w="1559" w:type="dxa"/>
            <w:vMerge/>
            <w:tcBorders>
              <w:bottom w:val="single" w:sz="4" w:space="0" w:color="auto"/>
            </w:tcBorders>
            <w:shd w:val="clear" w:color="auto" w:fill="BFBFBF"/>
            <w:vAlign w:val="center"/>
          </w:tcPr>
          <w:p w14:paraId="7B372A2B" w14:textId="77777777" w:rsidR="0005512A" w:rsidRPr="00D70D0A" w:rsidRDefault="0005512A" w:rsidP="00E439AD">
            <w:pPr>
              <w:keepNext/>
              <w:keepLines/>
              <w:jc w:val="center"/>
              <w:rPr>
                <w:b/>
                <w:sz w:val="20"/>
                <w:lang w:val="en-US" w:eastAsia="en-US"/>
              </w:rPr>
            </w:pPr>
          </w:p>
        </w:tc>
      </w:tr>
      <w:tr w:rsidR="0005512A" w:rsidRPr="00251893" w14:paraId="14716F8D" w14:textId="77777777" w:rsidTr="0005512A">
        <w:tc>
          <w:tcPr>
            <w:tcW w:w="1242" w:type="dxa"/>
            <w:vMerge w:val="restart"/>
            <w:shd w:val="clear" w:color="auto" w:fill="FFFFFF"/>
            <w:vAlign w:val="center"/>
          </w:tcPr>
          <w:p w14:paraId="22E710E1" w14:textId="77777777" w:rsidR="0005512A" w:rsidRPr="00D70D0A" w:rsidRDefault="00897462" w:rsidP="00E439AD">
            <w:pPr>
              <w:keepNext/>
              <w:keepLines/>
              <w:jc w:val="center"/>
              <w:rPr>
                <w:b/>
                <w:sz w:val="20"/>
                <w:lang w:val="en-US" w:eastAsia="en-US"/>
              </w:rPr>
            </w:pPr>
            <w:r w:rsidRPr="00D70D0A">
              <w:rPr>
                <w:b/>
                <w:sz w:val="20"/>
                <w:lang w:val="en-US" w:eastAsia="en-US"/>
              </w:rPr>
              <w:t>Negative control</w:t>
            </w:r>
          </w:p>
        </w:tc>
        <w:tc>
          <w:tcPr>
            <w:tcW w:w="709" w:type="dxa"/>
            <w:shd w:val="clear" w:color="auto" w:fill="D9D9D9"/>
          </w:tcPr>
          <w:p w14:paraId="157F5CB6" w14:textId="77777777" w:rsidR="0005512A" w:rsidRPr="00D70D0A" w:rsidRDefault="00897462" w:rsidP="00E439AD">
            <w:pPr>
              <w:keepNext/>
              <w:keepLines/>
              <w:rPr>
                <w:sz w:val="20"/>
                <w:lang w:val="en-US" w:eastAsia="en-US"/>
              </w:rPr>
            </w:pPr>
            <w:r w:rsidRPr="00D70D0A">
              <w:rPr>
                <w:sz w:val="20"/>
                <w:lang w:val="en-US" w:eastAsia="en-US"/>
              </w:rPr>
              <w:t>M (6)</w:t>
            </w:r>
          </w:p>
        </w:tc>
        <w:tc>
          <w:tcPr>
            <w:tcW w:w="1280" w:type="dxa"/>
            <w:shd w:val="clear" w:color="auto" w:fill="D9D9D9"/>
            <w:vAlign w:val="center"/>
          </w:tcPr>
          <w:p w14:paraId="521464D8" w14:textId="77777777" w:rsidR="0005512A" w:rsidRPr="00D70D0A" w:rsidRDefault="00897462" w:rsidP="00E439AD">
            <w:pPr>
              <w:keepNext/>
              <w:keepLines/>
              <w:jc w:val="center"/>
              <w:rPr>
                <w:sz w:val="20"/>
                <w:lang w:val="en-US" w:eastAsia="en-US"/>
              </w:rPr>
            </w:pPr>
            <w:r w:rsidRPr="00D70D0A">
              <w:rPr>
                <w:sz w:val="20"/>
                <w:lang w:val="en-US" w:eastAsia="en-US"/>
              </w:rPr>
              <w:t>16.55</w:t>
            </w:r>
          </w:p>
        </w:tc>
        <w:tc>
          <w:tcPr>
            <w:tcW w:w="1280" w:type="dxa"/>
            <w:shd w:val="clear" w:color="auto" w:fill="D9D9D9"/>
            <w:vAlign w:val="center"/>
          </w:tcPr>
          <w:p w14:paraId="736D8B2E" w14:textId="77777777" w:rsidR="0005512A" w:rsidRPr="00D70D0A" w:rsidRDefault="00897462" w:rsidP="00E439AD">
            <w:pPr>
              <w:keepNext/>
              <w:keepLines/>
              <w:jc w:val="center"/>
              <w:rPr>
                <w:sz w:val="20"/>
                <w:lang w:val="en-US" w:eastAsia="en-US"/>
              </w:rPr>
            </w:pPr>
            <w:r w:rsidRPr="00D70D0A">
              <w:rPr>
                <w:sz w:val="20"/>
                <w:lang w:val="en-US" w:eastAsia="en-US"/>
              </w:rPr>
              <w:t>1.66</w:t>
            </w:r>
          </w:p>
        </w:tc>
        <w:tc>
          <w:tcPr>
            <w:tcW w:w="1280" w:type="dxa"/>
            <w:shd w:val="clear" w:color="auto" w:fill="D9D9D9"/>
            <w:vAlign w:val="center"/>
          </w:tcPr>
          <w:p w14:paraId="4C81664F" w14:textId="77777777" w:rsidR="0005512A" w:rsidRPr="00D70D0A" w:rsidRDefault="00897462" w:rsidP="00E439AD">
            <w:pPr>
              <w:keepNext/>
              <w:keepLines/>
              <w:jc w:val="center"/>
              <w:rPr>
                <w:sz w:val="20"/>
                <w:lang w:val="en-US" w:eastAsia="en-US"/>
              </w:rPr>
            </w:pPr>
            <w:r w:rsidRPr="00D70D0A">
              <w:rPr>
                <w:sz w:val="20"/>
                <w:lang w:val="en-US" w:eastAsia="en-US"/>
              </w:rPr>
              <w:t>1.94</w:t>
            </w:r>
          </w:p>
        </w:tc>
        <w:tc>
          <w:tcPr>
            <w:tcW w:w="1405" w:type="dxa"/>
            <w:shd w:val="clear" w:color="auto" w:fill="D9D9D9"/>
            <w:vAlign w:val="center"/>
          </w:tcPr>
          <w:p w14:paraId="1B3ED59E" w14:textId="77777777" w:rsidR="0005512A" w:rsidRPr="00D70D0A" w:rsidRDefault="00897462" w:rsidP="00E439AD">
            <w:pPr>
              <w:keepNext/>
              <w:keepLines/>
              <w:jc w:val="center"/>
              <w:rPr>
                <w:sz w:val="20"/>
                <w:lang w:val="en-US" w:eastAsia="en-US"/>
              </w:rPr>
            </w:pPr>
            <w:r w:rsidRPr="00D70D0A">
              <w:rPr>
                <w:sz w:val="20"/>
                <w:lang w:val="en-US" w:eastAsia="en-US"/>
              </w:rPr>
              <w:t>0.62</w:t>
            </w:r>
          </w:p>
        </w:tc>
        <w:tc>
          <w:tcPr>
            <w:tcW w:w="1559" w:type="dxa"/>
            <w:shd w:val="clear" w:color="auto" w:fill="D9D9D9"/>
            <w:vAlign w:val="center"/>
          </w:tcPr>
          <w:p w14:paraId="5495DDF9" w14:textId="77777777" w:rsidR="0005512A" w:rsidRPr="00D70D0A" w:rsidRDefault="00897462" w:rsidP="00E439AD">
            <w:pPr>
              <w:keepNext/>
              <w:keepLines/>
              <w:jc w:val="center"/>
              <w:rPr>
                <w:sz w:val="20"/>
                <w:lang w:val="en-US" w:eastAsia="en-US"/>
              </w:rPr>
            </w:pPr>
            <w:r w:rsidRPr="00D70D0A">
              <w:rPr>
                <w:sz w:val="20"/>
                <w:lang w:val="en-US" w:eastAsia="en-US"/>
              </w:rPr>
              <w:t>0.220</w:t>
            </w:r>
          </w:p>
        </w:tc>
      </w:tr>
      <w:tr w:rsidR="0005512A" w:rsidRPr="00251893" w14:paraId="09F38555" w14:textId="77777777" w:rsidTr="0005512A">
        <w:tc>
          <w:tcPr>
            <w:tcW w:w="1242" w:type="dxa"/>
            <w:vMerge/>
            <w:tcBorders>
              <w:bottom w:val="single" w:sz="12" w:space="0" w:color="auto"/>
            </w:tcBorders>
            <w:shd w:val="clear" w:color="auto" w:fill="FFFFFF"/>
            <w:vAlign w:val="center"/>
          </w:tcPr>
          <w:p w14:paraId="5ED142BF" w14:textId="77777777" w:rsidR="0005512A" w:rsidRPr="00D70D0A" w:rsidRDefault="0005512A" w:rsidP="00E439AD">
            <w:pPr>
              <w:keepNext/>
              <w:keepLines/>
              <w:jc w:val="center"/>
              <w:rPr>
                <w:b/>
                <w:sz w:val="20"/>
                <w:lang w:val="en-US" w:eastAsia="en-US"/>
              </w:rPr>
            </w:pPr>
          </w:p>
        </w:tc>
        <w:tc>
          <w:tcPr>
            <w:tcW w:w="709" w:type="dxa"/>
            <w:tcBorders>
              <w:bottom w:val="single" w:sz="12" w:space="0" w:color="auto"/>
            </w:tcBorders>
            <w:shd w:val="clear" w:color="auto" w:fill="FFFFFF"/>
          </w:tcPr>
          <w:p w14:paraId="1CFA8104" w14:textId="77777777" w:rsidR="0005512A" w:rsidRPr="00D70D0A" w:rsidRDefault="00897462" w:rsidP="00E439AD">
            <w:pPr>
              <w:keepNext/>
              <w:keepLines/>
              <w:rPr>
                <w:sz w:val="20"/>
                <w:lang w:val="en-US" w:eastAsia="en-US"/>
              </w:rPr>
            </w:pPr>
            <w:r w:rsidRPr="00D70D0A">
              <w:rPr>
                <w:sz w:val="20"/>
                <w:lang w:val="en-US" w:eastAsia="en-US"/>
              </w:rPr>
              <w:t>F (6)</w:t>
            </w:r>
          </w:p>
        </w:tc>
        <w:tc>
          <w:tcPr>
            <w:tcW w:w="1280" w:type="dxa"/>
            <w:tcBorders>
              <w:bottom w:val="single" w:sz="12" w:space="0" w:color="auto"/>
            </w:tcBorders>
            <w:shd w:val="clear" w:color="auto" w:fill="FFFFFF"/>
            <w:vAlign w:val="center"/>
          </w:tcPr>
          <w:p w14:paraId="513431F2" w14:textId="77777777" w:rsidR="0005512A" w:rsidRPr="00D70D0A" w:rsidRDefault="00897462" w:rsidP="00E439AD">
            <w:pPr>
              <w:keepNext/>
              <w:keepLines/>
              <w:jc w:val="center"/>
              <w:rPr>
                <w:sz w:val="20"/>
                <w:lang w:val="en-US" w:eastAsia="en-US"/>
              </w:rPr>
            </w:pPr>
            <w:r w:rsidRPr="00D70D0A">
              <w:rPr>
                <w:sz w:val="20"/>
                <w:lang w:val="en-US" w:eastAsia="en-US"/>
              </w:rPr>
              <w:t>16.75</w:t>
            </w:r>
          </w:p>
        </w:tc>
        <w:tc>
          <w:tcPr>
            <w:tcW w:w="1280" w:type="dxa"/>
            <w:tcBorders>
              <w:bottom w:val="single" w:sz="12" w:space="0" w:color="auto"/>
            </w:tcBorders>
            <w:shd w:val="clear" w:color="auto" w:fill="FFFFFF"/>
            <w:vAlign w:val="center"/>
          </w:tcPr>
          <w:p w14:paraId="5A6CF34B" w14:textId="77777777" w:rsidR="0005512A" w:rsidRPr="00D70D0A" w:rsidRDefault="00897462" w:rsidP="00E439AD">
            <w:pPr>
              <w:keepNext/>
              <w:keepLines/>
              <w:jc w:val="center"/>
              <w:rPr>
                <w:sz w:val="20"/>
                <w:lang w:val="en-US" w:eastAsia="en-US"/>
              </w:rPr>
            </w:pPr>
            <w:r w:rsidRPr="00D70D0A">
              <w:rPr>
                <w:sz w:val="20"/>
                <w:lang w:val="en-US" w:eastAsia="en-US"/>
              </w:rPr>
              <w:t>3.25</w:t>
            </w:r>
          </w:p>
        </w:tc>
        <w:tc>
          <w:tcPr>
            <w:tcW w:w="1280" w:type="dxa"/>
            <w:tcBorders>
              <w:bottom w:val="single" w:sz="12" w:space="0" w:color="auto"/>
            </w:tcBorders>
            <w:shd w:val="clear" w:color="auto" w:fill="FFFFFF"/>
            <w:vAlign w:val="center"/>
          </w:tcPr>
          <w:p w14:paraId="20BE710B" w14:textId="77777777" w:rsidR="0005512A" w:rsidRPr="00D70D0A" w:rsidRDefault="00897462" w:rsidP="00E439AD">
            <w:pPr>
              <w:keepNext/>
              <w:keepLines/>
              <w:jc w:val="center"/>
              <w:rPr>
                <w:sz w:val="20"/>
                <w:lang w:val="en-US" w:eastAsia="en-US"/>
              </w:rPr>
            </w:pPr>
            <w:r w:rsidRPr="00D70D0A">
              <w:rPr>
                <w:sz w:val="20"/>
                <w:lang w:val="en-US" w:eastAsia="en-US"/>
              </w:rPr>
              <w:t>1.91</w:t>
            </w:r>
          </w:p>
        </w:tc>
        <w:tc>
          <w:tcPr>
            <w:tcW w:w="1405" w:type="dxa"/>
            <w:tcBorders>
              <w:bottom w:val="single" w:sz="12" w:space="0" w:color="auto"/>
            </w:tcBorders>
            <w:shd w:val="clear" w:color="auto" w:fill="FFFFFF"/>
            <w:vAlign w:val="center"/>
          </w:tcPr>
          <w:p w14:paraId="450382F2" w14:textId="77777777" w:rsidR="0005512A" w:rsidRPr="00D70D0A" w:rsidRDefault="00897462" w:rsidP="00E439AD">
            <w:pPr>
              <w:keepNext/>
              <w:keepLines/>
              <w:jc w:val="center"/>
              <w:rPr>
                <w:sz w:val="20"/>
                <w:lang w:val="en-US" w:eastAsia="en-US"/>
              </w:rPr>
            </w:pPr>
            <w:r w:rsidRPr="00D70D0A">
              <w:rPr>
                <w:sz w:val="20"/>
                <w:lang w:val="en-US" w:eastAsia="en-US"/>
              </w:rPr>
              <w:t>0.66</w:t>
            </w:r>
          </w:p>
        </w:tc>
        <w:tc>
          <w:tcPr>
            <w:tcW w:w="1559" w:type="dxa"/>
            <w:tcBorders>
              <w:bottom w:val="single" w:sz="12" w:space="0" w:color="auto"/>
            </w:tcBorders>
            <w:shd w:val="clear" w:color="auto" w:fill="FFFFFF"/>
            <w:vAlign w:val="center"/>
          </w:tcPr>
          <w:p w14:paraId="32C3507C" w14:textId="77777777" w:rsidR="0005512A" w:rsidRPr="00D70D0A" w:rsidRDefault="00897462" w:rsidP="00E439AD">
            <w:pPr>
              <w:keepNext/>
              <w:keepLines/>
              <w:jc w:val="center"/>
              <w:rPr>
                <w:sz w:val="20"/>
                <w:lang w:val="en-US" w:eastAsia="en-US"/>
              </w:rPr>
            </w:pPr>
            <w:r w:rsidRPr="00D70D0A">
              <w:rPr>
                <w:sz w:val="20"/>
                <w:lang w:val="en-US" w:eastAsia="en-US"/>
              </w:rPr>
              <w:t>0.330</w:t>
            </w:r>
          </w:p>
        </w:tc>
      </w:tr>
      <w:tr w:rsidR="0005512A" w:rsidRPr="00251893" w14:paraId="712FF694" w14:textId="77777777" w:rsidTr="0005512A">
        <w:tc>
          <w:tcPr>
            <w:tcW w:w="1242" w:type="dxa"/>
            <w:vMerge w:val="restart"/>
            <w:tcBorders>
              <w:top w:val="single" w:sz="12" w:space="0" w:color="auto"/>
            </w:tcBorders>
            <w:vAlign w:val="center"/>
          </w:tcPr>
          <w:p w14:paraId="5E4ED103" w14:textId="77777777" w:rsidR="0005512A" w:rsidRPr="00D70D0A" w:rsidRDefault="00897462" w:rsidP="00E439AD">
            <w:pPr>
              <w:keepNext/>
              <w:keepLines/>
              <w:jc w:val="center"/>
              <w:rPr>
                <w:b/>
                <w:sz w:val="20"/>
                <w:lang w:val="en-US" w:eastAsia="en-US"/>
              </w:rPr>
            </w:pPr>
            <w:r w:rsidRPr="00D70D0A">
              <w:rPr>
                <w:b/>
                <w:sz w:val="20"/>
                <w:lang w:val="en-US" w:eastAsia="en-US"/>
              </w:rPr>
              <w:t>10 ppm paraquat</w:t>
            </w:r>
          </w:p>
        </w:tc>
        <w:tc>
          <w:tcPr>
            <w:tcW w:w="709" w:type="dxa"/>
            <w:tcBorders>
              <w:top w:val="single" w:sz="12" w:space="0" w:color="auto"/>
            </w:tcBorders>
            <w:shd w:val="clear" w:color="auto" w:fill="D9D9D9"/>
          </w:tcPr>
          <w:p w14:paraId="10B556B4" w14:textId="77777777" w:rsidR="0005512A" w:rsidRPr="00D70D0A" w:rsidRDefault="00897462" w:rsidP="00E439AD">
            <w:pPr>
              <w:keepNext/>
              <w:keepLines/>
              <w:rPr>
                <w:sz w:val="20"/>
                <w:lang w:val="en-US" w:eastAsia="en-US"/>
              </w:rPr>
            </w:pPr>
            <w:r w:rsidRPr="00D70D0A">
              <w:rPr>
                <w:sz w:val="20"/>
                <w:lang w:val="en-US" w:eastAsia="en-US"/>
              </w:rPr>
              <w:t>M (5)</w:t>
            </w:r>
          </w:p>
        </w:tc>
        <w:tc>
          <w:tcPr>
            <w:tcW w:w="1280" w:type="dxa"/>
            <w:tcBorders>
              <w:top w:val="single" w:sz="12" w:space="0" w:color="auto"/>
            </w:tcBorders>
            <w:shd w:val="clear" w:color="auto" w:fill="D9D9D9"/>
            <w:vAlign w:val="center"/>
          </w:tcPr>
          <w:p w14:paraId="17CBFF79" w14:textId="77777777" w:rsidR="0005512A" w:rsidRPr="00D70D0A" w:rsidRDefault="00897462" w:rsidP="00E439AD">
            <w:pPr>
              <w:keepNext/>
              <w:keepLines/>
              <w:jc w:val="center"/>
              <w:rPr>
                <w:sz w:val="20"/>
                <w:lang w:val="en-US" w:eastAsia="en-US"/>
              </w:rPr>
            </w:pPr>
            <w:r w:rsidRPr="00D70D0A">
              <w:rPr>
                <w:sz w:val="20"/>
                <w:lang w:val="en-US" w:eastAsia="en-US"/>
              </w:rPr>
              <w:t>16.16</w:t>
            </w:r>
          </w:p>
          <w:p w14:paraId="081494C2" w14:textId="77777777" w:rsidR="0005512A" w:rsidRPr="00D70D0A" w:rsidRDefault="00897462" w:rsidP="00E439AD">
            <w:pPr>
              <w:keepNext/>
              <w:keepLines/>
              <w:jc w:val="center"/>
              <w:rPr>
                <w:sz w:val="20"/>
                <w:lang w:val="en-US" w:eastAsia="en-US"/>
              </w:rPr>
            </w:pPr>
            <w:r w:rsidRPr="00D70D0A">
              <w:rPr>
                <w:sz w:val="20"/>
                <w:lang w:val="en-US" w:eastAsia="en-US"/>
              </w:rPr>
              <w:t>-2.4%</w:t>
            </w:r>
          </w:p>
        </w:tc>
        <w:tc>
          <w:tcPr>
            <w:tcW w:w="1280" w:type="dxa"/>
            <w:tcBorders>
              <w:top w:val="single" w:sz="12" w:space="0" w:color="auto"/>
            </w:tcBorders>
            <w:shd w:val="clear" w:color="auto" w:fill="D9D9D9"/>
            <w:vAlign w:val="center"/>
          </w:tcPr>
          <w:p w14:paraId="189B9B1D" w14:textId="77777777" w:rsidR="0005512A" w:rsidRPr="00D70D0A" w:rsidRDefault="00897462" w:rsidP="00E439AD">
            <w:pPr>
              <w:keepNext/>
              <w:keepLines/>
              <w:jc w:val="center"/>
              <w:rPr>
                <w:sz w:val="20"/>
                <w:lang w:val="en-US" w:eastAsia="en-US"/>
              </w:rPr>
            </w:pPr>
            <w:r w:rsidRPr="00D70D0A">
              <w:rPr>
                <w:sz w:val="20"/>
                <w:lang w:val="en-US" w:eastAsia="en-US"/>
              </w:rPr>
              <w:t>1.70</w:t>
            </w:r>
          </w:p>
          <w:p w14:paraId="249A69B3" w14:textId="77777777" w:rsidR="0005512A" w:rsidRPr="00D70D0A" w:rsidRDefault="00897462" w:rsidP="00E439AD">
            <w:pPr>
              <w:keepNext/>
              <w:keepLines/>
              <w:jc w:val="center"/>
              <w:rPr>
                <w:sz w:val="20"/>
                <w:lang w:val="en-US" w:eastAsia="en-US"/>
              </w:rPr>
            </w:pPr>
            <w:r w:rsidRPr="00D70D0A">
              <w:rPr>
                <w:sz w:val="20"/>
                <w:lang w:val="en-US" w:eastAsia="en-US"/>
              </w:rPr>
              <w:t>+2.2%</w:t>
            </w:r>
          </w:p>
        </w:tc>
        <w:tc>
          <w:tcPr>
            <w:tcW w:w="1280" w:type="dxa"/>
            <w:tcBorders>
              <w:top w:val="single" w:sz="12" w:space="0" w:color="auto"/>
            </w:tcBorders>
            <w:shd w:val="clear" w:color="auto" w:fill="D9D9D9"/>
            <w:vAlign w:val="center"/>
          </w:tcPr>
          <w:p w14:paraId="52D5BA6A" w14:textId="77777777" w:rsidR="0005512A" w:rsidRPr="00D70D0A" w:rsidRDefault="00897462" w:rsidP="00E439AD">
            <w:pPr>
              <w:keepNext/>
              <w:keepLines/>
              <w:jc w:val="center"/>
              <w:rPr>
                <w:sz w:val="20"/>
                <w:lang w:val="en-US" w:eastAsia="en-US"/>
              </w:rPr>
            </w:pPr>
            <w:r w:rsidRPr="00D70D0A">
              <w:rPr>
                <w:sz w:val="20"/>
                <w:lang w:val="en-US" w:eastAsia="en-US"/>
              </w:rPr>
              <w:t>2.16</w:t>
            </w:r>
          </w:p>
          <w:p w14:paraId="6C5D4BCC" w14:textId="77777777" w:rsidR="0005512A" w:rsidRPr="00D70D0A" w:rsidRDefault="00897462" w:rsidP="00E439AD">
            <w:pPr>
              <w:keepNext/>
              <w:keepLines/>
              <w:jc w:val="center"/>
              <w:rPr>
                <w:sz w:val="20"/>
                <w:lang w:val="en-US" w:eastAsia="en-US"/>
              </w:rPr>
            </w:pPr>
            <w:r w:rsidRPr="00D70D0A">
              <w:rPr>
                <w:sz w:val="20"/>
                <w:lang w:val="en-US" w:eastAsia="en-US"/>
              </w:rPr>
              <w:t>+11.7%</w:t>
            </w:r>
          </w:p>
        </w:tc>
        <w:tc>
          <w:tcPr>
            <w:tcW w:w="1405" w:type="dxa"/>
            <w:tcBorders>
              <w:top w:val="single" w:sz="12" w:space="0" w:color="auto"/>
            </w:tcBorders>
            <w:shd w:val="clear" w:color="auto" w:fill="D9D9D9"/>
            <w:vAlign w:val="center"/>
          </w:tcPr>
          <w:p w14:paraId="5231C266" w14:textId="77777777" w:rsidR="0005512A" w:rsidRPr="00D70D0A" w:rsidRDefault="00897462" w:rsidP="00E439AD">
            <w:pPr>
              <w:keepNext/>
              <w:keepLines/>
              <w:jc w:val="center"/>
              <w:rPr>
                <w:sz w:val="20"/>
                <w:lang w:val="en-US" w:eastAsia="en-US"/>
              </w:rPr>
            </w:pPr>
            <w:r w:rsidRPr="00D70D0A">
              <w:rPr>
                <w:sz w:val="20"/>
                <w:lang w:val="en-US" w:eastAsia="en-US"/>
              </w:rPr>
              <w:t>0.90</w:t>
            </w:r>
          </w:p>
          <w:p w14:paraId="59FBB578" w14:textId="77777777" w:rsidR="0005512A" w:rsidRPr="00D70D0A" w:rsidRDefault="00897462" w:rsidP="00E439AD">
            <w:pPr>
              <w:keepNext/>
              <w:keepLines/>
              <w:jc w:val="center"/>
              <w:rPr>
                <w:sz w:val="20"/>
                <w:lang w:val="en-US" w:eastAsia="en-US"/>
              </w:rPr>
            </w:pPr>
            <w:r w:rsidRPr="00D70D0A">
              <w:rPr>
                <w:sz w:val="20"/>
                <w:lang w:val="en-US" w:eastAsia="en-US"/>
              </w:rPr>
              <w:t>+44.1%</w:t>
            </w:r>
          </w:p>
        </w:tc>
        <w:tc>
          <w:tcPr>
            <w:tcW w:w="1559" w:type="dxa"/>
            <w:tcBorders>
              <w:top w:val="single" w:sz="12" w:space="0" w:color="auto"/>
            </w:tcBorders>
            <w:shd w:val="clear" w:color="auto" w:fill="D9D9D9"/>
            <w:vAlign w:val="center"/>
          </w:tcPr>
          <w:p w14:paraId="286DA472" w14:textId="77777777" w:rsidR="0005512A" w:rsidRPr="00D70D0A" w:rsidRDefault="00897462" w:rsidP="00E439AD">
            <w:pPr>
              <w:keepNext/>
              <w:keepLines/>
              <w:jc w:val="center"/>
              <w:rPr>
                <w:sz w:val="20"/>
                <w:lang w:val="en-US" w:eastAsia="en-US"/>
              </w:rPr>
            </w:pPr>
            <w:r w:rsidRPr="00D70D0A">
              <w:rPr>
                <w:sz w:val="20"/>
                <w:lang w:val="en-US" w:eastAsia="en-US"/>
              </w:rPr>
              <w:t>0.248</w:t>
            </w:r>
          </w:p>
          <w:p w14:paraId="114A79D1" w14:textId="77777777" w:rsidR="0005512A" w:rsidRPr="00D70D0A" w:rsidRDefault="00897462" w:rsidP="00E439AD">
            <w:pPr>
              <w:keepNext/>
              <w:keepLines/>
              <w:jc w:val="center"/>
              <w:rPr>
                <w:sz w:val="20"/>
                <w:lang w:val="en-US" w:eastAsia="en-US"/>
              </w:rPr>
            </w:pPr>
            <w:r w:rsidRPr="00D70D0A">
              <w:rPr>
                <w:sz w:val="20"/>
                <w:lang w:val="en-US" w:eastAsia="en-US"/>
              </w:rPr>
              <w:t>+12.8%</w:t>
            </w:r>
          </w:p>
        </w:tc>
      </w:tr>
      <w:tr w:rsidR="0005512A" w:rsidRPr="00251893" w14:paraId="4049F523" w14:textId="77777777" w:rsidTr="0005512A">
        <w:tc>
          <w:tcPr>
            <w:tcW w:w="1242" w:type="dxa"/>
            <w:vMerge/>
            <w:vAlign w:val="center"/>
          </w:tcPr>
          <w:p w14:paraId="581379AF" w14:textId="77777777" w:rsidR="0005512A" w:rsidRPr="00D70D0A" w:rsidRDefault="0005512A" w:rsidP="00E439AD">
            <w:pPr>
              <w:keepNext/>
              <w:keepLines/>
              <w:jc w:val="center"/>
              <w:rPr>
                <w:b/>
                <w:sz w:val="20"/>
                <w:lang w:val="en-US" w:eastAsia="en-US"/>
              </w:rPr>
            </w:pPr>
          </w:p>
        </w:tc>
        <w:tc>
          <w:tcPr>
            <w:tcW w:w="709" w:type="dxa"/>
          </w:tcPr>
          <w:p w14:paraId="7E301A64" w14:textId="77777777" w:rsidR="0005512A" w:rsidRPr="00D70D0A" w:rsidRDefault="00897462" w:rsidP="00E439AD">
            <w:pPr>
              <w:keepNext/>
              <w:keepLines/>
              <w:rPr>
                <w:sz w:val="20"/>
                <w:lang w:val="en-US" w:eastAsia="en-US"/>
              </w:rPr>
            </w:pPr>
            <w:r w:rsidRPr="00D70D0A">
              <w:rPr>
                <w:sz w:val="20"/>
                <w:lang w:val="en-US" w:eastAsia="en-US"/>
              </w:rPr>
              <w:t>F (6)</w:t>
            </w:r>
          </w:p>
        </w:tc>
        <w:tc>
          <w:tcPr>
            <w:tcW w:w="1280" w:type="dxa"/>
            <w:vAlign w:val="center"/>
          </w:tcPr>
          <w:p w14:paraId="16717D25" w14:textId="77777777" w:rsidR="0005512A" w:rsidRPr="00D70D0A" w:rsidRDefault="00897462" w:rsidP="00E439AD">
            <w:pPr>
              <w:keepNext/>
              <w:keepLines/>
              <w:jc w:val="center"/>
              <w:rPr>
                <w:sz w:val="20"/>
                <w:lang w:val="en-US" w:eastAsia="en-US"/>
              </w:rPr>
            </w:pPr>
            <w:r w:rsidRPr="00D70D0A">
              <w:rPr>
                <w:sz w:val="20"/>
                <w:lang w:val="en-US" w:eastAsia="en-US"/>
              </w:rPr>
              <w:t>16.75</w:t>
            </w:r>
          </w:p>
          <w:p w14:paraId="1ADAB003" w14:textId="77777777" w:rsidR="0005512A" w:rsidRPr="00D70D0A" w:rsidRDefault="00897462" w:rsidP="00E439AD">
            <w:pPr>
              <w:keepNext/>
              <w:keepLines/>
              <w:jc w:val="center"/>
              <w:rPr>
                <w:sz w:val="20"/>
                <w:lang w:val="en-US" w:eastAsia="en-US"/>
              </w:rPr>
            </w:pPr>
            <w:r w:rsidRPr="00D70D0A">
              <w:rPr>
                <w:sz w:val="20"/>
                <w:lang w:val="en-US" w:eastAsia="en-US"/>
              </w:rPr>
              <w:t>0%</w:t>
            </w:r>
          </w:p>
        </w:tc>
        <w:tc>
          <w:tcPr>
            <w:tcW w:w="1280" w:type="dxa"/>
            <w:vAlign w:val="center"/>
          </w:tcPr>
          <w:p w14:paraId="529F2613" w14:textId="77777777" w:rsidR="0005512A" w:rsidRPr="00D70D0A" w:rsidRDefault="00897462" w:rsidP="00E439AD">
            <w:pPr>
              <w:keepNext/>
              <w:keepLines/>
              <w:jc w:val="center"/>
              <w:rPr>
                <w:sz w:val="20"/>
                <w:lang w:val="en-US" w:eastAsia="en-US"/>
              </w:rPr>
            </w:pPr>
            <w:r w:rsidRPr="00D70D0A">
              <w:rPr>
                <w:sz w:val="20"/>
                <w:lang w:val="en-US" w:eastAsia="en-US"/>
              </w:rPr>
              <w:t>1.86</w:t>
            </w:r>
          </w:p>
          <w:p w14:paraId="3E848F94" w14:textId="77777777" w:rsidR="0005512A" w:rsidRPr="00D70D0A" w:rsidRDefault="00897462" w:rsidP="00E439AD">
            <w:pPr>
              <w:keepNext/>
              <w:keepLines/>
              <w:jc w:val="center"/>
              <w:rPr>
                <w:sz w:val="20"/>
                <w:lang w:val="en-US" w:eastAsia="en-US"/>
              </w:rPr>
            </w:pPr>
            <w:r w:rsidRPr="00D70D0A">
              <w:rPr>
                <w:sz w:val="20"/>
                <w:lang w:val="en-US" w:eastAsia="en-US"/>
              </w:rPr>
              <w:t>-42.7%</w:t>
            </w:r>
          </w:p>
        </w:tc>
        <w:tc>
          <w:tcPr>
            <w:tcW w:w="1280" w:type="dxa"/>
            <w:vAlign w:val="center"/>
          </w:tcPr>
          <w:p w14:paraId="7E84F116" w14:textId="77777777" w:rsidR="0005512A" w:rsidRPr="00D70D0A" w:rsidRDefault="00897462" w:rsidP="00E439AD">
            <w:pPr>
              <w:keepNext/>
              <w:keepLines/>
              <w:jc w:val="center"/>
              <w:rPr>
                <w:sz w:val="20"/>
                <w:lang w:val="en-US" w:eastAsia="en-US"/>
              </w:rPr>
            </w:pPr>
            <w:r w:rsidRPr="00D70D0A">
              <w:rPr>
                <w:sz w:val="20"/>
                <w:lang w:val="en-US" w:eastAsia="en-US"/>
              </w:rPr>
              <w:t>1.65</w:t>
            </w:r>
          </w:p>
          <w:p w14:paraId="4D21CE68" w14:textId="77777777" w:rsidR="0005512A" w:rsidRPr="00D70D0A" w:rsidRDefault="00897462" w:rsidP="00E439AD">
            <w:pPr>
              <w:keepNext/>
              <w:keepLines/>
              <w:jc w:val="center"/>
              <w:rPr>
                <w:sz w:val="20"/>
                <w:lang w:val="en-US" w:eastAsia="en-US"/>
              </w:rPr>
            </w:pPr>
            <w:r w:rsidRPr="00D70D0A">
              <w:rPr>
                <w:sz w:val="20"/>
                <w:lang w:val="en-US" w:eastAsia="en-US"/>
              </w:rPr>
              <w:t>-13.8%</w:t>
            </w:r>
          </w:p>
        </w:tc>
        <w:tc>
          <w:tcPr>
            <w:tcW w:w="1405" w:type="dxa"/>
            <w:vAlign w:val="center"/>
          </w:tcPr>
          <w:p w14:paraId="24F83789" w14:textId="77777777" w:rsidR="0005512A" w:rsidRPr="00D70D0A" w:rsidRDefault="00897462" w:rsidP="00E439AD">
            <w:pPr>
              <w:keepNext/>
              <w:keepLines/>
              <w:jc w:val="center"/>
              <w:rPr>
                <w:sz w:val="20"/>
                <w:lang w:val="en-US" w:eastAsia="en-US"/>
              </w:rPr>
            </w:pPr>
            <w:r w:rsidRPr="00D70D0A">
              <w:rPr>
                <w:sz w:val="20"/>
                <w:lang w:val="en-US" w:eastAsia="en-US"/>
              </w:rPr>
              <w:t>0.73</w:t>
            </w:r>
          </w:p>
          <w:p w14:paraId="61774EBF" w14:textId="77777777" w:rsidR="0005512A" w:rsidRPr="00D70D0A" w:rsidRDefault="00897462" w:rsidP="00E439AD">
            <w:pPr>
              <w:keepNext/>
              <w:keepLines/>
              <w:jc w:val="center"/>
              <w:rPr>
                <w:sz w:val="20"/>
                <w:lang w:val="en-US" w:eastAsia="en-US"/>
              </w:rPr>
            </w:pPr>
            <w:r w:rsidRPr="00D70D0A">
              <w:rPr>
                <w:sz w:val="20"/>
                <w:lang w:val="en-US" w:eastAsia="en-US"/>
              </w:rPr>
              <w:t>+11.2%</w:t>
            </w:r>
          </w:p>
        </w:tc>
        <w:tc>
          <w:tcPr>
            <w:tcW w:w="1559" w:type="dxa"/>
            <w:vAlign w:val="center"/>
          </w:tcPr>
          <w:p w14:paraId="3914D645" w14:textId="77777777" w:rsidR="0005512A" w:rsidRPr="00D70D0A" w:rsidRDefault="00897462" w:rsidP="00E439AD">
            <w:pPr>
              <w:keepNext/>
              <w:keepLines/>
              <w:jc w:val="center"/>
              <w:rPr>
                <w:sz w:val="20"/>
                <w:lang w:val="en-US" w:eastAsia="en-US"/>
              </w:rPr>
            </w:pPr>
            <w:r w:rsidRPr="00D70D0A">
              <w:rPr>
                <w:sz w:val="20"/>
                <w:lang w:val="en-US" w:eastAsia="en-US"/>
              </w:rPr>
              <w:t>0.215</w:t>
            </w:r>
          </w:p>
          <w:p w14:paraId="6F6CE995" w14:textId="77777777" w:rsidR="0005512A" w:rsidRPr="00D70D0A" w:rsidRDefault="00897462" w:rsidP="00E439AD">
            <w:pPr>
              <w:keepNext/>
              <w:keepLines/>
              <w:jc w:val="center"/>
              <w:rPr>
                <w:sz w:val="20"/>
                <w:lang w:val="en-US" w:eastAsia="en-US"/>
              </w:rPr>
            </w:pPr>
            <w:r w:rsidRPr="00D70D0A">
              <w:rPr>
                <w:sz w:val="20"/>
                <w:lang w:val="en-US" w:eastAsia="en-US"/>
              </w:rPr>
              <w:t>-34.9%</w:t>
            </w:r>
          </w:p>
        </w:tc>
      </w:tr>
      <w:tr w:rsidR="0005512A" w:rsidRPr="00251893" w14:paraId="29AC880C" w14:textId="77777777" w:rsidTr="0005512A">
        <w:tc>
          <w:tcPr>
            <w:tcW w:w="1242" w:type="dxa"/>
            <w:vMerge w:val="restart"/>
            <w:vAlign w:val="center"/>
          </w:tcPr>
          <w:p w14:paraId="704E0ADE" w14:textId="77777777" w:rsidR="0005512A" w:rsidRPr="00D70D0A" w:rsidRDefault="00897462" w:rsidP="00E439AD">
            <w:pPr>
              <w:keepNext/>
              <w:keepLines/>
              <w:jc w:val="center"/>
              <w:rPr>
                <w:b/>
                <w:sz w:val="20"/>
                <w:lang w:val="en-US" w:eastAsia="en-US"/>
              </w:rPr>
            </w:pPr>
            <w:r w:rsidRPr="00D70D0A">
              <w:rPr>
                <w:b/>
                <w:sz w:val="20"/>
                <w:lang w:val="en-US" w:eastAsia="en-US"/>
              </w:rPr>
              <w:t>50 ppm paraquat</w:t>
            </w:r>
          </w:p>
        </w:tc>
        <w:tc>
          <w:tcPr>
            <w:tcW w:w="709" w:type="dxa"/>
            <w:shd w:val="clear" w:color="auto" w:fill="D9D9D9"/>
          </w:tcPr>
          <w:p w14:paraId="7D03C79A" w14:textId="77777777" w:rsidR="0005512A" w:rsidRPr="00D70D0A" w:rsidRDefault="00897462" w:rsidP="00E439AD">
            <w:pPr>
              <w:keepNext/>
              <w:keepLines/>
              <w:rPr>
                <w:sz w:val="20"/>
                <w:lang w:val="en-US" w:eastAsia="en-US"/>
              </w:rPr>
            </w:pPr>
            <w:r w:rsidRPr="00D70D0A">
              <w:rPr>
                <w:sz w:val="20"/>
                <w:lang w:val="en-US" w:eastAsia="en-US"/>
              </w:rPr>
              <w:t>M (5)</w:t>
            </w:r>
          </w:p>
        </w:tc>
        <w:tc>
          <w:tcPr>
            <w:tcW w:w="1280" w:type="dxa"/>
            <w:shd w:val="clear" w:color="auto" w:fill="D9D9D9"/>
            <w:vAlign w:val="center"/>
          </w:tcPr>
          <w:p w14:paraId="150D60F3" w14:textId="77777777" w:rsidR="0005512A" w:rsidRPr="00D70D0A" w:rsidRDefault="00897462" w:rsidP="00E439AD">
            <w:pPr>
              <w:keepNext/>
              <w:keepLines/>
              <w:jc w:val="center"/>
              <w:rPr>
                <w:sz w:val="20"/>
                <w:lang w:val="en-US" w:eastAsia="en-US"/>
              </w:rPr>
            </w:pPr>
            <w:r w:rsidRPr="00D70D0A">
              <w:rPr>
                <w:sz w:val="20"/>
                <w:lang w:val="en-US" w:eastAsia="en-US"/>
              </w:rPr>
              <w:t>18.43</w:t>
            </w:r>
          </w:p>
          <w:p w14:paraId="3D4D0373" w14:textId="77777777" w:rsidR="0005512A" w:rsidRPr="00D70D0A" w:rsidRDefault="00897462" w:rsidP="00E439AD">
            <w:pPr>
              <w:keepNext/>
              <w:keepLines/>
              <w:jc w:val="center"/>
              <w:rPr>
                <w:sz w:val="20"/>
                <w:lang w:val="en-US" w:eastAsia="en-US"/>
              </w:rPr>
            </w:pPr>
            <w:r w:rsidRPr="00D70D0A">
              <w:rPr>
                <w:sz w:val="20"/>
                <w:lang w:val="en-US" w:eastAsia="en-US"/>
              </w:rPr>
              <w:t>+11.4%</w:t>
            </w:r>
          </w:p>
        </w:tc>
        <w:tc>
          <w:tcPr>
            <w:tcW w:w="1280" w:type="dxa"/>
            <w:shd w:val="clear" w:color="auto" w:fill="D9D9D9"/>
            <w:vAlign w:val="center"/>
          </w:tcPr>
          <w:p w14:paraId="4E8A1CF5" w14:textId="77777777" w:rsidR="0005512A" w:rsidRPr="00D70D0A" w:rsidRDefault="00897462" w:rsidP="00E439AD">
            <w:pPr>
              <w:keepNext/>
              <w:keepLines/>
              <w:jc w:val="center"/>
              <w:rPr>
                <w:sz w:val="20"/>
                <w:lang w:val="en-US" w:eastAsia="en-US"/>
              </w:rPr>
            </w:pPr>
            <w:r w:rsidRPr="00D70D0A">
              <w:rPr>
                <w:sz w:val="20"/>
                <w:lang w:val="en-US" w:eastAsia="en-US"/>
              </w:rPr>
              <w:t>1.35</w:t>
            </w:r>
          </w:p>
          <w:p w14:paraId="2385B61A" w14:textId="77777777" w:rsidR="0005512A" w:rsidRPr="00D70D0A" w:rsidRDefault="00897462" w:rsidP="00E439AD">
            <w:pPr>
              <w:keepNext/>
              <w:keepLines/>
              <w:jc w:val="center"/>
              <w:rPr>
                <w:sz w:val="20"/>
                <w:lang w:val="en-US" w:eastAsia="en-US"/>
              </w:rPr>
            </w:pPr>
            <w:r w:rsidRPr="00D70D0A">
              <w:rPr>
                <w:sz w:val="20"/>
                <w:lang w:val="en-US" w:eastAsia="en-US"/>
              </w:rPr>
              <w:t>-18.8%</w:t>
            </w:r>
          </w:p>
        </w:tc>
        <w:tc>
          <w:tcPr>
            <w:tcW w:w="1280" w:type="dxa"/>
            <w:shd w:val="clear" w:color="auto" w:fill="D9D9D9"/>
            <w:vAlign w:val="center"/>
          </w:tcPr>
          <w:p w14:paraId="5BA7C7C7" w14:textId="77777777" w:rsidR="0005512A" w:rsidRPr="00D70D0A" w:rsidRDefault="00897462" w:rsidP="00E439AD">
            <w:pPr>
              <w:keepNext/>
              <w:keepLines/>
              <w:jc w:val="center"/>
              <w:rPr>
                <w:sz w:val="20"/>
                <w:lang w:val="en-US" w:eastAsia="en-US"/>
              </w:rPr>
            </w:pPr>
            <w:r w:rsidRPr="00D70D0A">
              <w:rPr>
                <w:sz w:val="20"/>
                <w:lang w:val="en-US" w:eastAsia="en-US"/>
              </w:rPr>
              <w:t>1.94</w:t>
            </w:r>
          </w:p>
          <w:p w14:paraId="4EA8104F" w14:textId="77777777" w:rsidR="0005512A" w:rsidRPr="00D70D0A" w:rsidRDefault="00897462" w:rsidP="00E439AD">
            <w:pPr>
              <w:keepNext/>
              <w:keepLines/>
              <w:jc w:val="center"/>
              <w:rPr>
                <w:sz w:val="20"/>
                <w:lang w:val="en-US" w:eastAsia="en-US"/>
              </w:rPr>
            </w:pPr>
            <w:r w:rsidRPr="00D70D0A">
              <w:rPr>
                <w:sz w:val="20"/>
                <w:lang w:val="en-US" w:eastAsia="en-US"/>
              </w:rPr>
              <w:t>+0.3%</w:t>
            </w:r>
          </w:p>
        </w:tc>
        <w:tc>
          <w:tcPr>
            <w:tcW w:w="1405" w:type="dxa"/>
            <w:shd w:val="clear" w:color="auto" w:fill="D9D9D9"/>
            <w:vAlign w:val="center"/>
          </w:tcPr>
          <w:p w14:paraId="20867992" w14:textId="77777777" w:rsidR="0005512A" w:rsidRPr="00D70D0A" w:rsidRDefault="00897462" w:rsidP="00E439AD">
            <w:pPr>
              <w:keepNext/>
              <w:keepLines/>
              <w:jc w:val="center"/>
              <w:rPr>
                <w:sz w:val="20"/>
                <w:lang w:val="en-US" w:eastAsia="en-US"/>
              </w:rPr>
            </w:pPr>
            <w:r w:rsidRPr="00D70D0A">
              <w:rPr>
                <w:sz w:val="20"/>
                <w:lang w:val="en-US" w:eastAsia="en-US"/>
              </w:rPr>
              <w:t>0.76</w:t>
            </w:r>
          </w:p>
          <w:p w14:paraId="61F2ABD5" w14:textId="77777777" w:rsidR="0005512A" w:rsidRPr="00D70D0A" w:rsidRDefault="00897462" w:rsidP="00E439AD">
            <w:pPr>
              <w:keepNext/>
              <w:keepLines/>
              <w:jc w:val="center"/>
              <w:rPr>
                <w:sz w:val="20"/>
                <w:lang w:val="en-US" w:eastAsia="en-US"/>
              </w:rPr>
            </w:pPr>
            <w:r w:rsidRPr="00D70D0A">
              <w:rPr>
                <w:sz w:val="20"/>
                <w:lang w:val="en-US" w:eastAsia="en-US"/>
              </w:rPr>
              <w:t>+21.9%</w:t>
            </w:r>
          </w:p>
        </w:tc>
        <w:tc>
          <w:tcPr>
            <w:tcW w:w="1559" w:type="dxa"/>
            <w:shd w:val="clear" w:color="auto" w:fill="D9D9D9"/>
            <w:vAlign w:val="center"/>
          </w:tcPr>
          <w:p w14:paraId="35B6E365" w14:textId="77777777" w:rsidR="0005512A" w:rsidRPr="00D70D0A" w:rsidRDefault="00897462" w:rsidP="00E439AD">
            <w:pPr>
              <w:keepNext/>
              <w:keepLines/>
              <w:jc w:val="center"/>
              <w:rPr>
                <w:sz w:val="20"/>
                <w:lang w:val="en-US" w:eastAsia="en-US"/>
              </w:rPr>
            </w:pPr>
            <w:r w:rsidRPr="00D70D0A">
              <w:rPr>
                <w:sz w:val="20"/>
                <w:lang w:val="en-US" w:eastAsia="en-US"/>
              </w:rPr>
              <w:t>0.180</w:t>
            </w:r>
          </w:p>
          <w:p w14:paraId="443E6B70" w14:textId="77777777" w:rsidR="0005512A" w:rsidRPr="00D70D0A" w:rsidRDefault="00897462" w:rsidP="00E439AD">
            <w:pPr>
              <w:keepNext/>
              <w:keepLines/>
              <w:jc w:val="center"/>
              <w:rPr>
                <w:sz w:val="20"/>
                <w:lang w:val="en-US" w:eastAsia="en-US"/>
              </w:rPr>
            </w:pPr>
            <w:r w:rsidRPr="00D70D0A">
              <w:rPr>
                <w:sz w:val="20"/>
                <w:lang w:val="en-US" w:eastAsia="en-US"/>
              </w:rPr>
              <w:t>-17.8%</w:t>
            </w:r>
          </w:p>
        </w:tc>
      </w:tr>
      <w:tr w:rsidR="0005512A" w:rsidRPr="00251893" w14:paraId="39588A94" w14:textId="77777777" w:rsidTr="0005512A">
        <w:tc>
          <w:tcPr>
            <w:tcW w:w="1242" w:type="dxa"/>
            <w:vMerge/>
            <w:tcBorders>
              <w:bottom w:val="single" w:sz="12" w:space="0" w:color="auto"/>
            </w:tcBorders>
            <w:vAlign w:val="center"/>
          </w:tcPr>
          <w:p w14:paraId="5AEBFE76" w14:textId="77777777" w:rsidR="0005512A" w:rsidRPr="00D70D0A" w:rsidRDefault="0005512A" w:rsidP="00E439AD">
            <w:pPr>
              <w:keepNext/>
              <w:keepLines/>
              <w:jc w:val="center"/>
              <w:rPr>
                <w:b/>
                <w:sz w:val="20"/>
                <w:lang w:val="en-US" w:eastAsia="en-US"/>
              </w:rPr>
            </w:pPr>
          </w:p>
        </w:tc>
        <w:tc>
          <w:tcPr>
            <w:tcW w:w="709" w:type="dxa"/>
            <w:tcBorders>
              <w:bottom w:val="single" w:sz="12" w:space="0" w:color="auto"/>
            </w:tcBorders>
          </w:tcPr>
          <w:p w14:paraId="2A8DE75C" w14:textId="77777777" w:rsidR="0005512A" w:rsidRPr="00D70D0A" w:rsidRDefault="00897462" w:rsidP="00E439AD">
            <w:pPr>
              <w:keepNext/>
              <w:keepLines/>
              <w:rPr>
                <w:sz w:val="20"/>
                <w:lang w:val="en-US" w:eastAsia="en-US"/>
              </w:rPr>
            </w:pPr>
            <w:r w:rsidRPr="00D70D0A">
              <w:rPr>
                <w:sz w:val="20"/>
                <w:lang w:val="en-US" w:eastAsia="en-US"/>
              </w:rPr>
              <w:t>F (5)</w:t>
            </w:r>
          </w:p>
        </w:tc>
        <w:tc>
          <w:tcPr>
            <w:tcW w:w="1280" w:type="dxa"/>
            <w:tcBorders>
              <w:bottom w:val="single" w:sz="12" w:space="0" w:color="auto"/>
            </w:tcBorders>
            <w:vAlign w:val="center"/>
          </w:tcPr>
          <w:p w14:paraId="20F17CE1" w14:textId="77777777" w:rsidR="0005512A" w:rsidRPr="00D70D0A" w:rsidRDefault="00897462" w:rsidP="00E439AD">
            <w:pPr>
              <w:keepNext/>
              <w:keepLines/>
              <w:jc w:val="center"/>
              <w:rPr>
                <w:sz w:val="20"/>
                <w:lang w:val="en-US" w:eastAsia="en-US"/>
              </w:rPr>
            </w:pPr>
            <w:r w:rsidRPr="00D70D0A">
              <w:rPr>
                <w:sz w:val="20"/>
                <w:lang w:val="en-US" w:eastAsia="en-US"/>
              </w:rPr>
              <w:t>20.14</w:t>
            </w:r>
          </w:p>
          <w:p w14:paraId="6B509003" w14:textId="77777777" w:rsidR="0005512A" w:rsidRPr="00D70D0A" w:rsidRDefault="00897462" w:rsidP="00E439AD">
            <w:pPr>
              <w:keepNext/>
              <w:keepLines/>
              <w:jc w:val="center"/>
              <w:rPr>
                <w:sz w:val="20"/>
                <w:lang w:val="en-US" w:eastAsia="en-US"/>
              </w:rPr>
            </w:pPr>
            <w:r w:rsidRPr="00D70D0A">
              <w:rPr>
                <w:sz w:val="20"/>
                <w:lang w:val="en-US" w:eastAsia="en-US"/>
              </w:rPr>
              <w:t>+20.3%</w:t>
            </w:r>
          </w:p>
        </w:tc>
        <w:tc>
          <w:tcPr>
            <w:tcW w:w="1280" w:type="dxa"/>
            <w:tcBorders>
              <w:bottom w:val="single" w:sz="12" w:space="0" w:color="auto"/>
            </w:tcBorders>
            <w:vAlign w:val="center"/>
          </w:tcPr>
          <w:p w14:paraId="0CB1BFD9" w14:textId="77777777" w:rsidR="0005512A" w:rsidRPr="00D70D0A" w:rsidRDefault="00897462" w:rsidP="00E439AD">
            <w:pPr>
              <w:keepNext/>
              <w:keepLines/>
              <w:jc w:val="center"/>
              <w:rPr>
                <w:sz w:val="20"/>
                <w:lang w:val="en-US" w:eastAsia="en-US"/>
              </w:rPr>
            </w:pPr>
            <w:r w:rsidRPr="00D70D0A">
              <w:rPr>
                <w:sz w:val="20"/>
                <w:lang w:val="en-US" w:eastAsia="en-US"/>
              </w:rPr>
              <w:t>1.66</w:t>
            </w:r>
          </w:p>
          <w:p w14:paraId="1A19ABF2" w14:textId="77777777" w:rsidR="0005512A" w:rsidRPr="00D70D0A" w:rsidRDefault="00897462" w:rsidP="00E439AD">
            <w:pPr>
              <w:keepNext/>
              <w:keepLines/>
              <w:jc w:val="center"/>
              <w:rPr>
                <w:sz w:val="20"/>
                <w:lang w:val="en-US" w:eastAsia="en-US"/>
              </w:rPr>
            </w:pPr>
            <w:r w:rsidRPr="00D70D0A">
              <w:rPr>
                <w:sz w:val="20"/>
                <w:lang w:val="en-US" w:eastAsia="en-US"/>
              </w:rPr>
              <w:t>-48.9%</w:t>
            </w:r>
          </w:p>
        </w:tc>
        <w:tc>
          <w:tcPr>
            <w:tcW w:w="1280" w:type="dxa"/>
            <w:tcBorders>
              <w:bottom w:val="single" w:sz="12" w:space="0" w:color="auto"/>
            </w:tcBorders>
            <w:vAlign w:val="center"/>
          </w:tcPr>
          <w:p w14:paraId="65E61AA9" w14:textId="77777777" w:rsidR="0005512A" w:rsidRPr="00D70D0A" w:rsidRDefault="00897462" w:rsidP="00E439AD">
            <w:pPr>
              <w:keepNext/>
              <w:keepLines/>
              <w:jc w:val="center"/>
              <w:rPr>
                <w:sz w:val="20"/>
                <w:lang w:val="en-US" w:eastAsia="en-US"/>
              </w:rPr>
            </w:pPr>
            <w:r w:rsidRPr="00D70D0A">
              <w:rPr>
                <w:sz w:val="20"/>
                <w:lang w:val="en-US" w:eastAsia="en-US"/>
              </w:rPr>
              <w:t>1.87</w:t>
            </w:r>
          </w:p>
          <w:p w14:paraId="4799A4A1" w14:textId="77777777" w:rsidR="0005512A" w:rsidRPr="00D70D0A" w:rsidRDefault="00897462" w:rsidP="00E439AD">
            <w:pPr>
              <w:keepNext/>
              <w:keepLines/>
              <w:jc w:val="center"/>
              <w:rPr>
                <w:sz w:val="20"/>
                <w:lang w:val="en-US" w:eastAsia="en-US"/>
              </w:rPr>
            </w:pPr>
            <w:r w:rsidRPr="00D70D0A">
              <w:rPr>
                <w:sz w:val="20"/>
                <w:lang w:val="en-US" w:eastAsia="en-US"/>
              </w:rPr>
              <w:t>-2.4%</w:t>
            </w:r>
          </w:p>
        </w:tc>
        <w:tc>
          <w:tcPr>
            <w:tcW w:w="1405" w:type="dxa"/>
            <w:tcBorders>
              <w:bottom w:val="single" w:sz="12" w:space="0" w:color="auto"/>
            </w:tcBorders>
            <w:vAlign w:val="center"/>
          </w:tcPr>
          <w:p w14:paraId="6C4D8928" w14:textId="77777777" w:rsidR="0005512A" w:rsidRPr="00D70D0A" w:rsidRDefault="00897462" w:rsidP="00E439AD">
            <w:pPr>
              <w:keepNext/>
              <w:keepLines/>
              <w:jc w:val="center"/>
              <w:rPr>
                <w:sz w:val="20"/>
                <w:lang w:val="en-US" w:eastAsia="en-US"/>
              </w:rPr>
            </w:pPr>
            <w:r w:rsidRPr="00D70D0A">
              <w:rPr>
                <w:sz w:val="20"/>
                <w:lang w:val="en-US" w:eastAsia="en-US"/>
              </w:rPr>
              <w:t>0.68</w:t>
            </w:r>
          </w:p>
          <w:p w14:paraId="7593A71C" w14:textId="77777777" w:rsidR="0005512A" w:rsidRPr="00D70D0A" w:rsidRDefault="00897462" w:rsidP="00E439AD">
            <w:pPr>
              <w:keepNext/>
              <w:keepLines/>
              <w:jc w:val="center"/>
              <w:rPr>
                <w:sz w:val="20"/>
                <w:lang w:val="en-US" w:eastAsia="en-US"/>
              </w:rPr>
            </w:pPr>
            <w:r w:rsidRPr="00D70D0A">
              <w:rPr>
                <w:sz w:val="20"/>
                <w:lang w:val="en-US" w:eastAsia="en-US"/>
              </w:rPr>
              <w:t>+2.9%</w:t>
            </w:r>
          </w:p>
        </w:tc>
        <w:tc>
          <w:tcPr>
            <w:tcW w:w="1559" w:type="dxa"/>
            <w:tcBorders>
              <w:bottom w:val="single" w:sz="12" w:space="0" w:color="auto"/>
            </w:tcBorders>
            <w:vAlign w:val="center"/>
          </w:tcPr>
          <w:p w14:paraId="3C7EC672" w14:textId="77777777" w:rsidR="0005512A" w:rsidRPr="00D70D0A" w:rsidRDefault="00897462" w:rsidP="00E439AD">
            <w:pPr>
              <w:keepNext/>
              <w:keepLines/>
              <w:jc w:val="center"/>
              <w:rPr>
                <w:sz w:val="20"/>
                <w:lang w:val="en-US" w:eastAsia="en-US"/>
              </w:rPr>
            </w:pPr>
            <w:r w:rsidRPr="00D70D0A">
              <w:rPr>
                <w:sz w:val="20"/>
                <w:lang w:val="en-US" w:eastAsia="en-US"/>
              </w:rPr>
              <w:t>0.176</w:t>
            </w:r>
          </w:p>
          <w:p w14:paraId="668FE532" w14:textId="77777777" w:rsidR="0005512A" w:rsidRPr="00D70D0A" w:rsidRDefault="00897462" w:rsidP="00E439AD">
            <w:pPr>
              <w:keepNext/>
              <w:keepLines/>
              <w:jc w:val="center"/>
              <w:rPr>
                <w:sz w:val="20"/>
                <w:lang w:val="en-US" w:eastAsia="en-US"/>
              </w:rPr>
            </w:pPr>
            <w:r w:rsidRPr="00D70D0A">
              <w:rPr>
                <w:sz w:val="20"/>
                <w:lang w:val="en-US" w:eastAsia="en-US"/>
              </w:rPr>
              <w:t>-46.7%</w:t>
            </w:r>
          </w:p>
        </w:tc>
      </w:tr>
      <w:tr w:rsidR="0005512A" w:rsidRPr="00251893" w14:paraId="124F5AA6" w14:textId="77777777" w:rsidTr="0005512A">
        <w:tc>
          <w:tcPr>
            <w:tcW w:w="1242" w:type="dxa"/>
            <w:vMerge w:val="restart"/>
            <w:tcBorders>
              <w:top w:val="single" w:sz="12" w:space="0" w:color="auto"/>
            </w:tcBorders>
            <w:shd w:val="clear" w:color="auto" w:fill="FFFFFF"/>
            <w:vAlign w:val="center"/>
          </w:tcPr>
          <w:p w14:paraId="14C91A52" w14:textId="77777777" w:rsidR="0005512A" w:rsidRPr="00D70D0A" w:rsidRDefault="00897462" w:rsidP="00E439AD">
            <w:pPr>
              <w:keepNext/>
              <w:keepLines/>
              <w:jc w:val="center"/>
              <w:rPr>
                <w:b/>
                <w:sz w:val="20"/>
                <w:lang w:val="en-US" w:eastAsia="en-US"/>
              </w:rPr>
            </w:pPr>
            <w:r w:rsidRPr="00D70D0A">
              <w:rPr>
                <w:b/>
                <w:sz w:val="20"/>
                <w:lang w:val="en-US" w:eastAsia="en-US"/>
              </w:rPr>
              <w:t>Positive control (MPTP)</w:t>
            </w:r>
          </w:p>
        </w:tc>
        <w:tc>
          <w:tcPr>
            <w:tcW w:w="709" w:type="dxa"/>
            <w:tcBorders>
              <w:top w:val="single" w:sz="12" w:space="0" w:color="auto"/>
            </w:tcBorders>
            <w:shd w:val="clear" w:color="auto" w:fill="D9D9D9"/>
          </w:tcPr>
          <w:p w14:paraId="02038B5E" w14:textId="77777777" w:rsidR="0005512A" w:rsidRPr="00D70D0A" w:rsidRDefault="00897462" w:rsidP="00E439AD">
            <w:pPr>
              <w:keepNext/>
              <w:keepLines/>
              <w:rPr>
                <w:sz w:val="20"/>
                <w:lang w:val="en-US" w:eastAsia="en-US"/>
              </w:rPr>
            </w:pPr>
            <w:r w:rsidRPr="00D70D0A">
              <w:rPr>
                <w:sz w:val="20"/>
                <w:lang w:val="en-US" w:eastAsia="en-US"/>
              </w:rPr>
              <w:t>M (6)</w:t>
            </w:r>
          </w:p>
        </w:tc>
        <w:tc>
          <w:tcPr>
            <w:tcW w:w="1280" w:type="dxa"/>
            <w:tcBorders>
              <w:top w:val="single" w:sz="12" w:space="0" w:color="auto"/>
            </w:tcBorders>
            <w:shd w:val="clear" w:color="auto" w:fill="D9D9D9"/>
            <w:vAlign w:val="center"/>
          </w:tcPr>
          <w:p w14:paraId="5D0644E0" w14:textId="77777777" w:rsidR="0005512A" w:rsidRPr="00D70D0A" w:rsidRDefault="00897462" w:rsidP="00E439AD">
            <w:pPr>
              <w:keepNext/>
              <w:keepLines/>
              <w:jc w:val="center"/>
              <w:rPr>
                <w:sz w:val="20"/>
                <w:lang w:val="en-US" w:eastAsia="en-US"/>
              </w:rPr>
            </w:pPr>
            <w:r w:rsidRPr="00D70D0A">
              <w:rPr>
                <w:sz w:val="20"/>
                <w:lang w:val="en-US" w:eastAsia="en-US"/>
              </w:rPr>
              <w:t>2.32</w:t>
            </w:r>
          </w:p>
          <w:p w14:paraId="548D3A44" w14:textId="77777777" w:rsidR="0005512A" w:rsidRPr="00D70D0A" w:rsidRDefault="00897462" w:rsidP="00E439AD">
            <w:pPr>
              <w:keepNext/>
              <w:keepLines/>
              <w:jc w:val="center"/>
              <w:rPr>
                <w:sz w:val="20"/>
                <w:lang w:val="en-US" w:eastAsia="en-US"/>
              </w:rPr>
            </w:pPr>
            <w:r w:rsidRPr="00D70D0A">
              <w:rPr>
                <w:sz w:val="20"/>
                <w:lang w:val="en-US" w:eastAsia="en-US"/>
              </w:rPr>
              <w:t>-86.0%</w:t>
            </w:r>
          </w:p>
        </w:tc>
        <w:tc>
          <w:tcPr>
            <w:tcW w:w="1280" w:type="dxa"/>
            <w:tcBorders>
              <w:top w:val="single" w:sz="12" w:space="0" w:color="auto"/>
            </w:tcBorders>
            <w:shd w:val="clear" w:color="auto" w:fill="D9D9D9"/>
            <w:vAlign w:val="center"/>
          </w:tcPr>
          <w:p w14:paraId="49011AF8" w14:textId="77777777" w:rsidR="0005512A" w:rsidRPr="00D70D0A" w:rsidRDefault="00897462" w:rsidP="00E439AD">
            <w:pPr>
              <w:keepNext/>
              <w:keepLines/>
              <w:jc w:val="center"/>
              <w:rPr>
                <w:sz w:val="20"/>
                <w:lang w:val="en-US" w:eastAsia="en-US"/>
              </w:rPr>
            </w:pPr>
            <w:r w:rsidRPr="00D70D0A">
              <w:rPr>
                <w:sz w:val="20"/>
                <w:lang w:val="en-US" w:eastAsia="en-US"/>
              </w:rPr>
              <w:t>0.53</w:t>
            </w:r>
          </w:p>
          <w:p w14:paraId="4A7474E2" w14:textId="77777777" w:rsidR="0005512A" w:rsidRPr="00D70D0A" w:rsidRDefault="00897462" w:rsidP="00E439AD">
            <w:pPr>
              <w:keepNext/>
              <w:keepLines/>
              <w:jc w:val="center"/>
              <w:rPr>
                <w:sz w:val="20"/>
                <w:lang w:val="en-US" w:eastAsia="en-US"/>
              </w:rPr>
            </w:pPr>
            <w:r w:rsidRPr="00D70D0A">
              <w:rPr>
                <w:sz w:val="20"/>
                <w:lang w:val="en-US" w:eastAsia="en-US"/>
              </w:rPr>
              <w:t>-68.0%</w:t>
            </w:r>
          </w:p>
        </w:tc>
        <w:tc>
          <w:tcPr>
            <w:tcW w:w="1280" w:type="dxa"/>
            <w:tcBorders>
              <w:top w:val="single" w:sz="12" w:space="0" w:color="auto"/>
            </w:tcBorders>
            <w:shd w:val="clear" w:color="auto" w:fill="D9D9D9"/>
            <w:vAlign w:val="center"/>
          </w:tcPr>
          <w:p w14:paraId="70B4E54E" w14:textId="77777777" w:rsidR="0005512A" w:rsidRPr="00D70D0A" w:rsidRDefault="00897462" w:rsidP="00E439AD">
            <w:pPr>
              <w:keepNext/>
              <w:keepLines/>
              <w:jc w:val="center"/>
              <w:rPr>
                <w:sz w:val="20"/>
                <w:lang w:val="en-US" w:eastAsia="en-US"/>
              </w:rPr>
            </w:pPr>
            <w:r w:rsidRPr="00D70D0A">
              <w:rPr>
                <w:sz w:val="20"/>
                <w:lang w:val="en-US" w:eastAsia="en-US"/>
              </w:rPr>
              <w:t>0.93</w:t>
            </w:r>
          </w:p>
          <w:p w14:paraId="66CDCE0E" w14:textId="77777777" w:rsidR="0005512A" w:rsidRPr="00D70D0A" w:rsidRDefault="00897462" w:rsidP="00E439AD">
            <w:pPr>
              <w:keepNext/>
              <w:keepLines/>
              <w:jc w:val="center"/>
              <w:rPr>
                <w:sz w:val="20"/>
                <w:lang w:val="en-US" w:eastAsia="en-US"/>
              </w:rPr>
            </w:pPr>
            <w:r w:rsidRPr="00D70D0A">
              <w:rPr>
                <w:sz w:val="20"/>
                <w:lang w:val="en-US" w:eastAsia="en-US"/>
              </w:rPr>
              <w:t>-52.2%</w:t>
            </w:r>
          </w:p>
        </w:tc>
        <w:tc>
          <w:tcPr>
            <w:tcW w:w="1405" w:type="dxa"/>
            <w:tcBorders>
              <w:top w:val="single" w:sz="12" w:space="0" w:color="auto"/>
            </w:tcBorders>
            <w:shd w:val="clear" w:color="auto" w:fill="D9D9D9"/>
            <w:vAlign w:val="center"/>
          </w:tcPr>
          <w:p w14:paraId="0066DE82" w14:textId="77777777" w:rsidR="0005512A" w:rsidRPr="00D70D0A" w:rsidRDefault="00897462" w:rsidP="00E439AD">
            <w:pPr>
              <w:keepNext/>
              <w:keepLines/>
              <w:jc w:val="center"/>
              <w:rPr>
                <w:sz w:val="20"/>
                <w:lang w:val="en-US" w:eastAsia="en-US"/>
              </w:rPr>
            </w:pPr>
            <w:r w:rsidRPr="00D70D0A">
              <w:rPr>
                <w:sz w:val="20"/>
                <w:lang w:val="en-US" w:eastAsia="en-US"/>
              </w:rPr>
              <w:t>0.75</w:t>
            </w:r>
          </w:p>
          <w:p w14:paraId="0572D887" w14:textId="77777777" w:rsidR="0005512A" w:rsidRPr="00D70D0A" w:rsidRDefault="00897462" w:rsidP="00E439AD">
            <w:pPr>
              <w:keepNext/>
              <w:keepLines/>
              <w:jc w:val="center"/>
              <w:rPr>
                <w:sz w:val="20"/>
                <w:lang w:val="en-US" w:eastAsia="en-US"/>
              </w:rPr>
            </w:pPr>
            <w:r w:rsidRPr="00D70D0A">
              <w:rPr>
                <w:sz w:val="20"/>
                <w:lang w:val="en-US" w:eastAsia="en-US"/>
              </w:rPr>
              <w:t>+20.9%</w:t>
            </w:r>
          </w:p>
        </w:tc>
        <w:tc>
          <w:tcPr>
            <w:tcW w:w="1559" w:type="dxa"/>
            <w:tcBorders>
              <w:top w:val="single" w:sz="12" w:space="0" w:color="auto"/>
            </w:tcBorders>
            <w:shd w:val="clear" w:color="auto" w:fill="D9D9D9"/>
            <w:vAlign w:val="center"/>
          </w:tcPr>
          <w:p w14:paraId="21E96878" w14:textId="77777777" w:rsidR="0005512A" w:rsidRPr="00D70D0A" w:rsidRDefault="00897462" w:rsidP="00E439AD">
            <w:pPr>
              <w:keepNext/>
              <w:keepLines/>
              <w:jc w:val="center"/>
              <w:rPr>
                <w:sz w:val="20"/>
                <w:lang w:val="en-US" w:eastAsia="en-US"/>
              </w:rPr>
            </w:pPr>
            <w:r w:rsidRPr="00D70D0A">
              <w:rPr>
                <w:sz w:val="20"/>
                <w:lang w:val="en-US" w:eastAsia="en-US"/>
              </w:rPr>
              <w:t>0.706</w:t>
            </w:r>
          </w:p>
          <w:p w14:paraId="12599900" w14:textId="77777777" w:rsidR="0005512A" w:rsidRPr="00D70D0A" w:rsidRDefault="00897462" w:rsidP="00E439AD">
            <w:pPr>
              <w:keepNext/>
              <w:keepLines/>
              <w:jc w:val="center"/>
              <w:rPr>
                <w:sz w:val="20"/>
                <w:lang w:val="en-US" w:eastAsia="en-US"/>
              </w:rPr>
            </w:pPr>
            <w:r w:rsidRPr="00D70D0A">
              <w:rPr>
                <w:sz w:val="20"/>
                <w:lang w:val="en-US" w:eastAsia="en-US"/>
              </w:rPr>
              <w:t>+221.3%</w:t>
            </w:r>
          </w:p>
        </w:tc>
      </w:tr>
      <w:tr w:rsidR="0005512A" w:rsidRPr="00251893" w14:paraId="69433F0A" w14:textId="77777777" w:rsidTr="0005512A">
        <w:tc>
          <w:tcPr>
            <w:tcW w:w="1242" w:type="dxa"/>
            <w:vMerge/>
            <w:shd w:val="clear" w:color="auto" w:fill="FFFFFF"/>
          </w:tcPr>
          <w:p w14:paraId="095552A2" w14:textId="77777777" w:rsidR="0005512A" w:rsidRPr="00D70D0A" w:rsidRDefault="0005512A" w:rsidP="00E439AD">
            <w:pPr>
              <w:keepNext/>
              <w:keepLines/>
              <w:rPr>
                <w:b/>
                <w:sz w:val="20"/>
                <w:lang w:val="en-US" w:eastAsia="en-US"/>
              </w:rPr>
            </w:pPr>
          </w:p>
        </w:tc>
        <w:tc>
          <w:tcPr>
            <w:tcW w:w="709" w:type="dxa"/>
            <w:shd w:val="clear" w:color="auto" w:fill="FFFFFF"/>
          </w:tcPr>
          <w:p w14:paraId="294FD527" w14:textId="77777777" w:rsidR="0005512A" w:rsidRPr="00D70D0A" w:rsidRDefault="00897462" w:rsidP="00E439AD">
            <w:pPr>
              <w:keepNext/>
              <w:keepLines/>
              <w:rPr>
                <w:sz w:val="20"/>
                <w:lang w:val="en-US" w:eastAsia="en-US"/>
              </w:rPr>
            </w:pPr>
            <w:r w:rsidRPr="00D70D0A">
              <w:rPr>
                <w:sz w:val="20"/>
                <w:lang w:val="en-US" w:eastAsia="en-US"/>
              </w:rPr>
              <w:t>F (6)</w:t>
            </w:r>
          </w:p>
        </w:tc>
        <w:tc>
          <w:tcPr>
            <w:tcW w:w="1280" w:type="dxa"/>
            <w:shd w:val="clear" w:color="auto" w:fill="FFFFFF"/>
            <w:vAlign w:val="center"/>
          </w:tcPr>
          <w:p w14:paraId="76B0EF27" w14:textId="77777777" w:rsidR="0005512A" w:rsidRPr="00D70D0A" w:rsidRDefault="00897462" w:rsidP="00E439AD">
            <w:pPr>
              <w:keepNext/>
              <w:keepLines/>
              <w:jc w:val="center"/>
              <w:rPr>
                <w:sz w:val="20"/>
                <w:lang w:val="en-US" w:eastAsia="en-US"/>
              </w:rPr>
            </w:pPr>
            <w:r w:rsidRPr="00D70D0A">
              <w:rPr>
                <w:sz w:val="20"/>
                <w:lang w:val="en-US" w:eastAsia="en-US"/>
              </w:rPr>
              <w:t>11.23</w:t>
            </w:r>
          </w:p>
          <w:p w14:paraId="7CD39347" w14:textId="77777777" w:rsidR="0005512A" w:rsidRPr="00D70D0A" w:rsidRDefault="00897462" w:rsidP="00E439AD">
            <w:pPr>
              <w:keepNext/>
              <w:keepLines/>
              <w:jc w:val="center"/>
              <w:rPr>
                <w:sz w:val="20"/>
                <w:lang w:val="en-US" w:eastAsia="en-US"/>
              </w:rPr>
            </w:pPr>
            <w:r w:rsidRPr="00D70D0A">
              <w:rPr>
                <w:sz w:val="20"/>
                <w:lang w:val="en-US" w:eastAsia="en-US"/>
              </w:rPr>
              <w:t>-32.9%</w:t>
            </w:r>
          </w:p>
        </w:tc>
        <w:tc>
          <w:tcPr>
            <w:tcW w:w="1280" w:type="dxa"/>
            <w:shd w:val="clear" w:color="auto" w:fill="FFFFFF"/>
            <w:vAlign w:val="center"/>
          </w:tcPr>
          <w:p w14:paraId="5BC606CC" w14:textId="77777777" w:rsidR="0005512A" w:rsidRPr="00D70D0A" w:rsidRDefault="00897462" w:rsidP="00E439AD">
            <w:pPr>
              <w:keepNext/>
              <w:keepLines/>
              <w:jc w:val="center"/>
              <w:rPr>
                <w:sz w:val="20"/>
                <w:lang w:val="en-US" w:eastAsia="en-US"/>
              </w:rPr>
            </w:pPr>
            <w:r w:rsidRPr="00D70D0A">
              <w:rPr>
                <w:sz w:val="20"/>
                <w:lang w:val="en-US" w:eastAsia="en-US"/>
              </w:rPr>
              <w:t>1.66</w:t>
            </w:r>
          </w:p>
          <w:p w14:paraId="56FFB1A0" w14:textId="77777777" w:rsidR="0005512A" w:rsidRPr="00D70D0A" w:rsidRDefault="00897462" w:rsidP="00E439AD">
            <w:pPr>
              <w:keepNext/>
              <w:keepLines/>
              <w:jc w:val="center"/>
              <w:rPr>
                <w:sz w:val="20"/>
                <w:lang w:val="en-US" w:eastAsia="en-US"/>
              </w:rPr>
            </w:pPr>
            <w:r w:rsidRPr="00D70D0A">
              <w:rPr>
                <w:sz w:val="20"/>
                <w:lang w:val="en-US" w:eastAsia="en-US"/>
              </w:rPr>
              <w:t>-49.0%</w:t>
            </w:r>
          </w:p>
        </w:tc>
        <w:tc>
          <w:tcPr>
            <w:tcW w:w="1280" w:type="dxa"/>
            <w:shd w:val="clear" w:color="auto" w:fill="FFFFFF"/>
            <w:vAlign w:val="center"/>
          </w:tcPr>
          <w:p w14:paraId="2A4E2815" w14:textId="77777777" w:rsidR="0005512A" w:rsidRPr="00D70D0A" w:rsidRDefault="00897462" w:rsidP="00E439AD">
            <w:pPr>
              <w:keepNext/>
              <w:keepLines/>
              <w:jc w:val="center"/>
              <w:rPr>
                <w:sz w:val="20"/>
                <w:lang w:val="en-US" w:eastAsia="en-US"/>
              </w:rPr>
            </w:pPr>
            <w:r w:rsidRPr="00D70D0A">
              <w:rPr>
                <w:sz w:val="20"/>
                <w:lang w:val="en-US" w:eastAsia="en-US"/>
              </w:rPr>
              <w:t>1.53</w:t>
            </w:r>
          </w:p>
          <w:p w14:paraId="1364891F" w14:textId="77777777" w:rsidR="0005512A" w:rsidRPr="00D70D0A" w:rsidRDefault="00897462" w:rsidP="00E439AD">
            <w:pPr>
              <w:keepNext/>
              <w:keepLines/>
              <w:jc w:val="center"/>
              <w:rPr>
                <w:sz w:val="20"/>
                <w:lang w:val="en-US" w:eastAsia="en-US"/>
              </w:rPr>
            </w:pPr>
            <w:r w:rsidRPr="00D70D0A">
              <w:rPr>
                <w:sz w:val="20"/>
                <w:lang w:val="en-US" w:eastAsia="en-US"/>
              </w:rPr>
              <w:t>-20.0%</w:t>
            </w:r>
          </w:p>
        </w:tc>
        <w:tc>
          <w:tcPr>
            <w:tcW w:w="1405" w:type="dxa"/>
            <w:shd w:val="clear" w:color="auto" w:fill="FFFFFF"/>
            <w:vAlign w:val="center"/>
          </w:tcPr>
          <w:p w14:paraId="12ED156C" w14:textId="77777777" w:rsidR="0005512A" w:rsidRPr="00D70D0A" w:rsidRDefault="00897462" w:rsidP="00E439AD">
            <w:pPr>
              <w:keepNext/>
              <w:keepLines/>
              <w:jc w:val="center"/>
              <w:rPr>
                <w:sz w:val="20"/>
                <w:lang w:val="en-US" w:eastAsia="en-US"/>
              </w:rPr>
            </w:pPr>
            <w:r w:rsidRPr="00D70D0A">
              <w:rPr>
                <w:sz w:val="20"/>
                <w:lang w:val="en-US" w:eastAsia="en-US"/>
              </w:rPr>
              <w:t>0.72</w:t>
            </w:r>
          </w:p>
          <w:p w14:paraId="2C5B9BB0" w14:textId="77777777" w:rsidR="0005512A" w:rsidRPr="00D70D0A" w:rsidRDefault="00897462" w:rsidP="00E439AD">
            <w:pPr>
              <w:keepNext/>
              <w:keepLines/>
              <w:jc w:val="center"/>
              <w:rPr>
                <w:sz w:val="20"/>
                <w:lang w:val="en-US" w:eastAsia="en-US"/>
              </w:rPr>
            </w:pPr>
            <w:r w:rsidRPr="00D70D0A">
              <w:rPr>
                <w:sz w:val="20"/>
                <w:lang w:val="en-US" w:eastAsia="en-US"/>
              </w:rPr>
              <w:t>+9.4%</w:t>
            </w:r>
          </w:p>
        </w:tc>
        <w:tc>
          <w:tcPr>
            <w:tcW w:w="1559" w:type="dxa"/>
            <w:shd w:val="clear" w:color="auto" w:fill="FFFFFF"/>
            <w:vAlign w:val="center"/>
          </w:tcPr>
          <w:p w14:paraId="51708567" w14:textId="77777777" w:rsidR="0005512A" w:rsidRPr="00D70D0A" w:rsidRDefault="00897462" w:rsidP="00E439AD">
            <w:pPr>
              <w:keepNext/>
              <w:keepLines/>
              <w:jc w:val="center"/>
              <w:rPr>
                <w:sz w:val="20"/>
                <w:lang w:val="en-US" w:eastAsia="en-US"/>
              </w:rPr>
            </w:pPr>
            <w:r w:rsidRPr="00D70D0A">
              <w:rPr>
                <w:sz w:val="20"/>
                <w:lang w:val="en-US" w:eastAsia="en-US"/>
              </w:rPr>
              <w:t>0.326</w:t>
            </w:r>
          </w:p>
          <w:p w14:paraId="64BAB1C8" w14:textId="77777777" w:rsidR="0005512A" w:rsidRPr="00D70D0A" w:rsidRDefault="00897462" w:rsidP="00E439AD">
            <w:pPr>
              <w:keepNext/>
              <w:keepLines/>
              <w:jc w:val="center"/>
              <w:rPr>
                <w:sz w:val="20"/>
                <w:lang w:val="en-US" w:eastAsia="en-US"/>
              </w:rPr>
            </w:pPr>
            <w:r w:rsidRPr="00D70D0A">
              <w:rPr>
                <w:sz w:val="20"/>
                <w:lang w:val="en-US" w:eastAsia="en-US"/>
              </w:rPr>
              <w:t>-1.3%</w:t>
            </w:r>
          </w:p>
        </w:tc>
      </w:tr>
    </w:tbl>
    <w:p w14:paraId="53D6465D" w14:textId="77777777" w:rsidR="0005512A" w:rsidRPr="002B2CFC" w:rsidRDefault="0005512A" w:rsidP="00E439AD">
      <w:pPr>
        <w:keepNext/>
        <w:keepLines/>
        <w:rPr>
          <w:sz w:val="20"/>
          <w:lang w:val="en-US" w:eastAsia="en-US"/>
        </w:rPr>
      </w:pPr>
      <w:r w:rsidRPr="002B2CFC">
        <w:rPr>
          <w:sz w:val="20"/>
          <w:vertAlign w:val="superscript"/>
          <w:lang w:val="en-US" w:eastAsia="en-US"/>
        </w:rPr>
        <w:t>*</w:t>
      </w:r>
      <w:r w:rsidRPr="002B2CFC">
        <w:rPr>
          <w:sz w:val="20"/>
          <w:lang w:val="en-US" w:eastAsia="en-US"/>
        </w:rPr>
        <w:t xml:space="preserve"> Estimated by dividing the sum of the DOPAC and HVA concentrations by the </w:t>
      </w:r>
      <w:r w:rsidR="00A4092E">
        <w:rPr>
          <w:sz w:val="20"/>
          <w:lang w:val="en-US" w:eastAsia="en-US"/>
        </w:rPr>
        <w:t>DA</w:t>
      </w:r>
      <w:r w:rsidRPr="002B2CFC">
        <w:rPr>
          <w:sz w:val="20"/>
          <w:lang w:val="en-US" w:eastAsia="en-US"/>
        </w:rPr>
        <w:t xml:space="preserve"> concentration, and the data is expressed as a ratio. </w:t>
      </w:r>
      <w:r w:rsidRPr="002B2CFC">
        <w:rPr>
          <w:sz w:val="20"/>
          <w:vertAlign w:val="superscript"/>
          <w:lang w:val="en-US" w:eastAsia="en-US"/>
        </w:rPr>
        <w:t>#</w:t>
      </w:r>
      <w:r w:rsidRPr="002B2CFC">
        <w:rPr>
          <w:sz w:val="20"/>
          <w:lang w:val="en-US" w:eastAsia="en-US"/>
        </w:rPr>
        <w:t xml:space="preserve"> </w:t>
      </w:r>
      <w:r>
        <w:rPr>
          <w:sz w:val="20"/>
          <w:lang w:val="en-US" w:eastAsia="en-US"/>
        </w:rPr>
        <w:t>5-HT</w:t>
      </w:r>
      <w:r w:rsidRPr="002B2CFC">
        <w:rPr>
          <w:sz w:val="20"/>
          <w:lang w:val="en-US" w:eastAsia="en-US"/>
        </w:rPr>
        <w:t xml:space="preserve"> levels are considered an estimate only</w:t>
      </w:r>
      <w:r>
        <w:rPr>
          <w:sz w:val="20"/>
          <w:lang w:val="en-US" w:eastAsia="en-US"/>
        </w:rPr>
        <w:t xml:space="preserve">. </w:t>
      </w:r>
    </w:p>
    <w:p w14:paraId="5E562E8E" w14:textId="77777777" w:rsidR="0005512A" w:rsidRPr="002B2CFC" w:rsidRDefault="0005512A" w:rsidP="0005512A">
      <w:pPr>
        <w:rPr>
          <w:szCs w:val="24"/>
          <w:lang w:val="en-US" w:eastAsia="en-US"/>
        </w:rPr>
      </w:pPr>
    </w:p>
    <w:p w14:paraId="2B44F672" w14:textId="77777777" w:rsidR="0005512A" w:rsidRDefault="00897462" w:rsidP="0005512A">
      <w:pPr>
        <w:keepNext/>
        <w:rPr>
          <w:b/>
          <w:szCs w:val="24"/>
          <w:lang w:val="en-US" w:eastAsia="en-US"/>
        </w:rPr>
      </w:pPr>
      <w:r w:rsidRPr="00C34954">
        <w:rPr>
          <w:b/>
          <w:szCs w:val="24"/>
          <w:lang w:val="en-US" w:eastAsia="en-US"/>
        </w:rPr>
        <w:t>Discussion</w:t>
      </w:r>
    </w:p>
    <w:p w14:paraId="0FAF4CBB" w14:textId="77777777" w:rsidR="00686CE1" w:rsidRPr="00C34954" w:rsidRDefault="00686CE1" w:rsidP="0005512A">
      <w:pPr>
        <w:keepNext/>
        <w:rPr>
          <w:b/>
          <w:szCs w:val="24"/>
          <w:lang w:val="en-US" w:eastAsia="en-US"/>
        </w:rPr>
      </w:pPr>
    </w:p>
    <w:p w14:paraId="531F6931" w14:textId="77777777" w:rsidR="0005512A" w:rsidRPr="002B2CFC" w:rsidRDefault="0005512A" w:rsidP="0005512A">
      <w:pPr>
        <w:rPr>
          <w:szCs w:val="24"/>
          <w:lang w:val="en-US" w:eastAsia="en-US"/>
        </w:rPr>
      </w:pPr>
      <w:r w:rsidRPr="002B2CFC">
        <w:rPr>
          <w:szCs w:val="24"/>
          <w:lang w:val="en-US" w:eastAsia="en-US"/>
        </w:rPr>
        <w:t>There were no treatment related effects on mortality or clinical signs in mice treated with paraquat. Mice treated with 50 ppm showed a treatment-related reduction in body weight gain for the first week of the study only, after which body weight was similar or greater than controls. The overall body weight gain of paraquat treated mice was not statistically significantly different from controls. Food consumption did not show any treatment-related effects. Mice receiving intraperitoneal injections of MPTP (positive control) showed clinical signs, body weight loss and reduced food consumption, as compared to the negative controls.</w:t>
      </w:r>
    </w:p>
    <w:p w14:paraId="77134CAC" w14:textId="77777777" w:rsidR="0005512A" w:rsidRPr="002B2CFC" w:rsidRDefault="0005512A" w:rsidP="0005512A">
      <w:pPr>
        <w:rPr>
          <w:szCs w:val="24"/>
          <w:lang w:val="en-US" w:eastAsia="en-US"/>
        </w:rPr>
      </w:pPr>
    </w:p>
    <w:p w14:paraId="3A715473" w14:textId="77777777" w:rsidR="0005512A" w:rsidRPr="002B2CFC" w:rsidRDefault="0005512A" w:rsidP="0005512A">
      <w:pPr>
        <w:rPr>
          <w:szCs w:val="24"/>
          <w:lang w:val="en-US" w:eastAsia="en-US"/>
        </w:rPr>
      </w:pPr>
      <w:r w:rsidRPr="002B2CFC">
        <w:rPr>
          <w:szCs w:val="24"/>
          <w:lang w:val="en-US" w:eastAsia="en-US"/>
        </w:rPr>
        <w:t xml:space="preserve">Following necropsy, the brain </w:t>
      </w:r>
      <w:r>
        <w:rPr>
          <w:szCs w:val="24"/>
          <w:lang w:val="en-US" w:eastAsia="en-US"/>
        </w:rPr>
        <w:t>showed no abnormalities by</w:t>
      </w:r>
      <w:r w:rsidRPr="002B2CFC">
        <w:rPr>
          <w:szCs w:val="24"/>
          <w:lang w:val="en-US" w:eastAsia="en-US"/>
        </w:rPr>
        <w:t xml:space="preserve"> gross examination or in size/weight. Neuropathology analysis concluded that paraquat dichloride did not cause any gross or microscopic changes in any of the brains regions </w:t>
      </w:r>
      <w:r>
        <w:rPr>
          <w:szCs w:val="24"/>
          <w:lang w:val="en-US" w:eastAsia="en-US"/>
        </w:rPr>
        <w:t>examined</w:t>
      </w:r>
      <w:r w:rsidRPr="002B2CFC">
        <w:rPr>
          <w:szCs w:val="24"/>
          <w:lang w:val="en-US" w:eastAsia="en-US"/>
        </w:rPr>
        <w:t xml:space="preserve">. </w:t>
      </w:r>
      <w:r>
        <w:rPr>
          <w:szCs w:val="24"/>
          <w:lang w:val="en-US" w:eastAsia="en-US"/>
        </w:rPr>
        <w:t>S</w:t>
      </w:r>
      <w:r w:rsidRPr="002B2CFC">
        <w:rPr>
          <w:szCs w:val="24"/>
          <w:lang w:val="en-US" w:eastAsia="en-US"/>
        </w:rPr>
        <w:t xml:space="preserve">pecifically, paraquat was not associated with any neuronal or glial changes in the </w:t>
      </w:r>
      <w:r w:rsidR="00A4092E">
        <w:rPr>
          <w:szCs w:val="24"/>
          <w:lang w:val="en-US" w:eastAsia="en-US"/>
        </w:rPr>
        <w:t>SN</w:t>
      </w:r>
      <w:r w:rsidRPr="002B2CFC">
        <w:rPr>
          <w:szCs w:val="24"/>
          <w:lang w:val="en-US" w:eastAsia="en-US"/>
        </w:rPr>
        <w:t xml:space="preserve"> or the striatum. Mice treated with the positive control agent, MPTP, showed damage to the dopaminergic neurons in the SN pc within this test system, demonstrating its validity. </w:t>
      </w:r>
    </w:p>
    <w:p w14:paraId="28C1A442" w14:textId="77777777" w:rsidR="0005512A" w:rsidRPr="002B2CFC" w:rsidRDefault="0005512A" w:rsidP="0005512A">
      <w:pPr>
        <w:rPr>
          <w:szCs w:val="24"/>
          <w:lang w:val="en-US" w:eastAsia="en-US"/>
        </w:rPr>
      </w:pPr>
    </w:p>
    <w:p w14:paraId="27C741B5" w14:textId="77777777" w:rsidR="0005512A" w:rsidRPr="002B2CFC" w:rsidRDefault="0005512A" w:rsidP="0005512A">
      <w:pPr>
        <w:rPr>
          <w:szCs w:val="24"/>
          <w:lang w:val="en-US" w:eastAsia="en-US"/>
        </w:rPr>
      </w:pPr>
      <w:r w:rsidRPr="002B2CFC">
        <w:rPr>
          <w:szCs w:val="24"/>
          <w:lang w:val="en-US" w:eastAsia="en-US"/>
        </w:rPr>
        <w:t xml:space="preserve">Stereology analysis of TH immunostained slides did not show any effects on the number of dopaminergic neuronal cells </w:t>
      </w:r>
      <w:r>
        <w:rPr>
          <w:szCs w:val="24"/>
          <w:lang w:val="en-US" w:eastAsia="en-US"/>
        </w:rPr>
        <w:t xml:space="preserve">in the SN pc </w:t>
      </w:r>
      <w:r w:rsidRPr="002B2CFC">
        <w:rPr>
          <w:szCs w:val="24"/>
          <w:lang w:val="en-US" w:eastAsia="en-US"/>
        </w:rPr>
        <w:t>compared to untreated controls. Male mice treated with MPTP (positive control) showed a statistically significant reduction in the number of TH</w:t>
      </w:r>
      <w:r w:rsidRPr="002B2CFC">
        <w:rPr>
          <w:szCs w:val="24"/>
          <w:vertAlign w:val="superscript"/>
          <w:lang w:val="en-US" w:eastAsia="en-US"/>
        </w:rPr>
        <w:t>+</w:t>
      </w:r>
      <w:r w:rsidRPr="002B2CFC">
        <w:rPr>
          <w:szCs w:val="24"/>
          <w:lang w:val="en-US" w:eastAsia="en-US"/>
        </w:rPr>
        <w:t xml:space="preserve"> neurons and in the total contour volume. Female mice from the positive control group did not show a statistically significant effect, although the pattern of change reflected that of males.</w:t>
      </w:r>
    </w:p>
    <w:p w14:paraId="22308C68" w14:textId="77777777" w:rsidR="0005512A" w:rsidRPr="002B2CFC" w:rsidRDefault="0005512A" w:rsidP="0005512A">
      <w:pPr>
        <w:rPr>
          <w:szCs w:val="24"/>
          <w:lang w:val="en-US" w:eastAsia="en-US"/>
        </w:rPr>
      </w:pPr>
    </w:p>
    <w:p w14:paraId="3B87287B" w14:textId="77777777" w:rsidR="0005512A" w:rsidRPr="002B2CFC" w:rsidRDefault="0005512A" w:rsidP="0005512A">
      <w:pPr>
        <w:rPr>
          <w:szCs w:val="24"/>
          <w:lang w:val="en-US" w:eastAsia="en-US"/>
        </w:rPr>
      </w:pPr>
      <w:r w:rsidRPr="002B2CFC">
        <w:rPr>
          <w:szCs w:val="24"/>
          <w:lang w:val="en-US" w:eastAsia="en-US"/>
        </w:rPr>
        <w:t xml:space="preserve">There was no paraquat-related effect on the levels of </w:t>
      </w:r>
      <w:r w:rsidR="00A4092E">
        <w:rPr>
          <w:szCs w:val="24"/>
          <w:lang w:val="en-US" w:eastAsia="en-US"/>
        </w:rPr>
        <w:t>DA</w:t>
      </w:r>
      <w:r w:rsidRPr="002B2CFC">
        <w:rPr>
          <w:szCs w:val="24"/>
          <w:lang w:val="en-US" w:eastAsia="en-US"/>
        </w:rPr>
        <w:t xml:space="preserve"> or its two metabolites (</w:t>
      </w:r>
      <w:r>
        <w:rPr>
          <w:szCs w:val="24"/>
          <w:lang w:val="en-US" w:eastAsia="en-US"/>
        </w:rPr>
        <w:t>HVA</w:t>
      </w:r>
      <w:r w:rsidRPr="002B2CFC">
        <w:rPr>
          <w:szCs w:val="24"/>
          <w:lang w:val="en-US" w:eastAsia="en-US"/>
        </w:rPr>
        <w:t xml:space="preserve"> and </w:t>
      </w:r>
      <w:r>
        <w:rPr>
          <w:szCs w:val="24"/>
          <w:lang w:val="en-US" w:eastAsia="en-US"/>
        </w:rPr>
        <w:t>DOPAC</w:t>
      </w:r>
      <w:r w:rsidRPr="002B2CFC">
        <w:rPr>
          <w:szCs w:val="24"/>
          <w:lang w:val="en-US" w:eastAsia="en-US"/>
        </w:rPr>
        <w:t xml:space="preserve">) in striatal tissues of the brain, as compared to negative control tissues. Positive control male mice showed marked decreases in mean </w:t>
      </w:r>
      <w:r w:rsidR="00A4092E">
        <w:rPr>
          <w:szCs w:val="24"/>
          <w:lang w:val="en-US" w:eastAsia="en-US"/>
        </w:rPr>
        <w:t>DA</w:t>
      </w:r>
      <w:r w:rsidRPr="002B2CFC">
        <w:rPr>
          <w:szCs w:val="24"/>
          <w:lang w:val="en-US" w:eastAsia="en-US"/>
        </w:rPr>
        <w:t>, DOPAC and HVA concentrations. Effects were not as marked in positive control female mice.</w:t>
      </w:r>
    </w:p>
    <w:p w14:paraId="4B28C116" w14:textId="77777777" w:rsidR="0005512A" w:rsidRPr="002B2CFC" w:rsidRDefault="0005512A" w:rsidP="0005512A">
      <w:pPr>
        <w:rPr>
          <w:szCs w:val="24"/>
          <w:lang w:val="en-US" w:eastAsia="en-US"/>
        </w:rPr>
      </w:pPr>
    </w:p>
    <w:p w14:paraId="758450FD" w14:textId="77777777" w:rsidR="0005512A" w:rsidRDefault="00897462" w:rsidP="0005512A">
      <w:pPr>
        <w:rPr>
          <w:b/>
          <w:szCs w:val="24"/>
          <w:lang w:val="en-US" w:eastAsia="en-US"/>
        </w:rPr>
      </w:pPr>
      <w:r w:rsidRPr="00C34954">
        <w:rPr>
          <w:b/>
          <w:szCs w:val="24"/>
          <w:lang w:val="en-US" w:eastAsia="en-US"/>
        </w:rPr>
        <w:t>Conclusion</w:t>
      </w:r>
    </w:p>
    <w:p w14:paraId="7023FE9B" w14:textId="77777777" w:rsidR="00686CE1" w:rsidRPr="00C34954" w:rsidRDefault="00686CE1" w:rsidP="0005512A">
      <w:pPr>
        <w:rPr>
          <w:b/>
          <w:szCs w:val="24"/>
          <w:lang w:val="en-US" w:eastAsia="en-US"/>
        </w:rPr>
      </w:pPr>
    </w:p>
    <w:p w14:paraId="3C52CFB6" w14:textId="70215A2A" w:rsidR="002B2CFC" w:rsidRPr="002B2CFC" w:rsidRDefault="0005512A" w:rsidP="00E439AD">
      <w:pPr>
        <w:rPr>
          <w:szCs w:val="24"/>
          <w:lang w:val="en-US" w:eastAsia="en-US"/>
        </w:rPr>
      </w:pPr>
      <w:r w:rsidRPr="002B2CFC">
        <w:rPr>
          <w:szCs w:val="24"/>
          <w:lang w:val="en-US" w:eastAsia="en-US"/>
        </w:rPr>
        <w:t>Paraquat at doses up to 50 ppm</w:t>
      </w:r>
      <w:r>
        <w:rPr>
          <w:szCs w:val="24"/>
          <w:lang w:val="en-US" w:eastAsia="en-US"/>
        </w:rPr>
        <w:t xml:space="preserve"> paraquat dichloride</w:t>
      </w:r>
      <w:r w:rsidRPr="002B2CFC">
        <w:rPr>
          <w:szCs w:val="24"/>
          <w:lang w:val="en-US" w:eastAsia="en-US"/>
        </w:rPr>
        <w:t xml:space="preserve"> (males 1</w:t>
      </w:r>
      <w:r>
        <w:rPr>
          <w:szCs w:val="24"/>
          <w:lang w:val="en-US" w:eastAsia="en-US"/>
        </w:rPr>
        <w:t>0.2</w:t>
      </w:r>
      <w:r w:rsidRPr="002B2CFC">
        <w:rPr>
          <w:szCs w:val="24"/>
          <w:lang w:val="en-US" w:eastAsia="en-US"/>
        </w:rPr>
        <w:t xml:space="preserve"> mg/kg bw/d, females </w:t>
      </w:r>
      <w:r>
        <w:rPr>
          <w:szCs w:val="24"/>
          <w:lang w:val="en-US" w:eastAsia="en-US"/>
        </w:rPr>
        <w:t>15.6</w:t>
      </w:r>
      <w:r w:rsidRPr="002B2CFC">
        <w:rPr>
          <w:szCs w:val="24"/>
          <w:lang w:val="en-US" w:eastAsia="en-US"/>
        </w:rPr>
        <w:t xml:space="preserve"> mg/kg bw/d</w:t>
      </w:r>
      <w:r>
        <w:rPr>
          <w:szCs w:val="24"/>
          <w:lang w:val="en-US" w:eastAsia="en-US"/>
        </w:rPr>
        <w:t>, paraquat ion</w:t>
      </w:r>
      <w:r w:rsidRPr="002B2CFC">
        <w:rPr>
          <w:szCs w:val="24"/>
          <w:lang w:val="en-US" w:eastAsia="en-US"/>
        </w:rPr>
        <w:t xml:space="preserve">) did not affect the dopaminergic neurons in the brains of male or female C57BL/6J mice when administered constantly in the feed for up to 13 weeks, under the conditions of this test system. </w:t>
      </w:r>
      <w:r>
        <w:rPr>
          <w:szCs w:val="24"/>
          <w:lang w:val="en-US" w:eastAsia="en-US"/>
        </w:rPr>
        <w:t>This included an assessment of pathology (histopathological examination of neurons, astrocytes, microglia) and stereology (</w:t>
      </w:r>
      <w:r w:rsidR="00686CE1">
        <w:rPr>
          <w:szCs w:val="24"/>
          <w:lang w:val="en-US" w:eastAsia="en-US"/>
        </w:rPr>
        <w:t>n</w:t>
      </w:r>
      <w:r>
        <w:rPr>
          <w:szCs w:val="24"/>
          <w:lang w:val="en-US" w:eastAsia="en-US"/>
        </w:rPr>
        <w:t>umber of TH</w:t>
      </w:r>
      <w:r w:rsidRPr="003A6822">
        <w:rPr>
          <w:szCs w:val="24"/>
          <w:vertAlign w:val="superscript"/>
          <w:lang w:val="en-US" w:eastAsia="en-US"/>
        </w:rPr>
        <w:t>+</w:t>
      </w:r>
      <w:r>
        <w:rPr>
          <w:szCs w:val="24"/>
          <w:lang w:val="en-US" w:eastAsia="en-US"/>
        </w:rPr>
        <w:t xml:space="preserve"> cells in the SN pc) and neurochemistry (concentrations of </w:t>
      </w:r>
      <w:r w:rsidR="00A4092E">
        <w:rPr>
          <w:szCs w:val="24"/>
          <w:lang w:val="en-US" w:eastAsia="en-US"/>
        </w:rPr>
        <w:t>DA</w:t>
      </w:r>
      <w:r>
        <w:rPr>
          <w:szCs w:val="24"/>
          <w:lang w:val="en-US" w:eastAsia="en-US"/>
        </w:rPr>
        <w:t xml:space="preserve"> and metabolites in the striatum). </w:t>
      </w:r>
      <w:r w:rsidRPr="002B2CFC">
        <w:rPr>
          <w:szCs w:val="24"/>
          <w:lang w:val="en-US" w:eastAsia="en-US"/>
        </w:rPr>
        <w:t>Findings in the positive control mice, treated by intraperitoneal injections of MPTP</w:t>
      </w:r>
      <w:r>
        <w:rPr>
          <w:szCs w:val="24"/>
          <w:lang w:val="en-US" w:eastAsia="en-US"/>
        </w:rPr>
        <w:t xml:space="preserve"> </w:t>
      </w:r>
      <w:r w:rsidRPr="002B2CFC">
        <w:rPr>
          <w:szCs w:val="24"/>
          <w:lang w:val="en-US" w:eastAsia="en-US"/>
        </w:rPr>
        <w:t>validate the test system.</w:t>
      </w:r>
    </w:p>
    <w:p w14:paraId="411D1482" w14:textId="77777777" w:rsidR="00E439AD" w:rsidRDefault="00E439AD" w:rsidP="00E439AD">
      <w:pPr>
        <w:keepNext/>
        <w:keepLines/>
        <w:rPr>
          <w:b/>
          <w:szCs w:val="24"/>
          <w:lang w:eastAsia="en-US"/>
        </w:rPr>
      </w:pPr>
    </w:p>
    <w:p w14:paraId="4FF7604B" w14:textId="77777777" w:rsidR="002B2CFC" w:rsidRPr="002B2CFC" w:rsidRDefault="002B2CFC" w:rsidP="00E439AD">
      <w:pPr>
        <w:keepNext/>
        <w:keepLines/>
        <w:rPr>
          <w:b/>
          <w:i/>
          <w:szCs w:val="24"/>
          <w:lang w:eastAsia="en-US"/>
        </w:rPr>
      </w:pPr>
      <w:r w:rsidRPr="00ED48DE">
        <w:rPr>
          <w:b/>
          <w:szCs w:val="24"/>
          <w:lang w:eastAsia="en-US"/>
        </w:rPr>
        <w:t>Fredriksson A, Fredriksson M &amp; Eriksson P (1993</w:t>
      </w:r>
      <w:r w:rsidRPr="002B2CFC">
        <w:rPr>
          <w:b/>
          <w:i/>
          <w:szCs w:val="24"/>
          <w:lang w:eastAsia="en-US"/>
        </w:rPr>
        <w:t xml:space="preserve">) </w:t>
      </w:r>
      <w:r w:rsidRPr="002B2CFC">
        <w:rPr>
          <w:b/>
          <w:szCs w:val="24"/>
          <w:lang w:eastAsia="en-US"/>
        </w:rPr>
        <w:t>Neonatal exposure to paraquat or MPTP induces permanent changes in striatum dopamine and behaviour in adult mice.</w:t>
      </w:r>
      <w:r w:rsidRPr="002B2CFC">
        <w:rPr>
          <w:b/>
          <w:i/>
          <w:szCs w:val="24"/>
          <w:lang w:eastAsia="en-US"/>
        </w:rPr>
        <w:t xml:space="preserve"> Toxicol Appl Pharmacol </w:t>
      </w:r>
      <w:r w:rsidRPr="002B2CFC">
        <w:rPr>
          <w:b/>
          <w:szCs w:val="24"/>
          <w:lang w:eastAsia="en-US"/>
        </w:rPr>
        <w:t>122: 258-264.</w:t>
      </w:r>
    </w:p>
    <w:p w14:paraId="6035FBA7" w14:textId="77777777" w:rsidR="002B2CFC" w:rsidRDefault="002B2CFC" w:rsidP="009E40A8">
      <w:pPr>
        <w:keepNext/>
        <w:keepLines/>
        <w:spacing w:before="120"/>
        <w:rPr>
          <w:szCs w:val="24"/>
          <w:lang w:val="en-US" w:eastAsia="en-US"/>
        </w:rPr>
      </w:pPr>
      <w:r w:rsidRPr="002B2CFC">
        <w:rPr>
          <w:szCs w:val="24"/>
          <w:lang w:eastAsia="en-US"/>
        </w:rPr>
        <w:t xml:space="preserve">Fredriksson </w:t>
      </w:r>
      <w:r w:rsidRPr="002B2CFC">
        <w:rPr>
          <w:i/>
          <w:szCs w:val="24"/>
          <w:lang w:eastAsia="en-US"/>
        </w:rPr>
        <w:t>et al</w:t>
      </w:r>
      <w:r w:rsidRPr="002B2CFC">
        <w:rPr>
          <w:szCs w:val="24"/>
          <w:lang w:eastAsia="en-US"/>
        </w:rPr>
        <w:t xml:space="preserve"> (1993) examined the effect of paraquat administered to neonatal mice during the brain growth spurt. </w:t>
      </w:r>
    </w:p>
    <w:p w14:paraId="120430C7" w14:textId="77777777" w:rsidR="00212568" w:rsidRDefault="00212568" w:rsidP="009E40A8">
      <w:pPr>
        <w:rPr>
          <w:szCs w:val="24"/>
          <w:lang w:val="en-US" w:eastAsia="en-US"/>
        </w:rPr>
      </w:pPr>
    </w:p>
    <w:p w14:paraId="45D0067A" w14:textId="77777777" w:rsidR="00212568" w:rsidRDefault="00212568" w:rsidP="00A11E70">
      <w:r>
        <w:t>Paraquat (purity and batch no. unspecified; ICI Ltd., Alderley Park, Macclesfield, Cheshire, England) was administered to 12 male C57 black mice/group (age and body weights unspecified; ALAB, Sollentuna, Sweden) by po gavage in a 20% (w/w) fat emulsion vehicle (egg lecithin and peanut oil), when 10 and 11 days old, at doses of 0 (vehicle control), 0.07 or 0.36 mg/kg bw (equivalent to 0, 0.050 and 0.26 mg/kg bw paraquat cation, respectively) in a dose volume of 10 mL/kg bw. The dose selection was based on previous studies where paraquat was given up to 40 mg/kg bw in adult male C57 black mice as an MTD, and 0.36 mg/kg bw had been given to neonates with no evidence of clinical lung toxicity. Two additional groups (n=12) received MPTP (Aldrich Chemical Co. Milwaukee, WI, USA) orally at 0.3 or 20 mg/kg.</w:t>
      </w:r>
    </w:p>
    <w:p w14:paraId="58955B66" w14:textId="77777777" w:rsidR="00212568" w:rsidRDefault="00212568" w:rsidP="00A11E70"/>
    <w:p w14:paraId="74E0332A" w14:textId="77777777" w:rsidR="00212568" w:rsidRDefault="00212568" w:rsidP="00A11E70">
      <w:r>
        <w:t xml:space="preserve">Spontaneous behaviour was tested once at both 60 and 120 days of age in 12 mice/group during 3 consecutive days as previously described (Eriksson </w:t>
      </w:r>
      <w:r w:rsidRPr="0058670C">
        <w:rPr>
          <w:i/>
        </w:rPr>
        <w:t>et al</w:t>
      </w:r>
      <w:r w:rsidR="00120920">
        <w:rPr>
          <w:i/>
        </w:rPr>
        <w:t>,</w:t>
      </w:r>
      <w:r>
        <w:t xml:space="preserve"> 1990; 1991a,b; 1992). A concurrent group of mice that received 0.36 mg/kg bw paraquat at 10 and 11 days of age were also tested for behaviour on day 18. Motor activity was measured over 3 x 20 minute intervals in an automated device as previously described (Eriksson </w:t>
      </w:r>
      <w:r w:rsidRPr="0058670C">
        <w:rPr>
          <w:i/>
        </w:rPr>
        <w:t>et al</w:t>
      </w:r>
      <w:r w:rsidR="00120920">
        <w:rPr>
          <w:i/>
        </w:rPr>
        <w:t>,</w:t>
      </w:r>
      <w:r>
        <w:t xml:space="preserve"> 1992). Eight of the 12 mice/group used for the behavioural studies were sacrificed by decapitation </w:t>
      </w:r>
      <w:r w:rsidR="008F4BAA">
        <w:t>at 125 days of age</w:t>
      </w:r>
      <w:r>
        <w:t xml:space="preserve">, and striatal concentrations of </w:t>
      </w:r>
      <w:r w:rsidR="00A4092E">
        <w:t>DA</w:t>
      </w:r>
      <w:r>
        <w:t xml:space="preserve">, DOPAC, HVA, </w:t>
      </w:r>
      <w:r w:rsidR="001875D7">
        <w:t>5-HT</w:t>
      </w:r>
      <w:r>
        <w:t xml:space="preserve"> and 5-HIAA were analysed by HPLC.</w:t>
      </w:r>
    </w:p>
    <w:p w14:paraId="5817CDAA" w14:textId="77777777" w:rsidR="00212568" w:rsidRDefault="00212568" w:rsidP="00A11E70"/>
    <w:p w14:paraId="2439D2E5" w14:textId="77777777" w:rsidR="00212568" w:rsidRDefault="00212568" w:rsidP="00A11E70">
      <w:r>
        <w:t>No signs of acute toxicity or differences in body weight gain were observed in any of the paraquat- or MPTP-treated mice, although no supporting data were provided to substantiate these findings. No treatment-related effect on spontaneous behaviour was observed at 18 days of age in mice given 0.36 mg/kg bw paraquat. At 60 days of age, marked hypoactivity was observed in mice at both 0.07 and 0.36 mg/kg bw paraquat (and 0.3 or 20 mg/kg bw MPTP). Paraquat-treated mice exhibited a statistically significant decrease (p&lt;0.01, split-plot ANOVA) in locomotion, rearing and total activity during the first 20 min</w:t>
      </w:r>
      <w:r w:rsidR="008F4BAA">
        <w:t>ute</w:t>
      </w:r>
      <w:r>
        <w:t xml:space="preserve"> period. During the second 20 min</w:t>
      </w:r>
      <w:r w:rsidR="008F4BAA">
        <w:t>ute</w:t>
      </w:r>
      <w:r>
        <w:t xml:space="preserve"> period, locomotion (p&lt;0.05-0.01, split-plot ANOVA) and total activity (p&lt; 0.01, split-plot ANOVA), but not rearing, were still significantly lower than the control. During the third 20 min</w:t>
      </w:r>
      <w:r w:rsidR="008F4BAA">
        <w:t>ute</w:t>
      </w:r>
      <w:r>
        <w:t xml:space="preserve"> period only total activity in the 0.36 mg/kg bw group was higher (p&lt;0.05, split-plot ANOVA) than the control. This hypoactivity persisted and appeared more pronounced at 120 days with locomotion and total activity significantly lower (p&lt;0.01, split-plot ANOVA) than the control over the first and second 20 min</w:t>
      </w:r>
      <w:r w:rsidR="008F4BAA">
        <w:t>ute</w:t>
      </w:r>
      <w:r>
        <w:t xml:space="preserve"> periods for both doses of paraquat. Rearing </w:t>
      </w:r>
      <w:r>
        <w:lastRenderedPageBreak/>
        <w:t>was significantly lower at both 0.07 and 0.36 mg/kg bw than the control (p&lt;0.01, split-plot ANOVA) over the 3 x 20 min</w:t>
      </w:r>
      <w:r w:rsidR="008F4BAA">
        <w:t>ute</w:t>
      </w:r>
      <w:r>
        <w:t xml:space="preserve"> periods. </w:t>
      </w:r>
    </w:p>
    <w:p w14:paraId="595C5064" w14:textId="77777777" w:rsidR="00212568" w:rsidRDefault="00212568" w:rsidP="00A11E70"/>
    <w:p w14:paraId="4584E4D2" w14:textId="1376D734" w:rsidR="00212568" w:rsidRDefault="00212568" w:rsidP="00A11E70">
      <w:r>
        <w:t xml:space="preserve">There was a dose-related depression in striatal </w:t>
      </w:r>
      <w:r w:rsidR="00A4092E">
        <w:t>DA</w:t>
      </w:r>
      <w:r>
        <w:t xml:space="preserve">, DOPAC and HVA in paraquat-treated mice (see </w:t>
      </w:r>
      <w:r w:rsidR="003A31EB">
        <w:fldChar w:fldCharType="begin"/>
      </w:r>
      <w:r w:rsidR="003A31EB">
        <w:instrText xml:space="preserve"> REF _Ref</w:instrText>
      </w:r>
      <w:r w:rsidR="003A31EB">
        <w:instrText xml:space="preserve">459038084 </w:instrText>
      </w:r>
      <w:r w:rsidR="003A31EB">
        <w:fldChar w:fldCharType="separate"/>
      </w:r>
      <w:r w:rsidR="000E54B2">
        <w:t xml:space="preserve">Table </w:t>
      </w:r>
      <w:r w:rsidR="000E54B2">
        <w:rPr>
          <w:noProof/>
        </w:rPr>
        <w:t>28</w:t>
      </w:r>
      <w:r w:rsidR="003A31EB">
        <w:rPr>
          <w:noProof/>
        </w:rPr>
        <w:fldChar w:fldCharType="end"/>
      </w:r>
      <w:r w:rsidR="00C31A63">
        <w:t xml:space="preserve"> </w:t>
      </w:r>
      <w:r w:rsidR="003A31EB">
        <w:fldChar w:fldCharType="begin"/>
      </w:r>
      <w:r w:rsidR="003A31EB">
        <w:instrText xml:space="preserve"> REF _Ref459038093 \p </w:instrText>
      </w:r>
      <w:r w:rsidR="003A31EB">
        <w:fldChar w:fldCharType="separate"/>
      </w:r>
      <w:r w:rsidR="000E54B2">
        <w:t>below</w:t>
      </w:r>
      <w:r w:rsidR="003A31EB">
        <w:fldChar w:fldCharType="end"/>
      </w:r>
      <w:r>
        <w:t xml:space="preserve">). At 0.07 mg/kg bw, only the depression in HVA was statistically lower than the control (p&lt;0.01, 1-way ANOVA). At 0.36 mg/kg bw, the levels of DOPAC and HVA were statistically lower than the control (p&lt;0.01, 1-way ANOVA), while the level of </w:t>
      </w:r>
      <w:r w:rsidR="00A4092E">
        <w:t>DA</w:t>
      </w:r>
      <w:r>
        <w:t xml:space="preserve"> was statistically lower (p&lt;0.01, 1-way ANOVA) than all other groups (including the control). There was no paraquat-related effect on the levels of </w:t>
      </w:r>
      <w:r w:rsidR="001875D7">
        <w:t>5-HT</w:t>
      </w:r>
      <w:r>
        <w:t xml:space="preserve"> or 5-HIAA. MPTP also caused a concentration-related depression in striatal </w:t>
      </w:r>
      <w:r w:rsidR="00A4092E">
        <w:t>DA</w:t>
      </w:r>
      <w:r>
        <w:t xml:space="preserve">, DOPAC and HVA while </w:t>
      </w:r>
      <w:r w:rsidR="001875D7">
        <w:t>5-HT</w:t>
      </w:r>
      <w:r>
        <w:t xml:space="preserve"> and 5-HIAA levels were unaffecte</w:t>
      </w:r>
      <w:r w:rsidR="00C31A63">
        <w:t>d by treatment</w:t>
      </w:r>
      <w:r>
        <w:t xml:space="preserve">. The concentration of </w:t>
      </w:r>
      <w:r w:rsidR="00A4092E">
        <w:t>DA</w:t>
      </w:r>
      <w:r>
        <w:t xml:space="preserve"> was statistically lower than the control at both 0.30 and 20 mg/kg bw, while DOPAC and HVA were significantly lower than the control </w:t>
      </w:r>
      <w:r w:rsidR="00C31A63">
        <w:t>at 20 mg/kg bw</w:t>
      </w:r>
      <w:r>
        <w:t>.</w:t>
      </w:r>
    </w:p>
    <w:p w14:paraId="164B13A0" w14:textId="77777777" w:rsidR="00212568" w:rsidRDefault="00212568" w:rsidP="00A11E70">
      <w:pPr>
        <w:pStyle w:val="BodyText2"/>
      </w:pPr>
    </w:p>
    <w:p w14:paraId="593C919A" w14:textId="77777777" w:rsidR="001B5DD8" w:rsidRDefault="001B5DD8" w:rsidP="009D0D8F">
      <w:pPr>
        <w:pStyle w:val="Caption"/>
        <w:keepNext/>
        <w:spacing w:after="120"/>
      </w:pPr>
      <w:bookmarkStart w:id="114" w:name="_Ref459038084"/>
      <w:bookmarkStart w:id="115" w:name="_Ref459038093"/>
      <w:r>
        <w:t xml:space="preserve">Table </w:t>
      </w:r>
      <w:r w:rsidR="00897462">
        <w:fldChar w:fldCharType="begin"/>
      </w:r>
      <w:r>
        <w:instrText xml:space="preserve"> SEQ Table \* ARABIC </w:instrText>
      </w:r>
      <w:r w:rsidR="00897462">
        <w:fldChar w:fldCharType="separate"/>
      </w:r>
      <w:r w:rsidR="000E54B2">
        <w:rPr>
          <w:noProof/>
        </w:rPr>
        <w:t>28</w:t>
      </w:r>
      <w:r w:rsidR="00897462">
        <w:fldChar w:fldCharType="end"/>
      </w:r>
      <w:bookmarkEnd w:id="114"/>
      <w:r>
        <w:t xml:space="preserve">. </w:t>
      </w:r>
      <w:r w:rsidR="00A4092E">
        <w:t>DA</w:t>
      </w:r>
      <w:r w:rsidRPr="00A93686">
        <w:t xml:space="preserve">, </w:t>
      </w:r>
      <w:r w:rsidR="001875D7">
        <w:t>5-HT</w:t>
      </w:r>
      <w:r w:rsidRPr="00A93686">
        <w:t xml:space="preserve"> and metabolite levels in male mice neonatally exposed to paraquat or MPTP</w:t>
      </w:r>
      <w:bookmarkEnd w:id="11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271"/>
        <w:gridCol w:w="1540"/>
        <w:gridCol w:w="1540"/>
        <w:gridCol w:w="1540"/>
        <w:gridCol w:w="1480"/>
      </w:tblGrid>
      <w:tr w:rsidR="00212568" w14:paraId="476F66EB" w14:textId="77777777" w:rsidTr="00212568">
        <w:tc>
          <w:tcPr>
            <w:tcW w:w="1701" w:type="dxa"/>
            <w:vAlign w:val="center"/>
          </w:tcPr>
          <w:p w14:paraId="03AAAECB" w14:textId="77777777" w:rsidR="00212568" w:rsidRDefault="00212568" w:rsidP="00212568">
            <w:pPr>
              <w:rPr>
                <w:b/>
                <w:sz w:val="20"/>
              </w:rPr>
            </w:pPr>
            <w:r>
              <w:rPr>
                <w:b/>
                <w:sz w:val="20"/>
              </w:rPr>
              <w:t>Neurochemical</w:t>
            </w:r>
          </w:p>
        </w:tc>
        <w:tc>
          <w:tcPr>
            <w:tcW w:w="1271" w:type="dxa"/>
            <w:vAlign w:val="center"/>
          </w:tcPr>
          <w:p w14:paraId="46006029" w14:textId="77777777" w:rsidR="00212568" w:rsidRDefault="00212568" w:rsidP="00212568">
            <w:pPr>
              <w:jc w:val="center"/>
              <w:rPr>
                <w:b/>
                <w:sz w:val="20"/>
              </w:rPr>
            </w:pPr>
            <w:r>
              <w:rPr>
                <w:b/>
                <w:sz w:val="20"/>
              </w:rPr>
              <w:t>Control</w:t>
            </w:r>
          </w:p>
        </w:tc>
        <w:tc>
          <w:tcPr>
            <w:tcW w:w="1540" w:type="dxa"/>
          </w:tcPr>
          <w:p w14:paraId="1775EA80" w14:textId="77777777" w:rsidR="00212568" w:rsidRDefault="00212568" w:rsidP="00212568">
            <w:pPr>
              <w:jc w:val="center"/>
              <w:rPr>
                <w:b/>
                <w:sz w:val="20"/>
              </w:rPr>
            </w:pPr>
            <w:r>
              <w:rPr>
                <w:b/>
                <w:sz w:val="20"/>
              </w:rPr>
              <w:t>Paraquat</w:t>
            </w:r>
          </w:p>
          <w:p w14:paraId="21B1EFAB" w14:textId="77777777" w:rsidR="00212568" w:rsidRDefault="00212568" w:rsidP="00212568">
            <w:pPr>
              <w:jc w:val="center"/>
              <w:rPr>
                <w:b/>
                <w:sz w:val="20"/>
              </w:rPr>
            </w:pPr>
            <w:r>
              <w:rPr>
                <w:b/>
                <w:sz w:val="20"/>
              </w:rPr>
              <w:t>0.07 mg/kg bw</w:t>
            </w:r>
          </w:p>
        </w:tc>
        <w:tc>
          <w:tcPr>
            <w:tcW w:w="1540" w:type="dxa"/>
          </w:tcPr>
          <w:p w14:paraId="42442B51" w14:textId="77777777" w:rsidR="00212568" w:rsidRDefault="00212568" w:rsidP="00212568">
            <w:pPr>
              <w:jc w:val="center"/>
              <w:rPr>
                <w:b/>
                <w:sz w:val="20"/>
              </w:rPr>
            </w:pPr>
            <w:r>
              <w:rPr>
                <w:b/>
                <w:sz w:val="20"/>
              </w:rPr>
              <w:t>Paraquat</w:t>
            </w:r>
          </w:p>
          <w:p w14:paraId="4C3EA51B" w14:textId="77777777" w:rsidR="00212568" w:rsidRDefault="00212568" w:rsidP="00212568">
            <w:pPr>
              <w:jc w:val="center"/>
              <w:rPr>
                <w:b/>
                <w:sz w:val="20"/>
              </w:rPr>
            </w:pPr>
            <w:r>
              <w:rPr>
                <w:b/>
                <w:sz w:val="20"/>
              </w:rPr>
              <w:t>0.36 mg/kg bw</w:t>
            </w:r>
          </w:p>
        </w:tc>
        <w:tc>
          <w:tcPr>
            <w:tcW w:w="1540" w:type="dxa"/>
          </w:tcPr>
          <w:p w14:paraId="1A50DF1E" w14:textId="77777777" w:rsidR="00212568" w:rsidRDefault="00212568" w:rsidP="00212568">
            <w:pPr>
              <w:jc w:val="center"/>
              <w:rPr>
                <w:b/>
                <w:sz w:val="20"/>
              </w:rPr>
            </w:pPr>
            <w:r>
              <w:rPr>
                <w:b/>
                <w:sz w:val="20"/>
              </w:rPr>
              <w:t>MPTP</w:t>
            </w:r>
          </w:p>
          <w:p w14:paraId="2B8C415D" w14:textId="77777777" w:rsidR="00212568" w:rsidRDefault="00212568" w:rsidP="00212568">
            <w:pPr>
              <w:jc w:val="center"/>
              <w:rPr>
                <w:b/>
                <w:sz w:val="20"/>
              </w:rPr>
            </w:pPr>
            <w:r>
              <w:rPr>
                <w:b/>
                <w:sz w:val="20"/>
              </w:rPr>
              <w:t>0.30 mg/kg bw</w:t>
            </w:r>
          </w:p>
        </w:tc>
        <w:tc>
          <w:tcPr>
            <w:tcW w:w="1480" w:type="dxa"/>
          </w:tcPr>
          <w:p w14:paraId="3EB460DB" w14:textId="77777777" w:rsidR="00212568" w:rsidRDefault="00212568" w:rsidP="00212568">
            <w:pPr>
              <w:jc w:val="center"/>
              <w:rPr>
                <w:b/>
                <w:sz w:val="20"/>
              </w:rPr>
            </w:pPr>
            <w:r>
              <w:rPr>
                <w:b/>
                <w:sz w:val="20"/>
              </w:rPr>
              <w:t>MPTP</w:t>
            </w:r>
          </w:p>
          <w:p w14:paraId="28F483C2" w14:textId="77777777" w:rsidR="00212568" w:rsidRDefault="00212568" w:rsidP="00212568">
            <w:pPr>
              <w:jc w:val="center"/>
              <w:rPr>
                <w:b/>
                <w:sz w:val="20"/>
              </w:rPr>
            </w:pPr>
            <w:r>
              <w:rPr>
                <w:b/>
                <w:sz w:val="20"/>
              </w:rPr>
              <w:t>20 mg/kg bw</w:t>
            </w:r>
          </w:p>
        </w:tc>
      </w:tr>
      <w:tr w:rsidR="00212568" w14:paraId="20E6F032" w14:textId="77777777" w:rsidTr="00212568">
        <w:tc>
          <w:tcPr>
            <w:tcW w:w="1701" w:type="dxa"/>
          </w:tcPr>
          <w:p w14:paraId="17CC1D1D" w14:textId="77777777" w:rsidR="00212568" w:rsidRDefault="00A4092E" w:rsidP="00212568">
            <w:pPr>
              <w:rPr>
                <w:sz w:val="20"/>
              </w:rPr>
            </w:pPr>
            <w:r>
              <w:rPr>
                <w:sz w:val="20"/>
              </w:rPr>
              <w:t>DA</w:t>
            </w:r>
          </w:p>
        </w:tc>
        <w:tc>
          <w:tcPr>
            <w:tcW w:w="1271" w:type="dxa"/>
          </w:tcPr>
          <w:p w14:paraId="0C85AFEA" w14:textId="77777777" w:rsidR="00212568" w:rsidRDefault="00212568" w:rsidP="00212568">
            <w:pPr>
              <w:jc w:val="center"/>
              <w:rPr>
                <w:sz w:val="20"/>
              </w:rPr>
            </w:pPr>
            <w:r>
              <w:rPr>
                <w:sz w:val="20"/>
              </w:rPr>
              <w:t xml:space="preserve">10.68 </w:t>
            </w:r>
            <w:r>
              <w:rPr>
                <w:sz w:val="20"/>
                <w:u w:val="single"/>
              </w:rPr>
              <w:t>+</w:t>
            </w:r>
            <w:r>
              <w:rPr>
                <w:sz w:val="20"/>
              </w:rPr>
              <w:t xml:space="preserve"> 0.45</w:t>
            </w:r>
          </w:p>
        </w:tc>
        <w:tc>
          <w:tcPr>
            <w:tcW w:w="1540" w:type="dxa"/>
          </w:tcPr>
          <w:p w14:paraId="7FBA5755" w14:textId="77777777" w:rsidR="00212568" w:rsidRDefault="00212568" w:rsidP="00212568">
            <w:pPr>
              <w:jc w:val="center"/>
              <w:rPr>
                <w:sz w:val="20"/>
              </w:rPr>
            </w:pPr>
            <w:r>
              <w:rPr>
                <w:sz w:val="20"/>
              </w:rPr>
              <w:t xml:space="preserve">9.90 </w:t>
            </w:r>
            <w:r>
              <w:rPr>
                <w:sz w:val="20"/>
                <w:u w:val="single"/>
              </w:rPr>
              <w:t>+</w:t>
            </w:r>
            <w:r>
              <w:rPr>
                <w:sz w:val="20"/>
              </w:rPr>
              <w:t xml:space="preserve"> 0.44</w:t>
            </w:r>
          </w:p>
        </w:tc>
        <w:tc>
          <w:tcPr>
            <w:tcW w:w="1540" w:type="dxa"/>
          </w:tcPr>
          <w:p w14:paraId="2AB541FB" w14:textId="77777777" w:rsidR="00212568" w:rsidRDefault="00212568" w:rsidP="00212568">
            <w:pPr>
              <w:jc w:val="center"/>
              <w:rPr>
                <w:sz w:val="20"/>
              </w:rPr>
            </w:pPr>
            <w:r>
              <w:rPr>
                <w:sz w:val="20"/>
              </w:rPr>
              <w:t xml:space="preserve">7.81 </w:t>
            </w:r>
            <w:r>
              <w:rPr>
                <w:sz w:val="20"/>
                <w:u w:val="single"/>
              </w:rPr>
              <w:t>+</w:t>
            </w:r>
            <w:r>
              <w:rPr>
                <w:sz w:val="20"/>
              </w:rPr>
              <w:t xml:space="preserve"> 0.25 *</w:t>
            </w:r>
          </w:p>
        </w:tc>
        <w:tc>
          <w:tcPr>
            <w:tcW w:w="1540" w:type="dxa"/>
          </w:tcPr>
          <w:p w14:paraId="06B0F575" w14:textId="77777777" w:rsidR="00212568" w:rsidRDefault="00212568" w:rsidP="00212568">
            <w:pPr>
              <w:jc w:val="center"/>
              <w:rPr>
                <w:sz w:val="20"/>
              </w:rPr>
            </w:pPr>
            <w:r>
              <w:rPr>
                <w:sz w:val="20"/>
              </w:rPr>
              <w:t xml:space="preserve">8.71 </w:t>
            </w:r>
            <w:r>
              <w:rPr>
                <w:sz w:val="20"/>
                <w:u w:val="single"/>
              </w:rPr>
              <w:t>+</w:t>
            </w:r>
            <w:r>
              <w:rPr>
                <w:sz w:val="20"/>
              </w:rPr>
              <w:t xml:space="preserve"> 0.27 *</w:t>
            </w:r>
          </w:p>
        </w:tc>
        <w:tc>
          <w:tcPr>
            <w:tcW w:w="1480" w:type="dxa"/>
          </w:tcPr>
          <w:p w14:paraId="4DC5309E" w14:textId="77777777" w:rsidR="00212568" w:rsidRDefault="00212568" w:rsidP="00212568">
            <w:pPr>
              <w:jc w:val="center"/>
              <w:rPr>
                <w:sz w:val="20"/>
              </w:rPr>
            </w:pPr>
            <w:r>
              <w:rPr>
                <w:sz w:val="20"/>
              </w:rPr>
              <w:t xml:space="preserve">6.40 </w:t>
            </w:r>
            <w:r>
              <w:rPr>
                <w:sz w:val="20"/>
                <w:u w:val="single"/>
              </w:rPr>
              <w:t>+</w:t>
            </w:r>
            <w:r>
              <w:rPr>
                <w:sz w:val="20"/>
              </w:rPr>
              <w:t xml:space="preserve"> 0.25 *</w:t>
            </w:r>
          </w:p>
        </w:tc>
      </w:tr>
      <w:tr w:rsidR="00212568" w14:paraId="26ECC9A4" w14:textId="77777777" w:rsidTr="00212568">
        <w:tc>
          <w:tcPr>
            <w:tcW w:w="1701" w:type="dxa"/>
          </w:tcPr>
          <w:p w14:paraId="56997CFD" w14:textId="77777777" w:rsidR="00212568" w:rsidRDefault="00212568" w:rsidP="00212568">
            <w:pPr>
              <w:rPr>
                <w:sz w:val="20"/>
              </w:rPr>
            </w:pPr>
            <w:r>
              <w:rPr>
                <w:sz w:val="20"/>
              </w:rPr>
              <w:t>DOPAC</w:t>
            </w:r>
          </w:p>
        </w:tc>
        <w:tc>
          <w:tcPr>
            <w:tcW w:w="1271" w:type="dxa"/>
          </w:tcPr>
          <w:p w14:paraId="595CD30B" w14:textId="77777777" w:rsidR="00212568" w:rsidRDefault="00212568" w:rsidP="00212568">
            <w:pPr>
              <w:jc w:val="center"/>
              <w:rPr>
                <w:sz w:val="20"/>
              </w:rPr>
            </w:pPr>
            <w:r>
              <w:rPr>
                <w:sz w:val="20"/>
              </w:rPr>
              <w:t xml:space="preserve">2.16 </w:t>
            </w:r>
            <w:r>
              <w:rPr>
                <w:sz w:val="20"/>
                <w:u w:val="single"/>
              </w:rPr>
              <w:t>+</w:t>
            </w:r>
            <w:r>
              <w:rPr>
                <w:sz w:val="20"/>
              </w:rPr>
              <w:t xml:space="preserve"> 0.16</w:t>
            </w:r>
          </w:p>
        </w:tc>
        <w:tc>
          <w:tcPr>
            <w:tcW w:w="1540" w:type="dxa"/>
          </w:tcPr>
          <w:p w14:paraId="591944BB" w14:textId="77777777" w:rsidR="00212568" w:rsidRDefault="00212568" w:rsidP="00212568">
            <w:pPr>
              <w:jc w:val="center"/>
              <w:rPr>
                <w:sz w:val="20"/>
              </w:rPr>
            </w:pPr>
            <w:r>
              <w:rPr>
                <w:sz w:val="20"/>
              </w:rPr>
              <w:t xml:space="preserve">1.75 </w:t>
            </w:r>
            <w:r>
              <w:rPr>
                <w:sz w:val="20"/>
                <w:u w:val="single"/>
              </w:rPr>
              <w:t>+</w:t>
            </w:r>
            <w:r>
              <w:rPr>
                <w:sz w:val="20"/>
              </w:rPr>
              <w:t xml:space="preserve"> 0.11</w:t>
            </w:r>
          </w:p>
        </w:tc>
        <w:tc>
          <w:tcPr>
            <w:tcW w:w="1540" w:type="dxa"/>
          </w:tcPr>
          <w:p w14:paraId="396E9DD0" w14:textId="77777777" w:rsidR="00212568" w:rsidRDefault="00212568" w:rsidP="00212568">
            <w:pPr>
              <w:jc w:val="center"/>
              <w:rPr>
                <w:sz w:val="20"/>
              </w:rPr>
            </w:pPr>
            <w:r>
              <w:rPr>
                <w:sz w:val="20"/>
              </w:rPr>
              <w:t xml:space="preserve">1.55 </w:t>
            </w:r>
            <w:r>
              <w:rPr>
                <w:sz w:val="20"/>
                <w:u w:val="single"/>
              </w:rPr>
              <w:t>+</w:t>
            </w:r>
            <w:r>
              <w:rPr>
                <w:sz w:val="20"/>
              </w:rPr>
              <w:t xml:space="preserve"> 0.10 *</w:t>
            </w:r>
          </w:p>
        </w:tc>
        <w:tc>
          <w:tcPr>
            <w:tcW w:w="1540" w:type="dxa"/>
          </w:tcPr>
          <w:p w14:paraId="63A91345" w14:textId="77777777" w:rsidR="00212568" w:rsidRDefault="00212568" w:rsidP="00212568">
            <w:pPr>
              <w:jc w:val="center"/>
              <w:rPr>
                <w:sz w:val="20"/>
              </w:rPr>
            </w:pPr>
            <w:r>
              <w:rPr>
                <w:sz w:val="20"/>
              </w:rPr>
              <w:t xml:space="preserve">1.66 </w:t>
            </w:r>
            <w:r>
              <w:rPr>
                <w:sz w:val="20"/>
                <w:u w:val="single"/>
              </w:rPr>
              <w:t>+</w:t>
            </w:r>
            <w:r>
              <w:rPr>
                <w:sz w:val="20"/>
              </w:rPr>
              <w:t xml:space="preserve"> 0.08</w:t>
            </w:r>
          </w:p>
        </w:tc>
        <w:tc>
          <w:tcPr>
            <w:tcW w:w="1480" w:type="dxa"/>
          </w:tcPr>
          <w:p w14:paraId="68552EAE" w14:textId="77777777" w:rsidR="00212568" w:rsidRDefault="00212568" w:rsidP="00212568">
            <w:pPr>
              <w:jc w:val="center"/>
              <w:rPr>
                <w:sz w:val="20"/>
              </w:rPr>
            </w:pPr>
            <w:r>
              <w:rPr>
                <w:sz w:val="20"/>
              </w:rPr>
              <w:t xml:space="preserve">1.16 </w:t>
            </w:r>
            <w:r>
              <w:rPr>
                <w:sz w:val="20"/>
                <w:u w:val="single"/>
              </w:rPr>
              <w:t>+</w:t>
            </w:r>
            <w:r>
              <w:rPr>
                <w:sz w:val="20"/>
              </w:rPr>
              <w:t xml:space="preserve"> 0.10 *</w:t>
            </w:r>
          </w:p>
        </w:tc>
      </w:tr>
      <w:tr w:rsidR="00212568" w14:paraId="2DB36FDF" w14:textId="77777777" w:rsidTr="00212568">
        <w:tc>
          <w:tcPr>
            <w:tcW w:w="1701" w:type="dxa"/>
          </w:tcPr>
          <w:p w14:paraId="650058CA" w14:textId="77777777" w:rsidR="00212568" w:rsidRDefault="00212568" w:rsidP="00212568">
            <w:pPr>
              <w:rPr>
                <w:sz w:val="20"/>
              </w:rPr>
            </w:pPr>
            <w:r>
              <w:rPr>
                <w:sz w:val="20"/>
              </w:rPr>
              <w:t>HVA</w:t>
            </w:r>
          </w:p>
        </w:tc>
        <w:tc>
          <w:tcPr>
            <w:tcW w:w="1271" w:type="dxa"/>
          </w:tcPr>
          <w:p w14:paraId="595B30C5" w14:textId="77777777" w:rsidR="00212568" w:rsidRDefault="00212568" w:rsidP="00212568">
            <w:pPr>
              <w:jc w:val="center"/>
              <w:rPr>
                <w:sz w:val="20"/>
              </w:rPr>
            </w:pPr>
            <w:r>
              <w:rPr>
                <w:sz w:val="20"/>
              </w:rPr>
              <w:t xml:space="preserve">1.67 </w:t>
            </w:r>
            <w:r>
              <w:rPr>
                <w:sz w:val="20"/>
                <w:u w:val="single"/>
              </w:rPr>
              <w:t>+</w:t>
            </w:r>
            <w:r>
              <w:rPr>
                <w:sz w:val="20"/>
              </w:rPr>
              <w:t xml:space="preserve"> 0.06</w:t>
            </w:r>
          </w:p>
        </w:tc>
        <w:tc>
          <w:tcPr>
            <w:tcW w:w="1540" w:type="dxa"/>
          </w:tcPr>
          <w:p w14:paraId="1A6AEB48" w14:textId="77777777" w:rsidR="00212568" w:rsidRDefault="00212568" w:rsidP="00212568">
            <w:pPr>
              <w:jc w:val="center"/>
              <w:rPr>
                <w:sz w:val="20"/>
              </w:rPr>
            </w:pPr>
            <w:r>
              <w:rPr>
                <w:sz w:val="20"/>
              </w:rPr>
              <w:t xml:space="preserve">1.04 </w:t>
            </w:r>
            <w:r>
              <w:rPr>
                <w:sz w:val="20"/>
                <w:u w:val="single"/>
              </w:rPr>
              <w:t>+</w:t>
            </w:r>
            <w:r>
              <w:rPr>
                <w:sz w:val="20"/>
              </w:rPr>
              <w:t xml:space="preserve"> 0.04 *</w:t>
            </w:r>
          </w:p>
        </w:tc>
        <w:tc>
          <w:tcPr>
            <w:tcW w:w="1540" w:type="dxa"/>
          </w:tcPr>
          <w:p w14:paraId="12D0EA59" w14:textId="77777777" w:rsidR="00212568" w:rsidRDefault="00212568" w:rsidP="00212568">
            <w:pPr>
              <w:jc w:val="center"/>
              <w:rPr>
                <w:sz w:val="20"/>
              </w:rPr>
            </w:pPr>
            <w:r>
              <w:rPr>
                <w:sz w:val="20"/>
              </w:rPr>
              <w:t xml:space="preserve">0.98 </w:t>
            </w:r>
            <w:r>
              <w:rPr>
                <w:sz w:val="20"/>
                <w:u w:val="single"/>
              </w:rPr>
              <w:t>+</w:t>
            </w:r>
            <w:r>
              <w:rPr>
                <w:sz w:val="20"/>
              </w:rPr>
              <w:t xml:space="preserve"> 0.04 *</w:t>
            </w:r>
          </w:p>
        </w:tc>
        <w:tc>
          <w:tcPr>
            <w:tcW w:w="1540" w:type="dxa"/>
          </w:tcPr>
          <w:p w14:paraId="73BB0CDB" w14:textId="77777777" w:rsidR="00212568" w:rsidRDefault="00212568" w:rsidP="00212568">
            <w:pPr>
              <w:jc w:val="center"/>
              <w:rPr>
                <w:sz w:val="20"/>
              </w:rPr>
            </w:pPr>
            <w:r>
              <w:rPr>
                <w:sz w:val="20"/>
              </w:rPr>
              <w:t xml:space="preserve">1.48 </w:t>
            </w:r>
            <w:r>
              <w:rPr>
                <w:sz w:val="20"/>
                <w:u w:val="single"/>
              </w:rPr>
              <w:t>+</w:t>
            </w:r>
            <w:r>
              <w:rPr>
                <w:sz w:val="20"/>
              </w:rPr>
              <w:t xml:space="preserve"> 0.03</w:t>
            </w:r>
          </w:p>
        </w:tc>
        <w:tc>
          <w:tcPr>
            <w:tcW w:w="1480" w:type="dxa"/>
          </w:tcPr>
          <w:p w14:paraId="69E9140F" w14:textId="77777777" w:rsidR="00212568" w:rsidRDefault="00212568" w:rsidP="00212568">
            <w:pPr>
              <w:jc w:val="center"/>
              <w:rPr>
                <w:sz w:val="20"/>
              </w:rPr>
            </w:pPr>
            <w:r>
              <w:rPr>
                <w:sz w:val="20"/>
              </w:rPr>
              <w:t xml:space="preserve">0.82 </w:t>
            </w:r>
            <w:r>
              <w:rPr>
                <w:sz w:val="20"/>
                <w:u w:val="single"/>
              </w:rPr>
              <w:t>+</w:t>
            </w:r>
            <w:r>
              <w:rPr>
                <w:sz w:val="20"/>
              </w:rPr>
              <w:t xml:space="preserve"> 0.06 *</w:t>
            </w:r>
          </w:p>
        </w:tc>
      </w:tr>
      <w:tr w:rsidR="00212568" w14:paraId="29A02F68" w14:textId="77777777" w:rsidTr="00212568">
        <w:tc>
          <w:tcPr>
            <w:tcW w:w="1701" w:type="dxa"/>
          </w:tcPr>
          <w:p w14:paraId="57D7917B" w14:textId="77777777" w:rsidR="00212568" w:rsidRDefault="001875D7" w:rsidP="00212568">
            <w:pPr>
              <w:rPr>
                <w:sz w:val="20"/>
              </w:rPr>
            </w:pPr>
            <w:r>
              <w:rPr>
                <w:sz w:val="20"/>
              </w:rPr>
              <w:t>5-HT</w:t>
            </w:r>
          </w:p>
        </w:tc>
        <w:tc>
          <w:tcPr>
            <w:tcW w:w="1271" w:type="dxa"/>
          </w:tcPr>
          <w:p w14:paraId="03F502DD" w14:textId="77777777" w:rsidR="00212568" w:rsidRDefault="00212568" w:rsidP="00212568">
            <w:pPr>
              <w:jc w:val="center"/>
              <w:rPr>
                <w:sz w:val="20"/>
              </w:rPr>
            </w:pPr>
            <w:r>
              <w:rPr>
                <w:sz w:val="20"/>
              </w:rPr>
              <w:t xml:space="preserve">0.41 </w:t>
            </w:r>
            <w:r>
              <w:rPr>
                <w:sz w:val="20"/>
                <w:u w:val="single"/>
              </w:rPr>
              <w:t>+</w:t>
            </w:r>
            <w:r>
              <w:rPr>
                <w:sz w:val="20"/>
              </w:rPr>
              <w:t xml:space="preserve"> 0.02</w:t>
            </w:r>
          </w:p>
        </w:tc>
        <w:tc>
          <w:tcPr>
            <w:tcW w:w="1540" w:type="dxa"/>
          </w:tcPr>
          <w:p w14:paraId="697B9054" w14:textId="77777777" w:rsidR="00212568" w:rsidRDefault="00212568" w:rsidP="00212568">
            <w:pPr>
              <w:jc w:val="center"/>
              <w:rPr>
                <w:sz w:val="20"/>
              </w:rPr>
            </w:pPr>
            <w:r>
              <w:rPr>
                <w:sz w:val="20"/>
              </w:rPr>
              <w:t xml:space="preserve">0.44 </w:t>
            </w:r>
            <w:r>
              <w:rPr>
                <w:sz w:val="20"/>
                <w:u w:val="single"/>
              </w:rPr>
              <w:t>+</w:t>
            </w:r>
            <w:r>
              <w:rPr>
                <w:sz w:val="20"/>
              </w:rPr>
              <w:t xml:space="preserve"> 0.03</w:t>
            </w:r>
          </w:p>
        </w:tc>
        <w:tc>
          <w:tcPr>
            <w:tcW w:w="1540" w:type="dxa"/>
          </w:tcPr>
          <w:p w14:paraId="445CE19F" w14:textId="77777777" w:rsidR="00212568" w:rsidRDefault="00212568" w:rsidP="00212568">
            <w:pPr>
              <w:jc w:val="center"/>
              <w:rPr>
                <w:sz w:val="20"/>
              </w:rPr>
            </w:pPr>
            <w:r>
              <w:rPr>
                <w:sz w:val="20"/>
              </w:rPr>
              <w:t xml:space="preserve">0.47 </w:t>
            </w:r>
            <w:r>
              <w:rPr>
                <w:sz w:val="20"/>
                <w:u w:val="single"/>
              </w:rPr>
              <w:t>+</w:t>
            </w:r>
            <w:r>
              <w:rPr>
                <w:sz w:val="20"/>
              </w:rPr>
              <w:t xml:space="preserve"> 0.05</w:t>
            </w:r>
          </w:p>
        </w:tc>
        <w:tc>
          <w:tcPr>
            <w:tcW w:w="1540" w:type="dxa"/>
          </w:tcPr>
          <w:p w14:paraId="3A487B4F" w14:textId="77777777" w:rsidR="00212568" w:rsidRDefault="00212568" w:rsidP="00212568">
            <w:pPr>
              <w:jc w:val="center"/>
              <w:rPr>
                <w:sz w:val="20"/>
              </w:rPr>
            </w:pPr>
            <w:r>
              <w:rPr>
                <w:sz w:val="20"/>
              </w:rPr>
              <w:t xml:space="preserve">0.44 </w:t>
            </w:r>
            <w:r>
              <w:rPr>
                <w:sz w:val="20"/>
                <w:u w:val="single"/>
              </w:rPr>
              <w:t>+</w:t>
            </w:r>
            <w:r>
              <w:rPr>
                <w:sz w:val="20"/>
              </w:rPr>
              <w:t xml:space="preserve"> 0.02</w:t>
            </w:r>
          </w:p>
        </w:tc>
        <w:tc>
          <w:tcPr>
            <w:tcW w:w="1480" w:type="dxa"/>
          </w:tcPr>
          <w:p w14:paraId="09AF6AC8" w14:textId="77777777" w:rsidR="00212568" w:rsidRDefault="00212568" w:rsidP="00212568">
            <w:pPr>
              <w:jc w:val="center"/>
              <w:rPr>
                <w:sz w:val="20"/>
              </w:rPr>
            </w:pPr>
            <w:r>
              <w:rPr>
                <w:sz w:val="20"/>
              </w:rPr>
              <w:t xml:space="preserve">0.43 </w:t>
            </w:r>
            <w:r>
              <w:rPr>
                <w:sz w:val="20"/>
                <w:u w:val="single"/>
              </w:rPr>
              <w:t>+</w:t>
            </w:r>
            <w:r>
              <w:rPr>
                <w:sz w:val="20"/>
              </w:rPr>
              <w:t xml:space="preserve"> 0.04</w:t>
            </w:r>
          </w:p>
        </w:tc>
      </w:tr>
      <w:tr w:rsidR="00212568" w14:paraId="6B9D06F9" w14:textId="77777777" w:rsidTr="00212568">
        <w:tc>
          <w:tcPr>
            <w:tcW w:w="1701" w:type="dxa"/>
          </w:tcPr>
          <w:p w14:paraId="01477DD4" w14:textId="77777777" w:rsidR="00212568" w:rsidRDefault="00212568" w:rsidP="00212568">
            <w:pPr>
              <w:rPr>
                <w:sz w:val="20"/>
              </w:rPr>
            </w:pPr>
            <w:r>
              <w:rPr>
                <w:sz w:val="20"/>
              </w:rPr>
              <w:t>5-HIAA</w:t>
            </w:r>
          </w:p>
        </w:tc>
        <w:tc>
          <w:tcPr>
            <w:tcW w:w="1271" w:type="dxa"/>
          </w:tcPr>
          <w:p w14:paraId="2EB2E7B6" w14:textId="77777777" w:rsidR="00212568" w:rsidRDefault="00212568" w:rsidP="00212568">
            <w:pPr>
              <w:jc w:val="center"/>
              <w:rPr>
                <w:sz w:val="20"/>
              </w:rPr>
            </w:pPr>
            <w:r>
              <w:rPr>
                <w:sz w:val="20"/>
              </w:rPr>
              <w:t xml:space="preserve">0.45 </w:t>
            </w:r>
            <w:r>
              <w:rPr>
                <w:sz w:val="20"/>
                <w:u w:val="single"/>
              </w:rPr>
              <w:t>+</w:t>
            </w:r>
            <w:r>
              <w:rPr>
                <w:sz w:val="20"/>
              </w:rPr>
              <w:t xml:space="preserve"> 0.01</w:t>
            </w:r>
          </w:p>
        </w:tc>
        <w:tc>
          <w:tcPr>
            <w:tcW w:w="1540" w:type="dxa"/>
          </w:tcPr>
          <w:p w14:paraId="207005B7" w14:textId="77777777" w:rsidR="00212568" w:rsidRDefault="00212568" w:rsidP="00212568">
            <w:pPr>
              <w:jc w:val="center"/>
              <w:rPr>
                <w:sz w:val="20"/>
              </w:rPr>
            </w:pPr>
            <w:r>
              <w:rPr>
                <w:sz w:val="20"/>
              </w:rPr>
              <w:t xml:space="preserve">0.50 </w:t>
            </w:r>
            <w:r>
              <w:rPr>
                <w:sz w:val="20"/>
                <w:u w:val="single"/>
              </w:rPr>
              <w:t>+</w:t>
            </w:r>
            <w:r>
              <w:rPr>
                <w:sz w:val="20"/>
              </w:rPr>
              <w:t xml:space="preserve"> 0.02</w:t>
            </w:r>
          </w:p>
        </w:tc>
        <w:tc>
          <w:tcPr>
            <w:tcW w:w="1540" w:type="dxa"/>
          </w:tcPr>
          <w:p w14:paraId="0497FF3C" w14:textId="77777777" w:rsidR="00212568" w:rsidRDefault="00212568" w:rsidP="00212568">
            <w:pPr>
              <w:jc w:val="center"/>
              <w:rPr>
                <w:sz w:val="20"/>
              </w:rPr>
            </w:pPr>
            <w:r>
              <w:rPr>
                <w:sz w:val="20"/>
              </w:rPr>
              <w:t xml:space="preserve">0.50 </w:t>
            </w:r>
            <w:r>
              <w:rPr>
                <w:sz w:val="20"/>
                <w:u w:val="single"/>
              </w:rPr>
              <w:t>+</w:t>
            </w:r>
            <w:r>
              <w:rPr>
                <w:sz w:val="20"/>
              </w:rPr>
              <w:t xml:space="preserve"> 0.03 </w:t>
            </w:r>
          </w:p>
        </w:tc>
        <w:tc>
          <w:tcPr>
            <w:tcW w:w="1540" w:type="dxa"/>
          </w:tcPr>
          <w:p w14:paraId="5627500A" w14:textId="77777777" w:rsidR="00212568" w:rsidRDefault="00212568" w:rsidP="00212568">
            <w:pPr>
              <w:jc w:val="center"/>
              <w:rPr>
                <w:sz w:val="20"/>
              </w:rPr>
            </w:pPr>
            <w:r>
              <w:rPr>
                <w:sz w:val="20"/>
              </w:rPr>
              <w:t xml:space="preserve">0.48 </w:t>
            </w:r>
            <w:r>
              <w:rPr>
                <w:sz w:val="20"/>
                <w:u w:val="single"/>
              </w:rPr>
              <w:t>+</w:t>
            </w:r>
            <w:r>
              <w:rPr>
                <w:sz w:val="20"/>
              </w:rPr>
              <w:t xml:space="preserve"> 0.02</w:t>
            </w:r>
          </w:p>
        </w:tc>
        <w:tc>
          <w:tcPr>
            <w:tcW w:w="1480" w:type="dxa"/>
          </w:tcPr>
          <w:p w14:paraId="3D366A69" w14:textId="77777777" w:rsidR="00212568" w:rsidRDefault="00212568" w:rsidP="00212568">
            <w:pPr>
              <w:jc w:val="center"/>
              <w:rPr>
                <w:sz w:val="20"/>
              </w:rPr>
            </w:pPr>
            <w:r>
              <w:rPr>
                <w:sz w:val="20"/>
              </w:rPr>
              <w:t xml:space="preserve">0.47 </w:t>
            </w:r>
            <w:r>
              <w:rPr>
                <w:sz w:val="20"/>
                <w:u w:val="single"/>
              </w:rPr>
              <w:t>+</w:t>
            </w:r>
            <w:r>
              <w:rPr>
                <w:sz w:val="20"/>
              </w:rPr>
              <w:t xml:space="preserve"> 0.01</w:t>
            </w:r>
          </w:p>
        </w:tc>
      </w:tr>
    </w:tbl>
    <w:p w14:paraId="02216D94" w14:textId="77777777" w:rsidR="00212568" w:rsidRDefault="00212568" w:rsidP="00212568">
      <w:pPr>
        <w:rPr>
          <w:sz w:val="20"/>
        </w:rPr>
      </w:pPr>
      <w:r>
        <w:rPr>
          <w:sz w:val="20"/>
        </w:rPr>
        <w:t xml:space="preserve">Results expressed as the mean </w:t>
      </w:r>
      <w:r>
        <w:rPr>
          <w:sz w:val="20"/>
        </w:rPr>
        <w:sym w:font="Symbol" w:char="F06D"/>
      </w:r>
      <w:r>
        <w:rPr>
          <w:sz w:val="20"/>
        </w:rPr>
        <w:t xml:space="preserve">g/wet weight </w:t>
      </w:r>
      <w:r>
        <w:rPr>
          <w:sz w:val="20"/>
          <w:u w:val="single"/>
        </w:rPr>
        <w:t>+</w:t>
      </w:r>
      <w:r>
        <w:rPr>
          <w:sz w:val="20"/>
        </w:rPr>
        <w:t xml:space="preserve"> SEM (n=8).</w:t>
      </w:r>
    </w:p>
    <w:p w14:paraId="577588A0" w14:textId="77777777" w:rsidR="00212568" w:rsidRDefault="00212568" w:rsidP="00212568"/>
    <w:p w14:paraId="5307555E" w14:textId="77777777" w:rsidR="00212568" w:rsidRDefault="00212568" w:rsidP="009E40A8">
      <w:r>
        <w:t xml:space="preserve">In summary, following neonatal exposure of male C57 black mice to paraquat, neurotoxicity was seen at 0.07 mg/kg bw (equivalent to 0.05 mg/kg bw paraquat cation), the lowest dose tested. Hypoactivity at both 60 and 120 days of age, and a significant depression in the striatal concentration of HVA measured at 125 days of age, were observed at 0.07 and 0.36 mg/kg bw (equivalent to 0.05 and 0.26 mg/kg bw paraquat cation, respectively). At 0.36 mg/kg bw, a significant depression in the striatal concentration of </w:t>
      </w:r>
      <w:r w:rsidR="00A4092E">
        <w:t>DA</w:t>
      </w:r>
      <w:r>
        <w:t xml:space="preserve"> and DOPAC occurred. These observations suggested that neonatal exposure to paraquat induced lasting neurochemical and behavioural changes in mice. Although the study authors concluded that the observed changes were permanent, no behavioural or neurochemical measurements were performed beyond 120 days.</w:t>
      </w:r>
    </w:p>
    <w:p w14:paraId="5B62CF90" w14:textId="77777777" w:rsidR="00212568" w:rsidRPr="002B2CFC" w:rsidRDefault="00212568" w:rsidP="002B2CFC">
      <w:pPr>
        <w:rPr>
          <w:szCs w:val="24"/>
          <w:lang w:val="en-US" w:eastAsia="en-US"/>
        </w:rPr>
      </w:pPr>
    </w:p>
    <w:p w14:paraId="78C1AE09" w14:textId="77777777" w:rsidR="002B2CFC" w:rsidRDefault="002B2CFC" w:rsidP="002B2CFC">
      <w:pPr>
        <w:keepNext/>
        <w:keepLines/>
        <w:spacing w:before="120"/>
        <w:rPr>
          <w:b/>
          <w:szCs w:val="24"/>
          <w:lang w:eastAsia="en-US"/>
        </w:rPr>
      </w:pPr>
      <w:r w:rsidRPr="00C46E43">
        <w:rPr>
          <w:b/>
          <w:szCs w:val="24"/>
          <w:lang w:eastAsia="en-US"/>
        </w:rPr>
        <w:t xml:space="preserve">Brooks AI, Chadwick CA, Gelbard HA, Cory-Slechta DA &amp; Federoff HJ (1999) </w:t>
      </w:r>
      <w:r w:rsidRPr="007D3CB1">
        <w:rPr>
          <w:b/>
          <w:szCs w:val="24"/>
          <w:lang w:eastAsia="en-US"/>
        </w:rPr>
        <w:t>Paraquat</w:t>
      </w:r>
      <w:r w:rsidRPr="002B2CFC">
        <w:rPr>
          <w:b/>
          <w:szCs w:val="24"/>
          <w:lang w:eastAsia="en-US"/>
        </w:rPr>
        <w:t xml:space="preserve"> elicited neurobehavioural syndrome caused by dopaminergic neuron loss.</w:t>
      </w:r>
      <w:r w:rsidRPr="002B2CFC">
        <w:rPr>
          <w:b/>
          <w:i/>
          <w:szCs w:val="24"/>
          <w:lang w:eastAsia="en-US"/>
        </w:rPr>
        <w:t xml:space="preserve"> Brain Res </w:t>
      </w:r>
      <w:r w:rsidRPr="002B2CFC">
        <w:rPr>
          <w:b/>
          <w:szCs w:val="24"/>
          <w:lang w:eastAsia="en-US"/>
        </w:rPr>
        <w:t>823: 1-10.</w:t>
      </w:r>
    </w:p>
    <w:p w14:paraId="13A88BE2" w14:textId="77777777" w:rsidR="00E439AD" w:rsidRPr="002B2CFC" w:rsidRDefault="00E439AD" w:rsidP="002B2CFC">
      <w:pPr>
        <w:keepNext/>
        <w:keepLines/>
        <w:spacing w:before="120"/>
        <w:rPr>
          <w:b/>
          <w:i/>
          <w:szCs w:val="24"/>
          <w:lang w:eastAsia="en-US"/>
        </w:rPr>
      </w:pPr>
    </w:p>
    <w:p w14:paraId="393E9099" w14:textId="77777777" w:rsidR="00212568" w:rsidRDefault="000218BE" w:rsidP="009E40A8">
      <w:pPr>
        <w:rPr>
          <w:szCs w:val="24"/>
          <w:lang w:val="en-US" w:eastAsia="en-US"/>
        </w:rPr>
      </w:pPr>
      <w:r>
        <w:rPr>
          <w:szCs w:val="24"/>
          <w:lang w:val="en-US" w:eastAsia="en-US"/>
        </w:rPr>
        <w:t xml:space="preserve">This </w:t>
      </w:r>
      <w:r w:rsidR="00794F11">
        <w:rPr>
          <w:szCs w:val="24"/>
          <w:lang w:val="en-US" w:eastAsia="en-US"/>
        </w:rPr>
        <w:t>study</w:t>
      </w:r>
      <w:r w:rsidR="00794F11" w:rsidRPr="002B2CFC">
        <w:rPr>
          <w:szCs w:val="24"/>
          <w:lang w:val="en-US" w:eastAsia="en-US"/>
        </w:rPr>
        <w:t xml:space="preserve"> compa</w:t>
      </w:r>
      <w:r w:rsidR="00794F11">
        <w:rPr>
          <w:szCs w:val="24"/>
          <w:lang w:val="en-US" w:eastAsia="en-US"/>
        </w:rPr>
        <w:t>red</w:t>
      </w:r>
      <w:r w:rsidR="002B2CFC" w:rsidRPr="002B2CFC">
        <w:rPr>
          <w:szCs w:val="24"/>
          <w:lang w:val="en-US" w:eastAsia="en-US"/>
        </w:rPr>
        <w:t xml:space="preserve"> the neurotoxicity of paraquat and MPTP</w:t>
      </w:r>
      <w:r>
        <w:rPr>
          <w:szCs w:val="24"/>
          <w:lang w:val="en-US" w:eastAsia="en-US"/>
        </w:rPr>
        <w:t xml:space="preserve"> when administered by intraperitoneal injection.</w:t>
      </w:r>
    </w:p>
    <w:p w14:paraId="303E04D7" w14:textId="77777777" w:rsidR="00B910F6" w:rsidRDefault="00B910F6" w:rsidP="009E40A8">
      <w:pPr>
        <w:rPr>
          <w:szCs w:val="24"/>
          <w:lang w:val="en-US" w:eastAsia="en-US"/>
        </w:rPr>
      </w:pPr>
    </w:p>
    <w:p w14:paraId="564C7BFA" w14:textId="77777777" w:rsidR="00212568" w:rsidRDefault="00212568" w:rsidP="00A11E70">
      <w:r>
        <w:t xml:space="preserve">Paraquat (unspecified purity &amp; batch no.; RBI, Natick, MA, USA) in saline was administered as 3 ip injections to groups (n=6) of adult male C57BL/6J mice (unspecified </w:t>
      </w:r>
      <w:r w:rsidR="008E3EB0">
        <w:t>body weight</w:t>
      </w:r>
      <w:r>
        <w:t xml:space="preserve"> &amp; source) at 0, 5 or 10 mg/kg bw (equivalent to 0, 3.6 and 7.2 mg/kg bw paraquat cation, respectively). Each injection was separated by one week and the dose volume was 0.3 mL. Separate groups of mice (n=6) were given 4 ip injections of MPTP (unspecified purity &amp; batch no.; RBI, Natick, MA, USA) at 0, 10 or 30 mg/kg bw. The first 2 injections were separated by </w:t>
      </w:r>
      <w:r>
        <w:lastRenderedPageBreak/>
        <w:t>16 h, and the 3</w:t>
      </w:r>
      <w:r>
        <w:rPr>
          <w:vertAlign w:val="superscript"/>
        </w:rPr>
        <w:t>rd</w:t>
      </w:r>
      <w:r>
        <w:t xml:space="preserve"> and 4</w:t>
      </w:r>
      <w:r>
        <w:rPr>
          <w:vertAlign w:val="superscript"/>
        </w:rPr>
        <w:t>th</w:t>
      </w:r>
      <w:r>
        <w:t xml:space="preserve"> injections were given 7 days after the first 2 and were also separated by 16 h. No rationale was given for the difference in dosing regimes between paraquat- and MPTP-treated mice. Housing and feeding conditions were unspecified. Unblinded behavioural assessments were performed at 2, 24 and 48 h, beginning one day after the final dose of paraquat and 1 week after the final dose of MPTP. Assessments were made in a sound-proof, dimly lit room and were compared to baseline measurements which had been taken 2 days prior to compound administration. Horizontal, vertical and ambulatory locomotor activities were measured at 5 minute intervals over 60 minutes on a single day.</w:t>
      </w:r>
    </w:p>
    <w:p w14:paraId="4F3D17C9" w14:textId="77777777" w:rsidR="00212568" w:rsidRDefault="00212568" w:rsidP="00A11E70"/>
    <w:p w14:paraId="75C65E6C" w14:textId="77777777" w:rsidR="00212568" w:rsidRDefault="00212568" w:rsidP="00A11E70">
      <w:r>
        <w:t xml:space="preserve">Compound-related damage to neurons of the </w:t>
      </w:r>
      <w:r w:rsidR="00A4092E">
        <w:t>SN</w:t>
      </w:r>
      <w:r>
        <w:t xml:space="preserve"> was assessed using a Fluoro-gold retrograde labelling method or by immunostaining for TH. Fluoro-gold (100 nL; Fluorochrome, Englewood, CO, USA) was stereotactically injected into the striatum of mice under halothane anaesthesia. Mice were allowed to recover for 5 days and then injected with paraquat or MPTP at the doses described above. Following behavioural testing, mice were anaesthetised, their brains removed and immunohistochemically stained for TH. Fluoro-gold and TH positive cells were visualised by fluorescence microscopy and quantified by densitometry. Seven to ten sections were analysed for each group, representing at least 3 mice/group. Cell counts were performed on 80 </w:t>
      </w:r>
      <w:r>
        <w:sym w:font="Symbol" w:char="F06D"/>
      </w:r>
      <w:r>
        <w:t xml:space="preserve">m serial sections from each mouse brain within 24 h of immunohistochemical processing. </w:t>
      </w:r>
    </w:p>
    <w:p w14:paraId="56213E5C" w14:textId="77777777" w:rsidR="00212568" w:rsidRDefault="00212568" w:rsidP="00A11E70"/>
    <w:p w14:paraId="54622344" w14:textId="77777777" w:rsidR="00212568" w:rsidRDefault="00212568" w:rsidP="00A11E70">
      <w:r>
        <w:t xml:space="preserve">The presence/absence of mortalities and clinical signs were unreported. Graphically-presented data illustrated that paraquat or MPTP caused a dose-dependent decrease in Fluoro-gold-labelled cells indicating damage to neurons of the </w:t>
      </w:r>
      <w:r w:rsidR="00A4092E">
        <w:t>SN</w:t>
      </w:r>
      <w:r>
        <w:t>. A 36 and 61% reduction in Fluoro-gold positive cells were observed at 5 and 10 mg/kg bw paraquat, respectively, and these results were statistically significant (p=0.0077, 1-factor ANOVA) relative to the saline control group. Similarly, a 50 and 75% reduction in Fluoro-gold positive cells were observed at 10 and 30 mg/kg bw MPTP, respectively, with both results statistically significant (p=0.0001, 1-factor ANOVA).</w:t>
      </w:r>
    </w:p>
    <w:p w14:paraId="53EFCB5B" w14:textId="77777777" w:rsidR="00212568" w:rsidRDefault="00212568" w:rsidP="00A11E70"/>
    <w:p w14:paraId="3159523A" w14:textId="77777777" w:rsidR="00212568" w:rsidRDefault="00212568" w:rsidP="00A11E70">
      <w:r>
        <w:t xml:space="preserve">Graphically-presented data showed that paraquat </w:t>
      </w:r>
      <w:r w:rsidR="008F4BAA">
        <w:t xml:space="preserve">and </w:t>
      </w:r>
      <w:r>
        <w:t>MPTP caused damage to TH-containing terminals in the striatum. The density of TH-positive cells was significantly reduced by 87 and 94% following treatment with 10 or 20 mg/kg bw paraquat, respectively (p&lt;0.0001, 1-factor ANOVA). Similarly, 76 and 98% reductions in TH-positive cells were observed in mice treated with 10 or 30 mg/kg bw MPTP, respectively, and this result was also statistically significant (p&lt;0.0002 and 0.0001, respectively, 1-factor ANOVA).</w:t>
      </w:r>
    </w:p>
    <w:p w14:paraId="4AB451B0" w14:textId="77777777" w:rsidR="00212568" w:rsidRDefault="00212568" w:rsidP="00A11E70"/>
    <w:p w14:paraId="02AEA5E2" w14:textId="77777777" w:rsidR="00212568" w:rsidRDefault="00212568" w:rsidP="00A11E70">
      <w:r>
        <w:t xml:space="preserve">Graphically-presented data revealed that all groups (including the control) exhibited a decline in ambulatory activity over the first 30 minutes of the assessment period. Over the remaining 30 minutes, control mice showed a relatively stable level of ambulatory activity suggesting that they had acclimatised to the test environment. Mice treated with either dose of paraquat or MPTP exhibited a decrease in ambulatory locomotor activity over the last 30 minutes of the assessment period. The effects of both paraquat and MPTP were significantly different to the control (p=0.003 and 0.0001, respectively, 1-factor ANOVA), with the effect of MPTP marginally greater than the effect of paraquat. Effects on horizontal or vertical (jumping, rearing) locomotor activities were not reported. </w:t>
      </w:r>
    </w:p>
    <w:p w14:paraId="011E7385" w14:textId="77777777" w:rsidR="00212568" w:rsidRDefault="00212568" w:rsidP="00A11E70"/>
    <w:p w14:paraId="08427370" w14:textId="77777777" w:rsidR="00212568" w:rsidRDefault="00212568" w:rsidP="00A11E70">
      <w:r>
        <w:t xml:space="preserve">The major </w:t>
      </w:r>
      <w:r w:rsidR="00FE27C4">
        <w:t xml:space="preserve">limitation </w:t>
      </w:r>
      <w:r>
        <w:t xml:space="preserve">of this study was the limited reporting of the results. Although behavioural measurements were made on three occasions over 48 h, only data for the last (ie 48 h) time </w:t>
      </w:r>
      <w:r>
        <w:lastRenderedPageBreak/>
        <w:t>point was presented. Additionally, the sample size made interpretation of the behavioural findings difficult. The administration of each test compound via different protocols made it difficult to compare the effects of paraquat and MPTP.</w:t>
      </w:r>
    </w:p>
    <w:p w14:paraId="78534A0C" w14:textId="77777777" w:rsidR="002B2CFC" w:rsidRPr="002B2CFC" w:rsidRDefault="002B2CFC" w:rsidP="009E40A8">
      <w:pPr>
        <w:rPr>
          <w:szCs w:val="24"/>
          <w:lang w:eastAsia="en-US"/>
        </w:rPr>
      </w:pPr>
    </w:p>
    <w:p w14:paraId="2E4CAE8B" w14:textId="77777777" w:rsidR="00A41403" w:rsidRDefault="00A41403" w:rsidP="00A11E70">
      <w:pPr>
        <w:pStyle w:val="BodyText"/>
      </w:pPr>
      <w:r w:rsidRPr="00C46E43">
        <w:rPr>
          <w:i w:val="0"/>
        </w:rPr>
        <w:t>Hara S, Iwata N, Kuriiwa F, Kano S, Kawaguchi N &amp; Endo T (1993) Involvement of opioid receptors in shaking behaviour induced by paraquat in rats.</w:t>
      </w:r>
      <w:r>
        <w:t xml:space="preserve"> Pharmacol Toxicol 73: 146-149.</w:t>
      </w:r>
    </w:p>
    <w:p w14:paraId="4ED0E409" w14:textId="77777777" w:rsidR="00A41403" w:rsidRDefault="00A41403" w:rsidP="00A11E70"/>
    <w:p w14:paraId="3EC9096F" w14:textId="77777777" w:rsidR="00A41403" w:rsidRDefault="00A41403" w:rsidP="00A11E70">
      <w:r>
        <w:t xml:space="preserve">Paraquat dichloride (unspecified purity &amp; batch no.; Sigma Chemical Co., St Louis, MO, USA) in sterile saline was injected intraperitoneally into 9 male SD rats/group (Clea Japan Co., Tokyo, Japan) at 0, 30, 50 or 70 mg/kg bw (equivalent to 0, 21.6, 36 and 50.4 mg/kg bw paraquat cation, respectively). Rats were 5-6 weeks old and weighed 170-250 g. In some experiments, 5-6 rats/group were injected with morphine (5 mg/kg bw, ip) or naloxone (1.5 mg/kg bw, ip) 30 and 15 minutes, respectively, prior to paraquat (70 mg/kg bw, ip). Separate groups of rats were given an intracerebroventricular injection of paraquat at 12.9 (n=3) or 25.7 </w:t>
      </w:r>
      <w:r>
        <w:sym w:font="Symbol" w:char="F06D"/>
      </w:r>
      <w:r>
        <w:t xml:space="preserve">g /rat (n=9) in 10 </w:t>
      </w:r>
      <w:r>
        <w:sym w:font="Symbol" w:char="F06D"/>
      </w:r>
      <w:r>
        <w:t xml:space="preserve">L (equivalent to 9.3 and 18.5 </w:t>
      </w:r>
      <w:r>
        <w:sym w:font="Symbol" w:char="F06D"/>
      </w:r>
      <w:r>
        <w:t>g paraquat cation, respectively) over 50-60 seconds using a 26-gauge stainless steel cannula. Control rats (n=6) received an equivalent volume of saline. Rats had previously been stereotaxically implanted with polyethylene guide cannulae under pentobarbital anaesthesia according to the co-ordinates of Paxinos &amp; Watson (</w:t>
      </w:r>
      <w:r w:rsidR="00764726">
        <w:t>1986</w:t>
      </w:r>
      <w:r>
        <w:t xml:space="preserve">). The dose selection for the intracerebroventricular injection was based on the study of De Gori </w:t>
      </w:r>
      <w:r>
        <w:rPr>
          <w:i/>
        </w:rPr>
        <w:t>et al</w:t>
      </w:r>
      <w:r>
        <w:t xml:space="preserve"> (1988).</w:t>
      </w:r>
    </w:p>
    <w:p w14:paraId="417BAAD6" w14:textId="77777777" w:rsidR="00A41403" w:rsidRDefault="00A41403" w:rsidP="00A11E70"/>
    <w:p w14:paraId="4055A078" w14:textId="77777777" w:rsidR="00A41403" w:rsidRDefault="00A41403" w:rsidP="00A11E70">
      <w:r>
        <w:t>Immediately after dosing, rats were placed individually into polycarbonate boxes and observed for 60 minutes at 21-22</w:t>
      </w:r>
      <w:r>
        <w:sym w:font="Symbol" w:char="F0B0"/>
      </w:r>
      <w:r>
        <w:t xml:space="preserve">C. Shaking behaviour was scored as any episode of quick rotational movement of the head, thorax or entire body approximately the spinal axis. All other episodes of non-shaking behaviour were also recorded. Immediately following behavioural observations, rats treated with paraquat </w:t>
      </w:r>
      <w:r>
        <w:rPr>
          <w:u w:val="single"/>
        </w:rPr>
        <w:t>+</w:t>
      </w:r>
      <w:r>
        <w:t xml:space="preserve"> morphine, and the </w:t>
      </w:r>
      <w:r w:rsidR="00794F11">
        <w:t>controls</w:t>
      </w:r>
      <w:r>
        <w:t xml:space="preserve"> were sacrificed and their brains histopathologically examined. The effect of paraquat on brain microvascular permeability was determined by measuring fluorescein uptake according to the method of Koenig </w:t>
      </w:r>
      <w:r>
        <w:rPr>
          <w:i/>
        </w:rPr>
        <w:t>et al</w:t>
      </w:r>
      <w:r>
        <w:t xml:space="preserve"> (1983). Briefly, 1% fluorescein (1 mL/kg bw, iv) was injected 45 minutes after paraquat (70 mg/kg bw, route unspecified) and brains removed 15 minutes later.</w:t>
      </w:r>
    </w:p>
    <w:p w14:paraId="2FF9F56F" w14:textId="77777777" w:rsidR="00A41403" w:rsidRDefault="00A41403" w:rsidP="00A11E70"/>
    <w:p w14:paraId="23497500" w14:textId="3F83C1BF" w:rsidR="00A41403" w:rsidRDefault="00A41403" w:rsidP="00A11E70">
      <w:r>
        <w:t xml:space="preserve">There was a statistically significant, dose-dependent increase in the frequency of shaking behaviour (r=0.998, p&lt;0.001, Pearson’s moment correlation coefficient) following a single ip injection of paraquat (see </w:t>
      </w:r>
      <w:r w:rsidR="00897462">
        <w:fldChar w:fldCharType="begin"/>
      </w:r>
      <w:r w:rsidR="009F7EB6">
        <w:instrText xml:space="preserve"> REF _Ref410221513 \h </w:instrText>
      </w:r>
      <w:r w:rsidR="00897462">
        <w:fldChar w:fldCharType="separate"/>
      </w:r>
      <w:r w:rsidR="000E54B2">
        <w:t xml:space="preserve">Table </w:t>
      </w:r>
      <w:r w:rsidR="000E54B2">
        <w:rPr>
          <w:noProof/>
        </w:rPr>
        <w:t>29</w:t>
      </w:r>
      <w:r w:rsidR="00897462">
        <w:fldChar w:fldCharType="end"/>
      </w:r>
      <w:r>
        <w:t xml:space="preserve"> </w:t>
      </w:r>
      <w:r w:rsidR="003A31EB">
        <w:fldChar w:fldCharType="begin"/>
      </w:r>
      <w:r w:rsidR="003A31EB">
        <w:instrText xml:space="preserve"> REF _Ref459038142 \p </w:instrText>
      </w:r>
      <w:r w:rsidR="003A31EB">
        <w:fldChar w:fldCharType="separate"/>
      </w:r>
      <w:r w:rsidR="000E54B2">
        <w:t>below</w:t>
      </w:r>
      <w:r w:rsidR="003A31EB">
        <w:fldChar w:fldCharType="end"/>
      </w:r>
      <w:r>
        <w:t>) which usually began 20-30 minutes after administration. Myoclonus was observed in 4/9 high-dose rats 60 minutes after paraquat administration but was not observed in any other animals.</w:t>
      </w:r>
    </w:p>
    <w:p w14:paraId="541A3406" w14:textId="77777777" w:rsidR="00A41403" w:rsidRDefault="00A41403" w:rsidP="00A41403"/>
    <w:p w14:paraId="0C4ABEC6" w14:textId="77777777" w:rsidR="009F7EB6" w:rsidRDefault="009F7EB6" w:rsidP="009D0D8F">
      <w:pPr>
        <w:pStyle w:val="Caption"/>
        <w:keepNext/>
        <w:spacing w:after="120"/>
      </w:pPr>
      <w:bookmarkStart w:id="116" w:name="_Ref410221513"/>
      <w:bookmarkStart w:id="117" w:name="_Ref459038142"/>
      <w:r>
        <w:t xml:space="preserve">Table </w:t>
      </w:r>
      <w:r w:rsidR="00897462">
        <w:fldChar w:fldCharType="begin"/>
      </w:r>
      <w:r>
        <w:instrText xml:space="preserve"> SEQ Table \* ARABIC </w:instrText>
      </w:r>
      <w:r w:rsidR="00897462">
        <w:fldChar w:fldCharType="separate"/>
      </w:r>
      <w:r w:rsidR="000E54B2">
        <w:rPr>
          <w:noProof/>
        </w:rPr>
        <w:t>29</w:t>
      </w:r>
      <w:r w:rsidR="00897462">
        <w:fldChar w:fldCharType="end"/>
      </w:r>
      <w:bookmarkEnd w:id="116"/>
      <w:r>
        <w:t xml:space="preserve">. </w:t>
      </w:r>
      <w:r w:rsidRPr="009208B1">
        <w:t>Effect of a single ip injection of paraquat on shaking behaviour in male SD rats</w:t>
      </w:r>
      <w:bookmarkEnd w:id="11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3080"/>
        <w:gridCol w:w="3020"/>
      </w:tblGrid>
      <w:tr w:rsidR="00A41403" w14:paraId="69513015" w14:textId="77777777" w:rsidTr="000E221D">
        <w:trPr>
          <w:cantSplit/>
        </w:trPr>
        <w:tc>
          <w:tcPr>
            <w:tcW w:w="297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855752" w14:textId="77777777" w:rsidR="00A41403" w:rsidRDefault="00A41403" w:rsidP="006E0A02">
            <w:pPr>
              <w:keepNext/>
              <w:rPr>
                <w:b/>
                <w:sz w:val="20"/>
              </w:rPr>
            </w:pPr>
            <w:r>
              <w:rPr>
                <w:b/>
                <w:sz w:val="20"/>
              </w:rPr>
              <w:t>Dose (mg/kg bw)</w:t>
            </w:r>
          </w:p>
        </w:tc>
        <w:tc>
          <w:tcPr>
            <w:tcW w:w="610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873B0C4" w14:textId="77777777" w:rsidR="00A41403" w:rsidRDefault="00A41403" w:rsidP="006E0A02">
            <w:pPr>
              <w:keepNext/>
              <w:jc w:val="center"/>
              <w:rPr>
                <w:b/>
                <w:sz w:val="20"/>
              </w:rPr>
            </w:pPr>
            <w:r>
              <w:rPr>
                <w:b/>
                <w:sz w:val="20"/>
              </w:rPr>
              <w:t>Shaking behaviour</w:t>
            </w:r>
          </w:p>
        </w:tc>
      </w:tr>
      <w:tr w:rsidR="00A41403" w14:paraId="6109525D" w14:textId="77777777" w:rsidTr="000E221D">
        <w:trPr>
          <w:cantSplit/>
        </w:trPr>
        <w:tc>
          <w:tcPr>
            <w:tcW w:w="297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AE9082" w14:textId="77777777" w:rsidR="00A41403" w:rsidRDefault="00A41403" w:rsidP="006E0A02">
            <w:pPr>
              <w:keepNext/>
              <w:rPr>
                <w:b/>
                <w:sz w:val="20"/>
              </w:rPr>
            </w:pPr>
          </w:p>
        </w:tc>
        <w:tc>
          <w:tcPr>
            <w:tcW w:w="3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5EAC73C" w14:textId="77777777" w:rsidR="00A41403" w:rsidRDefault="00A41403" w:rsidP="006E0A02">
            <w:pPr>
              <w:keepNext/>
              <w:jc w:val="center"/>
              <w:rPr>
                <w:b/>
                <w:sz w:val="20"/>
              </w:rPr>
            </w:pPr>
            <w:r>
              <w:rPr>
                <w:b/>
                <w:sz w:val="20"/>
              </w:rPr>
              <w:t>Frequency</w:t>
            </w:r>
          </w:p>
        </w:tc>
        <w:tc>
          <w:tcPr>
            <w:tcW w:w="30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EA13E0" w14:textId="77777777" w:rsidR="00A41403" w:rsidRDefault="00A41403" w:rsidP="006E0A02">
            <w:pPr>
              <w:keepNext/>
              <w:jc w:val="center"/>
              <w:rPr>
                <w:b/>
                <w:sz w:val="20"/>
              </w:rPr>
            </w:pPr>
            <w:r>
              <w:rPr>
                <w:b/>
                <w:sz w:val="20"/>
              </w:rPr>
              <w:t>Incidence</w:t>
            </w:r>
          </w:p>
        </w:tc>
      </w:tr>
      <w:tr w:rsidR="00A41403" w14:paraId="30A63D57" w14:textId="77777777" w:rsidTr="00A41403">
        <w:tc>
          <w:tcPr>
            <w:tcW w:w="2972" w:type="dxa"/>
            <w:tcBorders>
              <w:top w:val="single" w:sz="4" w:space="0" w:color="auto"/>
              <w:left w:val="single" w:sz="4" w:space="0" w:color="auto"/>
              <w:bottom w:val="single" w:sz="4" w:space="0" w:color="auto"/>
              <w:right w:val="single" w:sz="4" w:space="0" w:color="auto"/>
            </w:tcBorders>
            <w:hideMark/>
          </w:tcPr>
          <w:p w14:paraId="3DA99965" w14:textId="77777777" w:rsidR="00A41403" w:rsidRDefault="00A41403">
            <w:pPr>
              <w:rPr>
                <w:sz w:val="20"/>
              </w:rPr>
            </w:pPr>
            <w:r>
              <w:rPr>
                <w:sz w:val="20"/>
              </w:rPr>
              <w:t>0</w:t>
            </w:r>
          </w:p>
        </w:tc>
        <w:tc>
          <w:tcPr>
            <w:tcW w:w="3080" w:type="dxa"/>
            <w:tcBorders>
              <w:top w:val="single" w:sz="4" w:space="0" w:color="auto"/>
              <w:left w:val="single" w:sz="4" w:space="0" w:color="auto"/>
              <w:bottom w:val="single" w:sz="4" w:space="0" w:color="auto"/>
              <w:right w:val="single" w:sz="4" w:space="0" w:color="auto"/>
            </w:tcBorders>
            <w:hideMark/>
          </w:tcPr>
          <w:p w14:paraId="2E6E88D7" w14:textId="77777777" w:rsidR="00A41403" w:rsidRDefault="00A41403">
            <w:pPr>
              <w:jc w:val="center"/>
              <w:rPr>
                <w:sz w:val="20"/>
              </w:rPr>
            </w:pPr>
            <w:r>
              <w:rPr>
                <w:sz w:val="20"/>
              </w:rPr>
              <w:t xml:space="preserve">0.1 </w:t>
            </w:r>
            <w:r>
              <w:rPr>
                <w:sz w:val="20"/>
                <w:u w:val="single"/>
              </w:rPr>
              <w:t>+</w:t>
            </w:r>
            <w:r>
              <w:rPr>
                <w:sz w:val="20"/>
              </w:rPr>
              <w:t xml:space="preserve"> 0.1</w:t>
            </w:r>
          </w:p>
        </w:tc>
        <w:tc>
          <w:tcPr>
            <w:tcW w:w="3020" w:type="dxa"/>
            <w:tcBorders>
              <w:top w:val="single" w:sz="4" w:space="0" w:color="auto"/>
              <w:left w:val="single" w:sz="4" w:space="0" w:color="auto"/>
              <w:bottom w:val="single" w:sz="4" w:space="0" w:color="auto"/>
              <w:right w:val="single" w:sz="4" w:space="0" w:color="auto"/>
            </w:tcBorders>
            <w:hideMark/>
          </w:tcPr>
          <w:p w14:paraId="61846F14" w14:textId="77777777" w:rsidR="00A41403" w:rsidRDefault="00A41403">
            <w:pPr>
              <w:jc w:val="center"/>
              <w:rPr>
                <w:sz w:val="20"/>
              </w:rPr>
            </w:pPr>
            <w:r>
              <w:rPr>
                <w:sz w:val="20"/>
              </w:rPr>
              <w:t>1/9</w:t>
            </w:r>
          </w:p>
        </w:tc>
      </w:tr>
      <w:tr w:rsidR="00A41403" w14:paraId="41218C7B" w14:textId="77777777" w:rsidTr="00A41403">
        <w:tc>
          <w:tcPr>
            <w:tcW w:w="2972" w:type="dxa"/>
            <w:tcBorders>
              <w:top w:val="single" w:sz="4" w:space="0" w:color="auto"/>
              <w:left w:val="single" w:sz="4" w:space="0" w:color="auto"/>
              <w:bottom w:val="single" w:sz="4" w:space="0" w:color="auto"/>
              <w:right w:val="single" w:sz="4" w:space="0" w:color="auto"/>
            </w:tcBorders>
            <w:hideMark/>
          </w:tcPr>
          <w:p w14:paraId="748BFBBC" w14:textId="77777777" w:rsidR="00A41403" w:rsidRDefault="00A41403">
            <w:pPr>
              <w:rPr>
                <w:sz w:val="20"/>
              </w:rPr>
            </w:pPr>
            <w:r>
              <w:rPr>
                <w:sz w:val="20"/>
              </w:rPr>
              <w:t>30</w:t>
            </w:r>
          </w:p>
        </w:tc>
        <w:tc>
          <w:tcPr>
            <w:tcW w:w="3080" w:type="dxa"/>
            <w:tcBorders>
              <w:top w:val="single" w:sz="4" w:space="0" w:color="auto"/>
              <w:left w:val="single" w:sz="4" w:space="0" w:color="auto"/>
              <w:bottom w:val="single" w:sz="4" w:space="0" w:color="auto"/>
              <w:right w:val="single" w:sz="4" w:space="0" w:color="auto"/>
            </w:tcBorders>
            <w:hideMark/>
          </w:tcPr>
          <w:p w14:paraId="39453FED" w14:textId="77777777" w:rsidR="00A41403" w:rsidRDefault="00A41403">
            <w:pPr>
              <w:jc w:val="center"/>
              <w:rPr>
                <w:sz w:val="20"/>
              </w:rPr>
            </w:pPr>
            <w:r>
              <w:rPr>
                <w:sz w:val="20"/>
              </w:rPr>
              <w:t xml:space="preserve">10.4 </w:t>
            </w:r>
            <w:r>
              <w:rPr>
                <w:sz w:val="20"/>
                <w:u w:val="single"/>
              </w:rPr>
              <w:t>+</w:t>
            </w:r>
            <w:r>
              <w:rPr>
                <w:sz w:val="20"/>
              </w:rPr>
              <w:t xml:space="preserve"> 4.0*</w:t>
            </w:r>
          </w:p>
        </w:tc>
        <w:tc>
          <w:tcPr>
            <w:tcW w:w="3020" w:type="dxa"/>
            <w:tcBorders>
              <w:top w:val="single" w:sz="4" w:space="0" w:color="auto"/>
              <w:left w:val="single" w:sz="4" w:space="0" w:color="auto"/>
              <w:bottom w:val="single" w:sz="4" w:space="0" w:color="auto"/>
              <w:right w:val="single" w:sz="4" w:space="0" w:color="auto"/>
            </w:tcBorders>
            <w:hideMark/>
          </w:tcPr>
          <w:p w14:paraId="30B23ED7" w14:textId="77777777" w:rsidR="00A41403" w:rsidRDefault="00A41403">
            <w:pPr>
              <w:jc w:val="center"/>
              <w:rPr>
                <w:sz w:val="20"/>
              </w:rPr>
            </w:pPr>
            <w:r>
              <w:rPr>
                <w:sz w:val="20"/>
              </w:rPr>
              <w:t>8/9</w:t>
            </w:r>
          </w:p>
        </w:tc>
      </w:tr>
      <w:tr w:rsidR="00A41403" w14:paraId="020301E4" w14:textId="77777777" w:rsidTr="00A41403">
        <w:tc>
          <w:tcPr>
            <w:tcW w:w="2972" w:type="dxa"/>
            <w:tcBorders>
              <w:top w:val="single" w:sz="4" w:space="0" w:color="auto"/>
              <w:left w:val="single" w:sz="4" w:space="0" w:color="auto"/>
              <w:bottom w:val="single" w:sz="4" w:space="0" w:color="auto"/>
              <w:right w:val="single" w:sz="4" w:space="0" w:color="auto"/>
            </w:tcBorders>
            <w:hideMark/>
          </w:tcPr>
          <w:p w14:paraId="3F172460" w14:textId="77777777" w:rsidR="00A41403" w:rsidRDefault="00A41403">
            <w:pPr>
              <w:rPr>
                <w:sz w:val="20"/>
              </w:rPr>
            </w:pPr>
            <w:r>
              <w:rPr>
                <w:sz w:val="20"/>
              </w:rPr>
              <w:t>50</w:t>
            </w:r>
          </w:p>
        </w:tc>
        <w:tc>
          <w:tcPr>
            <w:tcW w:w="3080" w:type="dxa"/>
            <w:tcBorders>
              <w:top w:val="single" w:sz="4" w:space="0" w:color="auto"/>
              <w:left w:val="single" w:sz="4" w:space="0" w:color="auto"/>
              <w:bottom w:val="single" w:sz="4" w:space="0" w:color="auto"/>
              <w:right w:val="single" w:sz="4" w:space="0" w:color="auto"/>
            </w:tcBorders>
            <w:hideMark/>
          </w:tcPr>
          <w:p w14:paraId="75DB3A9B" w14:textId="77777777" w:rsidR="00A41403" w:rsidRDefault="00A41403">
            <w:pPr>
              <w:jc w:val="center"/>
              <w:rPr>
                <w:sz w:val="20"/>
              </w:rPr>
            </w:pPr>
            <w:r>
              <w:rPr>
                <w:sz w:val="20"/>
              </w:rPr>
              <w:t xml:space="preserve">16.6 </w:t>
            </w:r>
            <w:r>
              <w:rPr>
                <w:sz w:val="20"/>
                <w:u w:val="single"/>
              </w:rPr>
              <w:t>+</w:t>
            </w:r>
            <w:r>
              <w:rPr>
                <w:sz w:val="20"/>
              </w:rPr>
              <w:t xml:space="preserve"> 4.8*</w:t>
            </w:r>
          </w:p>
        </w:tc>
        <w:tc>
          <w:tcPr>
            <w:tcW w:w="3020" w:type="dxa"/>
            <w:tcBorders>
              <w:top w:val="single" w:sz="4" w:space="0" w:color="auto"/>
              <w:left w:val="single" w:sz="4" w:space="0" w:color="auto"/>
              <w:bottom w:val="single" w:sz="4" w:space="0" w:color="auto"/>
              <w:right w:val="single" w:sz="4" w:space="0" w:color="auto"/>
            </w:tcBorders>
            <w:hideMark/>
          </w:tcPr>
          <w:p w14:paraId="7664544D" w14:textId="77777777" w:rsidR="00A41403" w:rsidRDefault="00A41403">
            <w:pPr>
              <w:jc w:val="center"/>
              <w:rPr>
                <w:sz w:val="20"/>
              </w:rPr>
            </w:pPr>
            <w:r>
              <w:rPr>
                <w:sz w:val="20"/>
              </w:rPr>
              <w:t>8/9</w:t>
            </w:r>
          </w:p>
        </w:tc>
      </w:tr>
      <w:tr w:rsidR="00A41403" w14:paraId="5B5BCC6B" w14:textId="77777777" w:rsidTr="00A41403">
        <w:tc>
          <w:tcPr>
            <w:tcW w:w="2972" w:type="dxa"/>
            <w:tcBorders>
              <w:top w:val="single" w:sz="4" w:space="0" w:color="auto"/>
              <w:left w:val="single" w:sz="4" w:space="0" w:color="auto"/>
              <w:bottom w:val="single" w:sz="4" w:space="0" w:color="auto"/>
              <w:right w:val="single" w:sz="4" w:space="0" w:color="auto"/>
            </w:tcBorders>
            <w:hideMark/>
          </w:tcPr>
          <w:p w14:paraId="486C3B4E" w14:textId="77777777" w:rsidR="00A41403" w:rsidRDefault="00A41403">
            <w:pPr>
              <w:rPr>
                <w:sz w:val="20"/>
              </w:rPr>
            </w:pPr>
            <w:r>
              <w:rPr>
                <w:sz w:val="20"/>
              </w:rPr>
              <w:t>70</w:t>
            </w:r>
          </w:p>
        </w:tc>
        <w:tc>
          <w:tcPr>
            <w:tcW w:w="3080" w:type="dxa"/>
            <w:tcBorders>
              <w:top w:val="single" w:sz="4" w:space="0" w:color="auto"/>
              <w:left w:val="single" w:sz="4" w:space="0" w:color="auto"/>
              <w:bottom w:val="single" w:sz="4" w:space="0" w:color="auto"/>
              <w:right w:val="single" w:sz="4" w:space="0" w:color="auto"/>
            </w:tcBorders>
            <w:hideMark/>
          </w:tcPr>
          <w:p w14:paraId="7B2BF102" w14:textId="77777777" w:rsidR="00A41403" w:rsidRDefault="00A41403">
            <w:pPr>
              <w:jc w:val="center"/>
              <w:rPr>
                <w:sz w:val="20"/>
              </w:rPr>
            </w:pPr>
            <w:r>
              <w:rPr>
                <w:sz w:val="20"/>
              </w:rPr>
              <w:t xml:space="preserve">25.2 </w:t>
            </w:r>
            <w:r>
              <w:rPr>
                <w:sz w:val="20"/>
                <w:u w:val="single"/>
              </w:rPr>
              <w:t>+</w:t>
            </w:r>
            <w:r>
              <w:rPr>
                <w:sz w:val="20"/>
              </w:rPr>
              <w:t xml:space="preserve"> 4.0*</w:t>
            </w:r>
          </w:p>
        </w:tc>
        <w:tc>
          <w:tcPr>
            <w:tcW w:w="3020" w:type="dxa"/>
            <w:tcBorders>
              <w:top w:val="single" w:sz="4" w:space="0" w:color="auto"/>
              <w:left w:val="single" w:sz="4" w:space="0" w:color="auto"/>
              <w:bottom w:val="single" w:sz="4" w:space="0" w:color="auto"/>
              <w:right w:val="single" w:sz="4" w:space="0" w:color="auto"/>
            </w:tcBorders>
            <w:hideMark/>
          </w:tcPr>
          <w:p w14:paraId="5FC9CA1E" w14:textId="77777777" w:rsidR="00A41403" w:rsidRDefault="00A41403">
            <w:pPr>
              <w:jc w:val="center"/>
              <w:rPr>
                <w:sz w:val="20"/>
              </w:rPr>
            </w:pPr>
            <w:r>
              <w:rPr>
                <w:sz w:val="20"/>
              </w:rPr>
              <w:t>9/9</w:t>
            </w:r>
          </w:p>
        </w:tc>
      </w:tr>
    </w:tbl>
    <w:p w14:paraId="6BBE17CF" w14:textId="77777777" w:rsidR="00A41403" w:rsidRDefault="00A41403" w:rsidP="00A41403">
      <w:pPr>
        <w:rPr>
          <w:sz w:val="20"/>
        </w:rPr>
      </w:pPr>
      <w:r>
        <w:rPr>
          <w:sz w:val="20"/>
        </w:rPr>
        <w:t xml:space="preserve">Frequency data expressed as mean </w:t>
      </w:r>
      <w:r>
        <w:rPr>
          <w:sz w:val="20"/>
          <w:u w:val="single"/>
        </w:rPr>
        <w:t>+</w:t>
      </w:r>
      <w:r>
        <w:rPr>
          <w:sz w:val="20"/>
        </w:rPr>
        <w:t xml:space="preserve"> 1 SEM; *p&lt;0.05 (1-way ANOVA, Duncan’s multiple range test)</w:t>
      </w:r>
    </w:p>
    <w:p w14:paraId="76A45276" w14:textId="77777777" w:rsidR="00A41403" w:rsidRDefault="00A41403" w:rsidP="00A41403"/>
    <w:p w14:paraId="18FC7939" w14:textId="1A4D6842" w:rsidR="00A41403" w:rsidRDefault="00794F11" w:rsidP="00A41403">
      <w:r>
        <w:t>Pre-treatment</w:t>
      </w:r>
      <w:r w:rsidR="00A41403">
        <w:t xml:space="preserve"> of rats with morphine reduced both the frequency and incidence of paraquat-induced shaking behaviour, but only the effect on frequency was statistically significant </w:t>
      </w:r>
      <w:r w:rsidR="00A41403">
        <w:lastRenderedPageBreak/>
        <w:t xml:space="preserve">(p&lt;0.01) (see </w:t>
      </w:r>
      <w:r w:rsidR="003A31EB">
        <w:fldChar w:fldCharType="begin"/>
      </w:r>
      <w:r w:rsidR="003A31EB">
        <w:instrText xml:space="preserve"> REF _Ref410221548 </w:instrText>
      </w:r>
      <w:r w:rsidR="003A31EB">
        <w:fldChar w:fldCharType="separate"/>
      </w:r>
      <w:r w:rsidR="000E54B2">
        <w:t xml:space="preserve">Table </w:t>
      </w:r>
      <w:r w:rsidR="000E54B2">
        <w:rPr>
          <w:noProof/>
        </w:rPr>
        <w:t>30</w:t>
      </w:r>
      <w:r w:rsidR="003A31EB">
        <w:rPr>
          <w:noProof/>
        </w:rPr>
        <w:fldChar w:fldCharType="end"/>
      </w:r>
      <w:r w:rsidR="00A41403">
        <w:t xml:space="preserve"> </w:t>
      </w:r>
      <w:r w:rsidR="003A31EB">
        <w:fldChar w:fldCharType="begin"/>
      </w:r>
      <w:r w:rsidR="003A31EB">
        <w:instrText xml:space="preserve"> REF _Ref459038173 \p </w:instrText>
      </w:r>
      <w:r w:rsidR="003A31EB">
        <w:fldChar w:fldCharType="separate"/>
      </w:r>
      <w:r w:rsidR="000E54B2">
        <w:t>below</w:t>
      </w:r>
      <w:r w:rsidR="003A31EB">
        <w:fldChar w:fldCharType="end"/>
      </w:r>
      <w:r w:rsidR="00A41403">
        <w:t xml:space="preserve">). There was also a reduction in the incidence of myoclonus following </w:t>
      </w:r>
      <w:r>
        <w:t>pre-treatment</w:t>
      </w:r>
      <w:r w:rsidR="00A41403">
        <w:t xml:space="preserve"> with morphine</w:t>
      </w:r>
      <w:r w:rsidR="00C31A63">
        <w:t xml:space="preserve"> </w:t>
      </w:r>
      <w:r w:rsidR="00A41403">
        <w:t>but this result was not statistically significant. Naloxone had no effect on the frequency or the incidence of paraquat-induced shaking behaviour, however the incidence of myoclon</w:t>
      </w:r>
      <w:r w:rsidR="00C31A63">
        <w:t>us was reduced</w:t>
      </w:r>
      <w:r w:rsidR="00A41403">
        <w:t xml:space="preserve">. The frequency and incidence of paraquat-induced shaking behaviour, and incidence of myoclonus was not altered following combinational </w:t>
      </w:r>
      <w:r>
        <w:t>pre-treatment</w:t>
      </w:r>
      <w:r w:rsidR="00A41403">
        <w:t xml:space="preserve"> with morphin</w:t>
      </w:r>
      <w:r w:rsidR="00C31A63">
        <w:t>e plus naloxone</w:t>
      </w:r>
      <w:r w:rsidR="00A41403">
        <w:t>.</w:t>
      </w:r>
    </w:p>
    <w:p w14:paraId="28C33907" w14:textId="77777777" w:rsidR="00A41403" w:rsidRDefault="00A41403" w:rsidP="00A41403"/>
    <w:p w14:paraId="646F99A8" w14:textId="77777777" w:rsidR="009F7EB6" w:rsidRDefault="009F7EB6" w:rsidP="009D0D8F">
      <w:pPr>
        <w:pStyle w:val="Caption"/>
        <w:keepNext/>
        <w:spacing w:after="120"/>
      </w:pPr>
      <w:bookmarkStart w:id="118" w:name="_Ref410221548"/>
      <w:bookmarkStart w:id="119" w:name="_Ref459038173"/>
      <w:r>
        <w:t xml:space="preserve">Table </w:t>
      </w:r>
      <w:r w:rsidR="00897462">
        <w:fldChar w:fldCharType="begin"/>
      </w:r>
      <w:r>
        <w:instrText xml:space="preserve"> SEQ Table \* ARABIC </w:instrText>
      </w:r>
      <w:r w:rsidR="00897462">
        <w:fldChar w:fldCharType="separate"/>
      </w:r>
      <w:r w:rsidR="000E54B2">
        <w:rPr>
          <w:noProof/>
        </w:rPr>
        <w:t>30</w:t>
      </w:r>
      <w:r w:rsidR="00897462">
        <w:fldChar w:fldCharType="end"/>
      </w:r>
      <w:bookmarkEnd w:id="118"/>
      <w:r>
        <w:t xml:space="preserve">. </w:t>
      </w:r>
      <w:r w:rsidRPr="00211CEB">
        <w:t>Effects of morphine and naloxone on paraquat-induced shaking behaviour and myoclonus in male SD rats</w:t>
      </w:r>
      <w:bookmarkEnd w:id="11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985"/>
        <w:gridCol w:w="2002"/>
        <w:gridCol w:w="2250"/>
      </w:tblGrid>
      <w:tr w:rsidR="00A41403" w14:paraId="3BC33E38" w14:textId="77777777" w:rsidTr="000E221D">
        <w:trPr>
          <w:cantSplit/>
        </w:trPr>
        <w:tc>
          <w:tcPr>
            <w:tcW w:w="283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66B340" w14:textId="77777777" w:rsidR="00A41403" w:rsidRDefault="00A41403">
            <w:pPr>
              <w:rPr>
                <w:b/>
                <w:sz w:val="20"/>
              </w:rPr>
            </w:pPr>
            <w:r>
              <w:rPr>
                <w:b/>
                <w:sz w:val="20"/>
              </w:rPr>
              <w:t>Treatment</w:t>
            </w:r>
          </w:p>
        </w:tc>
        <w:tc>
          <w:tcPr>
            <w:tcW w:w="398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6F76356" w14:textId="77777777" w:rsidR="00A41403" w:rsidRDefault="00A41403">
            <w:pPr>
              <w:jc w:val="center"/>
              <w:rPr>
                <w:b/>
                <w:sz w:val="20"/>
              </w:rPr>
            </w:pPr>
            <w:r>
              <w:rPr>
                <w:b/>
                <w:sz w:val="20"/>
              </w:rPr>
              <w:t>Shaking behaviour</w:t>
            </w:r>
          </w:p>
        </w:tc>
        <w:tc>
          <w:tcPr>
            <w:tcW w:w="225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AA9FD9" w14:textId="77777777" w:rsidR="00A41403" w:rsidRDefault="00A41403">
            <w:pPr>
              <w:jc w:val="center"/>
              <w:rPr>
                <w:b/>
                <w:sz w:val="20"/>
              </w:rPr>
            </w:pPr>
            <w:r>
              <w:rPr>
                <w:b/>
                <w:sz w:val="20"/>
              </w:rPr>
              <w:t>Myoclonus</w:t>
            </w:r>
          </w:p>
        </w:tc>
      </w:tr>
      <w:tr w:rsidR="00A41403" w14:paraId="4CD8E477" w14:textId="77777777" w:rsidTr="000E221D">
        <w:trPr>
          <w:cantSplit/>
        </w:trPr>
        <w:tc>
          <w:tcPr>
            <w:tcW w:w="2835"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36C3E2" w14:textId="77777777" w:rsidR="00A41403" w:rsidRDefault="00A41403">
            <w:pPr>
              <w:rPr>
                <w:b/>
                <w:sz w:val="20"/>
              </w:rPr>
            </w:pPr>
          </w:p>
        </w:tc>
        <w:tc>
          <w:tcPr>
            <w:tcW w:w="1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059143" w14:textId="77777777" w:rsidR="00A41403" w:rsidRDefault="00A41403">
            <w:pPr>
              <w:jc w:val="center"/>
              <w:rPr>
                <w:b/>
                <w:sz w:val="20"/>
              </w:rPr>
            </w:pPr>
            <w:r>
              <w:rPr>
                <w:b/>
                <w:sz w:val="20"/>
              </w:rPr>
              <w:t>Frequency</w:t>
            </w:r>
          </w:p>
        </w:tc>
        <w:tc>
          <w:tcPr>
            <w:tcW w:w="200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A2A137" w14:textId="77777777" w:rsidR="00A41403" w:rsidRDefault="00A41403">
            <w:pPr>
              <w:jc w:val="center"/>
              <w:rPr>
                <w:b/>
                <w:sz w:val="20"/>
              </w:rPr>
            </w:pPr>
            <w:r>
              <w:rPr>
                <w:b/>
                <w:sz w:val="20"/>
              </w:rPr>
              <w:t>Incidence</w:t>
            </w:r>
          </w:p>
        </w:tc>
        <w:tc>
          <w:tcPr>
            <w:tcW w:w="225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60F87C7" w14:textId="77777777" w:rsidR="00A41403" w:rsidRDefault="00A41403">
            <w:pPr>
              <w:jc w:val="center"/>
              <w:rPr>
                <w:b/>
                <w:sz w:val="20"/>
              </w:rPr>
            </w:pPr>
            <w:r>
              <w:rPr>
                <w:b/>
                <w:sz w:val="20"/>
              </w:rPr>
              <w:t>Incidence</w:t>
            </w:r>
          </w:p>
        </w:tc>
      </w:tr>
      <w:tr w:rsidR="00A41403" w14:paraId="5D4295E0" w14:textId="77777777" w:rsidTr="00A41403">
        <w:tc>
          <w:tcPr>
            <w:tcW w:w="2835" w:type="dxa"/>
            <w:tcBorders>
              <w:top w:val="single" w:sz="4" w:space="0" w:color="auto"/>
              <w:left w:val="single" w:sz="4" w:space="0" w:color="auto"/>
              <w:bottom w:val="single" w:sz="4" w:space="0" w:color="auto"/>
              <w:right w:val="single" w:sz="4" w:space="0" w:color="auto"/>
            </w:tcBorders>
            <w:hideMark/>
          </w:tcPr>
          <w:p w14:paraId="37C176C8" w14:textId="77777777" w:rsidR="00A41403" w:rsidRDefault="00A41403">
            <w:pPr>
              <w:rPr>
                <w:sz w:val="20"/>
              </w:rPr>
            </w:pPr>
            <w:r>
              <w:rPr>
                <w:sz w:val="20"/>
              </w:rPr>
              <w:t>Control (saline)</w:t>
            </w:r>
          </w:p>
        </w:tc>
        <w:tc>
          <w:tcPr>
            <w:tcW w:w="1985" w:type="dxa"/>
            <w:tcBorders>
              <w:top w:val="single" w:sz="4" w:space="0" w:color="auto"/>
              <w:left w:val="single" w:sz="4" w:space="0" w:color="auto"/>
              <w:bottom w:val="single" w:sz="4" w:space="0" w:color="auto"/>
              <w:right w:val="single" w:sz="4" w:space="0" w:color="auto"/>
            </w:tcBorders>
            <w:hideMark/>
          </w:tcPr>
          <w:p w14:paraId="13F6B06C" w14:textId="77777777" w:rsidR="00A41403" w:rsidRDefault="00A41403">
            <w:pPr>
              <w:jc w:val="center"/>
              <w:rPr>
                <w:sz w:val="20"/>
              </w:rPr>
            </w:pPr>
            <w:r>
              <w:rPr>
                <w:sz w:val="20"/>
              </w:rPr>
              <w:t>0</w:t>
            </w:r>
          </w:p>
        </w:tc>
        <w:tc>
          <w:tcPr>
            <w:tcW w:w="2002" w:type="dxa"/>
            <w:tcBorders>
              <w:top w:val="single" w:sz="4" w:space="0" w:color="auto"/>
              <w:left w:val="single" w:sz="4" w:space="0" w:color="auto"/>
              <w:bottom w:val="single" w:sz="4" w:space="0" w:color="auto"/>
              <w:right w:val="single" w:sz="4" w:space="0" w:color="auto"/>
            </w:tcBorders>
            <w:hideMark/>
          </w:tcPr>
          <w:p w14:paraId="79DAE9EF" w14:textId="77777777" w:rsidR="00A41403" w:rsidRDefault="00A41403">
            <w:pPr>
              <w:jc w:val="center"/>
              <w:rPr>
                <w:sz w:val="20"/>
              </w:rPr>
            </w:pPr>
            <w:r>
              <w:rPr>
                <w:sz w:val="20"/>
              </w:rPr>
              <w:t>0/6</w:t>
            </w:r>
          </w:p>
        </w:tc>
        <w:tc>
          <w:tcPr>
            <w:tcW w:w="2250" w:type="dxa"/>
            <w:tcBorders>
              <w:top w:val="single" w:sz="4" w:space="0" w:color="auto"/>
              <w:left w:val="single" w:sz="4" w:space="0" w:color="auto"/>
              <w:bottom w:val="single" w:sz="4" w:space="0" w:color="auto"/>
              <w:right w:val="single" w:sz="4" w:space="0" w:color="auto"/>
            </w:tcBorders>
            <w:hideMark/>
          </w:tcPr>
          <w:p w14:paraId="5E4D79B2" w14:textId="77777777" w:rsidR="00A41403" w:rsidRDefault="00A41403">
            <w:pPr>
              <w:jc w:val="center"/>
              <w:rPr>
                <w:sz w:val="20"/>
              </w:rPr>
            </w:pPr>
            <w:r>
              <w:rPr>
                <w:sz w:val="20"/>
              </w:rPr>
              <w:t>0/6</w:t>
            </w:r>
          </w:p>
        </w:tc>
      </w:tr>
      <w:tr w:rsidR="00A41403" w14:paraId="45E50693" w14:textId="77777777" w:rsidTr="00A41403">
        <w:tc>
          <w:tcPr>
            <w:tcW w:w="2835" w:type="dxa"/>
            <w:tcBorders>
              <w:top w:val="single" w:sz="4" w:space="0" w:color="auto"/>
              <w:left w:val="single" w:sz="4" w:space="0" w:color="auto"/>
              <w:bottom w:val="single" w:sz="4" w:space="0" w:color="auto"/>
              <w:right w:val="single" w:sz="4" w:space="0" w:color="auto"/>
            </w:tcBorders>
            <w:hideMark/>
          </w:tcPr>
          <w:p w14:paraId="5E7CA803" w14:textId="77777777" w:rsidR="00A41403" w:rsidRDefault="00A41403">
            <w:pPr>
              <w:rPr>
                <w:sz w:val="20"/>
              </w:rPr>
            </w:pPr>
            <w:r>
              <w:rPr>
                <w:sz w:val="20"/>
              </w:rPr>
              <w:t>PQ</w:t>
            </w:r>
          </w:p>
        </w:tc>
        <w:tc>
          <w:tcPr>
            <w:tcW w:w="1985" w:type="dxa"/>
            <w:tcBorders>
              <w:top w:val="single" w:sz="4" w:space="0" w:color="auto"/>
              <w:left w:val="single" w:sz="4" w:space="0" w:color="auto"/>
              <w:bottom w:val="single" w:sz="4" w:space="0" w:color="auto"/>
              <w:right w:val="single" w:sz="4" w:space="0" w:color="auto"/>
            </w:tcBorders>
            <w:hideMark/>
          </w:tcPr>
          <w:p w14:paraId="6F465BAB" w14:textId="77777777" w:rsidR="00A41403" w:rsidRDefault="00A41403">
            <w:pPr>
              <w:jc w:val="center"/>
              <w:rPr>
                <w:sz w:val="20"/>
              </w:rPr>
            </w:pPr>
            <w:r>
              <w:rPr>
                <w:sz w:val="20"/>
              </w:rPr>
              <w:t xml:space="preserve">24.5 </w:t>
            </w:r>
            <w:r>
              <w:rPr>
                <w:sz w:val="20"/>
                <w:u w:val="single"/>
              </w:rPr>
              <w:t>+</w:t>
            </w:r>
            <w:r>
              <w:rPr>
                <w:sz w:val="20"/>
              </w:rPr>
              <w:t xml:space="preserve"> 6.8**</w:t>
            </w:r>
          </w:p>
        </w:tc>
        <w:tc>
          <w:tcPr>
            <w:tcW w:w="2002" w:type="dxa"/>
            <w:tcBorders>
              <w:top w:val="single" w:sz="4" w:space="0" w:color="auto"/>
              <w:left w:val="single" w:sz="4" w:space="0" w:color="auto"/>
              <w:bottom w:val="single" w:sz="4" w:space="0" w:color="auto"/>
              <w:right w:val="single" w:sz="4" w:space="0" w:color="auto"/>
            </w:tcBorders>
            <w:hideMark/>
          </w:tcPr>
          <w:p w14:paraId="7937B47E" w14:textId="77777777" w:rsidR="00A41403" w:rsidRDefault="00A41403">
            <w:pPr>
              <w:jc w:val="center"/>
              <w:rPr>
                <w:sz w:val="20"/>
              </w:rPr>
            </w:pPr>
            <w:r>
              <w:rPr>
                <w:sz w:val="20"/>
              </w:rPr>
              <w:t>6/6*</w:t>
            </w:r>
          </w:p>
        </w:tc>
        <w:tc>
          <w:tcPr>
            <w:tcW w:w="2250" w:type="dxa"/>
            <w:tcBorders>
              <w:top w:val="single" w:sz="4" w:space="0" w:color="auto"/>
              <w:left w:val="single" w:sz="4" w:space="0" w:color="auto"/>
              <w:bottom w:val="single" w:sz="4" w:space="0" w:color="auto"/>
              <w:right w:val="single" w:sz="4" w:space="0" w:color="auto"/>
            </w:tcBorders>
            <w:hideMark/>
          </w:tcPr>
          <w:p w14:paraId="69142BE6" w14:textId="77777777" w:rsidR="00A41403" w:rsidRDefault="00A41403">
            <w:pPr>
              <w:jc w:val="center"/>
              <w:rPr>
                <w:sz w:val="20"/>
              </w:rPr>
            </w:pPr>
            <w:r>
              <w:rPr>
                <w:sz w:val="20"/>
              </w:rPr>
              <w:t>4/6*</w:t>
            </w:r>
          </w:p>
        </w:tc>
      </w:tr>
      <w:tr w:rsidR="00A41403" w14:paraId="610274B4" w14:textId="77777777" w:rsidTr="00A41403">
        <w:tc>
          <w:tcPr>
            <w:tcW w:w="2835" w:type="dxa"/>
            <w:tcBorders>
              <w:top w:val="single" w:sz="4" w:space="0" w:color="auto"/>
              <w:left w:val="single" w:sz="4" w:space="0" w:color="auto"/>
              <w:bottom w:val="single" w:sz="4" w:space="0" w:color="auto"/>
              <w:right w:val="single" w:sz="4" w:space="0" w:color="auto"/>
            </w:tcBorders>
            <w:hideMark/>
          </w:tcPr>
          <w:p w14:paraId="7E39FE14" w14:textId="77777777" w:rsidR="00A41403" w:rsidRDefault="00A41403">
            <w:pPr>
              <w:rPr>
                <w:sz w:val="20"/>
              </w:rPr>
            </w:pPr>
            <w:r>
              <w:rPr>
                <w:sz w:val="20"/>
              </w:rPr>
              <w:t>PQ + morphine</w:t>
            </w:r>
          </w:p>
        </w:tc>
        <w:tc>
          <w:tcPr>
            <w:tcW w:w="1985" w:type="dxa"/>
            <w:tcBorders>
              <w:top w:val="single" w:sz="4" w:space="0" w:color="auto"/>
              <w:left w:val="single" w:sz="4" w:space="0" w:color="auto"/>
              <w:bottom w:val="single" w:sz="4" w:space="0" w:color="auto"/>
              <w:right w:val="single" w:sz="4" w:space="0" w:color="auto"/>
            </w:tcBorders>
            <w:hideMark/>
          </w:tcPr>
          <w:p w14:paraId="11D54CD0" w14:textId="77777777" w:rsidR="00A41403" w:rsidRDefault="00A41403">
            <w:pPr>
              <w:jc w:val="center"/>
              <w:rPr>
                <w:sz w:val="20"/>
              </w:rPr>
            </w:pPr>
            <w:r>
              <w:rPr>
                <w:sz w:val="20"/>
              </w:rPr>
              <w:t xml:space="preserve">2.2 </w:t>
            </w:r>
            <w:r>
              <w:rPr>
                <w:sz w:val="20"/>
                <w:u w:val="single"/>
              </w:rPr>
              <w:t>+</w:t>
            </w:r>
            <w:r>
              <w:rPr>
                <w:sz w:val="20"/>
              </w:rPr>
              <w:t xml:space="preserve"> 1.0</w:t>
            </w:r>
            <w:r>
              <w:rPr>
                <w:sz w:val="20"/>
                <w:vertAlign w:val="superscript"/>
              </w:rPr>
              <w:t>1</w:t>
            </w:r>
          </w:p>
        </w:tc>
        <w:tc>
          <w:tcPr>
            <w:tcW w:w="2002" w:type="dxa"/>
            <w:tcBorders>
              <w:top w:val="single" w:sz="4" w:space="0" w:color="auto"/>
              <w:left w:val="single" w:sz="4" w:space="0" w:color="auto"/>
              <w:bottom w:val="single" w:sz="4" w:space="0" w:color="auto"/>
              <w:right w:val="single" w:sz="4" w:space="0" w:color="auto"/>
            </w:tcBorders>
            <w:hideMark/>
          </w:tcPr>
          <w:p w14:paraId="3EF091AB" w14:textId="77777777" w:rsidR="00A41403" w:rsidRDefault="00A41403">
            <w:pPr>
              <w:jc w:val="center"/>
              <w:rPr>
                <w:sz w:val="20"/>
              </w:rPr>
            </w:pPr>
            <w:r>
              <w:rPr>
                <w:sz w:val="20"/>
              </w:rPr>
              <w:t>3/6</w:t>
            </w:r>
          </w:p>
        </w:tc>
        <w:tc>
          <w:tcPr>
            <w:tcW w:w="2250" w:type="dxa"/>
            <w:tcBorders>
              <w:top w:val="single" w:sz="4" w:space="0" w:color="auto"/>
              <w:left w:val="single" w:sz="4" w:space="0" w:color="auto"/>
              <w:bottom w:val="single" w:sz="4" w:space="0" w:color="auto"/>
              <w:right w:val="single" w:sz="4" w:space="0" w:color="auto"/>
            </w:tcBorders>
            <w:hideMark/>
          </w:tcPr>
          <w:p w14:paraId="2E111940" w14:textId="77777777" w:rsidR="00A41403" w:rsidRDefault="00A41403">
            <w:pPr>
              <w:jc w:val="center"/>
              <w:rPr>
                <w:sz w:val="20"/>
              </w:rPr>
            </w:pPr>
            <w:r>
              <w:rPr>
                <w:sz w:val="20"/>
              </w:rPr>
              <w:t>2/6</w:t>
            </w:r>
          </w:p>
        </w:tc>
      </w:tr>
      <w:tr w:rsidR="00A41403" w14:paraId="65205A00" w14:textId="77777777" w:rsidTr="00A41403">
        <w:tc>
          <w:tcPr>
            <w:tcW w:w="2835" w:type="dxa"/>
            <w:tcBorders>
              <w:top w:val="single" w:sz="4" w:space="0" w:color="auto"/>
              <w:left w:val="single" w:sz="4" w:space="0" w:color="auto"/>
              <w:bottom w:val="single" w:sz="4" w:space="0" w:color="auto"/>
              <w:right w:val="single" w:sz="4" w:space="0" w:color="auto"/>
            </w:tcBorders>
            <w:hideMark/>
          </w:tcPr>
          <w:p w14:paraId="36441008" w14:textId="77777777" w:rsidR="00A41403" w:rsidRDefault="00A41403">
            <w:pPr>
              <w:rPr>
                <w:sz w:val="20"/>
              </w:rPr>
            </w:pPr>
            <w:r>
              <w:rPr>
                <w:sz w:val="20"/>
              </w:rPr>
              <w:t>PQ + naloxone</w:t>
            </w:r>
          </w:p>
        </w:tc>
        <w:tc>
          <w:tcPr>
            <w:tcW w:w="1985" w:type="dxa"/>
            <w:tcBorders>
              <w:top w:val="single" w:sz="4" w:space="0" w:color="auto"/>
              <w:left w:val="single" w:sz="4" w:space="0" w:color="auto"/>
              <w:bottom w:val="single" w:sz="4" w:space="0" w:color="auto"/>
              <w:right w:val="single" w:sz="4" w:space="0" w:color="auto"/>
            </w:tcBorders>
            <w:hideMark/>
          </w:tcPr>
          <w:p w14:paraId="6C27D94C" w14:textId="77777777" w:rsidR="00A41403" w:rsidRDefault="00A41403">
            <w:pPr>
              <w:jc w:val="center"/>
              <w:rPr>
                <w:sz w:val="20"/>
              </w:rPr>
            </w:pPr>
            <w:r>
              <w:rPr>
                <w:sz w:val="20"/>
              </w:rPr>
              <w:t xml:space="preserve">27.6 </w:t>
            </w:r>
            <w:r>
              <w:rPr>
                <w:sz w:val="20"/>
                <w:u w:val="single"/>
              </w:rPr>
              <w:t>+</w:t>
            </w:r>
            <w:r>
              <w:rPr>
                <w:sz w:val="20"/>
              </w:rPr>
              <w:t xml:space="preserve"> 5.2</w:t>
            </w:r>
            <w:r>
              <w:rPr>
                <w:sz w:val="20"/>
                <w:vertAlign w:val="superscript"/>
              </w:rPr>
              <w:t>2</w:t>
            </w:r>
          </w:p>
        </w:tc>
        <w:tc>
          <w:tcPr>
            <w:tcW w:w="2002" w:type="dxa"/>
            <w:tcBorders>
              <w:top w:val="single" w:sz="4" w:space="0" w:color="auto"/>
              <w:left w:val="single" w:sz="4" w:space="0" w:color="auto"/>
              <w:bottom w:val="single" w:sz="4" w:space="0" w:color="auto"/>
              <w:right w:val="single" w:sz="4" w:space="0" w:color="auto"/>
            </w:tcBorders>
            <w:hideMark/>
          </w:tcPr>
          <w:p w14:paraId="4FC82302" w14:textId="77777777" w:rsidR="00A41403" w:rsidRDefault="00A41403">
            <w:pPr>
              <w:jc w:val="center"/>
              <w:rPr>
                <w:sz w:val="20"/>
              </w:rPr>
            </w:pPr>
            <w:r>
              <w:rPr>
                <w:sz w:val="20"/>
              </w:rPr>
              <w:t>5/5</w:t>
            </w:r>
          </w:p>
        </w:tc>
        <w:tc>
          <w:tcPr>
            <w:tcW w:w="2250" w:type="dxa"/>
            <w:tcBorders>
              <w:top w:val="single" w:sz="4" w:space="0" w:color="auto"/>
              <w:left w:val="single" w:sz="4" w:space="0" w:color="auto"/>
              <w:bottom w:val="single" w:sz="4" w:space="0" w:color="auto"/>
              <w:right w:val="single" w:sz="4" w:space="0" w:color="auto"/>
            </w:tcBorders>
            <w:hideMark/>
          </w:tcPr>
          <w:p w14:paraId="4BF3DADE" w14:textId="77777777" w:rsidR="00A41403" w:rsidRDefault="00A41403">
            <w:pPr>
              <w:jc w:val="center"/>
              <w:rPr>
                <w:sz w:val="20"/>
              </w:rPr>
            </w:pPr>
            <w:r>
              <w:rPr>
                <w:sz w:val="20"/>
              </w:rPr>
              <w:t>1/5</w:t>
            </w:r>
          </w:p>
        </w:tc>
      </w:tr>
      <w:tr w:rsidR="00A41403" w14:paraId="141375D9" w14:textId="77777777" w:rsidTr="00A41403">
        <w:tc>
          <w:tcPr>
            <w:tcW w:w="2835" w:type="dxa"/>
            <w:tcBorders>
              <w:top w:val="single" w:sz="4" w:space="0" w:color="auto"/>
              <w:left w:val="single" w:sz="4" w:space="0" w:color="auto"/>
              <w:bottom w:val="single" w:sz="4" w:space="0" w:color="auto"/>
              <w:right w:val="single" w:sz="4" w:space="0" w:color="auto"/>
            </w:tcBorders>
            <w:hideMark/>
          </w:tcPr>
          <w:p w14:paraId="2529ACA9" w14:textId="77777777" w:rsidR="00A41403" w:rsidRDefault="00A41403">
            <w:pPr>
              <w:rPr>
                <w:sz w:val="20"/>
              </w:rPr>
            </w:pPr>
            <w:r>
              <w:rPr>
                <w:sz w:val="20"/>
              </w:rPr>
              <w:t>Paraquat + morphine + naloxone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AD19022" w14:textId="77777777" w:rsidR="00A41403" w:rsidRDefault="00A41403">
            <w:pPr>
              <w:jc w:val="center"/>
              <w:rPr>
                <w:sz w:val="20"/>
              </w:rPr>
            </w:pPr>
            <w:r>
              <w:rPr>
                <w:sz w:val="20"/>
              </w:rPr>
              <w:t xml:space="preserve">25.4 </w:t>
            </w:r>
            <w:r>
              <w:rPr>
                <w:sz w:val="20"/>
                <w:u w:val="single"/>
              </w:rPr>
              <w:t>+</w:t>
            </w:r>
            <w:r>
              <w:rPr>
                <w:sz w:val="20"/>
              </w:rPr>
              <w:t xml:space="preserve"> 5.2</w:t>
            </w:r>
            <w:r>
              <w:rPr>
                <w:sz w:val="20"/>
                <w:vertAlign w:val="superscript"/>
              </w:rPr>
              <w:t>2</w:t>
            </w:r>
          </w:p>
        </w:tc>
        <w:tc>
          <w:tcPr>
            <w:tcW w:w="2002" w:type="dxa"/>
            <w:tcBorders>
              <w:top w:val="single" w:sz="4" w:space="0" w:color="auto"/>
              <w:left w:val="single" w:sz="4" w:space="0" w:color="auto"/>
              <w:bottom w:val="single" w:sz="4" w:space="0" w:color="auto"/>
              <w:right w:val="single" w:sz="4" w:space="0" w:color="auto"/>
            </w:tcBorders>
            <w:vAlign w:val="center"/>
            <w:hideMark/>
          </w:tcPr>
          <w:p w14:paraId="64933FCA" w14:textId="77777777" w:rsidR="00A41403" w:rsidRDefault="00A41403">
            <w:pPr>
              <w:jc w:val="center"/>
              <w:rPr>
                <w:sz w:val="20"/>
              </w:rPr>
            </w:pPr>
            <w:r>
              <w:rPr>
                <w:sz w:val="20"/>
              </w:rPr>
              <w:t>5/5</w:t>
            </w:r>
          </w:p>
        </w:tc>
        <w:tc>
          <w:tcPr>
            <w:tcW w:w="2250" w:type="dxa"/>
            <w:tcBorders>
              <w:top w:val="single" w:sz="4" w:space="0" w:color="auto"/>
              <w:left w:val="single" w:sz="4" w:space="0" w:color="auto"/>
              <w:bottom w:val="single" w:sz="4" w:space="0" w:color="auto"/>
              <w:right w:val="single" w:sz="4" w:space="0" w:color="auto"/>
            </w:tcBorders>
            <w:vAlign w:val="center"/>
            <w:hideMark/>
          </w:tcPr>
          <w:p w14:paraId="0003279E" w14:textId="77777777" w:rsidR="00A41403" w:rsidRDefault="00A41403">
            <w:pPr>
              <w:jc w:val="center"/>
              <w:rPr>
                <w:sz w:val="20"/>
              </w:rPr>
            </w:pPr>
            <w:r>
              <w:rPr>
                <w:sz w:val="20"/>
              </w:rPr>
              <w:t>3/5</w:t>
            </w:r>
          </w:p>
        </w:tc>
      </w:tr>
    </w:tbl>
    <w:p w14:paraId="499CC812" w14:textId="77777777" w:rsidR="00A41403" w:rsidRDefault="00A41403" w:rsidP="00A41403">
      <w:pPr>
        <w:rPr>
          <w:sz w:val="20"/>
        </w:rPr>
      </w:pPr>
      <w:r>
        <w:rPr>
          <w:sz w:val="20"/>
        </w:rPr>
        <w:t xml:space="preserve">Frequency data expressed as mean </w:t>
      </w:r>
      <w:r>
        <w:rPr>
          <w:sz w:val="20"/>
          <w:u w:val="single"/>
        </w:rPr>
        <w:t>+</w:t>
      </w:r>
      <w:r>
        <w:rPr>
          <w:sz w:val="20"/>
        </w:rPr>
        <w:t xml:space="preserve"> 1 SEM; PQ = paraquat; * p&lt;0.05 (Fisher’s exact probability test); ** p&lt;0.01 (1-way ANOVA, Duncan’s multiple range test); 1 = statistically different from the group treated with paraquat alone at p&lt;0.01 (1-way ANOVA, Duncan’s multiple range test); 2 = statistically different from the group </w:t>
      </w:r>
      <w:r w:rsidR="00794F11">
        <w:rPr>
          <w:sz w:val="20"/>
        </w:rPr>
        <w:t>pre-treated</w:t>
      </w:r>
      <w:r>
        <w:rPr>
          <w:sz w:val="20"/>
        </w:rPr>
        <w:t xml:space="preserve"> with paraquat plus morphine at p&lt;0.01 (1-way ANOVA, Duncan’s multiple range test).</w:t>
      </w:r>
    </w:p>
    <w:p w14:paraId="1EB431B8" w14:textId="77777777" w:rsidR="00A41403" w:rsidRDefault="00A41403" w:rsidP="00A41403">
      <w:pPr>
        <w:rPr>
          <w:sz w:val="20"/>
        </w:rPr>
      </w:pPr>
    </w:p>
    <w:p w14:paraId="01E43378" w14:textId="63577848" w:rsidR="00A41403" w:rsidRDefault="00A41403" w:rsidP="00A41403">
      <w:r>
        <w:t xml:space="preserve">Intracerebroventricular injection of paraquat at 11.9 or 23.7 </w:t>
      </w:r>
      <w:r>
        <w:sym w:font="Symbol" w:char="F06D"/>
      </w:r>
      <w:r>
        <w:t xml:space="preserve">g/rat did not cause shaking behaviour or myoclonus. In contrast, tremor was observed in all nine animals given 23.7 </w:t>
      </w:r>
      <w:r>
        <w:sym w:font="Symbol" w:char="F06D"/>
      </w:r>
      <w:r>
        <w:t xml:space="preserve">g/rat but not in any of those given 11.9 </w:t>
      </w:r>
      <w:r>
        <w:sym w:font="Symbol" w:char="F06D"/>
      </w:r>
      <w:r>
        <w:t xml:space="preserve">g/rat or in the control. No histopathological abnormalities were detected in the brains of any treated or control rats. Fluorescein uptake was significantly increased (p&lt;0.05) by paraquat and this effect was prevented by </w:t>
      </w:r>
      <w:r w:rsidR="00794F11">
        <w:t>pre-treatment</w:t>
      </w:r>
      <w:r>
        <w:t xml:space="preserve"> with morphine (see </w:t>
      </w:r>
      <w:r w:rsidR="003A31EB">
        <w:fldChar w:fldCharType="begin"/>
      </w:r>
      <w:r w:rsidR="003A31EB">
        <w:instrText xml:space="preserve"> REF _Ref410221589 </w:instrText>
      </w:r>
      <w:r w:rsidR="003A31EB">
        <w:fldChar w:fldCharType="separate"/>
      </w:r>
      <w:r w:rsidR="000E54B2">
        <w:t xml:space="preserve">Table </w:t>
      </w:r>
      <w:r w:rsidR="000E54B2">
        <w:rPr>
          <w:noProof/>
        </w:rPr>
        <w:t>31</w:t>
      </w:r>
      <w:r w:rsidR="003A31EB">
        <w:rPr>
          <w:noProof/>
        </w:rPr>
        <w:fldChar w:fldCharType="end"/>
      </w:r>
      <w:r w:rsidR="00C31A63">
        <w:t xml:space="preserve"> </w:t>
      </w:r>
      <w:r w:rsidR="003A31EB">
        <w:fldChar w:fldCharType="begin"/>
      </w:r>
      <w:r w:rsidR="003A31EB">
        <w:instrText xml:space="preserve"> REF _Ref459038304 \p </w:instrText>
      </w:r>
      <w:r w:rsidR="003A31EB">
        <w:fldChar w:fldCharType="separate"/>
      </w:r>
      <w:r w:rsidR="000E54B2">
        <w:t>below</w:t>
      </w:r>
      <w:r w:rsidR="003A31EB">
        <w:fldChar w:fldCharType="end"/>
      </w:r>
      <w:r>
        <w:t>). Although this result suggested that paraquat had damaged the brain microvasculature, the toxicological significance of this finding was unclear as the magnitude of the effect was relatively small. Naloxone did not antagonise the action of morphine on fluorescein uptake.</w:t>
      </w:r>
    </w:p>
    <w:p w14:paraId="2A972AFB" w14:textId="77777777" w:rsidR="00A41403" w:rsidRDefault="00A41403" w:rsidP="00A41403">
      <w:pPr>
        <w:pStyle w:val="BodyText2"/>
      </w:pPr>
    </w:p>
    <w:p w14:paraId="0458B55C" w14:textId="77777777" w:rsidR="009F7EB6" w:rsidRDefault="009F7EB6" w:rsidP="009D0D8F">
      <w:pPr>
        <w:pStyle w:val="Caption"/>
        <w:keepNext/>
        <w:keepLines/>
        <w:spacing w:after="120"/>
      </w:pPr>
      <w:bookmarkStart w:id="120" w:name="_Ref410221589"/>
      <w:bookmarkStart w:id="121" w:name="_Ref459038304"/>
      <w:r>
        <w:t xml:space="preserve">Table </w:t>
      </w:r>
      <w:r w:rsidR="00897462">
        <w:fldChar w:fldCharType="begin"/>
      </w:r>
      <w:r>
        <w:instrText xml:space="preserve"> SEQ Table \* ARABIC </w:instrText>
      </w:r>
      <w:r w:rsidR="00897462">
        <w:fldChar w:fldCharType="separate"/>
      </w:r>
      <w:r w:rsidR="000E54B2">
        <w:rPr>
          <w:noProof/>
        </w:rPr>
        <w:t>31</w:t>
      </w:r>
      <w:r w:rsidR="00897462">
        <w:fldChar w:fldCharType="end"/>
      </w:r>
      <w:bookmarkEnd w:id="120"/>
      <w:r>
        <w:t xml:space="preserve">. </w:t>
      </w:r>
      <w:r w:rsidRPr="00A42311">
        <w:t>Effect of paraquat on the uptake of fluorescein into rat brain</w:t>
      </w:r>
      <w:bookmarkEnd w:id="12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3"/>
        <w:gridCol w:w="4559"/>
      </w:tblGrid>
      <w:tr w:rsidR="00A41403" w14:paraId="213D2B38" w14:textId="77777777" w:rsidTr="000E221D">
        <w:tc>
          <w:tcPr>
            <w:tcW w:w="451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322A31" w14:textId="77777777" w:rsidR="00A41403" w:rsidRDefault="00A41403" w:rsidP="006E0A02">
            <w:pPr>
              <w:keepNext/>
              <w:keepLines/>
              <w:rPr>
                <w:b/>
                <w:sz w:val="20"/>
              </w:rPr>
            </w:pPr>
            <w:r>
              <w:rPr>
                <w:b/>
                <w:sz w:val="20"/>
              </w:rPr>
              <w:t>Treatment</w:t>
            </w:r>
          </w:p>
        </w:tc>
        <w:tc>
          <w:tcPr>
            <w:tcW w:w="4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89743D" w14:textId="77777777" w:rsidR="00A41403" w:rsidRDefault="00A41403" w:rsidP="006E0A02">
            <w:pPr>
              <w:keepNext/>
              <w:keepLines/>
              <w:jc w:val="center"/>
              <w:rPr>
                <w:b/>
                <w:sz w:val="20"/>
              </w:rPr>
            </w:pPr>
            <w:r>
              <w:rPr>
                <w:b/>
                <w:sz w:val="20"/>
              </w:rPr>
              <w:t>Fluorescein level (ng/g brain)</w:t>
            </w:r>
          </w:p>
        </w:tc>
      </w:tr>
      <w:tr w:rsidR="00A41403" w14:paraId="5A996E8A" w14:textId="77777777" w:rsidTr="00A41403">
        <w:tc>
          <w:tcPr>
            <w:tcW w:w="4513" w:type="dxa"/>
            <w:tcBorders>
              <w:top w:val="single" w:sz="4" w:space="0" w:color="auto"/>
              <w:left w:val="single" w:sz="4" w:space="0" w:color="auto"/>
              <w:bottom w:val="single" w:sz="4" w:space="0" w:color="auto"/>
              <w:right w:val="single" w:sz="4" w:space="0" w:color="auto"/>
            </w:tcBorders>
            <w:hideMark/>
          </w:tcPr>
          <w:p w14:paraId="42AFBBC4" w14:textId="77777777" w:rsidR="00A41403" w:rsidRDefault="00A41403" w:rsidP="006E0A02">
            <w:pPr>
              <w:keepNext/>
              <w:keepLines/>
              <w:rPr>
                <w:sz w:val="20"/>
              </w:rPr>
            </w:pPr>
            <w:r>
              <w:rPr>
                <w:sz w:val="20"/>
              </w:rPr>
              <w:t>Control (saline)</w:t>
            </w:r>
          </w:p>
        </w:tc>
        <w:tc>
          <w:tcPr>
            <w:tcW w:w="4559" w:type="dxa"/>
            <w:tcBorders>
              <w:top w:val="single" w:sz="4" w:space="0" w:color="auto"/>
              <w:left w:val="single" w:sz="4" w:space="0" w:color="auto"/>
              <w:bottom w:val="single" w:sz="4" w:space="0" w:color="auto"/>
              <w:right w:val="single" w:sz="4" w:space="0" w:color="auto"/>
            </w:tcBorders>
            <w:hideMark/>
          </w:tcPr>
          <w:p w14:paraId="6AC31F6C" w14:textId="77777777" w:rsidR="00A41403" w:rsidRDefault="00A41403" w:rsidP="006E0A02">
            <w:pPr>
              <w:keepNext/>
              <w:keepLines/>
              <w:jc w:val="center"/>
              <w:rPr>
                <w:sz w:val="20"/>
              </w:rPr>
            </w:pPr>
            <w:r>
              <w:rPr>
                <w:sz w:val="20"/>
              </w:rPr>
              <w:t xml:space="preserve">9.54 </w:t>
            </w:r>
            <w:r>
              <w:rPr>
                <w:sz w:val="20"/>
                <w:u w:val="single"/>
              </w:rPr>
              <w:t>+</w:t>
            </w:r>
            <w:r>
              <w:rPr>
                <w:sz w:val="20"/>
              </w:rPr>
              <w:t xml:space="preserve"> 0.45*</w:t>
            </w:r>
          </w:p>
        </w:tc>
      </w:tr>
      <w:tr w:rsidR="00A41403" w14:paraId="6363AD3E" w14:textId="77777777" w:rsidTr="00A41403">
        <w:tc>
          <w:tcPr>
            <w:tcW w:w="4513" w:type="dxa"/>
            <w:tcBorders>
              <w:top w:val="single" w:sz="4" w:space="0" w:color="auto"/>
              <w:left w:val="single" w:sz="4" w:space="0" w:color="auto"/>
              <w:bottom w:val="single" w:sz="4" w:space="0" w:color="auto"/>
              <w:right w:val="single" w:sz="4" w:space="0" w:color="auto"/>
            </w:tcBorders>
            <w:hideMark/>
          </w:tcPr>
          <w:p w14:paraId="4B328B15" w14:textId="77777777" w:rsidR="00A41403" w:rsidRDefault="00A41403" w:rsidP="006E0A02">
            <w:pPr>
              <w:keepNext/>
              <w:keepLines/>
              <w:rPr>
                <w:sz w:val="20"/>
              </w:rPr>
            </w:pPr>
            <w:r>
              <w:rPr>
                <w:sz w:val="20"/>
              </w:rPr>
              <w:t>PQ</w:t>
            </w:r>
          </w:p>
        </w:tc>
        <w:tc>
          <w:tcPr>
            <w:tcW w:w="4559" w:type="dxa"/>
            <w:tcBorders>
              <w:top w:val="single" w:sz="4" w:space="0" w:color="auto"/>
              <w:left w:val="single" w:sz="4" w:space="0" w:color="auto"/>
              <w:bottom w:val="single" w:sz="4" w:space="0" w:color="auto"/>
              <w:right w:val="single" w:sz="4" w:space="0" w:color="auto"/>
            </w:tcBorders>
            <w:hideMark/>
          </w:tcPr>
          <w:p w14:paraId="6D0E947F" w14:textId="77777777" w:rsidR="00A41403" w:rsidRDefault="00A41403" w:rsidP="006E0A02">
            <w:pPr>
              <w:keepNext/>
              <w:keepLines/>
              <w:jc w:val="center"/>
              <w:rPr>
                <w:sz w:val="20"/>
              </w:rPr>
            </w:pPr>
            <w:r>
              <w:rPr>
                <w:sz w:val="20"/>
              </w:rPr>
              <w:t xml:space="preserve">12.83 </w:t>
            </w:r>
            <w:r>
              <w:rPr>
                <w:sz w:val="20"/>
                <w:u w:val="single"/>
              </w:rPr>
              <w:t>+</w:t>
            </w:r>
            <w:r>
              <w:rPr>
                <w:sz w:val="20"/>
              </w:rPr>
              <w:t xml:space="preserve"> 0.86</w:t>
            </w:r>
          </w:p>
        </w:tc>
      </w:tr>
      <w:tr w:rsidR="00A41403" w14:paraId="65C32D27" w14:textId="77777777" w:rsidTr="00A41403">
        <w:tc>
          <w:tcPr>
            <w:tcW w:w="4513" w:type="dxa"/>
            <w:tcBorders>
              <w:top w:val="single" w:sz="4" w:space="0" w:color="auto"/>
              <w:left w:val="single" w:sz="4" w:space="0" w:color="auto"/>
              <w:bottom w:val="single" w:sz="4" w:space="0" w:color="auto"/>
              <w:right w:val="single" w:sz="4" w:space="0" w:color="auto"/>
            </w:tcBorders>
            <w:hideMark/>
          </w:tcPr>
          <w:p w14:paraId="01FA0CF4" w14:textId="77777777" w:rsidR="00A41403" w:rsidRDefault="00A41403" w:rsidP="006E0A02">
            <w:pPr>
              <w:keepNext/>
              <w:keepLines/>
              <w:rPr>
                <w:sz w:val="20"/>
              </w:rPr>
            </w:pPr>
            <w:r>
              <w:rPr>
                <w:sz w:val="20"/>
              </w:rPr>
              <w:t>PQ + morphine</w:t>
            </w:r>
          </w:p>
        </w:tc>
        <w:tc>
          <w:tcPr>
            <w:tcW w:w="4559" w:type="dxa"/>
            <w:tcBorders>
              <w:top w:val="single" w:sz="4" w:space="0" w:color="auto"/>
              <w:left w:val="single" w:sz="4" w:space="0" w:color="auto"/>
              <w:bottom w:val="single" w:sz="4" w:space="0" w:color="auto"/>
              <w:right w:val="single" w:sz="4" w:space="0" w:color="auto"/>
            </w:tcBorders>
            <w:hideMark/>
          </w:tcPr>
          <w:p w14:paraId="70CF8F8E" w14:textId="77777777" w:rsidR="00A41403" w:rsidRDefault="00A41403" w:rsidP="006E0A02">
            <w:pPr>
              <w:keepNext/>
              <w:keepLines/>
              <w:jc w:val="center"/>
              <w:rPr>
                <w:sz w:val="20"/>
              </w:rPr>
            </w:pPr>
            <w:r>
              <w:rPr>
                <w:sz w:val="20"/>
              </w:rPr>
              <w:t xml:space="preserve">8.75 </w:t>
            </w:r>
            <w:r>
              <w:rPr>
                <w:sz w:val="20"/>
                <w:u w:val="single"/>
              </w:rPr>
              <w:t>+</w:t>
            </w:r>
            <w:r>
              <w:rPr>
                <w:sz w:val="20"/>
              </w:rPr>
              <w:t xml:space="preserve"> 1.07*</w:t>
            </w:r>
          </w:p>
        </w:tc>
      </w:tr>
      <w:tr w:rsidR="00A41403" w14:paraId="2B992914" w14:textId="77777777" w:rsidTr="00A41403">
        <w:tc>
          <w:tcPr>
            <w:tcW w:w="4513" w:type="dxa"/>
            <w:tcBorders>
              <w:top w:val="single" w:sz="4" w:space="0" w:color="auto"/>
              <w:left w:val="single" w:sz="4" w:space="0" w:color="auto"/>
              <w:bottom w:val="single" w:sz="4" w:space="0" w:color="auto"/>
              <w:right w:val="single" w:sz="4" w:space="0" w:color="auto"/>
            </w:tcBorders>
            <w:hideMark/>
          </w:tcPr>
          <w:p w14:paraId="0BA81799" w14:textId="77777777" w:rsidR="00A41403" w:rsidRDefault="00A41403" w:rsidP="006E0A02">
            <w:pPr>
              <w:keepNext/>
              <w:keepLines/>
              <w:rPr>
                <w:sz w:val="20"/>
              </w:rPr>
            </w:pPr>
            <w:r>
              <w:rPr>
                <w:sz w:val="20"/>
              </w:rPr>
              <w:t>Paraquat + morphine + naloxone</w:t>
            </w:r>
          </w:p>
        </w:tc>
        <w:tc>
          <w:tcPr>
            <w:tcW w:w="4559" w:type="dxa"/>
            <w:tcBorders>
              <w:top w:val="single" w:sz="4" w:space="0" w:color="auto"/>
              <w:left w:val="single" w:sz="4" w:space="0" w:color="auto"/>
              <w:bottom w:val="single" w:sz="4" w:space="0" w:color="auto"/>
              <w:right w:val="single" w:sz="4" w:space="0" w:color="auto"/>
            </w:tcBorders>
            <w:hideMark/>
          </w:tcPr>
          <w:p w14:paraId="4A9E07AC" w14:textId="77777777" w:rsidR="00A41403" w:rsidRDefault="00A41403" w:rsidP="006E0A02">
            <w:pPr>
              <w:keepNext/>
              <w:keepLines/>
              <w:jc w:val="center"/>
              <w:rPr>
                <w:sz w:val="20"/>
              </w:rPr>
            </w:pPr>
            <w:r>
              <w:rPr>
                <w:sz w:val="20"/>
              </w:rPr>
              <w:t xml:space="preserve">9.70 </w:t>
            </w:r>
            <w:r>
              <w:rPr>
                <w:sz w:val="20"/>
                <w:u w:val="single"/>
              </w:rPr>
              <w:t>+</w:t>
            </w:r>
            <w:r>
              <w:rPr>
                <w:sz w:val="20"/>
              </w:rPr>
              <w:t xml:space="preserve"> 1.44*</w:t>
            </w:r>
          </w:p>
        </w:tc>
      </w:tr>
    </w:tbl>
    <w:p w14:paraId="2DC9A4B5" w14:textId="77777777" w:rsidR="00A41403" w:rsidRDefault="00A41403" w:rsidP="006E0A02">
      <w:pPr>
        <w:keepNext/>
        <w:keepLines/>
        <w:rPr>
          <w:sz w:val="20"/>
        </w:rPr>
      </w:pPr>
      <w:r>
        <w:rPr>
          <w:sz w:val="20"/>
        </w:rPr>
        <w:t xml:space="preserve">Data expressed as mean </w:t>
      </w:r>
      <w:r>
        <w:rPr>
          <w:sz w:val="20"/>
          <w:u w:val="single"/>
        </w:rPr>
        <w:t>+</w:t>
      </w:r>
      <w:r>
        <w:rPr>
          <w:sz w:val="20"/>
        </w:rPr>
        <w:t xml:space="preserve"> 1 SEM; PQ = paraquat; * = significantly different from the group </w:t>
      </w:r>
      <w:r w:rsidR="00794F11">
        <w:rPr>
          <w:sz w:val="20"/>
        </w:rPr>
        <w:t>pre-treated</w:t>
      </w:r>
      <w:r>
        <w:rPr>
          <w:sz w:val="20"/>
        </w:rPr>
        <w:t xml:space="preserve"> with paraquat (1-way ANOVA, Duncan’s multiple range test).</w:t>
      </w:r>
    </w:p>
    <w:p w14:paraId="2BC06F53" w14:textId="77777777" w:rsidR="00A41403" w:rsidRDefault="00A41403" w:rsidP="00A41403"/>
    <w:p w14:paraId="107B8624" w14:textId="77777777" w:rsidR="00A41403" w:rsidRDefault="00A41403" w:rsidP="00A41403">
      <w:r>
        <w:t xml:space="preserve">In summary, a single ip injection of paraquat given to male SD rats caused a significant dose-dependent increase in the frequency of shaking behaviour at and above 30 mg/kg bw (equivalent to 21.6 mg/kg bw paraquat cation). Myoclonus was seen only at 70 mg/kg bw (equivalent to 50.6 mg/kg bw paraquat cation). Morphine but not naloxone </w:t>
      </w:r>
      <w:r w:rsidR="00794F11">
        <w:t>pre-treatment</w:t>
      </w:r>
      <w:r>
        <w:t xml:space="preserve"> significantly reduced paraquat-induced shaking behaviour suggesting that shaking behaviour was mediated by opioid receptors. Intracerebroventricular injection of paraquat</w:t>
      </w:r>
      <w:r w:rsidR="005F6C60">
        <w:t xml:space="preserve"> </w:t>
      </w:r>
      <w:r>
        <w:t xml:space="preserve">induced tremor, but not shaking behaviour or myoclonus, at 23.7 </w:t>
      </w:r>
      <w:r>
        <w:sym w:font="Symbol" w:char="F06D"/>
      </w:r>
      <w:r>
        <w:t xml:space="preserve">g/rat (equivalent to 18.5 </w:t>
      </w:r>
      <w:r>
        <w:sym w:font="Symbol" w:char="F06D"/>
      </w:r>
      <w:r>
        <w:t xml:space="preserve">g paraquat cation). Although no histopathological abnormalities were detected in the brains of any rats, fluorescein uptake was significantly increased by treatment and this was prevented by </w:t>
      </w:r>
      <w:r>
        <w:lastRenderedPageBreak/>
        <w:t>morphine. The latter findings suggested that paraquat increased the vascular permeability of the rat brain.</w:t>
      </w:r>
    </w:p>
    <w:p w14:paraId="6DD5D563" w14:textId="77777777" w:rsidR="00A41403" w:rsidRDefault="00A41403" w:rsidP="002B2CFC">
      <w:pPr>
        <w:rPr>
          <w:b/>
          <w:i/>
          <w:szCs w:val="24"/>
          <w:lang w:eastAsia="en-US"/>
        </w:rPr>
      </w:pPr>
    </w:p>
    <w:p w14:paraId="1AAC2EB8" w14:textId="77777777" w:rsidR="00863519" w:rsidRDefault="002B2CFC" w:rsidP="002B2CFC">
      <w:pPr>
        <w:rPr>
          <w:b/>
          <w:i/>
          <w:szCs w:val="24"/>
          <w:lang w:eastAsia="en-US"/>
        </w:rPr>
      </w:pPr>
      <w:r w:rsidRPr="00C46E43">
        <w:rPr>
          <w:b/>
          <w:szCs w:val="24"/>
          <w:lang w:eastAsia="en-US"/>
        </w:rPr>
        <w:t>Ossowska K, Wardas J, Smiałowska M, Kuter K, Lenda T, Wierońska JM, Zieba B, Nowak P, Dabrowska J, Bortel A, Kwieciński A &amp; Wolfarth S (2005b)</w:t>
      </w:r>
      <w:r w:rsidR="007D3CB1">
        <w:rPr>
          <w:b/>
          <w:szCs w:val="24"/>
          <w:lang w:eastAsia="en-US"/>
        </w:rPr>
        <w:t>.</w:t>
      </w:r>
      <w:r w:rsidRPr="002B2CFC">
        <w:rPr>
          <w:b/>
          <w:i/>
          <w:szCs w:val="24"/>
          <w:lang w:eastAsia="en-US"/>
        </w:rPr>
        <w:t xml:space="preserve"> </w:t>
      </w:r>
      <w:r w:rsidRPr="002B2CFC">
        <w:rPr>
          <w:b/>
          <w:szCs w:val="24"/>
          <w:lang w:eastAsia="en-US"/>
        </w:rPr>
        <w:t>A slowly developing dysfunction of dopaminergic nigrostriatal neurons induced by long-term paraquat administration in rats: an animal model of preclinical stages of Parkinson’s disease?</w:t>
      </w:r>
      <w:r w:rsidRPr="002B2CFC">
        <w:rPr>
          <w:b/>
          <w:i/>
          <w:szCs w:val="24"/>
          <w:lang w:eastAsia="en-US"/>
        </w:rPr>
        <w:t xml:space="preserve"> Eur J Neurosci. </w:t>
      </w:r>
      <w:r w:rsidRPr="002B2CFC">
        <w:rPr>
          <w:b/>
          <w:szCs w:val="24"/>
          <w:lang w:eastAsia="en-US"/>
        </w:rPr>
        <w:t>22(6):1294-304.</w:t>
      </w:r>
      <w:r w:rsidRPr="002B2CFC">
        <w:rPr>
          <w:b/>
          <w:i/>
          <w:szCs w:val="24"/>
          <w:lang w:eastAsia="en-US"/>
        </w:rPr>
        <w:t xml:space="preserve"> </w:t>
      </w:r>
    </w:p>
    <w:p w14:paraId="5A891485" w14:textId="77777777" w:rsidR="002B2CFC" w:rsidRPr="002B2CFC" w:rsidRDefault="002B2CFC" w:rsidP="002B2CFC">
      <w:pPr>
        <w:rPr>
          <w:b/>
          <w:i/>
          <w:szCs w:val="24"/>
          <w:lang w:eastAsia="en-US"/>
        </w:rPr>
      </w:pPr>
    </w:p>
    <w:p w14:paraId="57E51DB0" w14:textId="77777777" w:rsidR="00863519" w:rsidRDefault="00863519" w:rsidP="00863519">
      <w:pPr>
        <w:rPr>
          <w:lang w:val="en-US"/>
        </w:rPr>
      </w:pPr>
      <w:r>
        <w:rPr>
          <w:lang w:val="en-US"/>
        </w:rPr>
        <w:t xml:space="preserve">This study examined the effect of long-term (up to 24 weeks) intraperitoneal paraquat administration in rats, specifically, effects on nigrostriatal neurons and potential sequelae in dopaminergic transmission. The study also </w:t>
      </w:r>
      <w:r w:rsidR="00C50394">
        <w:rPr>
          <w:lang w:val="en-US"/>
        </w:rPr>
        <w:t xml:space="preserve">investigated </w:t>
      </w:r>
      <w:r>
        <w:rPr>
          <w:lang w:val="en-US"/>
        </w:rPr>
        <w:t>the intermediate stages in this process</w:t>
      </w:r>
      <w:r w:rsidR="00C50394">
        <w:rPr>
          <w:lang w:val="en-US"/>
        </w:rPr>
        <w:t xml:space="preserve"> by sampling at different time points</w:t>
      </w:r>
      <w:r>
        <w:rPr>
          <w:lang w:val="en-US"/>
        </w:rPr>
        <w:t>.</w:t>
      </w:r>
    </w:p>
    <w:p w14:paraId="0BB0CDF2" w14:textId="77777777" w:rsidR="00863519" w:rsidRDefault="00863519" w:rsidP="00863519">
      <w:pPr>
        <w:rPr>
          <w:lang w:val="en-US"/>
        </w:rPr>
      </w:pPr>
    </w:p>
    <w:p w14:paraId="18D96AB3" w14:textId="77777777" w:rsidR="00863519" w:rsidRDefault="00863519" w:rsidP="00863519">
      <w:pPr>
        <w:rPr>
          <w:lang w:val="en-US"/>
        </w:rPr>
      </w:pPr>
      <w:r>
        <w:rPr>
          <w:i/>
          <w:lang w:val="en-US"/>
        </w:rPr>
        <w:t>Method:</w:t>
      </w:r>
      <w:r>
        <w:rPr>
          <w:lang w:val="en-US"/>
        </w:rPr>
        <w:t xml:space="preserve"> Male Wistar rats ( 200-250 g)</w:t>
      </w:r>
      <w:r w:rsidR="00C50394">
        <w:rPr>
          <w:lang w:val="en-US"/>
        </w:rPr>
        <w:t xml:space="preserve"> </w:t>
      </w:r>
      <w:r>
        <w:rPr>
          <w:lang w:val="en-US"/>
        </w:rPr>
        <w:t xml:space="preserve">were housed in in a controlled environment with feed and water provided </w:t>
      </w:r>
      <w:r w:rsidRPr="00863519">
        <w:rPr>
          <w:i/>
          <w:lang w:val="en-US"/>
        </w:rPr>
        <w:t>ad libitum</w:t>
      </w:r>
      <w:r>
        <w:rPr>
          <w:lang w:val="en-US"/>
        </w:rPr>
        <w:t>. Paraquat dichloride (Sigma-Aldrich, Germany) dissolved in  saline was administered at a dose of 10 mg/kg/2 mL ip once a week for 4, 8, 12 or 24 weeks (approx. 7.2 mg/kg bw paraquat ion). Groups designated  for biochemical or Western blot analysis were killed by decapitation 7 days after the last injection. Groups for histological examination were dosed only at 4, 8 or 24 weeks and perfused 7 days after the last injection. A vehicle control group received weekly ip injections</w:t>
      </w:r>
    </w:p>
    <w:p w14:paraId="67DF07D4" w14:textId="77777777" w:rsidR="00863519" w:rsidRDefault="00863519" w:rsidP="00863519">
      <w:pPr>
        <w:rPr>
          <w:lang w:val="en-US"/>
        </w:rPr>
      </w:pPr>
    </w:p>
    <w:p w14:paraId="723C2FB2" w14:textId="77777777" w:rsidR="00863519" w:rsidRDefault="00863519" w:rsidP="00863519">
      <w:pPr>
        <w:rPr>
          <w:iCs/>
          <w:lang w:val="en-US"/>
        </w:rPr>
      </w:pPr>
      <w:r>
        <w:rPr>
          <w:lang w:val="en-US"/>
        </w:rPr>
        <w:t xml:space="preserve">Following decapitation, brains were rapidly removed and the SN and caudate-putamen isolated. Levels of </w:t>
      </w:r>
      <w:r w:rsidR="00A4092E">
        <w:rPr>
          <w:lang w:val="en-US"/>
        </w:rPr>
        <w:t>DA</w:t>
      </w:r>
      <w:r>
        <w:rPr>
          <w:lang w:val="en-US"/>
        </w:rPr>
        <w:t>, DOPAC, 3-MT and HVA, 5-HT, 5-HIAA, and NA determined by HPLC an</w:t>
      </w:r>
      <w:r w:rsidR="009E2A0B">
        <w:rPr>
          <w:lang w:val="en-US"/>
        </w:rPr>
        <w:t>d ECD</w:t>
      </w:r>
      <w:r>
        <w:rPr>
          <w:lang w:val="en-US"/>
        </w:rPr>
        <w:t>. The binding of [</w:t>
      </w:r>
      <w:r>
        <w:rPr>
          <w:vertAlign w:val="superscript"/>
          <w:lang w:val="en-US"/>
        </w:rPr>
        <w:t>3</w:t>
      </w:r>
      <w:r>
        <w:rPr>
          <w:lang w:val="en-US"/>
        </w:rPr>
        <w:t>H]1-2[2-[2-(diphenyl-methoxy)-ethyl]-4-(3-phenylpropyl)piperazine ([</w:t>
      </w:r>
      <w:r>
        <w:rPr>
          <w:vertAlign w:val="superscript"/>
          <w:lang w:val="en-US"/>
        </w:rPr>
        <w:t>3</w:t>
      </w:r>
      <w:r>
        <w:rPr>
          <w:lang w:val="en-US"/>
        </w:rPr>
        <w:t xml:space="preserve">H]GBR 12,935) to DAT was estimated in the dorsal and ventral regions of the anterior caudate-putamen,  expressed in Ci/mmol and converted to fmol/mg of tissue. Histological analyses of </w:t>
      </w:r>
      <w:r>
        <w:rPr>
          <w:iCs/>
          <w:lang w:val="en-US"/>
        </w:rPr>
        <w:t xml:space="preserve">TH-ir neurons in the </w:t>
      </w:r>
      <w:r w:rsidR="00A4092E">
        <w:rPr>
          <w:iCs/>
          <w:lang w:val="en-US"/>
        </w:rPr>
        <w:t>SN</w:t>
      </w:r>
      <w:r>
        <w:rPr>
          <w:iCs/>
          <w:lang w:val="en-US"/>
        </w:rPr>
        <w:t xml:space="preserve"> and TH-ir terminals in the caudate-putamen were conducted, including sterelogical counting of the TH-ir neurones</w:t>
      </w:r>
    </w:p>
    <w:p w14:paraId="09FEBE26" w14:textId="77777777" w:rsidR="00863519" w:rsidRDefault="00863519" w:rsidP="00863519">
      <w:pPr>
        <w:rPr>
          <w:i/>
          <w:iCs/>
          <w:lang w:val="en-US"/>
        </w:rPr>
      </w:pPr>
    </w:p>
    <w:p w14:paraId="0CD15C4C" w14:textId="77777777" w:rsidR="00863519" w:rsidRDefault="00863519" w:rsidP="00863519">
      <w:pPr>
        <w:rPr>
          <w:i/>
        </w:rPr>
      </w:pPr>
      <w:r>
        <w:rPr>
          <w:i/>
        </w:rPr>
        <w:t>Results:</w:t>
      </w:r>
    </w:p>
    <w:p w14:paraId="56CE94B1" w14:textId="77777777" w:rsidR="00863519" w:rsidRDefault="00863519" w:rsidP="00863519">
      <w:pPr>
        <w:rPr>
          <w:i/>
        </w:rPr>
      </w:pPr>
    </w:p>
    <w:p w14:paraId="4E2B3646" w14:textId="77777777" w:rsidR="00863519" w:rsidRDefault="00863519" w:rsidP="00863519">
      <w:pPr>
        <w:rPr>
          <w:lang w:val="en-US"/>
        </w:rPr>
      </w:pPr>
      <w:r>
        <w:rPr>
          <w:i/>
          <w:iCs/>
          <w:lang w:val="en-US"/>
        </w:rPr>
        <w:t>Number of TH-ir neurons in the SN and TH-ir immunoreactivity in the caudate-putamen (light microscopy):</w:t>
      </w:r>
      <w:r>
        <w:rPr>
          <w:iCs/>
          <w:lang w:val="en-US"/>
        </w:rPr>
        <w:t xml:space="preserve"> Stereology analysis of the number of TH-ir neurons at</w:t>
      </w:r>
      <w:r w:rsidR="00316AA0">
        <w:rPr>
          <w:iCs/>
          <w:lang w:val="en-US"/>
        </w:rPr>
        <w:t xml:space="preserve"> </w:t>
      </w:r>
      <w:r>
        <w:rPr>
          <w:iCs/>
          <w:lang w:val="en-US"/>
        </w:rPr>
        <w:t xml:space="preserve">4 or 8 weeks of treatment with ip paraquat (10 mg/kg bw) showed a dose related reduction in the number for TH-ir neurons in the SN (-17% and -28.5% difference from controls respectively), although this was not statistically significant. </w:t>
      </w:r>
      <w:r>
        <w:rPr>
          <w:lang w:val="en-US"/>
        </w:rPr>
        <w:t>Following 24 weeks of ip injections, the reduction was significant at a loss of 37%.Manual counting showed that after 4 weeks the loss of TH-ir neurons was greater in the rostral region of the SN, after which the loss was evident in increasingly caudal parts, until the entire SN was affected at 24 weeks. The degree of staining for nigral neurons was greater after 8 weeks of treatment, but less so at 24 weeks.  Surrounding areas showed a similar pattern of staining intensity.</w:t>
      </w:r>
    </w:p>
    <w:p w14:paraId="6ACDEB73" w14:textId="77777777" w:rsidR="00863519" w:rsidRDefault="00863519" w:rsidP="00863519">
      <w:pPr>
        <w:rPr>
          <w:lang w:val="en-US"/>
        </w:rPr>
      </w:pPr>
    </w:p>
    <w:p w14:paraId="78CE9AAD" w14:textId="77777777" w:rsidR="00863519" w:rsidRDefault="00C50394" w:rsidP="00863519">
      <w:pPr>
        <w:rPr>
          <w:lang w:val="en-US"/>
        </w:rPr>
      </w:pPr>
      <w:r>
        <w:rPr>
          <w:lang w:val="en-US"/>
        </w:rPr>
        <w:t>There were no changes in the level of TH-immunoreactivity in t</w:t>
      </w:r>
      <w:r w:rsidR="00863519">
        <w:rPr>
          <w:lang w:val="en-US"/>
        </w:rPr>
        <w:t xml:space="preserve">he caudate-putamen at 4 or 8 weeks, but </w:t>
      </w:r>
      <w:r>
        <w:rPr>
          <w:lang w:val="en-US"/>
        </w:rPr>
        <w:t xml:space="preserve">a decrease was evident </w:t>
      </w:r>
      <w:r w:rsidR="00863519">
        <w:rPr>
          <w:lang w:val="en-US"/>
        </w:rPr>
        <w:t>at 24 weeks.</w:t>
      </w:r>
    </w:p>
    <w:p w14:paraId="2910E173" w14:textId="77777777" w:rsidR="00863519" w:rsidRDefault="00863519" w:rsidP="00863519">
      <w:pPr>
        <w:rPr>
          <w:lang w:val="en-US"/>
        </w:rPr>
      </w:pPr>
    </w:p>
    <w:p w14:paraId="07A5C356" w14:textId="77777777" w:rsidR="00863519" w:rsidRDefault="00863519" w:rsidP="00863519">
      <w:pPr>
        <w:rPr>
          <w:lang w:val="en-US"/>
        </w:rPr>
      </w:pPr>
      <w:r>
        <w:rPr>
          <w:i/>
          <w:iCs/>
          <w:lang w:val="en-US"/>
        </w:rPr>
        <w:lastRenderedPageBreak/>
        <w:t xml:space="preserve">Volume of the SN: </w:t>
      </w:r>
      <w:r w:rsidRPr="00863519">
        <w:rPr>
          <w:iCs/>
          <w:lang w:val="en-US"/>
        </w:rPr>
        <w:t>Treatment with paraquat resulted in a statisitically significant reduction in the volume of the SN as compared to controls</w:t>
      </w:r>
      <w:r>
        <w:rPr>
          <w:iCs/>
          <w:lang w:val="en-US"/>
        </w:rPr>
        <w:t xml:space="preserve"> (approx 24% less than controls) following 24 weeks of administration. Reduced periods of treatment resulted in no affects on SN volume</w:t>
      </w:r>
      <w:r>
        <w:rPr>
          <w:lang w:val="en-US"/>
        </w:rPr>
        <w:t>.</w:t>
      </w:r>
    </w:p>
    <w:p w14:paraId="7D436373" w14:textId="77777777" w:rsidR="00863519" w:rsidRDefault="00863519" w:rsidP="00863519">
      <w:pPr>
        <w:rPr>
          <w:lang w:val="en-US"/>
        </w:rPr>
      </w:pPr>
    </w:p>
    <w:p w14:paraId="1D4B2F3C" w14:textId="77777777" w:rsidR="00863519" w:rsidRDefault="00011149" w:rsidP="00863519">
      <w:pPr>
        <w:rPr>
          <w:lang w:val="en-US"/>
        </w:rPr>
      </w:pPr>
      <w:r>
        <w:rPr>
          <w:i/>
          <w:iCs/>
          <w:lang w:val="en-US"/>
        </w:rPr>
        <w:t>DA</w:t>
      </w:r>
      <w:r w:rsidR="00863519">
        <w:rPr>
          <w:i/>
          <w:iCs/>
          <w:lang w:val="en-US"/>
        </w:rPr>
        <w:t xml:space="preserve"> levels and metabolism:</w:t>
      </w:r>
      <w:r w:rsidR="00863519">
        <w:rPr>
          <w:iCs/>
          <w:lang w:val="en-US"/>
        </w:rPr>
        <w:t xml:space="preserve"> In the caudate-putamen, levels of 3-MT and HVA were statistically significantly increased following 4 weeks of treatment, and at 8 weeks there was an increase in </w:t>
      </w:r>
      <w:r>
        <w:rPr>
          <w:iCs/>
          <w:lang w:val="en-US"/>
        </w:rPr>
        <w:t>DA</w:t>
      </w:r>
      <w:r w:rsidR="00863519">
        <w:rPr>
          <w:iCs/>
          <w:lang w:val="en-US"/>
        </w:rPr>
        <w:t xml:space="preserve">, DOPAC, 3-MT and HVA. At the 12 week sacrifice, </w:t>
      </w:r>
      <w:r>
        <w:rPr>
          <w:iCs/>
          <w:lang w:val="en-US"/>
        </w:rPr>
        <w:t>DA</w:t>
      </w:r>
      <w:r w:rsidR="00863519">
        <w:rPr>
          <w:iCs/>
          <w:lang w:val="en-US"/>
        </w:rPr>
        <w:t xml:space="preserve"> and its metabolites were similar to control values and effects noted again at the 24 week sacrifice (</w:t>
      </w:r>
      <w:r>
        <w:rPr>
          <w:lang w:val="en-US"/>
        </w:rPr>
        <w:t>DA</w:t>
      </w:r>
      <w:r w:rsidR="00863519">
        <w:rPr>
          <w:lang w:val="en-US"/>
        </w:rPr>
        <w:t xml:space="preserve"> and DOPAC concentrations dropped by 26-31% and 27-36%, respectively). An </w:t>
      </w:r>
      <w:r w:rsidR="00C50394">
        <w:rPr>
          <w:lang w:val="en-US"/>
        </w:rPr>
        <w:t>increase in the turnover rate (</w:t>
      </w:r>
      <w:r w:rsidR="00863519">
        <w:rPr>
          <w:lang w:val="en-US"/>
        </w:rPr>
        <w:t xml:space="preserve">HVA : </w:t>
      </w:r>
      <w:r>
        <w:rPr>
          <w:lang w:val="en-US"/>
        </w:rPr>
        <w:t>DA</w:t>
      </w:r>
      <w:r w:rsidR="00863519">
        <w:rPr>
          <w:lang w:val="en-US"/>
        </w:rPr>
        <w:t>)</w:t>
      </w:r>
      <w:r w:rsidR="00C50394">
        <w:rPr>
          <w:lang w:val="en-US"/>
        </w:rPr>
        <w:t xml:space="preserve"> was </w:t>
      </w:r>
      <w:r w:rsidR="00863519">
        <w:rPr>
          <w:lang w:val="en-US"/>
        </w:rPr>
        <w:t>noted at  4-8 weeks of treatment, but not at12 weeks.</w:t>
      </w:r>
    </w:p>
    <w:p w14:paraId="685FDF65" w14:textId="77777777" w:rsidR="00863519" w:rsidRDefault="00863519" w:rsidP="00863519">
      <w:pPr>
        <w:rPr>
          <w:lang w:val="en-US"/>
        </w:rPr>
      </w:pPr>
    </w:p>
    <w:p w14:paraId="410A1449" w14:textId="77777777" w:rsidR="00863519" w:rsidRDefault="00863519" w:rsidP="00863519">
      <w:pPr>
        <w:rPr>
          <w:lang w:val="en-US"/>
        </w:rPr>
      </w:pPr>
      <w:r>
        <w:rPr>
          <w:lang w:val="en-US"/>
        </w:rPr>
        <w:t xml:space="preserve">Differences were noted in  the </w:t>
      </w:r>
      <w:r w:rsidR="00A4092E">
        <w:rPr>
          <w:lang w:val="en-US"/>
        </w:rPr>
        <w:t>SN</w:t>
      </w:r>
      <w:r>
        <w:rPr>
          <w:lang w:val="en-US"/>
        </w:rPr>
        <w:t>,with increased</w:t>
      </w:r>
      <w:r w:rsidR="00C50394">
        <w:rPr>
          <w:lang w:val="en-US"/>
        </w:rPr>
        <w:t xml:space="preserve"> </w:t>
      </w:r>
      <w:r>
        <w:rPr>
          <w:lang w:val="en-US"/>
        </w:rPr>
        <w:t xml:space="preserve">3-MT levels only at 4 weeks. At 8 weeks, the levels of </w:t>
      </w:r>
      <w:r w:rsidR="00011149">
        <w:rPr>
          <w:lang w:val="en-US"/>
        </w:rPr>
        <w:t>DA</w:t>
      </w:r>
      <w:r>
        <w:rPr>
          <w:lang w:val="en-US"/>
        </w:rPr>
        <w:t xml:space="preserve">, DOPAC, 3-MT and HVA were increased but normal at12 weeks. There were no differences from controls in any neurotransmitter/metabolite at 24 weeks, although the ratio of 3-MT: </w:t>
      </w:r>
      <w:r w:rsidR="00011149">
        <w:rPr>
          <w:lang w:val="en-US"/>
        </w:rPr>
        <w:t>DA</w:t>
      </w:r>
      <w:r>
        <w:rPr>
          <w:lang w:val="en-US"/>
        </w:rPr>
        <w:t xml:space="preserve"> was reduced.</w:t>
      </w:r>
    </w:p>
    <w:p w14:paraId="3AB91241" w14:textId="77777777" w:rsidR="00D133D4" w:rsidRDefault="00D133D4" w:rsidP="002B2CFC">
      <w:pPr>
        <w:rPr>
          <w:szCs w:val="24"/>
          <w:lang w:val="en-US" w:eastAsia="en-US"/>
        </w:rPr>
      </w:pPr>
    </w:p>
    <w:p w14:paraId="68FE2A5E" w14:textId="77777777" w:rsidR="00316AA0" w:rsidRDefault="001875D7" w:rsidP="00316AA0">
      <w:pPr>
        <w:rPr>
          <w:lang w:val="en-US"/>
        </w:rPr>
      </w:pPr>
      <w:r>
        <w:rPr>
          <w:i/>
          <w:iCs/>
          <w:lang w:val="en-US"/>
        </w:rPr>
        <w:t>5-HT</w:t>
      </w:r>
      <w:r w:rsidR="00316AA0">
        <w:rPr>
          <w:i/>
          <w:iCs/>
          <w:lang w:val="en-US"/>
        </w:rPr>
        <w:t xml:space="preserve"> and noradrenalin levels and metabolism: </w:t>
      </w:r>
      <w:r w:rsidR="00316AA0">
        <w:rPr>
          <w:lang w:val="en-US"/>
        </w:rPr>
        <w:t xml:space="preserve">In the caudate-putamen at  4 weeks, there was an increase in 5-HIAA only which persisted until 12 weeks. At 8 and 12 weeks </w:t>
      </w:r>
      <w:r>
        <w:rPr>
          <w:lang w:val="en-US"/>
        </w:rPr>
        <w:t>5-HT</w:t>
      </w:r>
      <w:r w:rsidR="00316AA0">
        <w:rPr>
          <w:lang w:val="en-US"/>
        </w:rPr>
        <w:t xml:space="preserve"> levels were elevated. An increased 5-HIAA:</w:t>
      </w:r>
      <w:r>
        <w:rPr>
          <w:lang w:val="en-US"/>
        </w:rPr>
        <w:t>5-HT</w:t>
      </w:r>
      <w:r w:rsidR="00316AA0">
        <w:rPr>
          <w:lang w:val="en-US"/>
        </w:rPr>
        <w:t xml:space="preserve"> was noted at 8 weeks only. No effects on these levels were present at 24 weeks. </w:t>
      </w:r>
    </w:p>
    <w:p w14:paraId="79AC416B" w14:textId="77777777" w:rsidR="00316AA0" w:rsidRDefault="00316AA0" w:rsidP="00316AA0">
      <w:pPr>
        <w:rPr>
          <w:lang w:val="en-US"/>
        </w:rPr>
      </w:pPr>
    </w:p>
    <w:p w14:paraId="6056ADF0" w14:textId="77777777" w:rsidR="00316AA0" w:rsidRDefault="00316AA0" w:rsidP="00316AA0">
      <w:pPr>
        <w:rPr>
          <w:lang w:val="en-US"/>
        </w:rPr>
      </w:pPr>
      <w:r>
        <w:rPr>
          <w:lang w:val="en-US"/>
        </w:rPr>
        <w:t xml:space="preserve">In the </w:t>
      </w:r>
      <w:r w:rsidR="00A4092E">
        <w:rPr>
          <w:lang w:val="en-US"/>
        </w:rPr>
        <w:t>SN</w:t>
      </w:r>
      <w:r>
        <w:rPr>
          <w:lang w:val="en-US"/>
        </w:rPr>
        <w:t xml:space="preserve">, </w:t>
      </w:r>
      <w:r w:rsidR="001875D7">
        <w:rPr>
          <w:lang w:val="en-US"/>
        </w:rPr>
        <w:t>5-HT</w:t>
      </w:r>
      <w:r>
        <w:rPr>
          <w:lang w:val="en-US"/>
        </w:rPr>
        <w:t xml:space="preserve"> levels were elevated at the 4, 8 and 12 week periods, but not at 24 weeks. 5-HIAA increased from 4 weeks,  statistically significantly so at the 8 and 12 week periods. Serotonergic transmission was not significantly affected in either structure after 24 weeks of treatment with ip paraquat.</w:t>
      </w:r>
    </w:p>
    <w:p w14:paraId="785BCAFE" w14:textId="77777777" w:rsidR="00316AA0" w:rsidRDefault="00316AA0" w:rsidP="00316AA0">
      <w:pPr>
        <w:rPr>
          <w:lang w:val="en-US"/>
        </w:rPr>
      </w:pPr>
    </w:p>
    <w:p w14:paraId="7487674F" w14:textId="77777777" w:rsidR="00D133D4" w:rsidRDefault="00316AA0" w:rsidP="009E40A8">
      <w:pPr>
        <w:rPr>
          <w:lang w:val="en-US"/>
        </w:rPr>
      </w:pPr>
      <w:r>
        <w:rPr>
          <w:lang w:val="en-US"/>
        </w:rPr>
        <w:t xml:space="preserve">Noradrenalin levels were increased in the caudate-putamen only, present following 4, 8 and 12 weeks of treatment with paraquat. </w:t>
      </w:r>
    </w:p>
    <w:p w14:paraId="0993376A" w14:textId="77777777" w:rsidR="00675C2F" w:rsidRDefault="00675C2F" w:rsidP="00675C2F">
      <w:pPr>
        <w:rPr>
          <w:lang w:val="en-US"/>
        </w:rPr>
      </w:pPr>
    </w:p>
    <w:p w14:paraId="6FC19EC5" w14:textId="77777777" w:rsidR="00675C2F" w:rsidRDefault="00675C2F" w:rsidP="00675C2F">
      <w:pPr>
        <w:rPr>
          <w:i/>
          <w:iCs/>
          <w:lang w:val="en-US"/>
        </w:rPr>
      </w:pPr>
      <w:r>
        <w:rPr>
          <w:i/>
          <w:iCs/>
          <w:lang w:val="en-US"/>
        </w:rPr>
        <w:t>[</w:t>
      </w:r>
      <w:r>
        <w:rPr>
          <w:i/>
          <w:iCs/>
          <w:vertAlign w:val="superscript"/>
          <w:lang w:val="en-US"/>
        </w:rPr>
        <w:t>3</w:t>
      </w:r>
      <w:r>
        <w:rPr>
          <w:i/>
          <w:iCs/>
          <w:lang w:val="en-US"/>
        </w:rPr>
        <w:t>H]GBR 12,935 binding to DAT:</w:t>
      </w:r>
    </w:p>
    <w:p w14:paraId="71F4CD6C" w14:textId="77777777" w:rsidR="00675C2F" w:rsidRDefault="00675C2F" w:rsidP="00675C2F">
      <w:pPr>
        <w:rPr>
          <w:lang w:val="en-US"/>
        </w:rPr>
      </w:pPr>
      <w:r>
        <w:rPr>
          <w:lang w:val="en-US"/>
        </w:rPr>
        <w:t>In the caudate-putamen, the binding of [</w:t>
      </w:r>
      <w:r>
        <w:rPr>
          <w:vertAlign w:val="superscript"/>
          <w:lang w:val="en-US"/>
        </w:rPr>
        <w:t>3</w:t>
      </w:r>
      <w:r>
        <w:rPr>
          <w:lang w:val="en-US"/>
        </w:rPr>
        <w:t xml:space="preserve">H]GBR 12,935 was decreased only in the ventral region at 4 weeks, extending to include the dorsal region at 8 weeks. Values were similar to controls at 12 weeks and reduced at 24 weeks in both the dorsal and ventral regions (11% and 33%, respectively). </w:t>
      </w:r>
    </w:p>
    <w:p w14:paraId="57798AC4" w14:textId="77777777" w:rsidR="00675C2F" w:rsidRDefault="00675C2F" w:rsidP="00675C2F">
      <w:pPr>
        <w:rPr>
          <w:i/>
          <w:iCs/>
          <w:lang w:val="en-US"/>
        </w:rPr>
      </w:pPr>
    </w:p>
    <w:p w14:paraId="6CCD55A5" w14:textId="77777777" w:rsidR="00675C2F" w:rsidRDefault="00675C2F" w:rsidP="00675C2F">
      <w:pPr>
        <w:rPr>
          <w:lang w:val="en-US"/>
        </w:rPr>
      </w:pPr>
      <w:r>
        <w:rPr>
          <w:i/>
          <w:iCs/>
          <w:lang w:val="en-US"/>
        </w:rPr>
        <w:t>TH levels (Western blot analysis):</w:t>
      </w:r>
      <w:r>
        <w:rPr>
          <w:lang w:val="en-US"/>
        </w:rPr>
        <w:t xml:space="preserve"> No differences in TH levels in the striatum were noted after 4, 8 or 12 weeks of paraquat treatment. Following 24 weeks of treatment, the level of TH was reduced by 55% in the caudate-putamen. Levels were not significantly affected in the SN.</w:t>
      </w:r>
    </w:p>
    <w:p w14:paraId="1C5B8FFB" w14:textId="77777777" w:rsidR="00D133D4" w:rsidRDefault="00D133D4" w:rsidP="009E40A8">
      <w:pPr>
        <w:rPr>
          <w:lang w:val="en-US"/>
        </w:rPr>
      </w:pPr>
    </w:p>
    <w:p w14:paraId="7FAF5F87" w14:textId="77777777" w:rsidR="00D133D4" w:rsidRDefault="00D133D4" w:rsidP="009E40A8">
      <w:pPr>
        <w:rPr>
          <w:i/>
          <w:lang w:val="en-US"/>
        </w:rPr>
      </w:pPr>
      <w:r>
        <w:rPr>
          <w:i/>
          <w:lang w:val="en-US"/>
        </w:rPr>
        <w:t xml:space="preserve">Conclusion: </w:t>
      </w:r>
    </w:p>
    <w:p w14:paraId="05F0CBF6" w14:textId="77777777" w:rsidR="00D133D4" w:rsidRDefault="00D133D4" w:rsidP="009E40A8">
      <w:pPr>
        <w:rPr>
          <w:i/>
          <w:lang w:val="en-US"/>
        </w:rPr>
      </w:pPr>
    </w:p>
    <w:p w14:paraId="3CAAE112" w14:textId="18787636" w:rsidR="00316AA0" w:rsidRDefault="001C3229" w:rsidP="009E40A8">
      <w:pPr>
        <w:rPr>
          <w:lang w:val="en-US"/>
        </w:rPr>
      </w:pPr>
      <w:r>
        <w:rPr>
          <w:lang w:val="en-US"/>
        </w:rPr>
        <w:t>Intraperitoneal administration of p</w:t>
      </w:r>
      <w:r w:rsidR="00D133D4">
        <w:rPr>
          <w:lang w:val="en-US"/>
        </w:rPr>
        <w:t xml:space="preserve">araquat </w:t>
      </w:r>
      <w:r>
        <w:rPr>
          <w:lang w:val="en-US"/>
        </w:rPr>
        <w:t xml:space="preserve">to rats, </w:t>
      </w:r>
      <w:r w:rsidR="00D133D4">
        <w:rPr>
          <w:lang w:val="en-US"/>
        </w:rPr>
        <w:t xml:space="preserve">reduced the number of </w:t>
      </w:r>
      <w:r w:rsidR="00675C2F">
        <w:rPr>
          <w:lang w:val="en-US"/>
        </w:rPr>
        <w:t>TH-ir</w:t>
      </w:r>
      <w:r w:rsidR="00D133D4">
        <w:rPr>
          <w:lang w:val="en-US"/>
        </w:rPr>
        <w:t xml:space="preserve"> neurons of the </w:t>
      </w:r>
      <w:r w:rsidR="00675C2F">
        <w:rPr>
          <w:lang w:val="en-US"/>
        </w:rPr>
        <w:t>SN</w:t>
      </w:r>
      <w:r w:rsidR="00D133D4">
        <w:rPr>
          <w:lang w:val="en-US"/>
        </w:rPr>
        <w:t xml:space="preserve">; after the 4-week treatment the reduction (17%, nonsignificant) was confined to the rostrocentral region of this structure but, after 24 weeks, had spread along its whole length and was 37%, significant). It induced a biphasic effect on dopaminergic transmission. First, levels of </w:t>
      </w:r>
      <w:r w:rsidR="00011149">
        <w:rPr>
          <w:lang w:val="en-US"/>
        </w:rPr>
        <w:t>DA</w:t>
      </w:r>
      <w:r w:rsidR="00D133D4">
        <w:rPr>
          <w:lang w:val="en-US"/>
        </w:rPr>
        <w:t>, its metabolites and turnover were elevated (4-8 weeks) in the caudate-putamen, then all these parameters returned to control values (12 weeks) and dropped by 25-30% after 24 weeks. The binding of [</w:t>
      </w:r>
      <w:r w:rsidR="00D133D4">
        <w:rPr>
          <w:vertAlign w:val="superscript"/>
          <w:lang w:val="en-US"/>
        </w:rPr>
        <w:t>3</w:t>
      </w:r>
      <w:r w:rsidR="00B8436A">
        <w:rPr>
          <w:lang w:val="en-US"/>
        </w:rPr>
        <w:t>H</w:t>
      </w:r>
      <w:r w:rsidR="00D133D4">
        <w:rPr>
          <w:lang w:val="en-US"/>
        </w:rPr>
        <w:t xml:space="preserve">]GBR 12,935 to </w:t>
      </w:r>
      <w:r w:rsidR="00011149">
        <w:rPr>
          <w:lang w:val="en-US"/>
        </w:rPr>
        <w:t>DAT</w:t>
      </w:r>
      <w:r w:rsidR="00D133D4">
        <w:rPr>
          <w:lang w:val="en-US"/>
        </w:rPr>
        <w:t xml:space="preserve"> in the caudate-putamen was decreased after 4-8 </w:t>
      </w:r>
      <w:r w:rsidR="00D133D4">
        <w:rPr>
          <w:lang w:val="en-US"/>
        </w:rPr>
        <w:lastRenderedPageBreak/>
        <w:t xml:space="preserve">weeks, then returned to control values after 12 weeks but was again decreased after 24 weeks. Twenty-four-week paraquat administration also decreased the level of </w:t>
      </w:r>
      <w:r w:rsidR="001875D7">
        <w:rPr>
          <w:lang w:val="en-US"/>
        </w:rPr>
        <w:t>TH</w:t>
      </w:r>
      <w:r w:rsidR="00D133D4">
        <w:rPr>
          <w:lang w:val="en-US"/>
        </w:rPr>
        <w:t xml:space="preserve"> in the caudate-putamen. In addition, paraquat activated </w:t>
      </w:r>
      <w:r w:rsidR="001875D7">
        <w:rPr>
          <w:lang w:val="en-US"/>
        </w:rPr>
        <w:t>5-HT</w:t>
      </w:r>
      <w:r w:rsidR="00D133D4">
        <w:rPr>
          <w:lang w:val="en-US"/>
        </w:rPr>
        <w:t xml:space="preserve"> and noradrenaline transmission during the first 12 weeks of treatment but no decreases in levels of these neurotransmitters were observed after 24 weeks. </w:t>
      </w:r>
    </w:p>
    <w:p w14:paraId="028953B9" w14:textId="77777777" w:rsidR="002B2CFC" w:rsidRPr="002B2CFC" w:rsidRDefault="002B2CFC" w:rsidP="009E40A8">
      <w:pPr>
        <w:rPr>
          <w:szCs w:val="24"/>
          <w:lang w:val="en-US" w:eastAsia="en-US"/>
        </w:rPr>
      </w:pPr>
    </w:p>
    <w:p w14:paraId="695DA510" w14:textId="77777777" w:rsidR="002B2CFC" w:rsidRPr="002B2CFC" w:rsidRDefault="002B2CFC" w:rsidP="009E40A8">
      <w:pPr>
        <w:rPr>
          <w:b/>
          <w:i/>
          <w:szCs w:val="24"/>
          <w:lang w:eastAsia="en-US"/>
        </w:rPr>
      </w:pPr>
      <w:r w:rsidRPr="00C46E43">
        <w:rPr>
          <w:b/>
          <w:szCs w:val="24"/>
          <w:lang w:eastAsia="en-US"/>
        </w:rPr>
        <w:t>Kuter K, Smiałowska M, Wierońska J, Zieba B, Wardas J, Pietraszek M, Nowak P, Biedka I, Roczniak W, Konieczny J, Wolfarth S &amp; Ossowska K (2007)</w:t>
      </w:r>
      <w:r w:rsidRPr="002B2CFC">
        <w:rPr>
          <w:b/>
          <w:i/>
          <w:szCs w:val="24"/>
          <w:lang w:eastAsia="en-US"/>
        </w:rPr>
        <w:t xml:space="preserve"> </w:t>
      </w:r>
      <w:r w:rsidRPr="002B2CFC">
        <w:rPr>
          <w:b/>
          <w:szCs w:val="24"/>
          <w:lang w:eastAsia="en-US"/>
        </w:rPr>
        <w:t xml:space="preserve">Toxic influence of subchronic paraquat administration on dopaminergic neurons in rats. </w:t>
      </w:r>
      <w:r w:rsidRPr="002B2CFC">
        <w:rPr>
          <w:b/>
          <w:i/>
          <w:szCs w:val="24"/>
          <w:lang w:eastAsia="en-US"/>
        </w:rPr>
        <w:t xml:space="preserve">Brain Res. </w:t>
      </w:r>
      <w:r w:rsidRPr="002B2CFC">
        <w:rPr>
          <w:b/>
          <w:szCs w:val="24"/>
          <w:lang w:eastAsia="en-US"/>
        </w:rPr>
        <w:t>25;1155:196-207.</w:t>
      </w:r>
      <w:r w:rsidRPr="002B2CFC">
        <w:rPr>
          <w:b/>
          <w:i/>
          <w:szCs w:val="24"/>
          <w:lang w:eastAsia="en-US"/>
        </w:rPr>
        <w:t xml:space="preserve"> </w:t>
      </w:r>
    </w:p>
    <w:p w14:paraId="4892543F" w14:textId="77777777" w:rsidR="002B2CFC" w:rsidRPr="002B2CFC" w:rsidRDefault="002B2CFC" w:rsidP="009E40A8">
      <w:pPr>
        <w:rPr>
          <w:szCs w:val="24"/>
          <w:lang w:val="en-US" w:eastAsia="en-US"/>
        </w:rPr>
      </w:pPr>
    </w:p>
    <w:p w14:paraId="30B6C1EA" w14:textId="77777777" w:rsidR="002B2CFC" w:rsidRPr="00C34954" w:rsidRDefault="0017063C" w:rsidP="009E40A8">
      <w:pPr>
        <w:rPr>
          <w:szCs w:val="24"/>
          <w:lang w:val="en-US" w:eastAsia="en-US"/>
        </w:rPr>
      </w:pPr>
      <w:r>
        <w:rPr>
          <w:szCs w:val="24"/>
          <w:lang w:val="en-US" w:eastAsia="en-US"/>
        </w:rPr>
        <w:t xml:space="preserve">Following on from the neuropathological and neurochemical effects noted in long-term administration of ip injections of paraquat in rats (weekly for 24 wks, </w:t>
      </w:r>
      <w:r>
        <w:rPr>
          <w:lang w:val="en-US"/>
        </w:rPr>
        <w:t xml:space="preserve">Ossowska </w:t>
      </w:r>
      <w:r w:rsidRPr="0058670C">
        <w:rPr>
          <w:i/>
          <w:lang w:val="en-US"/>
        </w:rPr>
        <w:t>et al</w:t>
      </w:r>
      <w:r>
        <w:rPr>
          <w:lang w:val="en-US"/>
        </w:rPr>
        <w:t>, 2005b), this</w:t>
      </w:r>
      <w:r w:rsidR="005C6BFE">
        <w:rPr>
          <w:szCs w:val="24"/>
          <w:lang w:val="en-US" w:eastAsia="en-US"/>
        </w:rPr>
        <w:t xml:space="preserve"> study </w:t>
      </w:r>
      <w:r w:rsidR="002B2CFC" w:rsidRPr="002B2CFC">
        <w:rPr>
          <w:szCs w:val="24"/>
          <w:lang w:val="en-US" w:eastAsia="en-US"/>
        </w:rPr>
        <w:t xml:space="preserve">examined whether </w:t>
      </w:r>
      <w:r>
        <w:rPr>
          <w:szCs w:val="24"/>
          <w:lang w:val="en-US" w:eastAsia="en-US"/>
        </w:rPr>
        <w:t>shorter periods (5 days) of daily</w:t>
      </w:r>
      <w:r w:rsidR="00C34954">
        <w:rPr>
          <w:szCs w:val="24"/>
          <w:lang w:val="en-US" w:eastAsia="en-US"/>
        </w:rPr>
        <w:t xml:space="preserve"> </w:t>
      </w:r>
      <w:r w:rsidR="006C2788">
        <w:rPr>
          <w:szCs w:val="24"/>
          <w:lang w:val="en-US" w:eastAsia="en-US"/>
        </w:rPr>
        <w:t xml:space="preserve">sc </w:t>
      </w:r>
      <w:r w:rsidR="005C6BFE">
        <w:rPr>
          <w:szCs w:val="24"/>
          <w:lang w:val="en-US" w:eastAsia="en-US"/>
        </w:rPr>
        <w:t>injections of paraquat</w:t>
      </w:r>
      <w:r>
        <w:rPr>
          <w:szCs w:val="24"/>
          <w:lang w:val="en-US" w:eastAsia="en-US"/>
        </w:rPr>
        <w:t xml:space="preserve"> produced similar alterations</w:t>
      </w:r>
      <w:r w:rsidR="002B2CFC" w:rsidRPr="002B2CFC">
        <w:rPr>
          <w:szCs w:val="24"/>
          <w:lang w:val="en-US" w:eastAsia="en-US"/>
        </w:rPr>
        <w:t xml:space="preserve">. </w:t>
      </w:r>
    </w:p>
    <w:p w14:paraId="6E39FD5B" w14:textId="77777777" w:rsidR="00762DF3" w:rsidRDefault="00762DF3" w:rsidP="009E40A8">
      <w:pPr>
        <w:rPr>
          <w:i/>
          <w:szCs w:val="24"/>
          <w:lang w:eastAsia="en-US"/>
        </w:rPr>
      </w:pPr>
    </w:p>
    <w:p w14:paraId="41B9739C" w14:textId="77777777" w:rsidR="00436573" w:rsidRDefault="005C6BFE" w:rsidP="00C34954">
      <w:pPr>
        <w:rPr>
          <w:lang w:val="en-US"/>
        </w:rPr>
      </w:pPr>
      <w:r>
        <w:rPr>
          <w:lang w:val="en-US"/>
        </w:rPr>
        <w:t xml:space="preserve">This study measured the levels of </w:t>
      </w:r>
      <w:r w:rsidR="00011149">
        <w:rPr>
          <w:lang w:val="en-US"/>
        </w:rPr>
        <w:t>DA</w:t>
      </w:r>
      <w:r>
        <w:rPr>
          <w:lang w:val="en-US"/>
        </w:rPr>
        <w:t xml:space="preserve"> and its metabolites in the </w:t>
      </w:r>
      <w:r w:rsidR="00A4092E">
        <w:rPr>
          <w:lang w:val="en-US"/>
        </w:rPr>
        <w:t>SN</w:t>
      </w:r>
      <w:r>
        <w:rPr>
          <w:lang w:val="en-US"/>
        </w:rPr>
        <w:t xml:space="preserve">, caudate-putamen and </w:t>
      </w:r>
      <w:r w:rsidR="009E2A0B">
        <w:rPr>
          <w:lang w:val="en-US"/>
        </w:rPr>
        <w:t>PFC</w:t>
      </w:r>
      <w:r>
        <w:rPr>
          <w:lang w:val="en-US"/>
        </w:rPr>
        <w:t>, the number of TH-ir neurons of the SN pc, and  the binding of [</w:t>
      </w:r>
      <w:r>
        <w:rPr>
          <w:vertAlign w:val="superscript"/>
          <w:lang w:val="en-US"/>
        </w:rPr>
        <w:t>3</w:t>
      </w:r>
      <w:r>
        <w:rPr>
          <w:lang w:val="en-US"/>
        </w:rPr>
        <w:t>H]1-[2-(diphenyl-methoxy)-ethyl]-4-(3-phenylpropyl)piperazine ([</w:t>
      </w:r>
      <w:r>
        <w:rPr>
          <w:vertAlign w:val="superscript"/>
          <w:lang w:val="en-US"/>
        </w:rPr>
        <w:t>3</w:t>
      </w:r>
      <w:r>
        <w:rPr>
          <w:lang w:val="en-US"/>
        </w:rPr>
        <w:t xml:space="preserve">H]GBR 12,935) to </w:t>
      </w:r>
      <w:r w:rsidR="00011149">
        <w:rPr>
          <w:lang w:val="en-US"/>
        </w:rPr>
        <w:t>DAT</w:t>
      </w:r>
      <w:r>
        <w:rPr>
          <w:lang w:val="en-US"/>
        </w:rPr>
        <w:t xml:space="preserve"> in the caudate putamen</w:t>
      </w:r>
      <w:r w:rsidR="009E2A0B">
        <w:rPr>
          <w:lang w:val="en-US"/>
        </w:rPr>
        <w:t xml:space="preserve"> (CP)</w:t>
      </w:r>
      <w:r>
        <w:rPr>
          <w:lang w:val="en-US"/>
        </w:rPr>
        <w:t xml:space="preserve">, as a marker of dopaminergic terminals. </w:t>
      </w:r>
    </w:p>
    <w:p w14:paraId="029502B7" w14:textId="77777777" w:rsidR="005C6BFE" w:rsidRDefault="005C6BFE" w:rsidP="005C6BFE">
      <w:pPr>
        <w:rPr>
          <w:lang w:val="en-US"/>
        </w:rPr>
      </w:pPr>
    </w:p>
    <w:p w14:paraId="2995CE32" w14:textId="77777777" w:rsidR="005C6BFE" w:rsidRDefault="005C6BFE" w:rsidP="005C6BFE">
      <w:pPr>
        <w:rPr>
          <w:lang w:val="en-US"/>
        </w:rPr>
      </w:pPr>
      <w:r>
        <w:rPr>
          <w:lang w:val="en-US"/>
        </w:rPr>
        <w:t xml:space="preserve">Further, in order to examine non-dopaminergic compensatory processes developing in response to paraquat, the influence of paraquat on the levels of </w:t>
      </w:r>
      <w:r w:rsidR="001875D7">
        <w:rPr>
          <w:lang w:val="en-US"/>
        </w:rPr>
        <w:t>5-HT</w:t>
      </w:r>
      <w:r>
        <w:rPr>
          <w:lang w:val="en-US"/>
        </w:rPr>
        <w:t xml:space="preserve">, its metabolite 5-hydroxyindoleacetic acid (5-HIAA), and noradrenaline, as well as on levels of proenkephalin (PENK) mRNA and glutamic acid decarboxylase 67 (GAD67) mRNA, as markers of </w:t>
      </w:r>
      <w:r>
        <w:rPr>
          <w:lang w:val="en-US"/>
        </w:rPr>
        <w:sym w:font="Symbol" w:char="F067"/>
      </w:r>
      <w:r>
        <w:rPr>
          <w:lang w:val="en-US"/>
        </w:rPr>
        <w:t>-aminobutyric acid (GABA)ergic striatal neurons, was also evaluated.</w:t>
      </w:r>
    </w:p>
    <w:p w14:paraId="731411FB" w14:textId="77777777" w:rsidR="005C6BFE" w:rsidRDefault="005C6BFE" w:rsidP="005C6BFE">
      <w:pPr>
        <w:rPr>
          <w:lang w:val="en-US"/>
        </w:rPr>
      </w:pPr>
    </w:p>
    <w:p w14:paraId="6402B567" w14:textId="77777777" w:rsidR="005C6BFE" w:rsidRDefault="005C6BFE" w:rsidP="005C6BFE">
      <w:pPr>
        <w:rPr>
          <w:lang w:val="en-US"/>
        </w:rPr>
      </w:pPr>
      <w:r>
        <w:rPr>
          <w:i/>
          <w:lang w:val="en-US"/>
        </w:rPr>
        <w:t xml:space="preserve">Method: </w:t>
      </w:r>
    </w:p>
    <w:p w14:paraId="56F62DEC" w14:textId="77777777" w:rsidR="005C6BFE" w:rsidRDefault="005C6BFE" w:rsidP="005C6BFE">
      <w:pPr>
        <w:rPr>
          <w:lang w:val="en-US"/>
        </w:rPr>
      </w:pPr>
    </w:p>
    <w:p w14:paraId="3D4C9A17" w14:textId="77777777" w:rsidR="005C6BFE" w:rsidRDefault="005C6BFE" w:rsidP="005C6BFE">
      <w:pPr>
        <w:rPr>
          <w:lang w:val="en-US"/>
        </w:rPr>
      </w:pPr>
      <w:r>
        <w:rPr>
          <w:lang w:val="en-US"/>
        </w:rPr>
        <w:t xml:space="preserve">Male Wistar rats ( approximately 250 g) were housed in standard laboratory conditions with food and water available </w:t>
      </w:r>
      <w:r w:rsidR="00897462" w:rsidRPr="00C34954">
        <w:rPr>
          <w:i/>
          <w:lang w:val="en-US"/>
        </w:rPr>
        <w:t>ad libitum</w:t>
      </w:r>
      <w:r>
        <w:rPr>
          <w:lang w:val="en-US"/>
        </w:rPr>
        <w:t xml:space="preserve">. Paraquat dichloride (Sigma-Aldrich, Germany) in sterile distilled water was administered sc at a dose of 10 mg/kg (approximately 7.2 mg paraquat ion/kg bw) daily for 5 days. Control animals received saline sc. Two and 3 days </w:t>
      </w:r>
      <w:r w:rsidR="008558E6">
        <w:rPr>
          <w:lang w:val="en-US"/>
        </w:rPr>
        <w:t>following the final injection, rats were either decapita</w:t>
      </w:r>
      <w:r>
        <w:rPr>
          <w:lang w:val="en-US"/>
        </w:rPr>
        <w:t>ted for biochemica</w:t>
      </w:r>
      <w:r w:rsidR="006C2788">
        <w:rPr>
          <w:lang w:val="en-US"/>
        </w:rPr>
        <w:t>l analyses or deeply anaesthetis</w:t>
      </w:r>
      <w:r>
        <w:rPr>
          <w:lang w:val="en-US"/>
        </w:rPr>
        <w:t>ed and perfused for histological analyses.</w:t>
      </w:r>
    </w:p>
    <w:p w14:paraId="3EC038A6" w14:textId="77777777" w:rsidR="005C6BFE" w:rsidRDefault="005C6BFE" w:rsidP="005C6BFE">
      <w:pPr>
        <w:rPr>
          <w:lang w:val="en-US"/>
        </w:rPr>
      </w:pPr>
    </w:p>
    <w:p w14:paraId="6F4A1F67" w14:textId="77777777" w:rsidR="005C6BFE" w:rsidRDefault="005C6BFE" w:rsidP="005C6BFE">
      <w:pPr>
        <w:rPr>
          <w:lang w:val="en-US"/>
        </w:rPr>
      </w:pPr>
      <w:r>
        <w:rPr>
          <w:lang w:val="en-US"/>
        </w:rPr>
        <w:t xml:space="preserve">Brains were rapidly removed and the caudate-putamen (CP), </w:t>
      </w:r>
      <w:r w:rsidR="008558E6">
        <w:rPr>
          <w:lang w:val="en-US"/>
        </w:rPr>
        <w:t xml:space="preserve">SN </w:t>
      </w:r>
      <w:r>
        <w:rPr>
          <w:lang w:val="en-US"/>
        </w:rPr>
        <w:t xml:space="preserve">and the region </w:t>
      </w:r>
      <w:r w:rsidR="008558E6">
        <w:rPr>
          <w:lang w:val="en-US"/>
        </w:rPr>
        <w:t xml:space="preserve">of </w:t>
      </w:r>
      <w:r>
        <w:rPr>
          <w:lang w:val="en-US"/>
        </w:rPr>
        <w:t>the PFC of the right side of the brain were dissected</w:t>
      </w:r>
      <w:r w:rsidR="008558E6">
        <w:rPr>
          <w:lang w:val="en-US"/>
        </w:rPr>
        <w:t xml:space="preserve"> and </w:t>
      </w:r>
      <w:r>
        <w:rPr>
          <w:lang w:val="en-US"/>
        </w:rPr>
        <w:t>frozen</w:t>
      </w:r>
      <w:r w:rsidR="008558E6">
        <w:rPr>
          <w:lang w:val="en-US"/>
        </w:rPr>
        <w:t xml:space="preserve"> for processing</w:t>
      </w:r>
      <w:r>
        <w:rPr>
          <w:lang w:val="en-US"/>
        </w:rPr>
        <w:t xml:space="preserve">. Levels of </w:t>
      </w:r>
      <w:r w:rsidR="00011149">
        <w:rPr>
          <w:lang w:val="en-US"/>
        </w:rPr>
        <w:t>DA</w:t>
      </w:r>
      <w:r>
        <w:rPr>
          <w:lang w:val="en-US"/>
        </w:rPr>
        <w:t xml:space="preserve"> and its metabolites: DOPAC, 3-MT and HVA, 5-HT and its metabolite 5-HIAA, and NA were assessed using HPLC with </w:t>
      </w:r>
      <w:r w:rsidR="009E2A0B">
        <w:rPr>
          <w:lang w:val="en-US"/>
        </w:rPr>
        <w:t>ECD</w:t>
      </w:r>
      <w:r>
        <w:rPr>
          <w:lang w:val="en-US"/>
        </w:rPr>
        <w:t>. The neurotransmitter</w:t>
      </w:r>
      <w:r w:rsidR="008558E6">
        <w:rPr>
          <w:lang w:val="en-US"/>
        </w:rPr>
        <w:t xml:space="preserve"> turnover rate</w:t>
      </w:r>
      <w:r>
        <w:rPr>
          <w:lang w:val="en-US"/>
        </w:rPr>
        <w:t xml:space="preserve"> were calculated as </w:t>
      </w:r>
      <w:r w:rsidR="008558E6">
        <w:rPr>
          <w:lang w:val="en-US"/>
        </w:rPr>
        <w:t>a ratio of t</w:t>
      </w:r>
      <w:r>
        <w:rPr>
          <w:lang w:val="en-US"/>
        </w:rPr>
        <w:t>he metabolite to neurotransmitter.</w:t>
      </w:r>
    </w:p>
    <w:p w14:paraId="09A3B03A" w14:textId="77777777" w:rsidR="00805AFE" w:rsidRDefault="00805AFE" w:rsidP="005C6BFE">
      <w:pPr>
        <w:rPr>
          <w:lang w:val="en-US"/>
        </w:rPr>
      </w:pPr>
    </w:p>
    <w:p w14:paraId="67AC53A5" w14:textId="77777777" w:rsidR="00805AFE" w:rsidRDefault="00805AFE" w:rsidP="00805AFE">
      <w:pPr>
        <w:rPr>
          <w:lang w:val="en-US"/>
        </w:rPr>
      </w:pPr>
      <w:r>
        <w:rPr>
          <w:lang w:val="en-US"/>
        </w:rPr>
        <w:t>The left side of the brain was frozen sectioned for autoradiographic binding ([</w:t>
      </w:r>
      <w:r>
        <w:rPr>
          <w:vertAlign w:val="superscript"/>
          <w:lang w:val="en-US"/>
        </w:rPr>
        <w:t>3</w:t>
      </w:r>
      <w:r>
        <w:rPr>
          <w:lang w:val="en-US"/>
        </w:rPr>
        <w:t>H]1-[2-(diphenyl-methoxy)-ethyl]-4-(3-phenylpropyl)piperazine ([</w:t>
      </w:r>
      <w:r>
        <w:rPr>
          <w:vertAlign w:val="superscript"/>
          <w:lang w:val="en-US"/>
        </w:rPr>
        <w:t>3</w:t>
      </w:r>
      <w:r>
        <w:rPr>
          <w:lang w:val="en-US"/>
        </w:rPr>
        <w:t xml:space="preserve">H]GBR 12,935) binding to DAT) and </w:t>
      </w:r>
      <w:r w:rsidR="00897462" w:rsidRPr="00C34954">
        <w:rPr>
          <w:i/>
          <w:lang w:val="en-US"/>
        </w:rPr>
        <w:t>in situ</w:t>
      </w:r>
      <w:r>
        <w:rPr>
          <w:lang w:val="en-US"/>
        </w:rPr>
        <w:t xml:space="preserve"> hybridization evaluations ( [</w:t>
      </w:r>
      <w:r>
        <w:rPr>
          <w:vertAlign w:val="superscript"/>
          <w:lang w:val="en-US"/>
        </w:rPr>
        <w:t>3</w:t>
      </w:r>
      <w:r>
        <w:rPr>
          <w:lang w:val="en-US"/>
        </w:rPr>
        <w:t xml:space="preserve">H]GBR 12,935 binding, PENK mRNA and GAD67 mRNA expression </w:t>
      </w:r>
      <w:r w:rsidR="006C2788">
        <w:rPr>
          <w:lang w:val="en-US"/>
        </w:rPr>
        <w:t xml:space="preserve">in regions of the </w:t>
      </w:r>
      <w:r>
        <w:rPr>
          <w:lang w:val="en-US"/>
        </w:rPr>
        <w:t>central caudate-putamen).</w:t>
      </w:r>
    </w:p>
    <w:p w14:paraId="5911D215" w14:textId="77777777" w:rsidR="005C6BFE" w:rsidRDefault="005C6BFE" w:rsidP="005C6BFE">
      <w:pPr>
        <w:rPr>
          <w:lang w:val="en-US"/>
        </w:rPr>
      </w:pPr>
    </w:p>
    <w:p w14:paraId="1BB5541C" w14:textId="77777777" w:rsidR="00805AFE" w:rsidRDefault="00805AFE" w:rsidP="005C6BFE">
      <w:pPr>
        <w:rPr>
          <w:lang w:val="en-US"/>
        </w:rPr>
      </w:pPr>
      <w:r>
        <w:rPr>
          <w:lang w:val="en-US"/>
        </w:rPr>
        <w:lastRenderedPageBreak/>
        <w:t>Histological analysis was conducted on a subset of rats. The SN was dissected, frozen sectioned and incubated with an anti-TH antibody followed by an avidin-biotin peroxidase complex method. Stained sections were counted stereologically for TH-ir neurons on both sides of the brain. In addition, the total volume of the SN was estimated and the stained sections analysed for density of the TH-ir.</w:t>
      </w:r>
    </w:p>
    <w:p w14:paraId="16687FE7" w14:textId="77777777" w:rsidR="00805AFE" w:rsidRDefault="00805AFE" w:rsidP="005C6BFE">
      <w:pPr>
        <w:rPr>
          <w:lang w:val="en-US"/>
        </w:rPr>
      </w:pPr>
    </w:p>
    <w:p w14:paraId="41FF9091" w14:textId="77777777" w:rsidR="005C6BFE" w:rsidRDefault="005C6BFE" w:rsidP="005C6BFE">
      <w:pPr>
        <w:rPr>
          <w:lang w:val="en-US"/>
        </w:rPr>
      </w:pPr>
      <w:r>
        <w:rPr>
          <w:i/>
          <w:lang w:val="en-US"/>
        </w:rPr>
        <w:t xml:space="preserve">Results: </w:t>
      </w:r>
    </w:p>
    <w:p w14:paraId="0459E7BE" w14:textId="77777777" w:rsidR="0017063C" w:rsidRPr="0017063C" w:rsidRDefault="00897462" w:rsidP="005C6BFE">
      <w:pPr>
        <w:rPr>
          <w:lang w:val="en-US"/>
        </w:rPr>
      </w:pPr>
      <w:r w:rsidRPr="00C34954">
        <w:rPr>
          <w:i/>
          <w:lang w:val="en-US"/>
        </w:rPr>
        <w:t>N</w:t>
      </w:r>
      <w:r w:rsidR="005C6BFE">
        <w:rPr>
          <w:i/>
          <w:lang w:val="en-US"/>
        </w:rPr>
        <w:t>umber of neurons in the SN p</w:t>
      </w:r>
      <w:r w:rsidR="0017063C">
        <w:rPr>
          <w:i/>
          <w:lang w:val="en-US"/>
        </w:rPr>
        <w:t xml:space="preserve">c: </w:t>
      </w:r>
      <w:r w:rsidR="0017063C">
        <w:rPr>
          <w:lang w:val="en-US"/>
        </w:rPr>
        <w:t xml:space="preserve">Administration of paraquat resulted in a decrease in both the number and density of TH-ir neurons (22% and 24%, respectively) as compared to controls. The volume of the SN was similar to controls. In a previous study (Ossowska </w:t>
      </w:r>
      <w:r w:rsidR="0017063C" w:rsidRPr="0058670C">
        <w:rPr>
          <w:i/>
          <w:lang w:val="en-US"/>
        </w:rPr>
        <w:t>et al</w:t>
      </w:r>
      <w:r w:rsidR="0017063C">
        <w:rPr>
          <w:lang w:val="en-US"/>
        </w:rPr>
        <w:t xml:space="preserve">, 2005b) 24-week administration by the ip route resulted in a </w:t>
      </w:r>
      <w:r w:rsidR="006C2788">
        <w:rPr>
          <w:lang w:val="en-US"/>
        </w:rPr>
        <w:t xml:space="preserve">volume </w:t>
      </w:r>
      <w:r w:rsidR="0017063C">
        <w:rPr>
          <w:lang w:val="en-US"/>
        </w:rPr>
        <w:t xml:space="preserve">reduced </w:t>
      </w:r>
      <w:r w:rsidR="006C2788">
        <w:rPr>
          <w:lang w:val="en-US"/>
        </w:rPr>
        <w:t>by</w:t>
      </w:r>
      <w:r w:rsidR="0017063C">
        <w:rPr>
          <w:lang w:val="en-US"/>
        </w:rPr>
        <w:t xml:space="preserve"> 24%. The study authors speculated that due to the shorter treatment period, the area of damage may not as yet be detectable. In addition, it was speculated that the region may be undergoing microglial activation</w:t>
      </w:r>
      <w:r w:rsidR="006C2788">
        <w:rPr>
          <w:lang w:val="en-US"/>
        </w:rPr>
        <w:t xml:space="preserve">, </w:t>
      </w:r>
      <w:r w:rsidR="0017063C">
        <w:rPr>
          <w:lang w:val="en-US"/>
        </w:rPr>
        <w:t>this reaction counteracting any perceivable shrinkage from loss of dopaminergic neurons. However, no methods of measuring this effect were utilized and this theory remains speculative only.</w:t>
      </w:r>
    </w:p>
    <w:p w14:paraId="081C0811" w14:textId="77777777" w:rsidR="005C6BFE" w:rsidRDefault="005C6BFE" w:rsidP="005C6BFE">
      <w:pPr>
        <w:rPr>
          <w:lang w:val="en-US"/>
        </w:rPr>
      </w:pPr>
    </w:p>
    <w:p w14:paraId="366E35D0" w14:textId="77777777" w:rsidR="005C6BFE" w:rsidRDefault="0017063C" w:rsidP="005C6BFE">
      <w:pPr>
        <w:rPr>
          <w:lang w:val="en-US"/>
        </w:rPr>
      </w:pPr>
      <w:r>
        <w:rPr>
          <w:lang w:val="en-US"/>
        </w:rPr>
        <w:t>O</w:t>
      </w:r>
      <w:r w:rsidR="005C6BFE">
        <w:rPr>
          <w:i/>
          <w:lang w:val="en-US"/>
        </w:rPr>
        <w:t>ptical density of TH</w:t>
      </w:r>
      <w:r>
        <w:rPr>
          <w:i/>
          <w:lang w:val="en-US"/>
        </w:rPr>
        <w:t>-ir</w:t>
      </w:r>
      <w:r w:rsidR="005C6BFE">
        <w:rPr>
          <w:i/>
          <w:lang w:val="en-US"/>
        </w:rPr>
        <w:t xml:space="preserve"> in the </w:t>
      </w:r>
      <w:r>
        <w:rPr>
          <w:i/>
          <w:lang w:val="en-US"/>
        </w:rPr>
        <w:t>SN pc:</w:t>
      </w:r>
      <w:r w:rsidR="006C2788">
        <w:rPr>
          <w:i/>
          <w:lang w:val="en-US"/>
        </w:rPr>
        <w:t xml:space="preserve"> </w:t>
      </w:r>
      <w:r w:rsidR="005C6BFE">
        <w:rPr>
          <w:lang w:val="en-US"/>
        </w:rPr>
        <w:t xml:space="preserve">No changes in the optical density of TH immunoreactivity were </w:t>
      </w:r>
      <w:r w:rsidR="006C2788">
        <w:rPr>
          <w:lang w:val="en-US"/>
        </w:rPr>
        <w:t>noted</w:t>
      </w:r>
      <w:r w:rsidR="005C6BFE">
        <w:rPr>
          <w:lang w:val="en-US"/>
        </w:rPr>
        <w:t xml:space="preserve"> in the </w:t>
      </w:r>
      <w:r w:rsidR="005C6BFE" w:rsidRPr="0024057E">
        <w:rPr>
          <w:lang w:val="en-US"/>
        </w:rPr>
        <w:t>SN pc</w:t>
      </w:r>
      <w:r w:rsidR="005C6BFE">
        <w:rPr>
          <w:lang w:val="en-US"/>
        </w:rPr>
        <w:t>.</w:t>
      </w:r>
      <w:r w:rsidR="006C2788">
        <w:rPr>
          <w:lang w:val="en-US"/>
        </w:rPr>
        <w:t xml:space="preserve"> The study authors speculated that despite the loss of dopaminergic neurons, treatment with paraquat </w:t>
      </w:r>
      <w:r w:rsidR="00DD24F3">
        <w:rPr>
          <w:lang w:val="en-US"/>
        </w:rPr>
        <w:t xml:space="preserve">may </w:t>
      </w:r>
      <w:r w:rsidR="006C2788">
        <w:rPr>
          <w:lang w:val="en-US"/>
        </w:rPr>
        <w:t xml:space="preserve">increase the TH-ir in surrounding surviving neurons and therefore the optical density </w:t>
      </w:r>
      <w:r w:rsidR="00DD24F3">
        <w:rPr>
          <w:lang w:val="en-US"/>
        </w:rPr>
        <w:t xml:space="preserve">overall </w:t>
      </w:r>
      <w:r w:rsidR="006C2788">
        <w:rPr>
          <w:lang w:val="en-US"/>
        </w:rPr>
        <w:t xml:space="preserve">appears unaffected. In addition, it was stated that a subpopulation of dopaminergic neurons may be resistant to the toxicity of paraquat as described in </w:t>
      </w:r>
      <w:r w:rsidR="005C6BFE">
        <w:rPr>
          <w:lang w:val="en-US"/>
        </w:rPr>
        <w:t xml:space="preserve">McCormack </w:t>
      </w:r>
      <w:r w:rsidR="005C6BFE" w:rsidRPr="0058670C">
        <w:rPr>
          <w:i/>
          <w:lang w:val="en-US"/>
        </w:rPr>
        <w:t>et al</w:t>
      </w:r>
      <w:r w:rsidR="005C6BFE">
        <w:rPr>
          <w:lang w:val="en-US"/>
        </w:rPr>
        <w:t xml:space="preserve"> </w:t>
      </w:r>
      <w:r w:rsidR="006C2788">
        <w:rPr>
          <w:lang w:val="en-US"/>
        </w:rPr>
        <w:t>(</w:t>
      </w:r>
      <w:r w:rsidR="005C6BFE">
        <w:rPr>
          <w:lang w:val="en-US"/>
        </w:rPr>
        <w:t>2006).</w:t>
      </w:r>
    </w:p>
    <w:p w14:paraId="3D134AE6" w14:textId="77777777" w:rsidR="005C6BFE" w:rsidRDefault="005C6BFE" w:rsidP="005C6BFE">
      <w:pPr>
        <w:rPr>
          <w:lang w:val="en-US"/>
        </w:rPr>
      </w:pPr>
    </w:p>
    <w:p w14:paraId="282D2755" w14:textId="77777777" w:rsidR="005C6BFE" w:rsidRDefault="00897462" w:rsidP="005C6BFE">
      <w:pPr>
        <w:rPr>
          <w:lang w:val="en-US"/>
        </w:rPr>
      </w:pPr>
      <w:r w:rsidRPr="00C34954">
        <w:rPr>
          <w:i/>
          <w:lang w:val="en-US"/>
        </w:rPr>
        <w:t>L</w:t>
      </w:r>
      <w:r w:rsidR="005C6BFE">
        <w:rPr>
          <w:i/>
          <w:lang w:val="en-US"/>
        </w:rPr>
        <w:t>evel</w:t>
      </w:r>
      <w:r w:rsidR="00DC1F65">
        <w:rPr>
          <w:i/>
          <w:lang w:val="en-US"/>
        </w:rPr>
        <w:t>s</w:t>
      </w:r>
      <w:r w:rsidR="005C6BFE">
        <w:rPr>
          <w:i/>
          <w:lang w:val="en-US"/>
        </w:rPr>
        <w:t xml:space="preserve"> and metabolism of </w:t>
      </w:r>
      <w:r w:rsidR="00011149">
        <w:rPr>
          <w:i/>
          <w:lang w:val="en-US"/>
        </w:rPr>
        <w:t>DA</w:t>
      </w:r>
      <w:r w:rsidR="005C6BFE">
        <w:rPr>
          <w:i/>
          <w:lang w:val="en-US"/>
        </w:rPr>
        <w:t xml:space="preserve"> in the caudate-putamen, </w:t>
      </w:r>
      <w:r w:rsidR="00DD24F3">
        <w:rPr>
          <w:i/>
          <w:lang w:val="en-US"/>
        </w:rPr>
        <w:t>SN</w:t>
      </w:r>
      <w:r w:rsidR="005C6BFE">
        <w:rPr>
          <w:i/>
          <w:lang w:val="en-US"/>
        </w:rPr>
        <w:t xml:space="preserve"> and </w:t>
      </w:r>
      <w:r w:rsidR="009E2A0B">
        <w:rPr>
          <w:i/>
          <w:lang w:val="en-US"/>
        </w:rPr>
        <w:t>PFC</w:t>
      </w:r>
      <w:r w:rsidR="00DD24F3">
        <w:rPr>
          <w:i/>
          <w:lang w:val="en-US"/>
        </w:rPr>
        <w:t xml:space="preserve">: </w:t>
      </w:r>
      <w:r w:rsidR="00A057DF">
        <w:rPr>
          <w:lang w:val="en-US"/>
        </w:rPr>
        <w:t>Following a 2</w:t>
      </w:r>
      <w:r w:rsidR="00DC1F65">
        <w:rPr>
          <w:lang w:val="en-US"/>
        </w:rPr>
        <w:t>-</w:t>
      </w:r>
      <w:r w:rsidR="00A057DF">
        <w:rPr>
          <w:lang w:val="en-US"/>
        </w:rPr>
        <w:t xml:space="preserve">day withdrawal of paraquat, no </w:t>
      </w:r>
      <w:r w:rsidR="005C6BFE">
        <w:rPr>
          <w:lang w:val="en-US"/>
        </w:rPr>
        <w:t xml:space="preserve">significant </w:t>
      </w:r>
      <w:r w:rsidR="00A057DF">
        <w:rPr>
          <w:lang w:val="en-US"/>
        </w:rPr>
        <w:t>effects</w:t>
      </w:r>
      <w:r w:rsidR="005C6BFE">
        <w:rPr>
          <w:lang w:val="en-US"/>
        </w:rPr>
        <w:t xml:space="preserve"> in </w:t>
      </w:r>
      <w:r w:rsidR="00011149">
        <w:rPr>
          <w:lang w:val="en-US"/>
        </w:rPr>
        <w:t>DA</w:t>
      </w:r>
      <w:r w:rsidR="005C6BFE">
        <w:rPr>
          <w:lang w:val="en-US"/>
        </w:rPr>
        <w:t xml:space="preserve"> levels </w:t>
      </w:r>
      <w:r w:rsidR="00A057DF">
        <w:rPr>
          <w:lang w:val="en-US"/>
        </w:rPr>
        <w:t>were found in any of the regions sampled</w:t>
      </w:r>
      <w:r w:rsidR="005C6BFE">
        <w:rPr>
          <w:lang w:val="en-US"/>
        </w:rPr>
        <w:t xml:space="preserve">. </w:t>
      </w:r>
      <w:r w:rsidR="00A057DF">
        <w:rPr>
          <w:lang w:val="en-US"/>
        </w:rPr>
        <w:t>In the caudate-putamen, s</w:t>
      </w:r>
      <w:r w:rsidR="005C6BFE">
        <w:rPr>
          <w:lang w:val="en-US"/>
        </w:rPr>
        <w:t xml:space="preserve">ignificant decreases (40-59%) </w:t>
      </w:r>
      <w:r w:rsidR="00A057DF">
        <w:rPr>
          <w:lang w:val="en-US"/>
        </w:rPr>
        <w:t>were seen for</w:t>
      </w:r>
      <w:r w:rsidR="005C6BFE">
        <w:rPr>
          <w:lang w:val="en-US"/>
        </w:rPr>
        <w:t xml:space="preserve"> DOPAC, HVA</w:t>
      </w:r>
      <w:r w:rsidR="00A057DF">
        <w:rPr>
          <w:lang w:val="en-US"/>
        </w:rPr>
        <w:t xml:space="preserve"> and 3-MT levels, </w:t>
      </w:r>
      <w:r w:rsidR="005C6BFE">
        <w:rPr>
          <w:lang w:val="en-US"/>
        </w:rPr>
        <w:t xml:space="preserve"> as well as</w:t>
      </w:r>
      <w:r w:rsidR="00A057DF">
        <w:rPr>
          <w:lang w:val="en-US"/>
        </w:rPr>
        <w:t xml:space="preserve"> the ratios of </w:t>
      </w:r>
      <w:r w:rsidR="005C6BFE">
        <w:rPr>
          <w:lang w:val="en-US"/>
        </w:rPr>
        <w:t xml:space="preserve"> DOPAC/</w:t>
      </w:r>
      <w:r w:rsidR="00011149">
        <w:rPr>
          <w:lang w:val="en-US"/>
        </w:rPr>
        <w:t>DA</w:t>
      </w:r>
      <w:r w:rsidR="005C6BFE">
        <w:rPr>
          <w:lang w:val="en-US"/>
        </w:rPr>
        <w:t>, HVA/</w:t>
      </w:r>
      <w:r w:rsidR="00011149">
        <w:rPr>
          <w:lang w:val="en-US"/>
        </w:rPr>
        <w:t>DA</w:t>
      </w:r>
      <w:r w:rsidR="005C6BFE">
        <w:rPr>
          <w:lang w:val="en-US"/>
        </w:rPr>
        <w:t xml:space="preserve"> and 3-MT/</w:t>
      </w:r>
      <w:r w:rsidR="00011149">
        <w:rPr>
          <w:lang w:val="en-US"/>
        </w:rPr>
        <w:t>DA</w:t>
      </w:r>
      <w:r w:rsidR="005C6BFE">
        <w:rPr>
          <w:lang w:val="en-US"/>
        </w:rPr>
        <w:t>. Similarly</w:t>
      </w:r>
      <w:r w:rsidR="00A057DF">
        <w:rPr>
          <w:lang w:val="en-US"/>
        </w:rPr>
        <w:t>, in the SN, the</w:t>
      </w:r>
      <w:r w:rsidR="005C6BFE">
        <w:rPr>
          <w:lang w:val="en-US"/>
        </w:rPr>
        <w:t xml:space="preserve"> DOPAC level was decreased by 19%, HVA by 59% and HVA/</w:t>
      </w:r>
      <w:r w:rsidR="00011149">
        <w:rPr>
          <w:lang w:val="en-US"/>
        </w:rPr>
        <w:t>DA</w:t>
      </w:r>
      <w:r w:rsidR="005C6BFE">
        <w:rPr>
          <w:lang w:val="en-US"/>
        </w:rPr>
        <w:t xml:space="preserve"> ratio by 49%. In the </w:t>
      </w:r>
      <w:r w:rsidR="009E2A0B">
        <w:rPr>
          <w:lang w:val="en-US"/>
        </w:rPr>
        <w:t>PFC</w:t>
      </w:r>
      <w:r w:rsidR="005C6BFE">
        <w:rPr>
          <w:lang w:val="en-US"/>
        </w:rPr>
        <w:t>, only DOPAC level</w:t>
      </w:r>
      <w:r w:rsidR="00A057DF">
        <w:rPr>
          <w:lang w:val="en-US"/>
        </w:rPr>
        <w:t xml:space="preserve"> and the ratios of</w:t>
      </w:r>
      <w:r w:rsidR="005C6BFE">
        <w:rPr>
          <w:lang w:val="en-US"/>
        </w:rPr>
        <w:t xml:space="preserve"> DOPAC/</w:t>
      </w:r>
      <w:r w:rsidR="00011149">
        <w:rPr>
          <w:lang w:val="en-US"/>
        </w:rPr>
        <w:t>DA</w:t>
      </w:r>
      <w:r w:rsidR="005C6BFE">
        <w:rPr>
          <w:lang w:val="en-US"/>
        </w:rPr>
        <w:t xml:space="preserve"> and HVA/</w:t>
      </w:r>
      <w:r w:rsidR="00011149">
        <w:rPr>
          <w:lang w:val="en-US"/>
        </w:rPr>
        <w:t>DA</w:t>
      </w:r>
      <w:r w:rsidR="00A057DF">
        <w:rPr>
          <w:lang w:val="en-US"/>
        </w:rPr>
        <w:t xml:space="preserve"> </w:t>
      </w:r>
      <w:r w:rsidR="005C6BFE">
        <w:rPr>
          <w:lang w:val="en-US"/>
        </w:rPr>
        <w:t>were reduced</w:t>
      </w:r>
      <w:r w:rsidR="00A057DF">
        <w:rPr>
          <w:lang w:val="en-US"/>
        </w:rPr>
        <w:t xml:space="preserve"> (</w:t>
      </w:r>
      <w:r w:rsidR="005C6BFE">
        <w:rPr>
          <w:lang w:val="en-US"/>
        </w:rPr>
        <w:t>31-42%</w:t>
      </w:r>
      <w:r w:rsidR="00A057DF">
        <w:rPr>
          <w:lang w:val="en-US"/>
        </w:rPr>
        <w:t>)</w:t>
      </w:r>
      <w:r w:rsidR="005C6BFE">
        <w:rPr>
          <w:lang w:val="en-US"/>
        </w:rPr>
        <w:t>.</w:t>
      </w:r>
    </w:p>
    <w:p w14:paraId="674AB02F" w14:textId="77777777" w:rsidR="005C6BFE" w:rsidRDefault="005C6BFE" w:rsidP="005C6BFE">
      <w:pPr>
        <w:rPr>
          <w:lang w:val="en-US"/>
        </w:rPr>
      </w:pPr>
    </w:p>
    <w:p w14:paraId="3755DFC7" w14:textId="77777777" w:rsidR="005C6BFE" w:rsidRDefault="00A057DF" w:rsidP="005C6BFE">
      <w:pPr>
        <w:rPr>
          <w:lang w:val="en-US"/>
        </w:rPr>
      </w:pPr>
      <w:r>
        <w:rPr>
          <w:lang w:val="en-US"/>
        </w:rPr>
        <w:t>Following a 3</w:t>
      </w:r>
      <w:r w:rsidR="00DC1F65">
        <w:rPr>
          <w:lang w:val="en-US"/>
        </w:rPr>
        <w:t>-</w:t>
      </w:r>
      <w:r>
        <w:rPr>
          <w:lang w:val="en-US"/>
        </w:rPr>
        <w:t>day withdrawal,</w:t>
      </w:r>
      <w:r w:rsidR="005C6BFE">
        <w:rPr>
          <w:lang w:val="en-US"/>
        </w:rPr>
        <w:t xml:space="preserve"> the level of </w:t>
      </w:r>
      <w:r w:rsidR="00011149">
        <w:rPr>
          <w:lang w:val="en-US"/>
        </w:rPr>
        <w:t>DA</w:t>
      </w:r>
      <w:r w:rsidR="005C6BFE">
        <w:rPr>
          <w:lang w:val="en-US"/>
        </w:rPr>
        <w:t xml:space="preserve"> in the caudate-putamen was significantly increased in comparison to </w:t>
      </w:r>
      <w:r>
        <w:rPr>
          <w:lang w:val="en-US"/>
        </w:rPr>
        <w:t xml:space="preserve">both </w:t>
      </w:r>
      <w:r w:rsidR="005C6BFE">
        <w:rPr>
          <w:lang w:val="en-US"/>
        </w:rPr>
        <w:t>the control level and t</w:t>
      </w:r>
      <w:r>
        <w:rPr>
          <w:lang w:val="en-US"/>
        </w:rPr>
        <w:t>hat</w:t>
      </w:r>
      <w:r w:rsidR="005C6BFE">
        <w:rPr>
          <w:lang w:val="en-US"/>
        </w:rPr>
        <w:t xml:space="preserve"> measured </w:t>
      </w:r>
      <w:r>
        <w:rPr>
          <w:lang w:val="en-US"/>
        </w:rPr>
        <w:t>after</w:t>
      </w:r>
      <w:r w:rsidR="00F34495">
        <w:rPr>
          <w:lang w:val="en-US"/>
        </w:rPr>
        <w:t xml:space="preserve"> the </w:t>
      </w:r>
      <w:r>
        <w:rPr>
          <w:lang w:val="en-US"/>
        </w:rPr>
        <w:t>2</w:t>
      </w:r>
      <w:r w:rsidR="00DC1F65">
        <w:rPr>
          <w:lang w:val="en-US"/>
        </w:rPr>
        <w:t>-</w:t>
      </w:r>
      <w:r>
        <w:rPr>
          <w:lang w:val="en-US"/>
        </w:rPr>
        <w:t>day withdrawal</w:t>
      </w:r>
      <w:r w:rsidR="005C6BFE">
        <w:rPr>
          <w:lang w:val="en-US"/>
        </w:rPr>
        <w:t xml:space="preserve">. </w:t>
      </w:r>
      <w:r w:rsidR="00DC1F65">
        <w:rPr>
          <w:lang w:val="en-US"/>
        </w:rPr>
        <w:t xml:space="preserve">In this region, </w:t>
      </w:r>
      <w:r w:rsidR="005C6BFE">
        <w:rPr>
          <w:lang w:val="en-US"/>
        </w:rPr>
        <w:t>DOPAC/</w:t>
      </w:r>
      <w:r w:rsidR="00011149">
        <w:rPr>
          <w:lang w:val="en-US"/>
        </w:rPr>
        <w:t>DA</w:t>
      </w:r>
      <w:r w:rsidR="005C6BFE">
        <w:rPr>
          <w:lang w:val="en-US"/>
        </w:rPr>
        <w:t>, HVA/</w:t>
      </w:r>
      <w:r w:rsidR="00011149">
        <w:rPr>
          <w:lang w:val="en-US"/>
        </w:rPr>
        <w:t>DA</w:t>
      </w:r>
      <w:r w:rsidR="005C6BFE">
        <w:rPr>
          <w:lang w:val="en-US"/>
        </w:rPr>
        <w:t xml:space="preserve"> and 3-MT/</w:t>
      </w:r>
      <w:r w:rsidR="00011149">
        <w:rPr>
          <w:lang w:val="en-US"/>
        </w:rPr>
        <w:t>DA</w:t>
      </w:r>
      <w:r w:rsidR="005C6BFE">
        <w:rPr>
          <w:lang w:val="en-US"/>
        </w:rPr>
        <w:t xml:space="preserve"> ratios and levels of DOPAC, HVA, </w:t>
      </w:r>
      <w:r w:rsidR="00DC1F65">
        <w:rPr>
          <w:lang w:val="en-US"/>
        </w:rPr>
        <w:t>continued to be significantly reduced, but no</w:t>
      </w:r>
      <w:r w:rsidR="005C6BFE">
        <w:rPr>
          <w:lang w:val="en-US"/>
        </w:rPr>
        <w:t>t 3-MT</w:t>
      </w:r>
      <w:r w:rsidR="00DC1F65">
        <w:rPr>
          <w:lang w:val="en-US"/>
        </w:rPr>
        <w:t>.</w:t>
      </w:r>
      <w:r w:rsidR="005C6BFE">
        <w:rPr>
          <w:lang w:val="en-US"/>
        </w:rPr>
        <w:t xml:space="preserve"> </w:t>
      </w:r>
    </w:p>
    <w:p w14:paraId="7476B3ED" w14:textId="77777777" w:rsidR="005C6BFE" w:rsidRDefault="005C6BFE" w:rsidP="005C6BFE">
      <w:pPr>
        <w:rPr>
          <w:lang w:val="en-US"/>
        </w:rPr>
      </w:pPr>
    </w:p>
    <w:p w14:paraId="08E174C0" w14:textId="77777777" w:rsidR="005C6BFE" w:rsidRDefault="00DC1F65" w:rsidP="005C6BFE">
      <w:pPr>
        <w:rPr>
          <w:lang w:val="en-US"/>
        </w:rPr>
      </w:pPr>
      <w:r>
        <w:rPr>
          <w:lang w:val="en-US"/>
        </w:rPr>
        <w:t xml:space="preserve">In the SN following a 3-day withdrawal, the previously decreased </w:t>
      </w:r>
      <w:r w:rsidR="005C6BFE">
        <w:rPr>
          <w:lang w:val="en-US"/>
        </w:rPr>
        <w:t xml:space="preserve">DOPAC and HVA </w:t>
      </w:r>
      <w:r>
        <w:rPr>
          <w:lang w:val="en-US"/>
        </w:rPr>
        <w:t>levels were significantly increased as compared to controls</w:t>
      </w:r>
      <w:r w:rsidR="00F34495">
        <w:rPr>
          <w:lang w:val="en-US"/>
        </w:rPr>
        <w:t xml:space="preserve">. A trend </w:t>
      </w:r>
      <w:r w:rsidR="005C6BFE">
        <w:rPr>
          <w:lang w:val="en-US"/>
        </w:rPr>
        <w:t xml:space="preserve">to an increase in the </w:t>
      </w:r>
      <w:r w:rsidR="00011149">
        <w:rPr>
          <w:lang w:val="en-US"/>
        </w:rPr>
        <w:t>DA</w:t>
      </w:r>
      <w:r w:rsidR="005C6BFE">
        <w:rPr>
          <w:lang w:val="en-US"/>
        </w:rPr>
        <w:t xml:space="preserve"> level </w:t>
      </w:r>
      <w:r w:rsidR="00F34495">
        <w:rPr>
          <w:lang w:val="en-US"/>
        </w:rPr>
        <w:t xml:space="preserve">was also noted in comparison with the 2-day level. </w:t>
      </w:r>
      <w:r w:rsidR="005C6BFE">
        <w:rPr>
          <w:lang w:val="en-US"/>
        </w:rPr>
        <w:t xml:space="preserve">In the </w:t>
      </w:r>
      <w:r w:rsidR="009E2A0B">
        <w:rPr>
          <w:lang w:val="en-US"/>
        </w:rPr>
        <w:t>PFC</w:t>
      </w:r>
      <w:r w:rsidR="005C6BFE">
        <w:rPr>
          <w:lang w:val="en-US"/>
        </w:rPr>
        <w:t xml:space="preserve">, </w:t>
      </w:r>
      <w:r w:rsidR="00F34495">
        <w:rPr>
          <w:lang w:val="en-US"/>
        </w:rPr>
        <w:t xml:space="preserve">previously significant </w:t>
      </w:r>
      <w:r w:rsidR="005C6BFE">
        <w:rPr>
          <w:lang w:val="en-US"/>
        </w:rPr>
        <w:t>decreases in DOPAC, DOPAC/</w:t>
      </w:r>
      <w:r w:rsidR="00011149">
        <w:rPr>
          <w:lang w:val="en-US"/>
        </w:rPr>
        <w:t>DA</w:t>
      </w:r>
      <w:r w:rsidR="005C6BFE">
        <w:rPr>
          <w:lang w:val="en-US"/>
        </w:rPr>
        <w:t xml:space="preserve"> and HVA/</w:t>
      </w:r>
      <w:r w:rsidR="00011149">
        <w:rPr>
          <w:lang w:val="en-US"/>
        </w:rPr>
        <w:t>DA</w:t>
      </w:r>
      <w:r w:rsidR="005C6BFE">
        <w:rPr>
          <w:lang w:val="en-US"/>
        </w:rPr>
        <w:t xml:space="preserve"> ratios lost</w:t>
      </w:r>
      <w:r w:rsidR="00F34495">
        <w:rPr>
          <w:lang w:val="en-US"/>
        </w:rPr>
        <w:t xml:space="preserve"> their statistical significance</w:t>
      </w:r>
      <w:r w:rsidR="005C6BFE">
        <w:rPr>
          <w:lang w:val="en-US"/>
        </w:rPr>
        <w:t>.</w:t>
      </w:r>
    </w:p>
    <w:p w14:paraId="4C48A1B9" w14:textId="77777777" w:rsidR="00F34495" w:rsidRDefault="00F34495" w:rsidP="005C6BFE">
      <w:pPr>
        <w:rPr>
          <w:lang w:val="en-US"/>
        </w:rPr>
      </w:pPr>
    </w:p>
    <w:p w14:paraId="197103FC" w14:textId="77777777" w:rsidR="005C6BFE" w:rsidRDefault="00897462" w:rsidP="005C6BFE">
      <w:pPr>
        <w:rPr>
          <w:lang w:val="en-US"/>
        </w:rPr>
      </w:pPr>
      <w:r w:rsidRPr="00C34954">
        <w:rPr>
          <w:i/>
          <w:lang w:val="en-US"/>
        </w:rPr>
        <w:t xml:space="preserve">Effects on </w:t>
      </w:r>
      <w:r w:rsidR="005C6BFE" w:rsidRPr="00F34495">
        <w:rPr>
          <w:i/>
          <w:lang w:val="en-US"/>
        </w:rPr>
        <w:t>the binding</w:t>
      </w:r>
      <w:r w:rsidR="005C6BFE">
        <w:rPr>
          <w:i/>
          <w:lang w:val="en-US"/>
        </w:rPr>
        <w:t xml:space="preserve"> of [</w:t>
      </w:r>
      <w:r w:rsidR="005C6BFE">
        <w:rPr>
          <w:i/>
          <w:vertAlign w:val="superscript"/>
          <w:lang w:val="en-US"/>
        </w:rPr>
        <w:t>3</w:t>
      </w:r>
      <w:r w:rsidR="005C6BFE">
        <w:rPr>
          <w:i/>
          <w:lang w:val="en-US"/>
        </w:rPr>
        <w:t xml:space="preserve">H]GBR 12,935 to </w:t>
      </w:r>
      <w:r w:rsidR="00011149">
        <w:rPr>
          <w:i/>
          <w:lang w:val="en-US"/>
        </w:rPr>
        <w:t>DAT</w:t>
      </w:r>
      <w:r w:rsidR="005C6BFE">
        <w:rPr>
          <w:i/>
          <w:lang w:val="en-US"/>
        </w:rPr>
        <w:t xml:space="preserve"> in the caudate-putamen</w:t>
      </w:r>
      <w:r w:rsidR="00F34495">
        <w:rPr>
          <w:i/>
          <w:lang w:val="en-US"/>
        </w:rPr>
        <w:t>:</w:t>
      </w:r>
    </w:p>
    <w:p w14:paraId="1FB2A2DB" w14:textId="77777777" w:rsidR="005C6BFE" w:rsidRDefault="005C69E6" w:rsidP="005C6BFE">
      <w:pPr>
        <w:rPr>
          <w:lang w:val="en-US"/>
        </w:rPr>
      </w:pPr>
      <w:r>
        <w:rPr>
          <w:lang w:val="en-US"/>
        </w:rPr>
        <w:t>Following  a 2-day withdrawal of paraquat, a reduction of 25-39% in th</w:t>
      </w:r>
      <w:r w:rsidR="005C6BFE">
        <w:rPr>
          <w:lang w:val="en-US"/>
        </w:rPr>
        <w:t>e binding of [</w:t>
      </w:r>
      <w:r w:rsidR="005C6BFE">
        <w:rPr>
          <w:vertAlign w:val="superscript"/>
          <w:lang w:val="en-US"/>
        </w:rPr>
        <w:t>3</w:t>
      </w:r>
      <w:r w:rsidR="005C6BFE">
        <w:rPr>
          <w:lang w:val="en-US"/>
        </w:rPr>
        <w:t xml:space="preserve">H]GBR 12,935 to </w:t>
      </w:r>
      <w:r w:rsidR="00F34495">
        <w:rPr>
          <w:lang w:val="en-US"/>
        </w:rPr>
        <w:t>DAT</w:t>
      </w:r>
      <w:r w:rsidR="005C6BFE">
        <w:rPr>
          <w:lang w:val="en-US"/>
        </w:rPr>
        <w:t xml:space="preserve"> </w:t>
      </w:r>
      <w:r>
        <w:rPr>
          <w:lang w:val="en-US"/>
        </w:rPr>
        <w:t>was detected</w:t>
      </w:r>
      <w:r w:rsidR="005C6BFE">
        <w:rPr>
          <w:lang w:val="en-US"/>
        </w:rPr>
        <w:t xml:space="preserve"> in all regions of the caudate-putamen</w:t>
      </w:r>
      <w:r>
        <w:rPr>
          <w:lang w:val="en-US"/>
        </w:rPr>
        <w:t xml:space="preserve"> examined</w:t>
      </w:r>
      <w:r w:rsidR="005C6BFE">
        <w:rPr>
          <w:lang w:val="en-US"/>
        </w:rPr>
        <w:t xml:space="preserve">. </w:t>
      </w:r>
      <w:r>
        <w:rPr>
          <w:lang w:val="en-US"/>
        </w:rPr>
        <w:t>Following a 3-day withdrawal, these levels had increased to be similar to controls in particular areas only (</w:t>
      </w:r>
      <w:r w:rsidR="005C6BFE">
        <w:rPr>
          <w:lang w:val="en-US"/>
        </w:rPr>
        <w:t xml:space="preserve">ventral area of the anterior caudate-putamen, </w:t>
      </w:r>
      <w:r>
        <w:rPr>
          <w:lang w:val="en-US"/>
        </w:rPr>
        <w:t xml:space="preserve">and </w:t>
      </w:r>
      <w:r w:rsidR="005C6BFE">
        <w:rPr>
          <w:lang w:val="en-US"/>
        </w:rPr>
        <w:t>the dorsal and ventral areas of the central region</w:t>
      </w:r>
      <w:r>
        <w:rPr>
          <w:lang w:val="en-US"/>
        </w:rPr>
        <w:t>)</w:t>
      </w:r>
      <w:r w:rsidR="005C6BFE">
        <w:rPr>
          <w:lang w:val="en-US"/>
        </w:rPr>
        <w:t xml:space="preserve">. </w:t>
      </w:r>
      <w:r>
        <w:rPr>
          <w:lang w:val="en-US"/>
        </w:rPr>
        <w:t xml:space="preserve">A statistically significant decrease in this binding persisted only in the </w:t>
      </w:r>
      <w:r w:rsidR="005C6BFE">
        <w:rPr>
          <w:lang w:val="en-US"/>
        </w:rPr>
        <w:t xml:space="preserve">dorsal part of </w:t>
      </w:r>
      <w:r w:rsidR="005C6BFE">
        <w:rPr>
          <w:lang w:val="en-US"/>
        </w:rPr>
        <w:lastRenderedPageBreak/>
        <w:t>the anterior caudate-putamen in comparison to control</w:t>
      </w:r>
      <w:r>
        <w:rPr>
          <w:lang w:val="en-US"/>
        </w:rPr>
        <w:t>s, although the level was slightly increased from the 2-day level</w:t>
      </w:r>
      <w:r w:rsidR="005C6BFE">
        <w:rPr>
          <w:lang w:val="en-US"/>
        </w:rPr>
        <w:t>.</w:t>
      </w:r>
    </w:p>
    <w:p w14:paraId="231E69E7" w14:textId="77777777" w:rsidR="005C6BFE" w:rsidRDefault="005C6BFE" w:rsidP="005C6BFE">
      <w:pPr>
        <w:rPr>
          <w:lang w:val="en-US"/>
        </w:rPr>
      </w:pPr>
    </w:p>
    <w:p w14:paraId="60D17B30" w14:textId="77777777" w:rsidR="005C6BFE" w:rsidRDefault="0034603F" w:rsidP="005C6BFE">
      <w:pPr>
        <w:rPr>
          <w:lang w:val="en-US"/>
        </w:rPr>
      </w:pPr>
      <w:r>
        <w:rPr>
          <w:i/>
          <w:lang w:val="en-US"/>
        </w:rPr>
        <w:t>L</w:t>
      </w:r>
      <w:r w:rsidR="005C6BFE">
        <w:rPr>
          <w:i/>
          <w:lang w:val="en-US"/>
        </w:rPr>
        <w:t xml:space="preserve">evel and metabolism of </w:t>
      </w:r>
      <w:r w:rsidR="001875D7">
        <w:rPr>
          <w:i/>
          <w:lang w:val="en-US"/>
        </w:rPr>
        <w:t>5-HT</w:t>
      </w:r>
      <w:r w:rsidR="005C6BFE">
        <w:rPr>
          <w:i/>
          <w:lang w:val="en-US"/>
        </w:rPr>
        <w:t xml:space="preserve"> and </w:t>
      </w:r>
      <w:r w:rsidR="005C6BFE">
        <w:rPr>
          <w:i/>
          <w:iCs/>
          <w:lang w:val="en-US"/>
        </w:rPr>
        <w:t xml:space="preserve">level </w:t>
      </w:r>
      <w:r w:rsidR="005C6BFE">
        <w:rPr>
          <w:i/>
          <w:lang w:val="en-US"/>
        </w:rPr>
        <w:t xml:space="preserve">of noradrenaline in the caudate-putamen, </w:t>
      </w:r>
      <w:r w:rsidR="00A4092E">
        <w:rPr>
          <w:i/>
          <w:lang w:val="en-US"/>
        </w:rPr>
        <w:t>SN</w:t>
      </w:r>
      <w:r w:rsidR="005C6BFE">
        <w:rPr>
          <w:i/>
          <w:lang w:val="en-US"/>
        </w:rPr>
        <w:t xml:space="preserve"> and </w:t>
      </w:r>
      <w:r w:rsidR="009E2A0B">
        <w:rPr>
          <w:i/>
          <w:lang w:val="en-US"/>
        </w:rPr>
        <w:t>PFC</w:t>
      </w:r>
      <w:r>
        <w:rPr>
          <w:i/>
          <w:lang w:val="en-US"/>
        </w:rPr>
        <w:t xml:space="preserve">: </w:t>
      </w:r>
      <w:r>
        <w:rPr>
          <w:lang w:val="en-US"/>
        </w:rPr>
        <w:t xml:space="preserve">Following both the 2 and 3-day withdrawals from paraquat treatment, </w:t>
      </w:r>
      <w:r w:rsidR="005C6BFE">
        <w:rPr>
          <w:lang w:val="en-US"/>
        </w:rPr>
        <w:t>increase</w:t>
      </w:r>
      <w:r>
        <w:rPr>
          <w:lang w:val="en-US"/>
        </w:rPr>
        <w:t xml:space="preserve">d </w:t>
      </w:r>
      <w:r w:rsidR="005C6BFE">
        <w:rPr>
          <w:lang w:val="en-US"/>
        </w:rPr>
        <w:t>5-HIAA level</w:t>
      </w:r>
      <w:r>
        <w:rPr>
          <w:lang w:val="en-US"/>
        </w:rPr>
        <w:t>s</w:t>
      </w:r>
      <w:r w:rsidR="005C6BFE">
        <w:rPr>
          <w:lang w:val="en-US"/>
        </w:rPr>
        <w:t xml:space="preserve"> and 5-HIAA/5-HT ratio </w:t>
      </w:r>
      <w:r>
        <w:rPr>
          <w:lang w:val="en-US"/>
        </w:rPr>
        <w:t>was evident in the c</w:t>
      </w:r>
      <w:r w:rsidR="005C6BFE">
        <w:rPr>
          <w:lang w:val="en-US"/>
        </w:rPr>
        <w:t xml:space="preserve">audate-putamen. </w:t>
      </w:r>
      <w:r>
        <w:rPr>
          <w:lang w:val="en-US"/>
        </w:rPr>
        <w:t>A similar increased was noted in the</w:t>
      </w:r>
      <w:r w:rsidR="005C6BFE">
        <w:rPr>
          <w:lang w:val="en-US"/>
        </w:rPr>
        <w:t xml:space="preserve"> </w:t>
      </w:r>
      <w:r w:rsidR="009E2A0B">
        <w:rPr>
          <w:lang w:val="en-US"/>
        </w:rPr>
        <w:t>PFC</w:t>
      </w:r>
      <w:r>
        <w:rPr>
          <w:lang w:val="en-US"/>
        </w:rPr>
        <w:t xml:space="preserve"> following the 2-day period only, although the difference in the ratio was of borderline statistical signficance</w:t>
      </w:r>
      <w:r w:rsidR="005C6BFE">
        <w:rPr>
          <w:lang w:val="en-US"/>
        </w:rPr>
        <w:t xml:space="preserve">. </w:t>
      </w:r>
      <w:r>
        <w:rPr>
          <w:lang w:val="en-US"/>
        </w:rPr>
        <w:t xml:space="preserve">There were no effects on the level of  </w:t>
      </w:r>
      <w:r w:rsidR="005C6BFE">
        <w:rPr>
          <w:lang w:val="en-US"/>
        </w:rPr>
        <w:t xml:space="preserve">5-HT level in </w:t>
      </w:r>
      <w:r>
        <w:rPr>
          <w:lang w:val="en-US"/>
        </w:rPr>
        <w:t>either structure</w:t>
      </w:r>
      <w:r w:rsidR="005C6BFE">
        <w:rPr>
          <w:lang w:val="en-US"/>
        </w:rPr>
        <w:t xml:space="preserve">. </w:t>
      </w:r>
      <w:r>
        <w:rPr>
          <w:lang w:val="en-US"/>
        </w:rPr>
        <w:t xml:space="preserve">Levels of </w:t>
      </w:r>
      <w:r w:rsidR="005C6BFE">
        <w:rPr>
          <w:lang w:val="en-US"/>
        </w:rPr>
        <w:t>5-HT</w:t>
      </w:r>
      <w:r>
        <w:rPr>
          <w:lang w:val="en-US"/>
        </w:rPr>
        <w:t>,</w:t>
      </w:r>
      <w:r w:rsidR="005C6BFE">
        <w:rPr>
          <w:lang w:val="en-US"/>
        </w:rPr>
        <w:t xml:space="preserve"> 5-HIAA </w:t>
      </w:r>
      <w:r>
        <w:rPr>
          <w:lang w:val="en-US"/>
        </w:rPr>
        <w:t>and the ratio of 5</w:t>
      </w:r>
      <w:r w:rsidR="005C6BFE">
        <w:rPr>
          <w:lang w:val="en-US"/>
        </w:rPr>
        <w:t>-HIAA/5-HT</w:t>
      </w:r>
      <w:r>
        <w:rPr>
          <w:lang w:val="en-US"/>
        </w:rPr>
        <w:t xml:space="preserve">  in the SN were not altered </w:t>
      </w:r>
      <w:r w:rsidR="005C6BFE">
        <w:rPr>
          <w:lang w:val="en-US"/>
        </w:rPr>
        <w:t>after the 2-day withdrawal</w:t>
      </w:r>
      <w:r>
        <w:rPr>
          <w:lang w:val="en-US"/>
        </w:rPr>
        <w:t>, however following the 3-day withdrawal, 5-HT was significantly increased as compared to the 2-day levels and the level of 5-HIAA was also increased, although not statistically significantly.</w:t>
      </w:r>
    </w:p>
    <w:p w14:paraId="5F6FCA16" w14:textId="77777777" w:rsidR="005C6BFE" w:rsidRDefault="005C6BFE" w:rsidP="005C6BFE">
      <w:pPr>
        <w:rPr>
          <w:lang w:val="en-US"/>
        </w:rPr>
      </w:pPr>
    </w:p>
    <w:p w14:paraId="5EA88C2D" w14:textId="77777777" w:rsidR="005C6BFE" w:rsidRDefault="0034603F" w:rsidP="005C6BFE">
      <w:pPr>
        <w:rPr>
          <w:lang w:val="en-US"/>
        </w:rPr>
      </w:pPr>
      <w:r>
        <w:rPr>
          <w:lang w:val="en-US"/>
        </w:rPr>
        <w:t xml:space="preserve">Noradrenalin levels were increased at both time points in the </w:t>
      </w:r>
      <w:r w:rsidR="009E2A0B">
        <w:rPr>
          <w:lang w:val="en-US"/>
        </w:rPr>
        <w:t>CP</w:t>
      </w:r>
      <w:r>
        <w:rPr>
          <w:lang w:val="en-US"/>
        </w:rPr>
        <w:t xml:space="preserve"> only.</w:t>
      </w:r>
    </w:p>
    <w:p w14:paraId="0316808E" w14:textId="77777777" w:rsidR="005C6BFE" w:rsidRDefault="005C6BFE" w:rsidP="005C6BFE">
      <w:pPr>
        <w:rPr>
          <w:lang w:val="en-US"/>
        </w:rPr>
      </w:pPr>
    </w:p>
    <w:p w14:paraId="114E71C6" w14:textId="77777777" w:rsidR="005C6BFE" w:rsidRDefault="0034603F" w:rsidP="005C6BFE">
      <w:pPr>
        <w:rPr>
          <w:lang w:val="en-US"/>
        </w:rPr>
      </w:pPr>
      <w:r>
        <w:rPr>
          <w:i/>
          <w:lang w:val="en-US"/>
        </w:rPr>
        <w:t>P</w:t>
      </w:r>
      <w:r w:rsidR="005C6BFE">
        <w:rPr>
          <w:i/>
          <w:lang w:val="en-US"/>
        </w:rPr>
        <w:t>roenkephalin (PENK) and GAD67 mRNAs expression in the caudate-putamen</w:t>
      </w:r>
      <w:r>
        <w:rPr>
          <w:i/>
          <w:lang w:val="en-US"/>
        </w:rPr>
        <w:t xml:space="preserve">: </w:t>
      </w:r>
      <w:r w:rsidR="00477216">
        <w:rPr>
          <w:lang w:val="en-US"/>
        </w:rPr>
        <w:t xml:space="preserve">Following a 3-day withdrawal from paraquat, PENK mRNA levels were significantly decreased (24-35%) </w:t>
      </w:r>
      <w:r w:rsidR="005C6BFE">
        <w:rPr>
          <w:lang w:val="en-US"/>
        </w:rPr>
        <w:t xml:space="preserve">in the ventral and dorsal regions of the anterior and central caudate-putamen. </w:t>
      </w:r>
      <w:r w:rsidR="00477216">
        <w:rPr>
          <w:lang w:val="en-US"/>
        </w:rPr>
        <w:t>In the central caudate-putamen (dorsal and ventral regions) only a small, although statistically significant,  decrease</w:t>
      </w:r>
      <w:r w:rsidR="005C6BFE">
        <w:rPr>
          <w:lang w:val="en-US"/>
        </w:rPr>
        <w:t xml:space="preserve"> (5-7%) in GAD67 mRNA expression</w:t>
      </w:r>
      <w:r w:rsidR="00477216">
        <w:rPr>
          <w:lang w:val="en-US"/>
        </w:rPr>
        <w:t xml:space="preserve"> was noted</w:t>
      </w:r>
      <w:r w:rsidR="005C6BFE">
        <w:rPr>
          <w:lang w:val="en-US"/>
        </w:rPr>
        <w:t>.</w:t>
      </w:r>
    </w:p>
    <w:p w14:paraId="096F7687" w14:textId="77777777" w:rsidR="005C6BFE" w:rsidRDefault="005C6BFE" w:rsidP="005C6BFE">
      <w:pPr>
        <w:rPr>
          <w:lang w:val="en-US"/>
        </w:rPr>
      </w:pPr>
    </w:p>
    <w:p w14:paraId="1422C900" w14:textId="77777777" w:rsidR="005C6BFE" w:rsidRDefault="005C6BFE" w:rsidP="005C6BFE">
      <w:pPr>
        <w:rPr>
          <w:lang w:val="en-US"/>
        </w:rPr>
      </w:pPr>
      <w:r>
        <w:rPr>
          <w:i/>
          <w:lang w:val="en-US"/>
        </w:rPr>
        <w:t xml:space="preserve">Conclusion: </w:t>
      </w:r>
      <w:r>
        <w:rPr>
          <w:lang w:val="en-US"/>
        </w:rPr>
        <w:t xml:space="preserve"> </w:t>
      </w:r>
      <w:r w:rsidR="00477216">
        <w:rPr>
          <w:lang w:val="en-US"/>
        </w:rPr>
        <w:t>This study demonstrated that s</w:t>
      </w:r>
      <w:r>
        <w:rPr>
          <w:lang w:val="en-US"/>
        </w:rPr>
        <w:t xml:space="preserve">hort-term paraquat administration (daily for 5-days sc) </w:t>
      </w:r>
      <w:r w:rsidR="00477216">
        <w:rPr>
          <w:lang w:val="en-US"/>
        </w:rPr>
        <w:t xml:space="preserve">was associated with a </w:t>
      </w:r>
      <w:r>
        <w:rPr>
          <w:lang w:val="en-US"/>
        </w:rPr>
        <w:t xml:space="preserve">loss of dopaminergic (TH-ir) neurons in the </w:t>
      </w:r>
      <w:r w:rsidRPr="0024057E">
        <w:rPr>
          <w:lang w:val="en-US"/>
        </w:rPr>
        <w:t>SN pc</w:t>
      </w:r>
      <w:r w:rsidR="00477216">
        <w:rPr>
          <w:lang w:val="en-US"/>
        </w:rPr>
        <w:t xml:space="preserve"> (22%)</w:t>
      </w:r>
      <w:r>
        <w:rPr>
          <w:lang w:val="en-US"/>
        </w:rPr>
        <w:t xml:space="preserve">. </w:t>
      </w:r>
      <w:r w:rsidR="00477216">
        <w:rPr>
          <w:lang w:val="en-US"/>
        </w:rPr>
        <w:t>In addition,</w:t>
      </w:r>
      <w:r>
        <w:rPr>
          <w:lang w:val="en-US"/>
        </w:rPr>
        <w:t xml:space="preserve"> a decrease in the [</w:t>
      </w:r>
      <w:r>
        <w:rPr>
          <w:vertAlign w:val="superscript"/>
          <w:lang w:val="en-US"/>
        </w:rPr>
        <w:t>3</w:t>
      </w:r>
      <w:r>
        <w:rPr>
          <w:lang w:val="en-US"/>
        </w:rPr>
        <w:t xml:space="preserve">H]GBR 12,935 binding to DAT and reductions </w:t>
      </w:r>
      <w:r w:rsidR="00D765BA">
        <w:rPr>
          <w:lang w:val="en-US"/>
        </w:rPr>
        <w:t>in</w:t>
      </w:r>
      <w:r>
        <w:rPr>
          <w:lang w:val="en-US"/>
        </w:rPr>
        <w:t xml:space="preserve"> the levels of </w:t>
      </w:r>
      <w:r w:rsidR="00011149">
        <w:rPr>
          <w:lang w:val="en-US"/>
        </w:rPr>
        <w:t>DA</w:t>
      </w:r>
      <w:r>
        <w:rPr>
          <w:lang w:val="en-US"/>
        </w:rPr>
        <w:t xml:space="preserve"> metabolites and </w:t>
      </w:r>
      <w:r w:rsidR="00011149">
        <w:rPr>
          <w:lang w:val="en-US"/>
        </w:rPr>
        <w:t>DA</w:t>
      </w:r>
      <w:r>
        <w:rPr>
          <w:lang w:val="en-US"/>
        </w:rPr>
        <w:t xml:space="preserve"> turnover in the caudate-putamen, </w:t>
      </w:r>
      <w:r w:rsidR="00D765BA">
        <w:rPr>
          <w:lang w:val="en-US"/>
        </w:rPr>
        <w:t>SN</w:t>
      </w:r>
      <w:r>
        <w:rPr>
          <w:lang w:val="en-US"/>
        </w:rPr>
        <w:t xml:space="preserve"> and </w:t>
      </w:r>
      <w:r w:rsidR="009E2A0B">
        <w:rPr>
          <w:lang w:val="en-US"/>
        </w:rPr>
        <w:t>PFC</w:t>
      </w:r>
      <w:r>
        <w:rPr>
          <w:lang w:val="en-US"/>
        </w:rPr>
        <w:t>, were observed, especially 2 days after withdrawal</w:t>
      </w:r>
      <w:r w:rsidR="00477216">
        <w:rPr>
          <w:lang w:val="en-US"/>
        </w:rPr>
        <w:t xml:space="preserve"> of paraquat treament</w:t>
      </w:r>
      <w:r>
        <w:rPr>
          <w:lang w:val="en-US"/>
        </w:rPr>
        <w:t xml:space="preserve">. All these results indicate that </w:t>
      </w:r>
      <w:r w:rsidR="00D765BA">
        <w:rPr>
          <w:lang w:val="en-US"/>
        </w:rPr>
        <w:t>short-term</w:t>
      </w:r>
      <w:r>
        <w:rPr>
          <w:lang w:val="en-US"/>
        </w:rPr>
        <w:t xml:space="preserve"> paraquat induces a toxic effect on dopaminergic neurons when administered by the </w:t>
      </w:r>
      <w:r w:rsidR="00D765BA">
        <w:rPr>
          <w:lang w:val="en-US"/>
        </w:rPr>
        <w:t xml:space="preserve">sc </w:t>
      </w:r>
      <w:r>
        <w:rPr>
          <w:lang w:val="en-US"/>
        </w:rPr>
        <w:t xml:space="preserve">injection route. </w:t>
      </w:r>
      <w:r w:rsidR="00D765BA">
        <w:rPr>
          <w:lang w:val="en-US"/>
        </w:rPr>
        <w:t>The study demonstrated the occurance of compensatory mechanisms underway at 3 days after paraquat withdrawal, particularly in the SN. These me</w:t>
      </w:r>
      <w:r>
        <w:rPr>
          <w:lang w:val="en-US"/>
        </w:rPr>
        <w:t>chanisms involv</w:t>
      </w:r>
      <w:r w:rsidR="00D765BA">
        <w:rPr>
          <w:lang w:val="en-US"/>
        </w:rPr>
        <w:t>e</w:t>
      </w:r>
      <w:r>
        <w:rPr>
          <w:lang w:val="en-US"/>
        </w:rPr>
        <w:t xml:space="preserve"> dopaminergic, noradrenergic, serotonergic and GABAergic transmissions.</w:t>
      </w:r>
    </w:p>
    <w:p w14:paraId="4772E170" w14:textId="77777777" w:rsidR="005C6BFE" w:rsidRDefault="005C6BFE" w:rsidP="009E40A8">
      <w:pPr>
        <w:rPr>
          <w:i/>
          <w:szCs w:val="24"/>
          <w:lang w:eastAsia="en-US"/>
        </w:rPr>
      </w:pPr>
    </w:p>
    <w:p w14:paraId="1D3F68AC" w14:textId="605BBCDF" w:rsidR="00762DF3" w:rsidRPr="002B2CFC" w:rsidRDefault="00762DF3" w:rsidP="009E40A8">
      <w:pPr>
        <w:rPr>
          <w:i/>
          <w:szCs w:val="24"/>
          <w:lang w:eastAsia="en-US"/>
        </w:rPr>
      </w:pPr>
    </w:p>
    <w:p w14:paraId="249F3FF0" w14:textId="77777777" w:rsidR="002B2CFC" w:rsidRPr="002B2CFC" w:rsidRDefault="009F7EB6" w:rsidP="006E0A02">
      <w:pPr>
        <w:pStyle w:val="Heading2"/>
        <w:rPr>
          <w:lang w:eastAsia="en-US"/>
        </w:rPr>
      </w:pPr>
      <w:bookmarkStart w:id="122" w:name="_Toc275178993"/>
      <w:bookmarkStart w:id="123" w:name="_Toc459108307"/>
      <w:r>
        <w:rPr>
          <w:lang w:eastAsia="en-US"/>
        </w:rPr>
        <w:t xml:space="preserve">Proposed </w:t>
      </w:r>
      <w:r w:rsidR="00627DF7">
        <w:rPr>
          <w:lang w:eastAsia="en-US"/>
        </w:rPr>
        <w:t>m</w:t>
      </w:r>
      <w:r w:rsidR="002B2CFC" w:rsidRPr="002B2CFC">
        <w:rPr>
          <w:lang w:eastAsia="en-US"/>
        </w:rPr>
        <w:t>echanisms of paraquat neurodegeneration</w:t>
      </w:r>
      <w:bookmarkEnd w:id="122"/>
      <w:bookmarkEnd w:id="123"/>
      <w:r w:rsidR="002B2CFC" w:rsidRPr="002B2CFC">
        <w:rPr>
          <w:lang w:eastAsia="en-US"/>
        </w:rPr>
        <w:t xml:space="preserve"> </w:t>
      </w:r>
    </w:p>
    <w:p w14:paraId="0C64AF89" w14:textId="77777777" w:rsidR="00FB3616" w:rsidRDefault="00FB3616" w:rsidP="009E40A8">
      <w:pPr>
        <w:rPr>
          <w:b/>
          <w:i/>
          <w:color w:val="000000"/>
        </w:rPr>
      </w:pPr>
      <w:r w:rsidRPr="00ED48DE">
        <w:rPr>
          <w:rStyle w:val="Hyperlink"/>
          <w:b/>
          <w:color w:val="000000"/>
          <w:u w:val="none"/>
        </w:rPr>
        <w:t>Castello PR, Drechsel DA &amp; Patel M (2007)</w:t>
      </w:r>
      <w:r w:rsidR="000E275D">
        <w:rPr>
          <w:rStyle w:val="Hyperlink"/>
          <w:b/>
          <w:color w:val="000000"/>
          <w:u w:val="none"/>
        </w:rPr>
        <w:t xml:space="preserve"> </w:t>
      </w:r>
      <w:r w:rsidRPr="00ED48DE">
        <w:rPr>
          <w:b/>
          <w:color w:val="000000"/>
        </w:rPr>
        <w:t>Mitochondria are a major source of paraquat-induced reactive oxygen species production in the brain.</w:t>
      </w:r>
      <w:r>
        <w:rPr>
          <w:b/>
          <w:i/>
          <w:color w:val="000000"/>
        </w:rPr>
        <w:t xml:space="preserve"> J Biol Chem </w:t>
      </w:r>
      <w:r>
        <w:rPr>
          <w:rStyle w:val="volume"/>
          <w:b/>
          <w:i/>
          <w:color w:val="000000"/>
        </w:rPr>
        <w:t>282</w:t>
      </w:r>
      <w:r>
        <w:rPr>
          <w:b/>
          <w:i/>
          <w:color w:val="000000"/>
        </w:rPr>
        <w:t>(</w:t>
      </w:r>
      <w:r>
        <w:rPr>
          <w:rStyle w:val="issue"/>
          <w:b/>
          <w:i/>
          <w:color w:val="000000"/>
        </w:rPr>
        <w:t>19</w:t>
      </w:r>
      <w:r>
        <w:rPr>
          <w:b/>
          <w:i/>
          <w:color w:val="000000"/>
        </w:rPr>
        <w:t>):</w:t>
      </w:r>
      <w:r>
        <w:rPr>
          <w:rStyle w:val="pages"/>
          <w:b/>
          <w:i/>
          <w:color w:val="000000"/>
        </w:rPr>
        <w:t>14186-93</w:t>
      </w:r>
      <w:r>
        <w:rPr>
          <w:b/>
          <w:i/>
          <w:color w:val="000000"/>
        </w:rPr>
        <w:t>.</w:t>
      </w:r>
    </w:p>
    <w:p w14:paraId="0DAEC9FA" w14:textId="77777777" w:rsidR="00FB3616" w:rsidRDefault="00FB3616" w:rsidP="009E40A8">
      <w:pPr>
        <w:rPr>
          <w:szCs w:val="24"/>
          <w:lang w:val="en-US"/>
        </w:rPr>
      </w:pPr>
    </w:p>
    <w:p w14:paraId="05873FEF" w14:textId="77777777" w:rsidR="00FB3616" w:rsidRDefault="00FB3616" w:rsidP="009E40A8">
      <w:pPr>
        <w:rPr>
          <w:szCs w:val="24"/>
          <w:lang w:val="en-US"/>
        </w:rPr>
      </w:pPr>
      <w:r>
        <w:rPr>
          <w:szCs w:val="24"/>
          <w:lang w:val="en-US"/>
        </w:rPr>
        <w:t>Paraquat (PQ</w:t>
      </w:r>
      <w:r>
        <w:rPr>
          <w:szCs w:val="24"/>
          <w:vertAlign w:val="superscript"/>
          <w:lang w:val="en-US"/>
        </w:rPr>
        <w:t>2+</w:t>
      </w:r>
      <w:r>
        <w:rPr>
          <w:szCs w:val="24"/>
          <w:lang w:val="en-US"/>
        </w:rPr>
        <w:t>) is a prototypic toxin known to exert injurious effects through oxidative stress and bears a structural similarity to the Parkinson disease toxicant, 1-methyl-4-phenylpyridinium. The cellular sources of PQ</w:t>
      </w:r>
      <w:r>
        <w:rPr>
          <w:szCs w:val="24"/>
          <w:vertAlign w:val="superscript"/>
          <w:lang w:val="en-US"/>
        </w:rPr>
        <w:t>2+</w:t>
      </w:r>
      <w:r>
        <w:rPr>
          <w:szCs w:val="24"/>
          <w:lang w:val="en-US"/>
        </w:rPr>
        <w:t>-induced reactive oxygen species (ROS) production, specifically in neuronal tissue, remained to be identified. This study showed the involvement of brain mitochondria in PQ</w:t>
      </w:r>
      <w:r>
        <w:rPr>
          <w:szCs w:val="24"/>
          <w:vertAlign w:val="superscript"/>
          <w:lang w:val="en-US"/>
        </w:rPr>
        <w:t>2+</w:t>
      </w:r>
      <w:r>
        <w:rPr>
          <w:szCs w:val="24"/>
          <w:lang w:val="en-US"/>
        </w:rPr>
        <w:t xml:space="preserve">-induced ROS production. </w:t>
      </w:r>
    </w:p>
    <w:p w14:paraId="30AC6B92" w14:textId="77777777" w:rsidR="00FB3616" w:rsidRDefault="00FB3616" w:rsidP="009E40A8">
      <w:pPr>
        <w:rPr>
          <w:szCs w:val="24"/>
          <w:lang w:val="en-US"/>
        </w:rPr>
      </w:pPr>
    </w:p>
    <w:p w14:paraId="61A79F45" w14:textId="62502A8C" w:rsidR="00FB3616" w:rsidRDefault="00FB3616" w:rsidP="009E40A8">
      <w:pPr>
        <w:rPr>
          <w:szCs w:val="24"/>
          <w:lang w:val="en-US"/>
        </w:rPr>
      </w:pPr>
      <w:r>
        <w:rPr>
          <w:szCs w:val="24"/>
          <w:lang w:val="en-US"/>
        </w:rPr>
        <w:t>Highly purified rat brain mitochondria were obtained using a Percoll density gradient method. PQ</w:t>
      </w:r>
      <w:r>
        <w:rPr>
          <w:szCs w:val="24"/>
          <w:vertAlign w:val="superscript"/>
          <w:lang w:val="en-US"/>
        </w:rPr>
        <w:t>2+</w:t>
      </w:r>
      <w:r>
        <w:rPr>
          <w:szCs w:val="24"/>
          <w:lang w:val="en-US"/>
        </w:rPr>
        <w:t>-induced hydrogen peroxide (H</w:t>
      </w:r>
      <w:r>
        <w:rPr>
          <w:szCs w:val="24"/>
          <w:vertAlign w:val="subscript"/>
          <w:lang w:val="en-US"/>
        </w:rPr>
        <w:t>2</w:t>
      </w:r>
      <w:r w:rsidR="009F7EB6">
        <w:rPr>
          <w:szCs w:val="24"/>
          <w:lang w:val="en-US"/>
        </w:rPr>
        <w:t>O</w:t>
      </w:r>
      <w:r>
        <w:rPr>
          <w:szCs w:val="24"/>
          <w:vertAlign w:val="subscript"/>
          <w:lang w:val="en-US"/>
        </w:rPr>
        <w:t>2</w:t>
      </w:r>
      <w:r>
        <w:rPr>
          <w:szCs w:val="24"/>
          <w:lang w:val="en-US"/>
        </w:rPr>
        <w:t>) production was measured by fluorometric and polarographic methods. The production of H</w:t>
      </w:r>
      <w:r>
        <w:rPr>
          <w:szCs w:val="24"/>
          <w:vertAlign w:val="subscript"/>
          <w:lang w:val="en-US"/>
        </w:rPr>
        <w:t>2</w:t>
      </w:r>
      <w:r>
        <w:rPr>
          <w:szCs w:val="24"/>
          <w:lang w:val="en-US"/>
        </w:rPr>
        <w:t>0</w:t>
      </w:r>
      <w:r>
        <w:rPr>
          <w:szCs w:val="24"/>
          <w:vertAlign w:val="subscript"/>
          <w:lang w:val="en-US"/>
        </w:rPr>
        <w:t>2</w:t>
      </w:r>
      <w:r>
        <w:rPr>
          <w:szCs w:val="24"/>
          <w:lang w:val="en-US"/>
        </w:rPr>
        <w:t xml:space="preserve">, was evaluated in the presence of inhibitors and modulators of the mitochondrial respiratory chain. </w:t>
      </w:r>
      <w:r>
        <w:rPr>
          <w:iCs/>
          <w:szCs w:val="24"/>
          <w:lang w:val="en-US"/>
        </w:rPr>
        <w:t xml:space="preserve">The </w:t>
      </w:r>
      <w:r>
        <w:rPr>
          <w:szCs w:val="24"/>
          <w:lang w:val="en-US"/>
        </w:rPr>
        <w:t xml:space="preserve">question of what cellular </w:t>
      </w:r>
      <w:r>
        <w:rPr>
          <w:szCs w:val="24"/>
          <w:lang w:val="en-US"/>
        </w:rPr>
        <w:lastRenderedPageBreak/>
        <w:t>components of the brain are involved in PQ</w:t>
      </w:r>
      <w:r>
        <w:rPr>
          <w:szCs w:val="24"/>
          <w:vertAlign w:val="superscript"/>
          <w:lang w:val="en-US"/>
        </w:rPr>
        <w:t>2+</w:t>
      </w:r>
      <w:r>
        <w:rPr>
          <w:szCs w:val="24"/>
          <w:lang w:val="en-US"/>
        </w:rPr>
        <w:t xml:space="preserve"> -induced ROS production required the analysis of H</w:t>
      </w:r>
      <w:r>
        <w:rPr>
          <w:szCs w:val="24"/>
          <w:vertAlign w:val="subscript"/>
          <w:lang w:val="en-US"/>
        </w:rPr>
        <w:t>2</w:t>
      </w:r>
      <w:r>
        <w:rPr>
          <w:szCs w:val="24"/>
          <w:lang w:val="en-US"/>
        </w:rPr>
        <w:t>O</w:t>
      </w:r>
      <w:r>
        <w:rPr>
          <w:szCs w:val="24"/>
          <w:vertAlign w:val="subscript"/>
          <w:lang w:val="en-US"/>
        </w:rPr>
        <w:t>2</w:t>
      </w:r>
      <w:r>
        <w:rPr>
          <w:szCs w:val="24"/>
          <w:lang w:val="en-US"/>
        </w:rPr>
        <w:t xml:space="preserve"> production in brain homogenate, cytosolic, and mitochondrial fractions after the addition of PQ</w:t>
      </w:r>
      <w:r>
        <w:rPr>
          <w:szCs w:val="24"/>
          <w:vertAlign w:val="superscript"/>
          <w:lang w:val="en-US"/>
        </w:rPr>
        <w:t>2+</w:t>
      </w:r>
      <w:r>
        <w:rPr>
          <w:szCs w:val="24"/>
          <w:lang w:val="en-US"/>
        </w:rPr>
        <w:t>. Immunoblots for mitochondrial and cytosolic proteins were performed to confirm highly purified mitochondrial fractions void of any contamination from other cellular components. Rates of H</w:t>
      </w:r>
      <w:r>
        <w:rPr>
          <w:szCs w:val="24"/>
          <w:vertAlign w:val="subscript"/>
          <w:lang w:val="en-US"/>
        </w:rPr>
        <w:t>2</w:t>
      </w:r>
      <w:r>
        <w:rPr>
          <w:szCs w:val="24"/>
          <w:lang w:val="en-US"/>
        </w:rPr>
        <w:t>O</w:t>
      </w:r>
      <w:r>
        <w:rPr>
          <w:szCs w:val="24"/>
          <w:vertAlign w:val="subscript"/>
          <w:lang w:val="en-US"/>
        </w:rPr>
        <w:t>2</w:t>
      </w:r>
      <w:r>
        <w:rPr>
          <w:szCs w:val="24"/>
          <w:lang w:val="en-US"/>
        </w:rPr>
        <w:t xml:space="preserve"> production obtained from these traces under the conditions described are summari</w:t>
      </w:r>
      <w:r w:rsidR="009F7EB6">
        <w:rPr>
          <w:szCs w:val="24"/>
          <w:lang w:val="en-US"/>
        </w:rPr>
        <w:t>s</w:t>
      </w:r>
      <w:r>
        <w:rPr>
          <w:szCs w:val="24"/>
          <w:lang w:val="en-US"/>
        </w:rPr>
        <w:t xml:space="preserve">ed in </w:t>
      </w:r>
      <w:r w:rsidR="00C31A63">
        <w:rPr>
          <w:szCs w:val="24"/>
          <w:lang w:val="en-US"/>
        </w:rPr>
        <w:fldChar w:fldCharType="begin"/>
      </w:r>
      <w:r w:rsidR="00C31A63">
        <w:rPr>
          <w:szCs w:val="24"/>
          <w:lang w:val="en-US"/>
        </w:rPr>
        <w:instrText xml:space="preserve"> REF _Ref459038332 </w:instrText>
      </w:r>
      <w:r w:rsidR="00C31A63">
        <w:rPr>
          <w:szCs w:val="24"/>
          <w:lang w:val="en-US"/>
        </w:rPr>
        <w:fldChar w:fldCharType="separate"/>
      </w:r>
      <w:r w:rsidR="000E54B2" w:rsidRPr="009F7EB6">
        <w:t xml:space="preserve">Table </w:t>
      </w:r>
      <w:r w:rsidR="000E54B2">
        <w:rPr>
          <w:noProof/>
        </w:rPr>
        <w:t>32</w:t>
      </w:r>
      <w:r w:rsidR="00C31A63">
        <w:rPr>
          <w:szCs w:val="24"/>
          <w:lang w:val="en-US"/>
        </w:rPr>
        <w:fldChar w:fldCharType="end"/>
      </w:r>
      <w:r w:rsidR="00C31A63">
        <w:rPr>
          <w:szCs w:val="24"/>
          <w:lang w:val="en-US"/>
        </w:rPr>
        <w:t xml:space="preserve"> </w:t>
      </w:r>
      <w:r w:rsidR="00C31A63">
        <w:rPr>
          <w:szCs w:val="24"/>
          <w:lang w:val="en-US"/>
        </w:rPr>
        <w:fldChar w:fldCharType="begin"/>
      </w:r>
      <w:r w:rsidR="00C31A63">
        <w:rPr>
          <w:szCs w:val="24"/>
          <w:lang w:val="en-US"/>
        </w:rPr>
        <w:instrText xml:space="preserve"> REF _Ref459038343 \p </w:instrText>
      </w:r>
      <w:r w:rsidR="00C31A63">
        <w:rPr>
          <w:szCs w:val="24"/>
          <w:lang w:val="en-US"/>
        </w:rPr>
        <w:fldChar w:fldCharType="separate"/>
      </w:r>
      <w:r w:rsidR="000E54B2">
        <w:rPr>
          <w:szCs w:val="24"/>
          <w:lang w:val="en-US"/>
        </w:rPr>
        <w:t>below</w:t>
      </w:r>
      <w:r w:rsidR="00C31A63">
        <w:rPr>
          <w:szCs w:val="24"/>
          <w:lang w:val="en-US"/>
        </w:rPr>
        <w:fldChar w:fldCharType="end"/>
      </w:r>
      <w:r>
        <w:rPr>
          <w:szCs w:val="24"/>
          <w:lang w:val="en-US"/>
        </w:rPr>
        <w:t xml:space="preserve">. </w:t>
      </w:r>
    </w:p>
    <w:p w14:paraId="76961518" w14:textId="77777777" w:rsidR="00C3356A" w:rsidRDefault="00C3356A" w:rsidP="009E40A8">
      <w:pPr>
        <w:rPr>
          <w:szCs w:val="24"/>
          <w:lang w:val="en-US"/>
        </w:rPr>
      </w:pPr>
    </w:p>
    <w:p w14:paraId="76B443A9" w14:textId="5AC90F91" w:rsidR="00FB3616" w:rsidRDefault="00FB3616" w:rsidP="009E40A8">
      <w:pPr>
        <w:rPr>
          <w:szCs w:val="24"/>
          <w:lang w:val="en-US"/>
        </w:rPr>
      </w:pPr>
      <w:r>
        <w:rPr>
          <w:szCs w:val="24"/>
          <w:lang w:val="en-US"/>
        </w:rPr>
        <w:t xml:space="preserve">All rates </w:t>
      </w:r>
      <w:r w:rsidR="009144CB">
        <w:rPr>
          <w:szCs w:val="24"/>
          <w:lang w:val="en-US"/>
        </w:rPr>
        <w:t>were</w:t>
      </w:r>
      <w:r>
        <w:rPr>
          <w:szCs w:val="24"/>
          <w:lang w:val="en-US"/>
        </w:rPr>
        <w:t xml:space="preserve"> compared with the PQ</w:t>
      </w:r>
      <w:r>
        <w:rPr>
          <w:szCs w:val="24"/>
          <w:vertAlign w:val="superscript"/>
          <w:lang w:val="en-US"/>
        </w:rPr>
        <w:t>2+</w:t>
      </w:r>
      <w:r>
        <w:rPr>
          <w:szCs w:val="24"/>
          <w:lang w:val="en-US"/>
        </w:rPr>
        <w:t>-dependent H</w:t>
      </w:r>
      <w:r>
        <w:rPr>
          <w:szCs w:val="24"/>
          <w:vertAlign w:val="subscript"/>
          <w:lang w:val="en-US"/>
        </w:rPr>
        <w:t>2</w:t>
      </w:r>
      <w:r>
        <w:rPr>
          <w:szCs w:val="24"/>
          <w:lang w:val="en-US"/>
        </w:rPr>
        <w:t>O</w:t>
      </w:r>
      <w:r>
        <w:rPr>
          <w:szCs w:val="24"/>
          <w:vertAlign w:val="subscript"/>
          <w:lang w:val="en-US"/>
        </w:rPr>
        <w:t>2</w:t>
      </w:r>
      <w:r>
        <w:rPr>
          <w:szCs w:val="24"/>
          <w:lang w:val="en-US"/>
        </w:rPr>
        <w:t xml:space="preserve"> production rate in mitochondria in the presence of malate and glutamate, which is expressed as 100%. All values in </w:t>
      </w:r>
      <w:r w:rsidR="00C31A63">
        <w:rPr>
          <w:szCs w:val="24"/>
          <w:lang w:val="en-US"/>
        </w:rPr>
        <w:fldChar w:fldCharType="begin"/>
      </w:r>
      <w:r w:rsidR="00C31A63">
        <w:rPr>
          <w:szCs w:val="24"/>
          <w:lang w:val="en-US"/>
        </w:rPr>
        <w:instrText xml:space="preserve"> REF _Ref459038332 </w:instrText>
      </w:r>
      <w:r w:rsidR="00C31A63">
        <w:rPr>
          <w:szCs w:val="24"/>
          <w:lang w:val="en-US"/>
        </w:rPr>
        <w:fldChar w:fldCharType="separate"/>
      </w:r>
      <w:r w:rsidR="000E54B2" w:rsidRPr="009F7EB6">
        <w:t xml:space="preserve">Table </w:t>
      </w:r>
      <w:r w:rsidR="000E54B2">
        <w:rPr>
          <w:noProof/>
        </w:rPr>
        <w:t>32</w:t>
      </w:r>
      <w:r w:rsidR="00C31A63">
        <w:rPr>
          <w:szCs w:val="24"/>
          <w:lang w:val="en-US"/>
        </w:rPr>
        <w:fldChar w:fldCharType="end"/>
      </w:r>
      <w:r w:rsidR="00C31A63">
        <w:rPr>
          <w:szCs w:val="24"/>
          <w:lang w:val="en-US"/>
        </w:rPr>
        <w:t xml:space="preserve"> </w:t>
      </w:r>
      <w:r w:rsidR="00C31A63">
        <w:rPr>
          <w:szCs w:val="24"/>
          <w:lang w:val="en-US"/>
        </w:rPr>
        <w:fldChar w:fldCharType="begin"/>
      </w:r>
      <w:r w:rsidR="00C31A63">
        <w:rPr>
          <w:szCs w:val="24"/>
          <w:lang w:val="en-US"/>
        </w:rPr>
        <w:instrText xml:space="preserve"> REF _Ref459038343 \p </w:instrText>
      </w:r>
      <w:r w:rsidR="00C31A63">
        <w:rPr>
          <w:szCs w:val="24"/>
          <w:lang w:val="en-US"/>
        </w:rPr>
        <w:fldChar w:fldCharType="separate"/>
      </w:r>
      <w:r w:rsidR="000E54B2">
        <w:rPr>
          <w:szCs w:val="24"/>
          <w:lang w:val="en-US"/>
        </w:rPr>
        <w:t>below</w:t>
      </w:r>
      <w:r w:rsidR="00C31A63">
        <w:rPr>
          <w:szCs w:val="24"/>
          <w:lang w:val="en-US"/>
        </w:rPr>
        <w:fldChar w:fldCharType="end"/>
      </w:r>
      <w:r w:rsidR="00C31A63">
        <w:rPr>
          <w:szCs w:val="24"/>
          <w:lang w:val="en-US"/>
        </w:rPr>
        <w:t xml:space="preserve"> </w:t>
      </w:r>
      <w:r>
        <w:rPr>
          <w:szCs w:val="24"/>
          <w:lang w:val="en-US"/>
        </w:rPr>
        <w:t xml:space="preserve">are expressed as a percentage of this. </w:t>
      </w:r>
    </w:p>
    <w:p w14:paraId="7C9493AA" w14:textId="77777777" w:rsidR="00FB3616" w:rsidRDefault="00FB3616" w:rsidP="009E40A8">
      <w:pPr>
        <w:rPr>
          <w:szCs w:val="24"/>
          <w:lang w:val="en-US"/>
        </w:rPr>
      </w:pPr>
    </w:p>
    <w:p w14:paraId="6AF1E8E6" w14:textId="77777777" w:rsidR="00FB3616" w:rsidRPr="009F7EB6" w:rsidRDefault="00FB3616" w:rsidP="009D0D8F">
      <w:pPr>
        <w:pStyle w:val="Caption"/>
        <w:spacing w:after="120"/>
      </w:pPr>
      <w:bookmarkStart w:id="124" w:name="_Ref459038332"/>
      <w:bookmarkStart w:id="125" w:name="_Ref459038343"/>
      <w:r w:rsidRPr="009F7EB6">
        <w:t xml:space="preserve">Table </w:t>
      </w:r>
      <w:r w:rsidR="00897462" w:rsidRPr="009F7EB6">
        <w:fldChar w:fldCharType="begin"/>
      </w:r>
      <w:r w:rsidRPr="009F7EB6">
        <w:instrText xml:space="preserve"> SEQ Table \* ARABIC </w:instrText>
      </w:r>
      <w:r w:rsidR="00897462" w:rsidRPr="009F7EB6">
        <w:fldChar w:fldCharType="separate"/>
      </w:r>
      <w:r w:rsidR="000E54B2">
        <w:rPr>
          <w:noProof/>
        </w:rPr>
        <w:t>32</w:t>
      </w:r>
      <w:r w:rsidR="00897462" w:rsidRPr="009F7EB6">
        <w:fldChar w:fldCharType="end"/>
      </w:r>
      <w:bookmarkEnd w:id="124"/>
      <w:r w:rsidRPr="009F7EB6">
        <w:t xml:space="preserve">: </w:t>
      </w:r>
      <w:r w:rsidRPr="0056108B">
        <w:t>Rates of PQ</w:t>
      </w:r>
      <w:r w:rsidRPr="0056108B">
        <w:rPr>
          <w:vertAlign w:val="superscript"/>
        </w:rPr>
        <w:t>2+</w:t>
      </w:r>
      <w:r w:rsidRPr="0056108B">
        <w:t>-induced H</w:t>
      </w:r>
      <w:r w:rsidRPr="0056108B">
        <w:rPr>
          <w:vertAlign w:val="subscript"/>
        </w:rPr>
        <w:t>2</w:t>
      </w:r>
      <w:r w:rsidRPr="0056108B">
        <w:t>O</w:t>
      </w:r>
      <w:r w:rsidRPr="0056108B">
        <w:rPr>
          <w:vertAlign w:val="subscript"/>
        </w:rPr>
        <w:t>2</w:t>
      </w:r>
      <w:r w:rsidRPr="0056108B">
        <w:t xml:space="preserve"> production in cellular fractions</w:t>
      </w:r>
      <w:bookmarkEnd w:id="12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14"/>
        <w:gridCol w:w="1811"/>
        <w:gridCol w:w="1797"/>
        <w:gridCol w:w="1795"/>
        <w:gridCol w:w="1800"/>
      </w:tblGrid>
      <w:tr w:rsidR="00FB3616" w14:paraId="234B4FA9" w14:textId="77777777" w:rsidTr="000E221D">
        <w:trPr>
          <w:trHeight w:val="113"/>
        </w:trPr>
        <w:tc>
          <w:tcPr>
            <w:tcW w:w="1848" w:type="dxa"/>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D80C167" w14:textId="77777777" w:rsidR="00FB3616" w:rsidRPr="000E221D" w:rsidRDefault="00FB3616">
            <w:pPr>
              <w:jc w:val="center"/>
              <w:rPr>
                <w:b/>
                <w:sz w:val="20"/>
                <w:lang w:val="en-US"/>
              </w:rPr>
            </w:pPr>
            <w:r w:rsidRPr="000E221D">
              <w:rPr>
                <w:b/>
                <w:sz w:val="20"/>
                <w:lang w:val="en-US"/>
              </w:rPr>
              <w:t>Cellular fractions</w:t>
            </w:r>
          </w:p>
        </w:tc>
        <w:tc>
          <w:tcPr>
            <w:tcW w:w="7394" w:type="dxa"/>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2F888461" w14:textId="77777777" w:rsidR="00FB3616" w:rsidRPr="000E221D" w:rsidRDefault="00FB3616">
            <w:pPr>
              <w:jc w:val="center"/>
              <w:rPr>
                <w:b/>
                <w:sz w:val="20"/>
                <w:lang w:val="en-US"/>
              </w:rPr>
            </w:pPr>
            <w:r w:rsidRPr="000E221D">
              <w:rPr>
                <w:b/>
                <w:sz w:val="20"/>
                <w:lang w:val="en-US"/>
              </w:rPr>
              <w:t>Respiration substrate</w:t>
            </w:r>
          </w:p>
        </w:tc>
      </w:tr>
      <w:tr w:rsidR="00FB3616" w14:paraId="694C79FB" w14:textId="77777777" w:rsidTr="000E221D">
        <w:trPr>
          <w:trHeight w:val="20"/>
        </w:trPr>
        <w:tc>
          <w:tcPr>
            <w:tcW w:w="0" w:type="auto"/>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1B3BD8BE" w14:textId="77777777" w:rsidR="00FB3616" w:rsidRPr="000E221D" w:rsidRDefault="00FB3616">
            <w:pPr>
              <w:rPr>
                <w:b/>
                <w:sz w:val="20"/>
                <w:lang w:val="en-US"/>
              </w:rPr>
            </w:pPr>
          </w:p>
        </w:tc>
        <w:tc>
          <w:tcPr>
            <w:tcW w:w="184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1F6BC66" w14:textId="77777777" w:rsidR="00FB3616" w:rsidRPr="000E221D" w:rsidRDefault="00FB3616">
            <w:pPr>
              <w:jc w:val="center"/>
              <w:rPr>
                <w:b/>
                <w:sz w:val="20"/>
                <w:lang w:val="en-US"/>
              </w:rPr>
            </w:pPr>
            <w:r w:rsidRPr="000E221D">
              <w:rPr>
                <w:b/>
                <w:sz w:val="20"/>
                <w:lang w:val="en-US"/>
              </w:rPr>
              <w:t>Endogenous substrate</w:t>
            </w:r>
          </w:p>
        </w:tc>
        <w:tc>
          <w:tcPr>
            <w:tcW w:w="184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1A68AEB" w14:textId="77777777" w:rsidR="00FB3616" w:rsidRPr="000E221D" w:rsidRDefault="00FB3616">
            <w:pPr>
              <w:jc w:val="center"/>
              <w:rPr>
                <w:b/>
                <w:sz w:val="20"/>
                <w:lang w:val="en-US"/>
              </w:rPr>
            </w:pPr>
            <w:r w:rsidRPr="000E221D">
              <w:rPr>
                <w:b/>
                <w:sz w:val="20"/>
                <w:lang w:val="en-US"/>
              </w:rPr>
              <w:t>Succinate</w:t>
            </w:r>
          </w:p>
        </w:tc>
        <w:tc>
          <w:tcPr>
            <w:tcW w:w="18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D2C287E" w14:textId="77777777" w:rsidR="00FB3616" w:rsidRPr="000E221D" w:rsidRDefault="00FB3616">
            <w:pPr>
              <w:jc w:val="center"/>
              <w:rPr>
                <w:b/>
                <w:sz w:val="20"/>
                <w:lang w:val="en-US"/>
              </w:rPr>
            </w:pPr>
            <w:r w:rsidRPr="000E221D">
              <w:rPr>
                <w:b/>
                <w:sz w:val="20"/>
                <w:lang w:val="en-US"/>
              </w:rPr>
              <w:t>Malate and pyruvate</w:t>
            </w:r>
          </w:p>
        </w:tc>
        <w:tc>
          <w:tcPr>
            <w:tcW w:w="18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221A62C9" w14:textId="77777777" w:rsidR="00FB3616" w:rsidRPr="000E221D" w:rsidRDefault="00FB3616">
            <w:pPr>
              <w:jc w:val="center"/>
              <w:rPr>
                <w:b/>
                <w:sz w:val="20"/>
                <w:lang w:val="en-US"/>
              </w:rPr>
            </w:pPr>
            <w:r w:rsidRPr="000E221D">
              <w:rPr>
                <w:b/>
                <w:sz w:val="20"/>
                <w:lang w:val="en-US"/>
              </w:rPr>
              <w:t>Malate and glutamate</w:t>
            </w:r>
          </w:p>
        </w:tc>
      </w:tr>
      <w:tr w:rsidR="00FB3616" w14:paraId="315488FD" w14:textId="77777777" w:rsidTr="00FB3616">
        <w:trPr>
          <w:trHeight w:val="113"/>
        </w:trPr>
        <w:tc>
          <w:tcPr>
            <w:tcW w:w="1848" w:type="dxa"/>
            <w:tcBorders>
              <w:top w:val="single" w:sz="4" w:space="0" w:color="000000"/>
              <w:left w:val="single" w:sz="4" w:space="0" w:color="000000"/>
              <w:bottom w:val="single" w:sz="4" w:space="0" w:color="000000"/>
              <w:right w:val="single" w:sz="4" w:space="0" w:color="000000"/>
            </w:tcBorders>
            <w:vAlign w:val="center"/>
            <w:hideMark/>
          </w:tcPr>
          <w:p w14:paraId="35F07E88" w14:textId="77777777" w:rsidR="00FB3616" w:rsidRPr="000E221D" w:rsidRDefault="00FB3616">
            <w:pPr>
              <w:jc w:val="center"/>
              <w:rPr>
                <w:sz w:val="20"/>
                <w:lang w:val="en-US"/>
              </w:rPr>
            </w:pPr>
            <w:r w:rsidRPr="000E221D">
              <w:rPr>
                <w:sz w:val="20"/>
                <w:lang w:val="en-US"/>
              </w:rPr>
              <w:t>Homogenate</w:t>
            </w:r>
          </w:p>
          <w:p w14:paraId="6632F3E8" w14:textId="77777777" w:rsidR="00FB3616" w:rsidRPr="000E221D" w:rsidRDefault="00FB3616">
            <w:pPr>
              <w:jc w:val="center"/>
              <w:rPr>
                <w:sz w:val="20"/>
                <w:lang w:val="en-US"/>
              </w:rPr>
            </w:pPr>
            <w:r w:rsidRPr="000E221D">
              <w:rPr>
                <w:sz w:val="20"/>
                <w:lang w:val="en-US"/>
              </w:rPr>
              <w:t>Cytosol</w:t>
            </w:r>
          </w:p>
          <w:p w14:paraId="4BC3F694" w14:textId="77777777" w:rsidR="00FB3616" w:rsidRPr="000E221D" w:rsidRDefault="00FB3616">
            <w:pPr>
              <w:jc w:val="center"/>
              <w:rPr>
                <w:sz w:val="20"/>
                <w:lang w:val="en-US"/>
              </w:rPr>
            </w:pPr>
            <w:r w:rsidRPr="000E221D">
              <w:rPr>
                <w:sz w:val="20"/>
                <w:lang w:val="en-US"/>
              </w:rPr>
              <w:t>Mitochondria</w:t>
            </w:r>
          </w:p>
        </w:tc>
        <w:tc>
          <w:tcPr>
            <w:tcW w:w="1848" w:type="dxa"/>
            <w:tcBorders>
              <w:top w:val="single" w:sz="4" w:space="0" w:color="000000"/>
              <w:left w:val="single" w:sz="4" w:space="0" w:color="000000"/>
              <w:bottom w:val="single" w:sz="4" w:space="0" w:color="000000"/>
              <w:right w:val="single" w:sz="4" w:space="0" w:color="000000"/>
            </w:tcBorders>
            <w:vAlign w:val="center"/>
            <w:hideMark/>
          </w:tcPr>
          <w:p w14:paraId="37D769CD" w14:textId="77777777" w:rsidR="00FB3616" w:rsidRPr="000E221D" w:rsidRDefault="00FB3616">
            <w:pPr>
              <w:jc w:val="center"/>
              <w:rPr>
                <w:sz w:val="20"/>
                <w:vertAlign w:val="superscript"/>
                <w:lang w:val="en-US"/>
              </w:rPr>
            </w:pPr>
            <w:r w:rsidRPr="000E221D">
              <w:rPr>
                <w:sz w:val="20"/>
                <w:lang w:val="en-US"/>
              </w:rPr>
              <w:t>0.21 ± 0.02</w:t>
            </w:r>
            <w:r w:rsidRPr="000E221D">
              <w:rPr>
                <w:sz w:val="20"/>
                <w:vertAlign w:val="superscript"/>
                <w:lang w:val="en-US"/>
              </w:rPr>
              <w:t>a</w:t>
            </w:r>
          </w:p>
          <w:p w14:paraId="5E02B5BD" w14:textId="77777777" w:rsidR="00FB3616" w:rsidRPr="000E221D" w:rsidRDefault="00FB3616">
            <w:pPr>
              <w:jc w:val="center"/>
              <w:rPr>
                <w:sz w:val="20"/>
                <w:lang w:val="en-US"/>
              </w:rPr>
            </w:pPr>
            <w:r w:rsidRPr="000E221D">
              <w:rPr>
                <w:sz w:val="20"/>
                <w:lang w:val="en-US"/>
              </w:rPr>
              <w:t>0.02 ± 0.003</w:t>
            </w:r>
          </w:p>
          <w:p w14:paraId="2902EC74" w14:textId="77777777" w:rsidR="00FB3616" w:rsidRPr="000E221D" w:rsidRDefault="00FB3616">
            <w:pPr>
              <w:jc w:val="center"/>
              <w:rPr>
                <w:sz w:val="20"/>
                <w:vertAlign w:val="superscript"/>
                <w:lang w:val="en-US"/>
              </w:rPr>
            </w:pPr>
            <w:r w:rsidRPr="000E221D">
              <w:rPr>
                <w:sz w:val="20"/>
                <w:lang w:val="en-US"/>
              </w:rPr>
              <w:t>0.98 ± 0.07</w:t>
            </w:r>
            <w:r w:rsidRPr="000E221D">
              <w:rPr>
                <w:sz w:val="20"/>
                <w:vertAlign w:val="superscript"/>
                <w:lang w:val="en-US"/>
              </w:rPr>
              <w:t>a,b</w:t>
            </w:r>
          </w:p>
        </w:tc>
        <w:tc>
          <w:tcPr>
            <w:tcW w:w="1848" w:type="dxa"/>
            <w:tcBorders>
              <w:top w:val="single" w:sz="4" w:space="0" w:color="000000"/>
              <w:left w:val="single" w:sz="4" w:space="0" w:color="000000"/>
              <w:bottom w:val="single" w:sz="4" w:space="0" w:color="000000"/>
              <w:right w:val="single" w:sz="4" w:space="0" w:color="000000"/>
            </w:tcBorders>
            <w:vAlign w:val="center"/>
            <w:hideMark/>
          </w:tcPr>
          <w:p w14:paraId="7035DAFB" w14:textId="77777777" w:rsidR="00FB3616" w:rsidRPr="000E221D" w:rsidRDefault="00FB3616">
            <w:pPr>
              <w:jc w:val="center"/>
              <w:rPr>
                <w:sz w:val="20"/>
                <w:lang w:val="en-US"/>
              </w:rPr>
            </w:pPr>
            <w:r w:rsidRPr="000E221D">
              <w:rPr>
                <w:sz w:val="20"/>
                <w:lang w:val="en-US"/>
              </w:rPr>
              <w:t>4.52 ± 0.19</w:t>
            </w:r>
            <w:r w:rsidRPr="000E221D">
              <w:rPr>
                <w:sz w:val="20"/>
                <w:vertAlign w:val="superscript"/>
                <w:lang w:val="en-US"/>
              </w:rPr>
              <w:t>a</w:t>
            </w:r>
          </w:p>
          <w:p w14:paraId="5D1EBBE7" w14:textId="77777777" w:rsidR="00FB3616" w:rsidRPr="000E221D" w:rsidRDefault="00FB3616">
            <w:pPr>
              <w:jc w:val="center"/>
              <w:rPr>
                <w:sz w:val="20"/>
                <w:lang w:val="en-US"/>
              </w:rPr>
            </w:pPr>
            <w:r w:rsidRPr="000E221D">
              <w:rPr>
                <w:sz w:val="20"/>
                <w:lang w:val="en-US"/>
              </w:rPr>
              <w:t>0.06 ± 0.01</w:t>
            </w:r>
          </w:p>
          <w:p w14:paraId="7F1B7C55" w14:textId="77777777" w:rsidR="00FB3616" w:rsidRPr="000E221D" w:rsidRDefault="00FB3616">
            <w:pPr>
              <w:jc w:val="center"/>
              <w:rPr>
                <w:sz w:val="20"/>
                <w:vertAlign w:val="superscript"/>
                <w:lang w:val="en-US"/>
              </w:rPr>
            </w:pPr>
            <w:r w:rsidRPr="000E221D">
              <w:rPr>
                <w:sz w:val="20"/>
                <w:lang w:val="en-US"/>
              </w:rPr>
              <w:t>81.48 ± 3.53</w:t>
            </w:r>
            <w:r w:rsidRPr="000E221D">
              <w:rPr>
                <w:sz w:val="20"/>
                <w:vertAlign w:val="superscript"/>
                <w:lang w:val="en-US"/>
              </w:rPr>
              <w:t>a,b</w:t>
            </w:r>
          </w:p>
        </w:tc>
        <w:tc>
          <w:tcPr>
            <w:tcW w:w="1849" w:type="dxa"/>
            <w:tcBorders>
              <w:top w:val="single" w:sz="4" w:space="0" w:color="000000"/>
              <w:left w:val="single" w:sz="4" w:space="0" w:color="000000"/>
              <w:bottom w:val="single" w:sz="4" w:space="0" w:color="000000"/>
              <w:right w:val="single" w:sz="4" w:space="0" w:color="000000"/>
            </w:tcBorders>
            <w:vAlign w:val="center"/>
            <w:hideMark/>
          </w:tcPr>
          <w:p w14:paraId="5C7DCCE7" w14:textId="77777777" w:rsidR="00FB3616" w:rsidRPr="000E221D" w:rsidRDefault="00FB3616">
            <w:pPr>
              <w:jc w:val="center"/>
              <w:rPr>
                <w:sz w:val="20"/>
                <w:vertAlign w:val="superscript"/>
                <w:lang w:val="en-US"/>
              </w:rPr>
            </w:pPr>
            <w:r w:rsidRPr="000E221D">
              <w:rPr>
                <w:sz w:val="20"/>
                <w:lang w:val="en-US"/>
              </w:rPr>
              <w:t>7.99 ± 0.34</w:t>
            </w:r>
            <w:r w:rsidRPr="000E221D">
              <w:rPr>
                <w:sz w:val="20"/>
                <w:vertAlign w:val="superscript"/>
                <w:lang w:val="en-US"/>
              </w:rPr>
              <w:t>a</w:t>
            </w:r>
          </w:p>
          <w:p w14:paraId="612A95DA" w14:textId="77777777" w:rsidR="00FB3616" w:rsidRPr="000E221D" w:rsidRDefault="00FB3616">
            <w:pPr>
              <w:jc w:val="center"/>
              <w:rPr>
                <w:sz w:val="20"/>
                <w:lang w:val="en-US"/>
              </w:rPr>
            </w:pPr>
            <w:r w:rsidRPr="000E221D">
              <w:rPr>
                <w:sz w:val="20"/>
                <w:lang w:val="en-US"/>
              </w:rPr>
              <w:t>0.03 ± 0.01</w:t>
            </w:r>
          </w:p>
          <w:p w14:paraId="39C3C787" w14:textId="77777777" w:rsidR="00FB3616" w:rsidRPr="000E221D" w:rsidRDefault="00FB3616">
            <w:pPr>
              <w:jc w:val="center"/>
              <w:rPr>
                <w:sz w:val="20"/>
                <w:vertAlign w:val="superscript"/>
                <w:lang w:val="en-US"/>
              </w:rPr>
            </w:pPr>
            <w:r w:rsidRPr="000E221D">
              <w:rPr>
                <w:sz w:val="20"/>
                <w:lang w:val="en-US"/>
              </w:rPr>
              <w:t>143.83 ± 6.11</w:t>
            </w:r>
            <w:r w:rsidRPr="000E221D">
              <w:rPr>
                <w:sz w:val="20"/>
                <w:vertAlign w:val="superscript"/>
                <w:lang w:val="en-US"/>
              </w:rPr>
              <w:t>a,b</w:t>
            </w:r>
          </w:p>
        </w:tc>
        <w:tc>
          <w:tcPr>
            <w:tcW w:w="1849" w:type="dxa"/>
            <w:tcBorders>
              <w:top w:val="single" w:sz="4" w:space="0" w:color="000000"/>
              <w:left w:val="single" w:sz="4" w:space="0" w:color="000000"/>
              <w:bottom w:val="single" w:sz="4" w:space="0" w:color="000000"/>
              <w:right w:val="single" w:sz="4" w:space="0" w:color="000000"/>
            </w:tcBorders>
            <w:vAlign w:val="center"/>
            <w:hideMark/>
          </w:tcPr>
          <w:p w14:paraId="26CA5F22" w14:textId="77777777" w:rsidR="00FB3616" w:rsidRPr="000E221D" w:rsidRDefault="00FB3616">
            <w:pPr>
              <w:jc w:val="center"/>
              <w:rPr>
                <w:sz w:val="20"/>
                <w:lang w:val="en-US"/>
              </w:rPr>
            </w:pPr>
            <w:r w:rsidRPr="000E221D">
              <w:rPr>
                <w:sz w:val="20"/>
                <w:lang w:val="en-US"/>
              </w:rPr>
              <w:t>5.55 ± 0.17</w:t>
            </w:r>
            <w:r w:rsidRPr="000E221D">
              <w:rPr>
                <w:sz w:val="20"/>
                <w:vertAlign w:val="superscript"/>
                <w:lang w:val="en-US"/>
              </w:rPr>
              <w:t>a</w:t>
            </w:r>
          </w:p>
          <w:p w14:paraId="3CB07411" w14:textId="77777777" w:rsidR="00FB3616" w:rsidRPr="000E221D" w:rsidRDefault="00FB3616">
            <w:pPr>
              <w:jc w:val="center"/>
              <w:rPr>
                <w:sz w:val="20"/>
                <w:lang w:val="en-US"/>
              </w:rPr>
            </w:pPr>
            <w:r w:rsidRPr="000E221D">
              <w:rPr>
                <w:sz w:val="20"/>
                <w:lang w:val="en-US"/>
              </w:rPr>
              <w:t>0.05 ± 0.02</w:t>
            </w:r>
          </w:p>
          <w:p w14:paraId="58618C69" w14:textId="77777777" w:rsidR="00FB3616" w:rsidRPr="000E221D" w:rsidRDefault="00FB3616">
            <w:pPr>
              <w:jc w:val="center"/>
              <w:rPr>
                <w:sz w:val="20"/>
                <w:vertAlign w:val="superscript"/>
                <w:lang w:val="en-US"/>
              </w:rPr>
            </w:pPr>
            <w:r w:rsidRPr="000E221D">
              <w:rPr>
                <w:sz w:val="20"/>
                <w:lang w:val="en-US"/>
              </w:rPr>
              <w:t>100.00 ± 3.10</w:t>
            </w:r>
            <w:r w:rsidRPr="000E221D">
              <w:rPr>
                <w:sz w:val="20"/>
                <w:vertAlign w:val="superscript"/>
                <w:lang w:val="en-US"/>
              </w:rPr>
              <w:t>a,b</w:t>
            </w:r>
          </w:p>
        </w:tc>
      </w:tr>
    </w:tbl>
    <w:p w14:paraId="13181A85" w14:textId="77777777" w:rsidR="00FB3616" w:rsidRDefault="00FB3616" w:rsidP="00FB3616">
      <w:pPr>
        <w:rPr>
          <w:sz w:val="20"/>
          <w:lang w:val="en-US"/>
        </w:rPr>
      </w:pPr>
      <w:r>
        <w:rPr>
          <w:sz w:val="20"/>
          <w:vertAlign w:val="superscript"/>
          <w:lang w:val="en-US"/>
        </w:rPr>
        <w:t>a</w:t>
      </w:r>
      <w:r>
        <w:rPr>
          <w:sz w:val="20"/>
          <w:lang w:val="en-US"/>
        </w:rPr>
        <w:t xml:space="preserve"> Significantly different from cytosolic fraction (</w:t>
      </w:r>
      <w:r>
        <w:rPr>
          <w:i/>
          <w:sz w:val="20"/>
          <w:lang w:val="en-US"/>
        </w:rPr>
        <w:t>p</w:t>
      </w:r>
      <w:r>
        <w:rPr>
          <w:sz w:val="20"/>
          <w:lang w:val="en-US"/>
        </w:rPr>
        <w:t xml:space="preserve"> &lt; 0.05) grouped by respiration substrate</w:t>
      </w:r>
    </w:p>
    <w:p w14:paraId="1EBE142B" w14:textId="77777777" w:rsidR="00FB3616" w:rsidRDefault="00FB3616" w:rsidP="00FB3616">
      <w:pPr>
        <w:rPr>
          <w:sz w:val="20"/>
          <w:lang w:val="en-US"/>
        </w:rPr>
      </w:pPr>
      <w:r>
        <w:rPr>
          <w:sz w:val="20"/>
          <w:vertAlign w:val="superscript"/>
          <w:lang w:val="en-US"/>
        </w:rPr>
        <w:t>b</w:t>
      </w:r>
      <w:r>
        <w:rPr>
          <w:sz w:val="20"/>
          <w:lang w:val="en-US"/>
        </w:rPr>
        <w:t xml:space="preserve"> Significantly different from homogenate fraction (</w:t>
      </w:r>
      <w:r>
        <w:rPr>
          <w:i/>
          <w:sz w:val="20"/>
          <w:lang w:val="en-US"/>
        </w:rPr>
        <w:t>p</w:t>
      </w:r>
      <w:r>
        <w:rPr>
          <w:sz w:val="20"/>
          <w:lang w:val="en-US"/>
        </w:rPr>
        <w:t xml:space="preserve"> &lt; 0.05) grouped by respiration substrate</w:t>
      </w:r>
    </w:p>
    <w:p w14:paraId="7D1883C5" w14:textId="77777777" w:rsidR="00FB3616" w:rsidRDefault="00FB3616" w:rsidP="00FB3616">
      <w:pPr>
        <w:rPr>
          <w:szCs w:val="24"/>
          <w:lang w:val="en-US"/>
        </w:rPr>
      </w:pPr>
    </w:p>
    <w:p w14:paraId="308407B7" w14:textId="77777777" w:rsidR="00FB3616" w:rsidRDefault="00FB3616" w:rsidP="009E40A8">
      <w:pPr>
        <w:rPr>
          <w:szCs w:val="24"/>
          <w:lang w:val="en-US"/>
        </w:rPr>
      </w:pPr>
      <w:r>
        <w:rPr>
          <w:szCs w:val="24"/>
          <w:lang w:val="en-US"/>
        </w:rPr>
        <w:t>In the absence of exogenous substrates, mitochondria generated H</w:t>
      </w:r>
      <w:r>
        <w:rPr>
          <w:szCs w:val="24"/>
          <w:vertAlign w:val="subscript"/>
          <w:lang w:val="en-US"/>
        </w:rPr>
        <w:t>2</w:t>
      </w:r>
      <w:r>
        <w:rPr>
          <w:szCs w:val="24"/>
          <w:lang w:val="en-US"/>
        </w:rPr>
        <w:t>O</w:t>
      </w:r>
      <w:r>
        <w:rPr>
          <w:szCs w:val="24"/>
          <w:vertAlign w:val="subscript"/>
          <w:lang w:val="en-US"/>
        </w:rPr>
        <w:t>2</w:t>
      </w:r>
      <w:r>
        <w:rPr>
          <w:szCs w:val="24"/>
          <w:lang w:val="en-US"/>
        </w:rPr>
        <w:t xml:space="preserve"> at a rate 5 times that of whole brain homogenates, whereas the cytosol generated the least amount of </w:t>
      </w:r>
      <w:r w:rsidR="009F7EB6">
        <w:rPr>
          <w:szCs w:val="24"/>
          <w:lang w:val="en-US"/>
        </w:rPr>
        <w:t>H</w:t>
      </w:r>
      <w:r w:rsidR="009F7EB6">
        <w:rPr>
          <w:szCs w:val="24"/>
          <w:vertAlign w:val="subscript"/>
          <w:lang w:val="en-US"/>
        </w:rPr>
        <w:t>2</w:t>
      </w:r>
      <w:r w:rsidR="009F7EB6">
        <w:rPr>
          <w:szCs w:val="24"/>
          <w:lang w:val="en-US"/>
        </w:rPr>
        <w:t>O</w:t>
      </w:r>
      <w:r w:rsidR="009F7EB6">
        <w:rPr>
          <w:szCs w:val="24"/>
          <w:vertAlign w:val="subscript"/>
          <w:lang w:val="en-US"/>
        </w:rPr>
        <w:t>2</w:t>
      </w:r>
      <w:r>
        <w:rPr>
          <w:szCs w:val="24"/>
          <w:lang w:val="en-US"/>
        </w:rPr>
        <w:t>. The addition of substrates feeding the tricarboxylic acid cycle and electron transport chain (ETC) at the level of complex I (malate + glutamate, malate + pyruvate) or at the level of complex II (succinate) did not have any effect on rates of H</w:t>
      </w:r>
      <w:r>
        <w:rPr>
          <w:szCs w:val="24"/>
          <w:vertAlign w:val="subscript"/>
          <w:lang w:val="en-US"/>
        </w:rPr>
        <w:t>2</w:t>
      </w:r>
      <w:r>
        <w:rPr>
          <w:szCs w:val="24"/>
          <w:lang w:val="en-US"/>
        </w:rPr>
        <w:t>O</w:t>
      </w:r>
      <w:r>
        <w:rPr>
          <w:szCs w:val="24"/>
          <w:vertAlign w:val="subscript"/>
          <w:lang w:val="en-US"/>
        </w:rPr>
        <w:t>2</w:t>
      </w:r>
      <w:r>
        <w:rPr>
          <w:szCs w:val="24"/>
          <w:lang w:val="en-US"/>
        </w:rPr>
        <w:t xml:space="preserve"> production from the cytosolic fraction. In the brain homogenate and mitochondrial fractions, the addition of respiration substrates significantly increased production in the range of 20- 40- and 83-145-fold, respectively. </w:t>
      </w:r>
    </w:p>
    <w:p w14:paraId="5428C7BA" w14:textId="77777777" w:rsidR="00FB3616" w:rsidRDefault="00FB3616" w:rsidP="009E40A8">
      <w:pPr>
        <w:rPr>
          <w:szCs w:val="24"/>
          <w:lang w:val="en-US"/>
        </w:rPr>
      </w:pPr>
      <w:r>
        <w:rPr>
          <w:szCs w:val="24"/>
          <w:lang w:val="en-US"/>
        </w:rPr>
        <w:t>Mitochondrial rates of H</w:t>
      </w:r>
      <w:r>
        <w:rPr>
          <w:szCs w:val="24"/>
          <w:vertAlign w:val="subscript"/>
          <w:lang w:val="en-US"/>
        </w:rPr>
        <w:t>2</w:t>
      </w:r>
      <w:r>
        <w:rPr>
          <w:szCs w:val="24"/>
          <w:lang w:val="en-US"/>
        </w:rPr>
        <w:t>O</w:t>
      </w:r>
      <w:r>
        <w:rPr>
          <w:szCs w:val="24"/>
          <w:vertAlign w:val="subscript"/>
          <w:lang w:val="en-US"/>
        </w:rPr>
        <w:t>2</w:t>
      </w:r>
      <w:r>
        <w:rPr>
          <w:szCs w:val="24"/>
          <w:lang w:val="en-US"/>
        </w:rPr>
        <w:t xml:space="preserve"> production with substrates were greatest.</w:t>
      </w:r>
    </w:p>
    <w:p w14:paraId="3B831904" w14:textId="77777777" w:rsidR="00FB3616" w:rsidRDefault="00FB3616" w:rsidP="009E40A8">
      <w:pPr>
        <w:rPr>
          <w:szCs w:val="24"/>
          <w:lang w:val="en-US"/>
        </w:rPr>
      </w:pPr>
    </w:p>
    <w:p w14:paraId="2F637E41" w14:textId="77777777" w:rsidR="00FB3616" w:rsidRDefault="00FB3616" w:rsidP="009E40A8">
      <w:pPr>
        <w:rPr>
          <w:szCs w:val="24"/>
          <w:lang w:val="en-US"/>
        </w:rPr>
      </w:pPr>
      <w:r>
        <w:rPr>
          <w:szCs w:val="24"/>
          <w:lang w:val="en-US"/>
        </w:rPr>
        <w:t>Subsequent experiments in this study showed that mitochondria are a major cellular component involved in ROS generation induced by PQ</w:t>
      </w:r>
      <w:r>
        <w:rPr>
          <w:szCs w:val="24"/>
          <w:vertAlign w:val="superscript"/>
          <w:lang w:val="en-US"/>
        </w:rPr>
        <w:t>2+</w:t>
      </w:r>
      <w:r>
        <w:rPr>
          <w:szCs w:val="24"/>
          <w:lang w:val="en-US"/>
        </w:rPr>
        <w:t xml:space="preserve"> in the rat brain. PQ</w:t>
      </w:r>
      <w:r>
        <w:rPr>
          <w:szCs w:val="24"/>
          <w:vertAlign w:val="superscript"/>
          <w:lang w:val="en-US"/>
        </w:rPr>
        <w:t>2+</w:t>
      </w:r>
      <w:r>
        <w:rPr>
          <w:szCs w:val="24"/>
          <w:lang w:val="en-US"/>
        </w:rPr>
        <w:t xml:space="preserve"> -induced H</w:t>
      </w:r>
      <w:r>
        <w:rPr>
          <w:szCs w:val="24"/>
          <w:vertAlign w:val="subscript"/>
          <w:lang w:val="en-US"/>
        </w:rPr>
        <w:t>2</w:t>
      </w:r>
      <w:r>
        <w:rPr>
          <w:szCs w:val="24"/>
          <w:lang w:val="en-US"/>
        </w:rPr>
        <w:t>O</w:t>
      </w:r>
      <w:r>
        <w:rPr>
          <w:szCs w:val="24"/>
          <w:vertAlign w:val="subscript"/>
          <w:lang w:val="en-US"/>
        </w:rPr>
        <w:t>2</w:t>
      </w:r>
      <w:r>
        <w:rPr>
          <w:szCs w:val="24"/>
          <w:lang w:val="en-US"/>
        </w:rPr>
        <w:t xml:space="preserve"> production by brain mitochondria is dependent on a constant electron flow provided by respiration substrates and a functional ETC. With the use of specific inhibitors of the ETC, complex III has been identified as a novel site of action for PQ</w:t>
      </w:r>
      <w:r>
        <w:rPr>
          <w:szCs w:val="24"/>
          <w:vertAlign w:val="superscript"/>
          <w:lang w:val="en-US"/>
        </w:rPr>
        <w:t>2+</w:t>
      </w:r>
      <w:r>
        <w:rPr>
          <w:szCs w:val="24"/>
          <w:lang w:val="en-US"/>
        </w:rPr>
        <w:t xml:space="preserve"> in the process of redox cycling to generate ROS. Further, the mechanism of induced ROS production is dependent on mitochondrial membrane potential.</w:t>
      </w:r>
    </w:p>
    <w:p w14:paraId="16EF4840" w14:textId="77777777" w:rsidR="00FB3616" w:rsidRDefault="00FB3616" w:rsidP="009E40A8">
      <w:pPr>
        <w:rPr>
          <w:szCs w:val="24"/>
          <w:lang w:val="en-US"/>
        </w:rPr>
      </w:pPr>
    </w:p>
    <w:p w14:paraId="74B38169" w14:textId="77777777" w:rsidR="00FB3616" w:rsidRDefault="00FB3616" w:rsidP="009E40A8">
      <w:pPr>
        <w:rPr>
          <w:szCs w:val="24"/>
          <w:lang w:val="en-US"/>
        </w:rPr>
      </w:pPr>
      <w:r>
        <w:rPr>
          <w:szCs w:val="24"/>
          <w:lang w:val="en-US"/>
        </w:rPr>
        <w:t>The results demonstrated a robust and instantaneous production of H</w:t>
      </w:r>
      <w:r>
        <w:rPr>
          <w:szCs w:val="24"/>
          <w:vertAlign w:val="subscript"/>
          <w:lang w:val="en-US"/>
        </w:rPr>
        <w:t>2</w:t>
      </w:r>
      <w:r w:rsidR="009F7EB6">
        <w:rPr>
          <w:szCs w:val="24"/>
          <w:lang w:val="en-US"/>
        </w:rPr>
        <w:t>O</w:t>
      </w:r>
      <w:r>
        <w:rPr>
          <w:szCs w:val="24"/>
          <w:vertAlign w:val="subscript"/>
          <w:lang w:val="en-US"/>
        </w:rPr>
        <w:t>2</w:t>
      </w:r>
      <w:r>
        <w:rPr>
          <w:szCs w:val="24"/>
          <w:lang w:val="en-US"/>
        </w:rPr>
        <w:t xml:space="preserve"> by mitochondria after exposure to PQ</w:t>
      </w:r>
      <w:r>
        <w:rPr>
          <w:szCs w:val="24"/>
          <w:vertAlign w:val="superscript"/>
          <w:lang w:val="en-US"/>
        </w:rPr>
        <w:t>2+</w:t>
      </w:r>
      <w:r>
        <w:rPr>
          <w:szCs w:val="24"/>
          <w:lang w:val="en-US"/>
        </w:rPr>
        <w:t>. It was proposed that mitochondrial H</w:t>
      </w:r>
      <w:r>
        <w:rPr>
          <w:szCs w:val="24"/>
          <w:vertAlign w:val="subscript"/>
          <w:lang w:val="en-US"/>
        </w:rPr>
        <w:t>2</w:t>
      </w:r>
      <w:r>
        <w:rPr>
          <w:szCs w:val="24"/>
          <w:lang w:val="en-US"/>
        </w:rPr>
        <w:t>O</w:t>
      </w:r>
      <w:r>
        <w:rPr>
          <w:szCs w:val="24"/>
          <w:vertAlign w:val="subscript"/>
          <w:lang w:val="en-US"/>
        </w:rPr>
        <w:t>2</w:t>
      </w:r>
      <w:r>
        <w:rPr>
          <w:szCs w:val="24"/>
          <w:lang w:val="en-US"/>
        </w:rPr>
        <w:t xml:space="preserve"> production induced by PQ</w:t>
      </w:r>
      <w:r>
        <w:rPr>
          <w:szCs w:val="24"/>
          <w:vertAlign w:val="superscript"/>
          <w:lang w:val="en-US"/>
        </w:rPr>
        <w:t>2+</w:t>
      </w:r>
      <w:r>
        <w:rPr>
          <w:szCs w:val="24"/>
          <w:lang w:val="en-US"/>
        </w:rPr>
        <w:t xml:space="preserve"> in the brain is an early event that may later initiate other cellular events, such as nonspecific ETC inactivation, microgliosis, and NADPH oxidase activation. </w:t>
      </w:r>
    </w:p>
    <w:p w14:paraId="257881E5" w14:textId="77777777" w:rsidR="00FB3616" w:rsidRDefault="00FB3616" w:rsidP="009E40A8">
      <w:pPr>
        <w:rPr>
          <w:szCs w:val="24"/>
          <w:lang w:val="en-US"/>
        </w:rPr>
      </w:pPr>
    </w:p>
    <w:p w14:paraId="1B1C05A3" w14:textId="77777777" w:rsidR="00C3356A" w:rsidRDefault="00C3356A">
      <w:pPr>
        <w:jc w:val="left"/>
        <w:rPr>
          <w:rStyle w:val="Hyperlink"/>
          <w:b/>
          <w:color w:val="000000"/>
          <w:szCs w:val="24"/>
          <w:u w:val="none"/>
        </w:rPr>
      </w:pPr>
      <w:r>
        <w:rPr>
          <w:rStyle w:val="Hyperlink"/>
          <w:b/>
          <w:color w:val="000000"/>
          <w:szCs w:val="24"/>
          <w:u w:val="none"/>
        </w:rPr>
        <w:br w:type="page"/>
      </w:r>
    </w:p>
    <w:p w14:paraId="1D10F0B8" w14:textId="77777777" w:rsidR="00691B04" w:rsidRPr="00627DF7" w:rsidRDefault="00691B04" w:rsidP="009E40A8">
      <w:pPr>
        <w:rPr>
          <w:rStyle w:val="Hyperlink"/>
          <w:b/>
          <w:i/>
          <w:color w:val="000000"/>
          <w:szCs w:val="24"/>
          <w:u w:val="none"/>
        </w:rPr>
      </w:pPr>
      <w:r w:rsidRPr="00ED48DE">
        <w:rPr>
          <w:rStyle w:val="Hyperlink"/>
          <w:b/>
          <w:color w:val="000000"/>
          <w:szCs w:val="24"/>
          <w:u w:val="none"/>
        </w:rPr>
        <w:lastRenderedPageBreak/>
        <w:t>Choi W-S, Kruse SE, Palmiter RD &amp; Xia Z (2008) Mitochondrial complex I inhibition is not required for dopaminergic neuron death induced by rotenone, MPP</w:t>
      </w:r>
      <w:r w:rsidRPr="00ED48DE">
        <w:rPr>
          <w:rStyle w:val="Hyperlink"/>
          <w:b/>
          <w:color w:val="000000"/>
          <w:szCs w:val="24"/>
          <w:u w:val="none"/>
          <w:vertAlign w:val="superscript"/>
        </w:rPr>
        <w:t>+</w:t>
      </w:r>
      <w:r w:rsidRPr="00ED48DE">
        <w:rPr>
          <w:rStyle w:val="Hyperlink"/>
          <w:b/>
          <w:color w:val="000000"/>
          <w:szCs w:val="24"/>
          <w:u w:val="none"/>
        </w:rPr>
        <w:t>, or paraquat.</w:t>
      </w:r>
      <w:r w:rsidRPr="00627DF7">
        <w:rPr>
          <w:rStyle w:val="Hyperlink"/>
          <w:b/>
          <w:i/>
          <w:color w:val="000000"/>
          <w:szCs w:val="24"/>
          <w:u w:val="none"/>
        </w:rPr>
        <w:t xml:space="preserve"> Proc Natl Acad Sci USA. 105(39):15136-15141.</w:t>
      </w:r>
    </w:p>
    <w:p w14:paraId="2DEF86A8" w14:textId="77777777" w:rsidR="00691B04" w:rsidRDefault="00691B04" w:rsidP="009E40A8"/>
    <w:p w14:paraId="590D9D44" w14:textId="77777777" w:rsidR="00691B04" w:rsidRDefault="00691B04" w:rsidP="009E40A8">
      <w:pPr>
        <w:rPr>
          <w:szCs w:val="24"/>
        </w:rPr>
      </w:pPr>
      <w:r>
        <w:rPr>
          <w:szCs w:val="24"/>
        </w:rPr>
        <w:t xml:space="preserve">Inhibition of mitochondrial complex I is one of the leading hypotheses for dopaminergic neuron death associated with Parkinson's disease. These authors tested this hypothesis genetically using a mouse strain lacking functional Ndufs4, a gene encoding a subunit required for complete assembly and function of complex I. Deletion of the Ndufs4 gene abolished complex I activity in midbrain mesencephalic neurons cultured from embryonic day 14 mice, but did not affect the survival of dopaminergic neurons in culture. Although dopaminergic neurons were more sensitive than other neurons in these cultures to cell death induced by rotenone, MPP(+), or paraquat treatments, the absence of complex I activity did not protect the dopaminergic neurons, as would be expected if these compounds act by inhibiting complex 1. </w:t>
      </w:r>
    </w:p>
    <w:p w14:paraId="7A57296B" w14:textId="77777777" w:rsidR="00691B04" w:rsidRDefault="00691B04" w:rsidP="009E40A8">
      <w:pPr>
        <w:rPr>
          <w:szCs w:val="24"/>
        </w:rPr>
      </w:pPr>
    </w:p>
    <w:p w14:paraId="7CDCE767" w14:textId="77777777" w:rsidR="00691B04" w:rsidRDefault="00691B04" w:rsidP="009E40A8">
      <w:pPr>
        <w:rPr>
          <w:szCs w:val="24"/>
        </w:rPr>
      </w:pPr>
      <w:r>
        <w:rPr>
          <w:szCs w:val="24"/>
        </w:rPr>
        <w:t>These data suggest that dopaminergic neuron death induced by treatment with rotenone, MPP(+), or paraquat is independent of complex I inhibition.</w:t>
      </w:r>
    </w:p>
    <w:p w14:paraId="41A64C3C" w14:textId="77777777" w:rsidR="00FB3616" w:rsidRDefault="00FB3616" w:rsidP="009E40A8">
      <w:pPr>
        <w:keepNext/>
        <w:keepLines/>
        <w:rPr>
          <w:b/>
          <w:i/>
          <w:szCs w:val="24"/>
          <w:lang w:val="en-US" w:eastAsia="en-US"/>
        </w:rPr>
      </w:pPr>
    </w:p>
    <w:p w14:paraId="23C77057" w14:textId="77777777" w:rsidR="002B2CFC" w:rsidRPr="002B2CFC" w:rsidRDefault="002B2CFC" w:rsidP="009E40A8">
      <w:pPr>
        <w:keepNext/>
        <w:keepLines/>
        <w:rPr>
          <w:b/>
          <w:szCs w:val="24"/>
          <w:lang w:val="en-US" w:eastAsia="en-US"/>
        </w:rPr>
      </w:pPr>
      <w:r w:rsidRPr="00ED48DE">
        <w:rPr>
          <w:b/>
          <w:szCs w:val="24"/>
          <w:lang w:val="en-US" w:eastAsia="en-US"/>
        </w:rPr>
        <w:t>McCormack AL, Atienza JG, Johnston LC, Andersen JK, Vu S &amp; Di Monte DA (2005) Role</w:t>
      </w:r>
      <w:r w:rsidRPr="002B2CFC">
        <w:rPr>
          <w:b/>
          <w:szCs w:val="24"/>
          <w:lang w:val="en-US" w:eastAsia="en-US"/>
        </w:rPr>
        <w:t xml:space="preserve"> of oxidative stress in paraquat-induced dopaminergic cell degeneration. </w:t>
      </w:r>
      <w:r w:rsidRPr="000E221D">
        <w:rPr>
          <w:b/>
          <w:i/>
          <w:szCs w:val="24"/>
          <w:lang w:val="en-US" w:eastAsia="en-US"/>
        </w:rPr>
        <w:t>Journal of</w:t>
      </w:r>
      <w:r w:rsidRPr="002B2CFC">
        <w:rPr>
          <w:b/>
          <w:szCs w:val="24"/>
          <w:lang w:val="en-US" w:eastAsia="en-US"/>
        </w:rPr>
        <w:t xml:space="preserve"> </w:t>
      </w:r>
      <w:r w:rsidRPr="002B2CFC">
        <w:rPr>
          <w:b/>
          <w:i/>
          <w:szCs w:val="24"/>
          <w:lang w:val="en-US" w:eastAsia="en-US"/>
        </w:rPr>
        <w:t>Neurochem.</w:t>
      </w:r>
      <w:r w:rsidRPr="002B2CFC">
        <w:rPr>
          <w:b/>
          <w:szCs w:val="24"/>
          <w:lang w:val="en-US" w:eastAsia="en-US"/>
        </w:rPr>
        <w:t xml:space="preserve"> 93:1030-1037.</w:t>
      </w:r>
    </w:p>
    <w:p w14:paraId="352D8B94" w14:textId="77777777" w:rsidR="002B2CFC" w:rsidRPr="002B2CFC" w:rsidRDefault="002B2CFC" w:rsidP="009E40A8">
      <w:pPr>
        <w:rPr>
          <w:szCs w:val="24"/>
          <w:lang w:val="en-US" w:eastAsia="en-US"/>
        </w:rPr>
      </w:pPr>
    </w:p>
    <w:p w14:paraId="2F507BAB" w14:textId="77777777" w:rsidR="002922BD" w:rsidRDefault="002922BD" w:rsidP="009E40A8">
      <w:r>
        <w:t xml:space="preserve">To elucidate the role of oxidative damage in </w:t>
      </w:r>
      <w:r w:rsidR="009F7EB6">
        <w:t xml:space="preserve">possible </w:t>
      </w:r>
      <w:r>
        <w:t>paraquat neurotoxicity, the time-course of neurodegeneration was correlated to changes in 4-hydroxy-2-nonenal (4-HNE), a lipid peroxidation marker. When eight week old male C57BL/6 mice (</w:t>
      </w:r>
      <w:r w:rsidR="00794F11">
        <w:t>Charles</w:t>
      </w:r>
      <w:r>
        <w:t xml:space="preserve"> River, Hollister, CA, USA) were exposed to three weekly intraperitoneal injections of paraquat dichloride (Sigma, St Louis, MO, USA) at 10 mg/kg bw, no nigral dopaminergic cell loss was observed after the first administration, whereas a significant reduction of neurons followed the second exposure. </w:t>
      </w:r>
    </w:p>
    <w:p w14:paraId="3DA50CDD" w14:textId="77777777" w:rsidR="002922BD" w:rsidRDefault="002922BD" w:rsidP="009E40A8"/>
    <w:p w14:paraId="7FEB4788" w14:textId="77777777" w:rsidR="002922BD" w:rsidRDefault="002922BD" w:rsidP="009E40A8">
      <w:r>
        <w:t xml:space="preserve">Changes in the number of nigral 4-HNE-positive neurons suggested a relationship between lipid peroxidation and neuronal death, since a dramatic increase in this number coincided with the onset and development of neurodegeneration after the second toxicant injection. The third paraquat administration did not cause any increase in 4-HNE-immunoreactive cells, nor did it produce any additional dopaminergic cell loss. </w:t>
      </w:r>
    </w:p>
    <w:p w14:paraId="00243707" w14:textId="77777777" w:rsidR="002922BD" w:rsidRDefault="002922BD" w:rsidP="009E40A8"/>
    <w:p w14:paraId="085FBC85" w14:textId="77777777" w:rsidR="002922BD" w:rsidRDefault="002922BD" w:rsidP="009E40A8">
      <w:r>
        <w:t>Ferritin transgenic mice which are characterized by a decreased susceptibility to oxidative stress, were completely resistant to the increase in 4-HNE-positive neurons and the cell death caused by paraquat. Thus, paraquat exposure yields a model that emphasizes the susceptibility of dopaminergic neurons to oxidative damage.</w:t>
      </w:r>
    </w:p>
    <w:p w14:paraId="5BCFFDE7" w14:textId="77777777" w:rsidR="002922BD" w:rsidRDefault="002922BD" w:rsidP="009E40A8">
      <w:pPr>
        <w:rPr>
          <w:b/>
          <w:i/>
          <w:color w:val="000000"/>
          <w:szCs w:val="24"/>
          <w:lang w:val="en-US" w:eastAsia="en-US"/>
        </w:rPr>
      </w:pPr>
    </w:p>
    <w:p w14:paraId="554C68FD" w14:textId="77777777" w:rsidR="002B2CFC" w:rsidRPr="002B2CFC" w:rsidRDefault="002B2CFC" w:rsidP="009E40A8">
      <w:pPr>
        <w:rPr>
          <w:color w:val="000000"/>
          <w:szCs w:val="24"/>
          <w:lang w:val="en-US" w:eastAsia="en-US"/>
        </w:rPr>
      </w:pPr>
      <w:r w:rsidRPr="00ED48DE">
        <w:rPr>
          <w:b/>
          <w:color w:val="000000"/>
          <w:szCs w:val="24"/>
          <w:lang w:val="en-US" w:eastAsia="en-US"/>
        </w:rPr>
        <w:t>Richardson JR, Quan Y, Sherer TB, Greenamyre JT &amp; Miller GW (2005)</w:t>
      </w:r>
      <w:r w:rsidRPr="002B2CFC">
        <w:rPr>
          <w:b/>
          <w:i/>
          <w:color w:val="000000"/>
          <w:szCs w:val="24"/>
          <w:lang w:val="en-US" w:eastAsia="en-US"/>
        </w:rPr>
        <w:t xml:space="preserve"> </w:t>
      </w:r>
      <w:r w:rsidRPr="002B2CFC">
        <w:rPr>
          <w:b/>
          <w:color w:val="000000"/>
          <w:szCs w:val="24"/>
          <w:lang w:val="en-US" w:eastAsia="en-US"/>
        </w:rPr>
        <w:t xml:space="preserve">Paraquat neurotoxicity is distinct from that of MPTP and rotenone. </w:t>
      </w:r>
      <w:r w:rsidRPr="002B2CFC">
        <w:rPr>
          <w:b/>
          <w:i/>
          <w:color w:val="000000"/>
          <w:szCs w:val="24"/>
          <w:lang w:val="en-US" w:eastAsia="en-US"/>
        </w:rPr>
        <w:t xml:space="preserve">Toxicological Sciences </w:t>
      </w:r>
      <w:r w:rsidRPr="002B2CFC">
        <w:rPr>
          <w:b/>
          <w:color w:val="000000"/>
          <w:szCs w:val="24"/>
          <w:lang w:val="en-US" w:eastAsia="en-US"/>
        </w:rPr>
        <w:t>88(1):193-201.</w:t>
      </w:r>
    </w:p>
    <w:p w14:paraId="6F6499E8" w14:textId="77777777" w:rsidR="00762DF3" w:rsidRDefault="00762DF3" w:rsidP="009E40A8">
      <w:pPr>
        <w:rPr>
          <w:szCs w:val="24"/>
          <w:lang w:val="en-US" w:eastAsia="en-US"/>
        </w:rPr>
      </w:pPr>
    </w:p>
    <w:p w14:paraId="01715DFC" w14:textId="77777777" w:rsidR="00762DF3" w:rsidRDefault="00762DF3" w:rsidP="00A11E70">
      <w:pPr>
        <w:rPr>
          <w:lang w:val="en-US"/>
        </w:rPr>
      </w:pPr>
      <w:r>
        <w:rPr>
          <w:i/>
          <w:lang w:val="en-US"/>
        </w:rPr>
        <w:t>Purpose:</w:t>
      </w:r>
      <w:r>
        <w:rPr>
          <w:lang w:val="en-US"/>
        </w:rPr>
        <w:t xml:space="preserve"> The purpose of this study was to determine the role of the DAT and Complex I in the toxicity of paraquat. </w:t>
      </w:r>
    </w:p>
    <w:p w14:paraId="752F3408" w14:textId="77777777" w:rsidR="00762DF3" w:rsidRDefault="00762DF3" w:rsidP="00A11E70">
      <w:pPr>
        <w:rPr>
          <w:lang w:val="en-US"/>
        </w:rPr>
      </w:pPr>
    </w:p>
    <w:p w14:paraId="2EEC0C8C" w14:textId="77777777" w:rsidR="00762DF3" w:rsidRDefault="00762DF3" w:rsidP="00A11E70">
      <w:pPr>
        <w:rPr>
          <w:lang w:val="en-US"/>
        </w:rPr>
      </w:pPr>
      <w:r>
        <w:rPr>
          <w:i/>
          <w:lang w:val="en-US"/>
        </w:rPr>
        <w:t>Background:</w:t>
      </w:r>
      <w:r>
        <w:rPr>
          <w:lang w:val="en-US"/>
        </w:rPr>
        <w:t xml:space="preserve"> </w:t>
      </w:r>
      <w:r>
        <w:t>MPTP and rotenone reproduce features of Parkinson’s disease in experimental animals</w:t>
      </w:r>
      <w:r w:rsidR="00222576">
        <w:t xml:space="preserve">. </w:t>
      </w:r>
      <w:r w:rsidR="009F7EB6">
        <w:t>Paraquat due to its structural similarity to MPTP is also</w:t>
      </w:r>
      <w:r w:rsidR="00222576">
        <w:t xml:space="preserve"> considered to be a</w:t>
      </w:r>
      <w:r w:rsidR="009F7EB6">
        <w:t xml:space="preserve"> candidate </w:t>
      </w:r>
      <w:r w:rsidR="009F7EB6">
        <w:lastRenderedPageBreak/>
        <w:t>to reproduce some of these features</w:t>
      </w:r>
      <w:r>
        <w:t xml:space="preserve">. </w:t>
      </w:r>
      <w:r>
        <w:rPr>
          <w:lang w:val="en-US"/>
        </w:rPr>
        <w:t>The exact mechanisms by which these compounds</w:t>
      </w:r>
      <w:r w:rsidR="009F7EB6">
        <w:rPr>
          <w:lang w:val="en-US"/>
        </w:rPr>
        <w:t xml:space="preserve"> may</w:t>
      </w:r>
      <w:r>
        <w:rPr>
          <w:lang w:val="en-US"/>
        </w:rPr>
        <w:t xml:space="preserve"> damage the dopamine system are not firmly established, but selective damage to dopamine neurons and inhibition of complex I are thought to be involved. These authors have previously documented that the toxic metabolite of MPTP, MPP</w:t>
      </w:r>
      <w:r>
        <w:rPr>
          <w:vertAlign w:val="superscript"/>
          <w:lang w:val="en-US"/>
        </w:rPr>
        <w:t>+</w:t>
      </w:r>
      <w:r>
        <w:rPr>
          <w:lang w:val="en-US"/>
        </w:rPr>
        <w:t xml:space="preserve">, is transported into dopamine neurons through DAT, while rotenone is not transported by DAT. They have also demonstrated </w:t>
      </w:r>
      <w:r w:rsidR="002B1F28">
        <w:rPr>
          <w:lang w:val="en-US"/>
        </w:rPr>
        <w:t>that</w:t>
      </w:r>
      <w:r>
        <w:rPr>
          <w:lang w:val="en-US"/>
        </w:rPr>
        <w:t xml:space="preserve"> complex I inhibition and oxidative damage </w:t>
      </w:r>
      <w:r w:rsidR="002B1F28">
        <w:rPr>
          <w:lang w:val="en-US"/>
        </w:rPr>
        <w:t>results in</w:t>
      </w:r>
      <w:r>
        <w:rPr>
          <w:lang w:val="en-US"/>
        </w:rPr>
        <w:t xml:space="preserve"> </w:t>
      </w:r>
      <w:r w:rsidR="002B1F28">
        <w:rPr>
          <w:lang w:val="en-US"/>
        </w:rPr>
        <w:t xml:space="preserve">the </w:t>
      </w:r>
      <w:r>
        <w:rPr>
          <w:lang w:val="en-US"/>
        </w:rPr>
        <w:t>dopaminergic neurodegeneration produced by rotenone. Based on structural similarity to MPP</w:t>
      </w:r>
      <w:r>
        <w:rPr>
          <w:vertAlign w:val="superscript"/>
          <w:lang w:val="en-US"/>
        </w:rPr>
        <w:t>+</w:t>
      </w:r>
      <w:r>
        <w:rPr>
          <w:lang w:val="en-US"/>
        </w:rPr>
        <w:t xml:space="preserve">, it had been proposed that paraquat exerts selective dopaminergic toxicity through transport by the DAT and subsequent inhibition of mitochondrial complex I. </w:t>
      </w:r>
    </w:p>
    <w:p w14:paraId="30AA1C9E" w14:textId="77777777" w:rsidR="00762DF3" w:rsidRDefault="00762DF3" w:rsidP="00A11E70">
      <w:pPr>
        <w:rPr>
          <w:lang w:val="en-US"/>
        </w:rPr>
      </w:pPr>
    </w:p>
    <w:p w14:paraId="0918B75D" w14:textId="3A69AD40" w:rsidR="00762DF3" w:rsidRDefault="00762DF3" w:rsidP="00A11E70">
      <w:pPr>
        <w:rPr>
          <w:lang w:val="en-US"/>
        </w:rPr>
      </w:pPr>
      <w:r>
        <w:rPr>
          <w:i/>
          <w:lang w:val="en-US"/>
        </w:rPr>
        <w:t>Findings:</w:t>
      </w:r>
      <w:r>
        <w:rPr>
          <w:lang w:val="en-US"/>
        </w:rPr>
        <w:t xml:space="preserve"> It was found </w:t>
      </w:r>
      <w:r>
        <w:rPr>
          <w:i/>
          <w:lang w:val="en-US"/>
        </w:rPr>
        <w:t>in vitro</w:t>
      </w:r>
      <w:r>
        <w:rPr>
          <w:lang w:val="en-US"/>
        </w:rPr>
        <w:t xml:space="preserve"> that paraquat toxicity is independent of DAT expression. Paraquat is neither a substrate nor inhibitor of DAT. In assessing the ability of paraquat, MPP</w:t>
      </w:r>
      <w:r>
        <w:rPr>
          <w:vertAlign w:val="superscript"/>
          <w:lang w:val="en-US"/>
        </w:rPr>
        <w:t>+</w:t>
      </w:r>
      <w:r>
        <w:rPr>
          <w:lang w:val="en-US"/>
        </w:rPr>
        <w:t xml:space="preserve">, and rotenone to compete with </w:t>
      </w:r>
      <w:r w:rsidR="00B8436A">
        <w:rPr>
          <w:lang w:val="en-US"/>
        </w:rPr>
        <w:t>[</w:t>
      </w:r>
      <w:r>
        <w:rPr>
          <w:vertAlign w:val="superscript"/>
          <w:lang w:val="en-US"/>
        </w:rPr>
        <w:t>3</w:t>
      </w:r>
      <w:r>
        <w:rPr>
          <w:lang w:val="en-US"/>
        </w:rPr>
        <w:t>H</w:t>
      </w:r>
      <w:r w:rsidR="00B8436A">
        <w:rPr>
          <w:lang w:val="en-US"/>
        </w:rPr>
        <w:t>]</w:t>
      </w:r>
      <w:r>
        <w:rPr>
          <w:lang w:val="en-US"/>
        </w:rPr>
        <w:t xml:space="preserve">-Dihydrorotenone for binding to complex I in crude mitochondrial preparations, it was also found that paraquat is a poor inhibitor of </w:t>
      </w:r>
      <w:r>
        <w:rPr>
          <w:vertAlign w:val="superscript"/>
          <w:lang w:val="en-US"/>
        </w:rPr>
        <w:t>3</w:t>
      </w:r>
      <w:r>
        <w:rPr>
          <w:lang w:val="en-US"/>
        </w:rPr>
        <w:t>H DHR Binding (IC</w:t>
      </w:r>
      <w:r>
        <w:rPr>
          <w:vertAlign w:val="subscript"/>
          <w:lang w:val="en-US"/>
        </w:rPr>
        <w:t>50</w:t>
      </w:r>
      <w:r>
        <w:rPr>
          <w:lang w:val="en-US"/>
        </w:rPr>
        <w:t xml:space="preserve"> values for rotenone, MPP</w:t>
      </w:r>
      <w:r>
        <w:rPr>
          <w:vertAlign w:val="superscript"/>
          <w:lang w:val="en-US"/>
        </w:rPr>
        <w:t>+</w:t>
      </w:r>
      <w:r>
        <w:rPr>
          <w:lang w:val="en-US"/>
        </w:rPr>
        <w:t xml:space="preserve"> and paraquat 14 nM, 381 µ</w:t>
      </w:r>
      <w:r>
        <w:rPr>
          <w:szCs w:val="24"/>
        </w:rPr>
        <w:t>M</w:t>
      </w:r>
      <w:r>
        <w:rPr>
          <w:lang w:val="en-US"/>
        </w:rPr>
        <w:t xml:space="preserve"> and 8.1 mM respectively) suggesting that paraquat does not accumulate in freshly isolated mitochondria as MPP</w:t>
      </w:r>
      <w:r>
        <w:rPr>
          <w:vertAlign w:val="superscript"/>
          <w:lang w:val="en-US"/>
        </w:rPr>
        <w:t>+</w:t>
      </w:r>
      <w:r w:rsidR="00222576">
        <w:rPr>
          <w:lang w:val="en-US"/>
        </w:rPr>
        <w:t xml:space="preserve"> does</w:t>
      </w:r>
      <w:r>
        <w:rPr>
          <w:lang w:val="en-US"/>
        </w:rPr>
        <w:t xml:space="preserve">. Inhibition of </w:t>
      </w:r>
      <w:r w:rsidR="00B8436A">
        <w:rPr>
          <w:lang w:val="en-US"/>
        </w:rPr>
        <w:t>[</w:t>
      </w:r>
      <w:r>
        <w:rPr>
          <w:vertAlign w:val="superscript"/>
          <w:lang w:val="en-US"/>
        </w:rPr>
        <w:t>3</w:t>
      </w:r>
      <w:r>
        <w:rPr>
          <w:lang w:val="en-US"/>
        </w:rPr>
        <w:t>H</w:t>
      </w:r>
      <w:r w:rsidR="00B8436A">
        <w:rPr>
          <w:lang w:val="en-US"/>
        </w:rPr>
        <w:t>]-</w:t>
      </w:r>
      <w:r>
        <w:rPr>
          <w:lang w:val="en-US"/>
        </w:rPr>
        <w:t>DHR Binding correlates well with the inhibition of NADH:Quinone Reductase (Complex I) activity and it was further established that paraquat is a poor inhibitor of mitochondrial Complex I activity.</w:t>
      </w:r>
    </w:p>
    <w:p w14:paraId="143F15B9" w14:textId="77777777" w:rsidR="00762DF3" w:rsidRDefault="00762DF3" w:rsidP="00A11E70">
      <w:pPr>
        <w:rPr>
          <w:lang w:val="en-US"/>
        </w:rPr>
      </w:pPr>
    </w:p>
    <w:p w14:paraId="533110C1" w14:textId="7D28E4BD" w:rsidR="00762DF3" w:rsidRDefault="00762DF3" w:rsidP="00A11E70">
      <w:pPr>
        <w:rPr>
          <w:lang w:val="en-US"/>
        </w:rPr>
      </w:pPr>
      <w:r>
        <w:rPr>
          <w:lang w:val="en-US"/>
        </w:rPr>
        <w:t xml:space="preserve">It was also demonstrated that </w:t>
      </w:r>
      <w:r>
        <w:rPr>
          <w:i/>
          <w:lang w:val="en-US"/>
        </w:rPr>
        <w:t>in vivo</w:t>
      </w:r>
      <w:r>
        <w:rPr>
          <w:lang w:val="en-US"/>
        </w:rPr>
        <w:t xml:space="preserve"> exposure to MPTP and rotenone, but not paraquat, inhibits binding of </w:t>
      </w:r>
      <w:r w:rsidR="00B8436A">
        <w:rPr>
          <w:lang w:val="en-US"/>
        </w:rPr>
        <w:t>[</w:t>
      </w:r>
      <w:r>
        <w:rPr>
          <w:vertAlign w:val="superscript"/>
          <w:lang w:val="en-US"/>
        </w:rPr>
        <w:t>3</w:t>
      </w:r>
      <w:r>
        <w:rPr>
          <w:lang w:val="en-US"/>
        </w:rPr>
        <w:t>H</w:t>
      </w:r>
      <w:r w:rsidR="00B8436A">
        <w:rPr>
          <w:lang w:val="en-US"/>
        </w:rPr>
        <w:t>]</w:t>
      </w:r>
      <w:r>
        <w:rPr>
          <w:lang w:val="en-US"/>
        </w:rPr>
        <w:t>-dihydrorotenone to complex I in brain mitochondria. Rotenone and MPP</w:t>
      </w:r>
      <w:r>
        <w:rPr>
          <w:vertAlign w:val="superscript"/>
          <w:lang w:val="en-US"/>
        </w:rPr>
        <w:t>+</w:t>
      </w:r>
      <w:r>
        <w:rPr>
          <w:lang w:val="en-US"/>
        </w:rPr>
        <w:t xml:space="preserve"> were both effective inhibitors of complex I activity in isolated brain mitochondria, while paraquat exhibited weak inhibitory effects only at millimolar concentrations. </w:t>
      </w:r>
    </w:p>
    <w:p w14:paraId="1C5C9EF2" w14:textId="77777777" w:rsidR="00762DF3" w:rsidRDefault="00762DF3" w:rsidP="00A11E70">
      <w:pPr>
        <w:rPr>
          <w:lang w:val="en-US"/>
        </w:rPr>
      </w:pPr>
    </w:p>
    <w:p w14:paraId="4B491055" w14:textId="767C7B76" w:rsidR="00C3356A" w:rsidRDefault="00762DF3" w:rsidP="009E40A8">
      <w:pPr>
        <w:pStyle w:val="CommentText"/>
        <w:rPr>
          <w:sz w:val="24"/>
          <w:lang w:val="en-US"/>
        </w:rPr>
      </w:pPr>
      <w:r>
        <w:rPr>
          <w:i/>
          <w:lang w:val="en-US"/>
        </w:rPr>
        <w:t>Conclusion:</w:t>
      </w:r>
      <w:r>
        <w:rPr>
          <w:lang w:val="en-US"/>
        </w:rPr>
        <w:t xml:space="preserve"> </w:t>
      </w:r>
      <w:r w:rsidR="001074F8" w:rsidRPr="009E40A8">
        <w:rPr>
          <w:sz w:val="24"/>
          <w:lang w:val="en-US"/>
        </w:rPr>
        <w:t xml:space="preserve">Despite the structural similarities between paraquat and MPP+, paraquat does not demonstrate similar </w:t>
      </w:r>
      <w:r w:rsidR="001074F8" w:rsidRPr="009E40A8">
        <w:rPr>
          <w:i/>
          <w:sz w:val="24"/>
          <w:lang w:val="en-US"/>
        </w:rPr>
        <w:t>in vitro</w:t>
      </w:r>
      <w:r w:rsidR="001074F8" w:rsidRPr="009E40A8">
        <w:rPr>
          <w:sz w:val="24"/>
          <w:lang w:val="en-US"/>
        </w:rPr>
        <w:t xml:space="preserve"> mechanisms (inhibition, binding and transport). The </w:t>
      </w:r>
      <w:r w:rsidR="00F95139">
        <w:rPr>
          <w:sz w:val="24"/>
          <w:lang w:val="en-US"/>
        </w:rPr>
        <w:t>neurological</w:t>
      </w:r>
      <w:r w:rsidR="00F95139" w:rsidRPr="009E40A8">
        <w:rPr>
          <w:sz w:val="24"/>
          <w:lang w:val="en-US"/>
        </w:rPr>
        <w:t xml:space="preserve"> </w:t>
      </w:r>
      <w:r w:rsidR="00F95139">
        <w:rPr>
          <w:sz w:val="24"/>
          <w:lang w:val="en-US"/>
        </w:rPr>
        <w:t>effects</w:t>
      </w:r>
      <w:r w:rsidR="00F95139" w:rsidRPr="009E40A8">
        <w:rPr>
          <w:sz w:val="24"/>
          <w:lang w:val="en-US"/>
        </w:rPr>
        <w:t xml:space="preserve"> </w:t>
      </w:r>
      <w:r w:rsidR="001074F8" w:rsidRPr="009E40A8">
        <w:rPr>
          <w:sz w:val="24"/>
          <w:lang w:val="en-US"/>
        </w:rPr>
        <w:t>of paraquat were not the result of transport by DAT or complex I inhibition. The mechanism by which paraquat specifically targets dopamine neurons was unknown.</w:t>
      </w:r>
    </w:p>
    <w:p w14:paraId="4D0461B2" w14:textId="77777777" w:rsidR="002B2CFC" w:rsidRPr="002B2CFC" w:rsidRDefault="002B2CFC" w:rsidP="009E40A8">
      <w:pPr>
        <w:rPr>
          <w:szCs w:val="24"/>
          <w:lang w:val="en-US" w:eastAsia="en-US"/>
        </w:rPr>
      </w:pPr>
    </w:p>
    <w:p w14:paraId="3C24DB2E" w14:textId="77777777" w:rsidR="002B2CFC" w:rsidRPr="00ED48DE" w:rsidRDefault="002B2CFC" w:rsidP="009E40A8">
      <w:pPr>
        <w:rPr>
          <w:b/>
          <w:color w:val="000000"/>
          <w:szCs w:val="24"/>
          <w:lang w:val="en-US" w:eastAsia="en-US"/>
        </w:rPr>
      </w:pPr>
      <w:r w:rsidRPr="00ED48DE">
        <w:rPr>
          <w:b/>
          <w:color w:val="000000"/>
          <w:szCs w:val="24"/>
          <w:lang w:val="en-US" w:eastAsia="en-US"/>
        </w:rPr>
        <w:t>Ramachandiran S, Hansen JM, Jones DP, Richardson JR &amp; Miller GW (2007) Divergent mechanisms of paraquat, MPP</w:t>
      </w:r>
      <w:r w:rsidRPr="00ED48DE">
        <w:rPr>
          <w:b/>
          <w:color w:val="000000"/>
          <w:szCs w:val="24"/>
          <w:vertAlign w:val="superscript"/>
          <w:lang w:val="en-US" w:eastAsia="en-US"/>
        </w:rPr>
        <w:t>+</w:t>
      </w:r>
      <w:r w:rsidRPr="00ED48DE">
        <w:rPr>
          <w:b/>
          <w:color w:val="000000"/>
          <w:szCs w:val="24"/>
          <w:lang w:val="en-US" w:eastAsia="en-US"/>
        </w:rPr>
        <w:t>, and rotenone toxicity: Oxidation of thioredoxin and caspase-3 activation</w:t>
      </w:r>
      <w:r w:rsidRPr="00CA4634">
        <w:rPr>
          <w:b/>
          <w:i/>
          <w:color w:val="000000"/>
          <w:szCs w:val="24"/>
          <w:lang w:val="en-US" w:eastAsia="en-US"/>
        </w:rPr>
        <w:t>.</w:t>
      </w:r>
      <w:r w:rsidR="00CA4634" w:rsidRPr="00CA4634">
        <w:rPr>
          <w:b/>
          <w:i/>
          <w:color w:val="000000"/>
          <w:szCs w:val="24"/>
          <w:lang w:val="en-US" w:eastAsia="en-US"/>
        </w:rPr>
        <w:t xml:space="preserve"> </w:t>
      </w:r>
      <w:r w:rsidR="00CA4634" w:rsidRPr="00CA4634" w:rsidDel="00072FD7">
        <w:rPr>
          <w:b/>
          <w:i/>
          <w:szCs w:val="24"/>
          <w:lang w:val="en-US" w:eastAsia="en-US"/>
        </w:rPr>
        <w:t>Toxicol. Sci. 95:163-171.</w:t>
      </w:r>
    </w:p>
    <w:p w14:paraId="6CF954AA" w14:textId="77777777" w:rsidR="00762DF3" w:rsidRDefault="00762DF3" w:rsidP="009E40A8">
      <w:pPr>
        <w:rPr>
          <w:spacing w:val="3"/>
          <w:szCs w:val="24"/>
          <w:lang w:val="en-US" w:eastAsia="en-US"/>
        </w:rPr>
      </w:pPr>
    </w:p>
    <w:p w14:paraId="3431FF9C" w14:textId="77777777" w:rsidR="00762DF3" w:rsidRDefault="00762DF3" w:rsidP="00A11E70">
      <w:pPr>
        <w:rPr>
          <w:color w:val="000000"/>
        </w:rPr>
      </w:pPr>
      <w:r>
        <w:rPr>
          <w:i/>
          <w:color w:val="000000"/>
        </w:rPr>
        <w:t xml:space="preserve">Purpose: </w:t>
      </w:r>
      <w:r>
        <w:rPr>
          <w:color w:val="000000"/>
        </w:rPr>
        <w:t>To further study the molecular mechanism of paraquat toxicity.</w:t>
      </w:r>
    </w:p>
    <w:p w14:paraId="7D27D544" w14:textId="77777777" w:rsidR="00762DF3" w:rsidRDefault="00762DF3" w:rsidP="00A11E70">
      <w:pPr>
        <w:rPr>
          <w:b/>
          <w:i/>
          <w:color w:val="000000"/>
        </w:rPr>
      </w:pPr>
    </w:p>
    <w:p w14:paraId="7C2D8A7C" w14:textId="77777777" w:rsidR="00762DF3" w:rsidRDefault="00762DF3" w:rsidP="00A11E70">
      <w:pPr>
        <w:rPr>
          <w:szCs w:val="24"/>
        </w:rPr>
      </w:pPr>
      <w:r>
        <w:rPr>
          <w:i/>
          <w:szCs w:val="24"/>
          <w:lang w:val="en-US"/>
        </w:rPr>
        <w:t>Background:</w:t>
      </w:r>
      <w:r>
        <w:rPr>
          <w:szCs w:val="24"/>
          <w:lang w:val="en-US"/>
        </w:rPr>
        <w:t xml:space="preserve"> Paraquat, MPTP and rotenone have been </w:t>
      </w:r>
      <w:r w:rsidR="002D2A09">
        <w:rPr>
          <w:szCs w:val="24"/>
          <w:lang w:val="en-US"/>
        </w:rPr>
        <w:t>been investigated for their potential to reproduce</w:t>
      </w:r>
      <w:r>
        <w:rPr>
          <w:szCs w:val="24"/>
          <w:lang w:val="en-US"/>
        </w:rPr>
        <w:t xml:space="preserve"> Parkinson’s disease </w:t>
      </w:r>
      <w:r w:rsidR="002D2A09">
        <w:rPr>
          <w:szCs w:val="24"/>
          <w:lang w:val="en-US"/>
        </w:rPr>
        <w:t xml:space="preserve">like symptoms </w:t>
      </w:r>
      <w:r>
        <w:rPr>
          <w:szCs w:val="24"/>
          <w:lang w:val="en-US"/>
        </w:rPr>
        <w:t xml:space="preserve">in animal and cell culture models. </w:t>
      </w:r>
      <w:r w:rsidR="002D2A09">
        <w:rPr>
          <w:szCs w:val="24"/>
          <w:lang w:val="en-US"/>
        </w:rPr>
        <w:t xml:space="preserve">Molecular mechanisms for any potential effect of paraquat on </w:t>
      </w:r>
      <w:r w:rsidR="00011149">
        <w:rPr>
          <w:szCs w:val="24"/>
          <w:lang w:val="en-US"/>
        </w:rPr>
        <w:t>DA</w:t>
      </w:r>
      <w:r w:rsidR="002D2A09">
        <w:rPr>
          <w:szCs w:val="24"/>
          <w:lang w:val="en-US"/>
        </w:rPr>
        <w:t xml:space="preserve"> are not well defined. </w:t>
      </w:r>
      <w:r>
        <w:rPr>
          <w:spacing w:val="8"/>
          <w:szCs w:val="24"/>
        </w:rPr>
        <w:t xml:space="preserve">These authors have previously shown that </w:t>
      </w:r>
      <w:r>
        <w:rPr>
          <w:spacing w:val="6"/>
          <w:szCs w:val="24"/>
        </w:rPr>
        <w:t xml:space="preserve">paraquat does not require functional </w:t>
      </w:r>
      <w:r w:rsidR="00011149">
        <w:rPr>
          <w:spacing w:val="6"/>
          <w:szCs w:val="24"/>
        </w:rPr>
        <w:t>DA</w:t>
      </w:r>
      <w:r>
        <w:rPr>
          <w:spacing w:val="6"/>
          <w:szCs w:val="24"/>
        </w:rPr>
        <w:t xml:space="preserve"> transporter and </w:t>
      </w:r>
      <w:r>
        <w:rPr>
          <w:spacing w:val="4"/>
          <w:szCs w:val="24"/>
        </w:rPr>
        <w:t xml:space="preserve">does not inhibit mitochondrial complex I in order to mediate its </w:t>
      </w:r>
      <w:r>
        <w:rPr>
          <w:szCs w:val="24"/>
        </w:rPr>
        <w:t xml:space="preserve">toxic action (Richardson </w:t>
      </w:r>
      <w:r w:rsidRPr="0058670C">
        <w:rPr>
          <w:i/>
          <w:szCs w:val="24"/>
        </w:rPr>
        <w:t>et al</w:t>
      </w:r>
      <w:r w:rsidR="00120920">
        <w:rPr>
          <w:i/>
          <w:szCs w:val="24"/>
        </w:rPr>
        <w:t>,</w:t>
      </w:r>
      <w:r>
        <w:rPr>
          <w:szCs w:val="24"/>
        </w:rPr>
        <w:t xml:space="preserve"> 2005 above). </w:t>
      </w:r>
    </w:p>
    <w:p w14:paraId="7A26AFC1" w14:textId="77777777" w:rsidR="00762DF3" w:rsidRDefault="00762DF3" w:rsidP="00A11E70">
      <w:pPr>
        <w:rPr>
          <w:szCs w:val="24"/>
        </w:rPr>
      </w:pPr>
    </w:p>
    <w:p w14:paraId="393170EE" w14:textId="77777777" w:rsidR="00762DF3" w:rsidRDefault="00762DF3" w:rsidP="00A11E70">
      <w:pPr>
        <w:rPr>
          <w:spacing w:val="3"/>
          <w:szCs w:val="24"/>
        </w:rPr>
      </w:pPr>
      <w:r>
        <w:rPr>
          <w:i/>
          <w:szCs w:val="24"/>
        </w:rPr>
        <w:t>Findings:</w:t>
      </w:r>
      <w:r>
        <w:rPr>
          <w:szCs w:val="24"/>
        </w:rPr>
        <w:t xml:space="preserve"> </w:t>
      </w:r>
      <w:r w:rsidR="002A342E">
        <w:rPr>
          <w:szCs w:val="24"/>
        </w:rPr>
        <w:t xml:space="preserve">In this </w:t>
      </w:r>
      <w:r w:rsidR="002A342E" w:rsidRPr="00DE7E25">
        <w:rPr>
          <w:i/>
          <w:szCs w:val="24"/>
        </w:rPr>
        <w:t>in vitro</w:t>
      </w:r>
      <w:r w:rsidR="002A342E">
        <w:rPr>
          <w:szCs w:val="24"/>
        </w:rPr>
        <w:t xml:space="preserve"> study, p</w:t>
      </w:r>
      <w:r>
        <w:rPr>
          <w:spacing w:val="5"/>
          <w:szCs w:val="24"/>
        </w:rPr>
        <w:t xml:space="preserve">araquat specifically oxidized the cytosolic form of thioredoxin </w:t>
      </w:r>
      <w:r>
        <w:rPr>
          <w:spacing w:val="-1"/>
          <w:szCs w:val="24"/>
        </w:rPr>
        <w:t>and activated Jun N-terminal kinase (JNK), followed by caspase-3 activation. Conversely, 1-methyl-4-phenylpyridinium (MPP</w:t>
      </w:r>
      <w:r>
        <w:rPr>
          <w:spacing w:val="-1"/>
          <w:w w:val="125"/>
          <w:szCs w:val="24"/>
          <w:vertAlign w:val="superscript"/>
        </w:rPr>
        <w:t>+</w:t>
      </w:r>
      <w:r>
        <w:rPr>
          <w:spacing w:val="-1"/>
          <w:szCs w:val="24"/>
        </w:rPr>
        <w:t xml:space="preserve">) and </w:t>
      </w:r>
      <w:r>
        <w:rPr>
          <w:spacing w:val="4"/>
          <w:szCs w:val="24"/>
        </w:rPr>
        <w:t xml:space="preserve">rotenone oxidized the mitochondrial form of thioredoxin but did </w:t>
      </w:r>
      <w:r>
        <w:rPr>
          <w:szCs w:val="24"/>
        </w:rPr>
        <w:t>not activate JNK-mitogen-activated protein kinase and caspase-</w:t>
      </w:r>
      <w:r>
        <w:rPr>
          <w:szCs w:val="24"/>
        </w:rPr>
        <w:lastRenderedPageBreak/>
        <w:t xml:space="preserve">3. </w:t>
      </w:r>
      <w:r>
        <w:rPr>
          <w:spacing w:val="4"/>
          <w:szCs w:val="24"/>
        </w:rPr>
        <w:t xml:space="preserve">Loading cells with exogenous </w:t>
      </w:r>
      <w:r w:rsidR="00011149">
        <w:rPr>
          <w:spacing w:val="4"/>
          <w:szCs w:val="24"/>
        </w:rPr>
        <w:t>DA</w:t>
      </w:r>
      <w:r>
        <w:rPr>
          <w:spacing w:val="4"/>
          <w:szCs w:val="24"/>
        </w:rPr>
        <w:t xml:space="preserve"> did not exacerbate the </w:t>
      </w:r>
      <w:r>
        <w:rPr>
          <w:spacing w:val="3"/>
          <w:szCs w:val="24"/>
        </w:rPr>
        <w:t xml:space="preserve">toxicity of any of these compounds. </w:t>
      </w:r>
    </w:p>
    <w:p w14:paraId="38C63101" w14:textId="77777777" w:rsidR="00762DF3" w:rsidRDefault="00762DF3" w:rsidP="00A11E70">
      <w:pPr>
        <w:rPr>
          <w:spacing w:val="3"/>
          <w:szCs w:val="24"/>
        </w:rPr>
      </w:pPr>
    </w:p>
    <w:p w14:paraId="2652C556" w14:textId="77777777" w:rsidR="00762DF3" w:rsidRDefault="00762DF3" w:rsidP="00A11E70">
      <w:pPr>
        <w:rPr>
          <w:spacing w:val="4"/>
          <w:szCs w:val="24"/>
        </w:rPr>
      </w:pPr>
      <w:r>
        <w:rPr>
          <w:i/>
          <w:spacing w:val="3"/>
          <w:szCs w:val="24"/>
        </w:rPr>
        <w:t>Conclusion:</w:t>
      </w:r>
      <w:r>
        <w:rPr>
          <w:spacing w:val="3"/>
          <w:szCs w:val="24"/>
        </w:rPr>
        <w:t xml:space="preserve"> Oxi</w:t>
      </w:r>
      <w:r>
        <w:rPr>
          <w:spacing w:val="4"/>
          <w:szCs w:val="24"/>
        </w:rPr>
        <w:t xml:space="preserve">dative modification of cytosolic proteins is critical to paraquat </w:t>
      </w:r>
      <w:r>
        <w:rPr>
          <w:szCs w:val="24"/>
        </w:rPr>
        <w:t xml:space="preserve">toxicity, while oxidation of mitochondrial proteins is important for </w:t>
      </w:r>
      <w:r>
        <w:rPr>
          <w:spacing w:val="3"/>
          <w:szCs w:val="24"/>
        </w:rPr>
        <w:t>MPP</w:t>
      </w:r>
      <w:r>
        <w:rPr>
          <w:spacing w:val="3"/>
          <w:w w:val="125"/>
          <w:szCs w:val="24"/>
          <w:vertAlign w:val="superscript"/>
        </w:rPr>
        <w:t>+</w:t>
      </w:r>
      <w:r>
        <w:rPr>
          <w:spacing w:val="3"/>
          <w:szCs w:val="24"/>
        </w:rPr>
        <w:t xml:space="preserve"> and rotenone toxicity. In addition, intracellular </w:t>
      </w:r>
      <w:r w:rsidR="00011149">
        <w:rPr>
          <w:spacing w:val="3"/>
          <w:szCs w:val="24"/>
        </w:rPr>
        <w:t>DA</w:t>
      </w:r>
      <w:r>
        <w:rPr>
          <w:spacing w:val="3"/>
          <w:szCs w:val="24"/>
        </w:rPr>
        <w:t xml:space="preserve"> does not seem to exacerbate the toxicity of these dopaminergic </w:t>
      </w:r>
      <w:r>
        <w:rPr>
          <w:spacing w:val="4"/>
          <w:szCs w:val="24"/>
        </w:rPr>
        <w:t>neurotoxicants in this model.</w:t>
      </w:r>
    </w:p>
    <w:p w14:paraId="50694324" w14:textId="77777777" w:rsidR="002B2CFC" w:rsidRPr="002B2CFC" w:rsidRDefault="002B2CFC" w:rsidP="009E40A8">
      <w:pPr>
        <w:rPr>
          <w:spacing w:val="3"/>
          <w:szCs w:val="24"/>
          <w:lang w:val="en-US" w:eastAsia="en-US"/>
        </w:rPr>
      </w:pPr>
    </w:p>
    <w:p w14:paraId="7141A02E" w14:textId="77777777" w:rsidR="002B2CFC" w:rsidRPr="002B2CFC" w:rsidRDefault="002B2CFC" w:rsidP="009E40A8">
      <w:pPr>
        <w:rPr>
          <w:b/>
          <w:i/>
          <w:szCs w:val="24"/>
          <w:lang w:eastAsia="en-US"/>
        </w:rPr>
      </w:pPr>
      <w:r w:rsidRPr="00ED48DE">
        <w:rPr>
          <w:b/>
          <w:szCs w:val="24"/>
          <w:lang w:eastAsia="en-US"/>
        </w:rPr>
        <w:t>Fei Q, McCormack AL, Di Monte DA &amp; Ethell DW (2008)</w:t>
      </w:r>
      <w:r w:rsidRPr="002B2CFC">
        <w:rPr>
          <w:b/>
          <w:szCs w:val="24"/>
          <w:lang w:eastAsia="en-US"/>
        </w:rPr>
        <w:t xml:space="preserve"> Paraquat neurotoxicity is mediated by a Bak-dependent mechanism.</w:t>
      </w:r>
      <w:r w:rsidRPr="002B2CFC">
        <w:rPr>
          <w:b/>
          <w:i/>
          <w:szCs w:val="24"/>
          <w:lang w:eastAsia="en-US"/>
        </w:rPr>
        <w:t xml:space="preserve"> Biol Chem </w:t>
      </w:r>
      <w:r w:rsidRPr="002B2CFC">
        <w:rPr>
          <w:b/>
          <w:szCs w:val="24"/>
          <w:lang w:eastAsia="en-US"/>
        </w:rPr>
        <w:t>8;283(6):3357-64.</w:t>
      </w:r>
    </w:p>
    <w:p w14:paraId="7DAAF852" w14:textId="77777777" w:rsidR="00762DF3" w:rsidRDefault="00762DF3" w:rsidP="009E40A8">
      <w:pPr>
        <w:rPr>
          <w:szCs w:val="24"/>
          <w:lang w:val="en-US" w:eastAsia="en-US"/>
        </w:rPr>
      </w:pPr>
    </w:p>
    <w:p w14:paraId="23056C7C" w14:textId="77777777" w:rsidR="00762DF3" w:rsidRDefault="006564E3" w:rsidP="00A11E70">
      <w:pPr>
        <w:rPr>
          <w:szCs w:val="24"/>
          <w:lang w:val="en-US"/>
        </w:rPr>
      </w:pPr>
      <w:r>
        <w:rPr>
          <w:szCs w:val="24"/>
          <w:lang w:val="en-US"/>
        </w:rPr>
        <w:t>The authors identified a</w:t>
      </w:r>
      <w:r w:rsidR="00762DF3">
        <w:rPr>
          <w:szCs w:val="24"/>
          <w:lang w:val="en-US"/>
        </w:rPr>
        <w:t xml:space="preserve"> </w:t>
      </w:r>
      <w:r w:rsidR="00762DF3" w:rsidRPr="00E27C06">
        <w:rPr>
          <w:szCs w:val="24"/>
          <w:lang w:val="en-US"/>
        </w:rPr>
        <w:t xml:space="preserve">Bak-dependent cell death mechanism that is required for </w:t>
      </w:r>
      <w:r w:rsidR="00762DF3">
        <w:rPr>
          <w:szCs w:val="24"/>
          <w:lang w:val="en-US"/>
        </w:rPr>
        <w:t>paraquat-</w:t>
      </w:r>
      <w:r w:rsidR="00762DF3" w:rsidRPr="00E27C06">
        <w:rPr>
          <w:szCs w:val="24"/>
          <w:lang w:val="en-US"/>
        </w:rPr>
        <w:t xml:space="preserve"> induced neurotoxicity. </w:t>
      </w:r>
      <w:r w:rsidR="00762DF3">
        <w:rPr>
          <w:szCs w:val="24"/>
          <w:lang w:val="en-US"/>
        </w:rPr>
        <w:t xml:space="preserve">Paraquat </w:t>
      </w:r>
      <w:r w:rsidR="00762DF3" w:rsidRPr="00E27C06">
        <w:rPr>
          <w:szCs w:val="24"/>
          <w:lang w:val="en-US"/>
        </w:rPr>
        <w:t xml:space="preserve">induced morphological and biochemical features </w:t>
      </w:r>
      <w:r w:rsidR="00762DF3">
        <w:rPr>
          <w:szCs w:val="24"/>
          <w:lang w:val="en-US"/>
        </w:rPr>
        <w:t xml:space="preserve">in SK-N-SH cell lines </w:t>
      </w:r>
      <w:r w:rsidR="00762DF3" w:rsidRPr="00E27C06">
        <w:rPr>
          <w:szCs w:val="24"/>
          <w:lang w:val="en-US"/>
        </w:rPr>
        <w:t xml:space="preserve">were consistent with apoptosis, including dose-dependent cytochrome </w:t>
      </w:r>
      <w:r w:rsidR="00762DF3" w:rsidRPr="00E27C06">
        <w:rPr>
          <w:i/>
          <w:iCs/>
          <w:szCs w:val="24"/>
          <w:lang w:val="en-US"/>
        </w:rPr>
        <w:t xml:space="preserve">c </w:t>
      </w:r>
      <w:r w:rsidR="00762DF3" w:rsidRPr="00E27C06">
        <w:rPr>
          <w:szCs w:val="24"/>
          <w:lang w:val="en-US"/>
        </w:rPr>
        <w:t xml:space="preserve">release, with subsequent caspase-3 and poly(ADP-ribose) polymerase cleavage. </w:t>
      </w:r>
    </w:p>
    <w:p w14:paraId="221F8CEB" w14:textId="77777777" w:rsidR="00762DF3" w:rsidRDefault="00762DF3" w:rsidP="00A11E70">
      <w:pPr>
        <w:rPr>
          <w:szCs w:val="24"/>
          <w:lang w:val="en-US"/>
        </w:rPr>
      </w:pPr>
    </w:p>
    <w:p w14:paraId="2F6DCBDE" w14:textId="77777777" w:rsidR="00762DF3" w:rsidRDefault="00762DF3" w:rsidP="00A11E70">
      <w:pPr>
        <w:rPr>
          <w:szCs w:val="24"/>
          <w:lang w:val="en-US"/>
        </w:rPr>
      </w:pPr>
      <w:r w:rsidRPr="00E27C06">
        <w:rPr>
          <w:szCs w:val="24"/>
          <w:lang w:val="en-US"/>
        </w:rPr>
        <w:t>Changes in nuclear morphology and loss of viability were blocked by cycloheximide, caspase inhibitor, and Bcl-2 overexpression</w:t>
      </w:r>
      <w:r w:rsidR="006564E3">
        <w:rPr>
          <w:szCs w:val="24"/>
          <w:lang w:val="en-US"/>
        </w:rPr>
        <w:t>.</w:t>
      </w:r>
      <w:r w:rsidRPr="00E27C06">
        <w:rPr>
          <w:szCs w:val="24"/>
          <w:lang w:val="en-US"/>
        </w:rPr>
        <w:t xml:space="preserve"> Evaluation of Bcl-2 family members showed that </w:t>
      </w:r>
      <w:r>
        <w:rPr>
          <w:szCs w:val="24"/>
          <w:lang w:val="en-US"/>
        </w:rPr>
        <w:t xml:space="preserve">paraquat </w:t>
      </w:r>
      <w:r w:rsidRPr="00E27C06">
        <w:rPr>
          <w:szCs w:val="24"/>
          <w:lang w:val="en-US"/>
        </w:rPr>
        <w:t xml:space="preserve">induced high levels of Bak, Bid, BNip3, and Noxa. Small interfering RNA-mediated knockdown of BNip3, Noxa, and Bak each protected cells from </w:t>
      </w:r>
      <w:r>
        <w:rPr>
          <w:szCs w:val="24"/>
          <w:lang w:val="en-US"/>
        </w:rPr>
        <w:t>paraquat</w:t>
      </w:r>
      <w:r w:rsidRPr="00E27C06">
        <w:rPr>
          <w:szCs w:val="24"/>
          <w:lang w:val="en-US"/>
        </w:rPr>
        <w:t xml:space="preserve">, but Bax knockdown did not. </w:t>
      </w:r>
    </w:p>
    <w:p w14:paraId="2232DBD7" w14:textId="77777777" w:rsidR="00762DF3" w:rsidRDefault="00762DF3" w:rsidP="00A11E70">
      <w:pPr>
        <w:rPr>
          <w:szCs w:val="24"/>
          <w:lang w:val="en-US"/>
        </w:rPr>
      </w:pPr>
    </w:p>
    <w:p w14:paraId="142898EE" w14:textId="77777777" w:rsidR="00762DF3" w:rsidRPr="002B2CFC" w:rsidRDefault="00762DF3" w:rsidP="009E40A8">
      <w:pPr>
        <w:rPr>
          <w:szCs w:val="24"/>
          <w:lang w:val="en-US" w:eastAsia="en-US"/>
        </w:rPr>
      </w:pPr>
      <w:r>
        <w:rPr>
          <w:szCs w:val="24"/>
          <w:lang w:val="en-US"/>
        </w:rPr>
        <w:t xml:space="preserve">The sensitivity </w:t>
      </w:r>
      <w:r w:rsidRPr="00E27C06">
        <w:rPr>
          <w:szCs w:val="24"/>
          <w:lang w:val="en-US"/>
        </w:rPr>
        <w:t xml:space="preserve">of Bak-deficient mice </w:t>
      </w:r>
      <w:r>
        <w:rPr>
          <w:szCs w:val="24"/>
          <w:lang w:val="en-US"/>
        </w:rPr>
        <w:t xml:space="preserve">was tested and they were found resistant </w:t>
      </w:r>
      <w:r w:rsidRPr="00E27C06">
        <w:rPr>
          <w:szCs w:val="24"/>
          <w:lang w:val="en-US"/>
        </w:rPr>
        <w:t xml:space="preserve">to </w:t>
      </w:r>
      <w:r>
        <w:rPr>
          <w:szCs w:val="24"/>
          <w:lang w:val="en-US"/>
        </w:rPr>
        <w:t>paraquat</w:t>
      </w:r>
      <w:r w:rsidRPr="00E27C06">
        <w:rPr>
          <w:szCs w:val="24"/>
          <w:lang w:val="en-US"/>
        </w:rPr>
        <w:t xml:space="preserve"> treatments that depleted</w:t>
      </w:r>
      <w:r>
        <w:rPr>
          <w:szCs w:val="24"/>
          <w:lang w:val="en-US"/>
        </w:rPr>
        <w:t xml:space="preserve"> </w:t>
      </w:r>
      <w:r w:rsidR="001875D7">
        <w:rPr>
          <w:szCs w:val="24"/>
          <w:lang w:val="en-US"/>
        </w:rPr>
        <w:t>TH</w:t>
      </w:r>
      <w:r w:rsidRPr="00E27C06">
        <w:rPr>
          <w:szCs w:val="24"/>
          <w:lang w:val="en-US"/>
        </w:rPr>
        <w:t xml:space="preserve"> immuno-positive neurons in the </w:t>
      </w:r>
      <w:r w:rsidR="004D01E6" w:rsidRPr="002B2CFC">
        <w:rPr>
          <w:szCs w:val="24"/>
          <w:lang w:val="en-US" w:eastAsia="en-US"/>
        </w:rPr>
        <w:t>SN pc</w:t>
      </w:r>
      <w:r w:rsidRPr="00E27C06">
        <w:rPr>
          <w:szCs w:val="24"/>
          <w:lang w:val="en-US"/>
        </w:rPr>
        <w:t xml:space="preserve"> of wild-type mice.</w:t>
      </w:r>
    </w:p>
    <w:p w14:paraId="747FA36C" w14:textId="77777777" w:rsidR="002B2CFC" w:rsidRPr="002B2CFC" w:rsidRDefault="002B2CFC" w:rsidP="002B2CFC">
      <w:pPr>
        <w:rPr>
          <w:szCs w:val="24"/>
          <w:lang w:eastAsia="en-US"/>
        </w:rPr>
      </w:pPr>
    </w:p>
    <w:p w14:paraId="5FAD5294" w14:textId="77777777" w:rsidR="002B2CFC" w:rsidRPr="002B2CFC" w:rsidRDefault="002B2CFC" w:rsidP="00FC749B">
      <w:pPr>
        <w:pStyle w:val="Heading2"/>
        <w:rPr>
          <w:lang w:eastAsia="en-US"/>
        </w:rPr>
      </w:pPr>
      <w:bookmarkStart w:id="126" w:name="_Toc275178994"/>
      <w:bookmarkStart w:id="127" w:name="_Toc459108308"/>
      <w:r w:rsidRPr="002B2CFC">
        <w:rPr>
          <w:lang w:eastAsia="en-US"/>
        </w:rPr>
        <w:t>The toxicokinetics and toxicodynamics of paraquat</w:t>
      </w:r>
      <w:bookmarkEnd w:id="126"/>
      <w:bookmarkEnd w:id="127"/>
    </w:p>
    <w:p w14:paraId="1745EAC9" w14:textId="77777777" w:rsidR="002B2CFC" w:rsidRPr="002B2CFC" w:rsidRDefault="003A31EB" w:rsidP="002B2CFC">
      <w:pPr>
        <w:rPr>
          <w:color w:val="000000"/>
          <w:szCs w:val="24"/>
          <w:lang w:val="en-US" w:eastAsia="en-US"/>
        </w:rPr>
      </w:pPr>
      <w:hyperlink r:id="rId13" w:history="1">
        <w:r w:rsidR="002B2CFC" w:rsidRPr="00ED48DE">
          <w:rPr>
            <w:b/>
            <w:color w:val="000000"/>
            <w:szCs w:val="24"/>
            <w:lang w:val="en-US" w:eastAsia="en-US"/>
          </w:rPr>
          <w:t>Prasad K, Tarasewicz E, Matthew J, Strickland PA, Buckley B, Richardson JR &amp; Richfield EK</w:t>
        </w:r>
      </w:hyperlink>
      <w:r w:rsidR="002B2CFC" w:rsidRPr="00ED48DE">
        <w:rPr>
          <w:b/>
          <w:color w:val="000000"/>
          <w:szCs w:val="24"/>
          <w:lang w:val="en-US" w:eastAsia="en-US"/>
        </w:rPr>
        <w:t xml:space="preserve"> (2009) Toxicokinetics</w:t>
      </w:r>
      <w:r w:rsidR="002B2CFC" w:rsidRPr="002B2CFC">
        <w:rPr>
          <w:b/>
          <w:color w:val="000000"/>
          <w:szCs w:val="24"/>
          <w:lang w:val="en-US" w:eastAsia="en-US"/>
        </w:rPr>
        <w:t xml:space="preserve"> and toxicodynamics of paraquat accumulation in mouse brain. </w:t>
      </w:r>
      <w:r w:rsidR="002B2CFC" w:rsidRPr="002B2CFC">
        <w:rPr>
          <w:b/>
          <w:i/>
          <w:color w:val="000000"/>
          <w:szCs w:val="24"/>
          <w:lang w:val="en-US" w:eastAsia="en-US"/>
        </w:rPr>
        <w:t xml:space="preserve">J Exp Neurol., </w:t>
      </w:r>
      <w:r w:rsidR="002B2CFC" w:rsidRPr="002B2CFC">
        <w:rPr>
          <w:b/>
          <w:color w:val="000000"/>
          <w:szCs w:val="24"/>
          <w:lang w:val="en-US" w:eastAsia="en-US"/>
        </w:rPr>
        <w:t>215(2):358-367.</w:t>
      </w:r>
    </w:p>
    <w:p w14:paraId="704CCD86" w14:textId="77777777" w:rsidR="00983A6F" w:rsidRDefault="00983A6F" w:rsidP="00983A6F">
      <w:pPr>
        <w:rPr>
          <w:b/>
          <w:i/>
          <w:color w:val="000000"/>
        </w:rPr>
      </w:pPr>
    </w:p>
    <w:p w14:paraId="4D7589D6" w14:textId="3AAD9AE3" w:rsidR="00983A6F" w:rsidRDefault="00983A6F" w:rsidP="00983A6F">
      <w:pPr>
        <w:rPr>
          <w:color w:val="000000"/>
        </w:rPr>
      </w:pPr>
      <w:r>
        <w:rPr>
          <w:color w:val="000000"/>
        </w:rPr>
        <w:t xml:space="preserve">Male mice (C57BL/6J (B6J) and other strains </w:t>
      </w:r>
      <w:r w:rsidR="006564E3">
        <w:rPr>
          <w:color w:val="000000"/>
        </w:rPr>
        <w:t>(</w:t>
      </w:r>
      <w:r>
        <w:rPr>
          <w:color w:val="000000"/>
        </w:rPr>
        <w:t xml:space="preserve">of 8-12 weeks of age) were used in experiments I, II, and IV. Mice up to 40 weeks of age were used in experiment III. </w:t>
      </w:r>
      <w:r w:rsidR="006564E3">
        <w:rPr>
          <w:color w:val="000000"/>
        </w:rPr>
        <w:t xml:space="preserve">Further details </w:t>
      </w:r>
      <w:r>
        <w:rPr>
          <w:color w:val="000000"/>
        </w:rPr>
        <w:t xml:space="preserve">of the experiments </w:t>
      </w:r>
      <w:r w:rsidR="006564E3">
        <w:rPr>
          <w:color w:val="000000"/>
        </w:rPr>
        <w:t>are summarised</w:t>
      </w:r>
      <w:r>
        <w:rPr>
          <w:color w:val="000000"/>
        </w:rPr>
        <w:t xml:space="preserve"> in </w:t>
      </w:r>
      <w:r w:rsidR="00897462">
        <w:rPr>
          <w:color w:val="000000"/>
        </w:rPr>
        <w:fldChar w:fldCharType="begin"/>
      </w:r>
      <w:r w:rsidR="009F7EB6">
        <w:rPr>
          <w:color w:val="000000"/>
        </w:rPr>
        <w:instrText xml:space="preserve"> REF _Ref401572299 \h </w:instrText>
      </w:r>
      <w:r w:rsidR="00897462">
        <w:rPr>
          <w:color w:val="000000"/>
        </w:rPr>
      </w:r>
      <w:r w:rsidR="00897462">
        <w:rPr>
          <w:color w:val="000000"/>
        </w:rPr>
        <w:fldChar w:fldCharType="separate"/>
      </w:r>
      <w:r w:rsidR="000E54B2">
        <w:t xml:space="preserve">Table </w:t>
      </w:r>
      <w:r w:rsidR="000E54B2">
        <w:rPr>
          <w:noProof/>
        </w:rPr>
        <w:t>33</w:t>
      </w:r>
      <w:r w:rsidR="00897462">
        <w:rPr>
          <w:color w:val="000000"/>
        </w:rPr>
        <w:fldChar w:fldCharType="end"/>
      </w:r>
      <w:r w:rsidR="00C31A63">
        <w:rPr>
          <w:color w:val="000000"/>
        </w:rPr>
        <w:t xml:space="preserve"> </w:t>
      </w:r>
      <w:r w:rsidR="00C31A63">
        <w:rPr>
          <w:color w:val="000000"/>
        </w:rPr>
        <w:fldChar w:fldCharType="begin"/>
      </w:r>
      <w:r w:rsidR="00C31A63">
        <w:rPr>
          <w:color w:val="000000"/>
        </w:rPr>
        <w:instrText xml:space="preserve"> REF _Ref408923599 \p </w:instrText>
      </w:r>
      <w:r w:rsidR="00C31A63">
        <w:rPr>
          <w:color w:val="000000"/>
        </w:rPr>
        <w:fldChar w:fldCharType="separate"/>
      </w:r>
      <w:r w:rsidR="000E54B2">
        <w:rPr>
          <w:color w:val="000000"/>
        </w:rPr>
        <w:t>below</w:t>
      </w:r>
      <w:r w:rsidR="00C31A63">
        <w:rPr>
          <w:color w:val="000000"/>
        </w:rPr>
        <w:fldChar w:fldCharType="end"/>
      </w:r>
      <w:r w:rsidRPr="009E40A8">
        <w:rPr>
          <w:color w:val="000000"/>
        </w:rPr>
        <w:t>.</w:t>
      </w:r>
    </w:p>
    <w:p w14:paraId="3135AFD5" w14:textId="77777777" w:rsidR="00983A6F" w:rsidRDefault="00983A6F" w:rsidP="00983A6F">
      <w:pPr>
        <w:rPr>
          <w:color w:val="000000"/>
        </w:rPr>
      </w:pPr>
    </w:p>
    <w:p w14:paraId="73A75717" w14:textId="77777777" w:rsidR="00983A6F" w:rsidRDefault="00983A6F" w:rsidP="00E439AD">
      <w:pPr>
        <w:pStyle w:val="Caption"/>
        <w:keepNext/>
        <w:spacing w:after="120"/>
      </w:pPr>
      <w:bookmarkStart w:id="128" w:name="_Ref401572299"/>
      <w:bookmarkStart w:id="129" w:name="_Ref408923599"/>
      <w:r>
        <w:lastRenderedPageBreak/>
        <w:t xml:space="preserve">Table </w:t>
      </w:r>
      <w:r w:rsidR="00897462">
        <w:fldChar w:fldCharType="begin"/>
      </w:r>
      <w:r>
        <w:instrText xml:space="preserve"> SEQ Table \* ARABIC </w:instrText>
      </w:r>
      <w:r w:rsidR="00897462">
        <w:fldChar w:fldCharType="separate"/>
      </w:r>
      <w:r w:rsidR="000E54B2">
        <w:rPr>
          <w:noProof/>
        </w:rPr>
        <w:t>33</w:t>
      </w:r>
      <w:r w:rsidR="00897462">
        <w:fldChar w:fldCharType="end"/>
      </w:r>
      <w:bookmarkEnd w:id="128"/>
      <w:r>
        <w:t>: Summary description of experiments</w:t>
      </w:r>
      <w:bookmarkEnd w:id="129"/>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9"/>
        <w:gridCol w:w="983"/>
        <w:gridCol w:w="1418"/>
        <w:gridCol w:w="1359"/>
        <w:gridCol w:w="1277"/>
        <w:gridCol w:w="1285"/>
        <w:gridCol w:w="1272"/>
      </w:tblGrid>
      <w:tr w:rsidR="00983A6F" w14:paraId="2CD2AC25" w14:textId="77777777" w:rsidTr="000E221D">
        <w:tc>
          <w:tcPr>
            <w:tcW w:w="13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C50FF4" w14:textId="77777777" w:rsidR="00983A6F" w:rsidRDefault="00983A6F" w:rsidP="00E439AD">
            <w:pPr>
              <w:keepNext/>
              <w:jc w:val="center"/>
              <w:rPr>
                <w:b/>
                <w:color w:val="000000"/>
                <w:sz w:val="20"/>
              </w:rPr>
            </w:pPr>
            <w:r>
              <w:rPr>
                <w:b/>
                <w:color w:val="000000"/>
                <w:sz w:val="20"/>
              </w:rPr>
              <w:t>Experiment No</w:t>
            </w:r>
          </w:p>
        </w:tc>
        <w:tc>
          <w:tcPr>
            <w:tcW w:w="9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01F48F" w14:textId="77777777" w:rsidR="00983A6F" w:rsidRDefault="00983A6F" w:rsidP="00E439AD">
            <w:pPr>
              <w:keepNext/>
              <w:jc w:val="center"/>
              <w:rPr>
                <w:b/>
                <w:color w:val="000000"/>
                <w:sz w:val="20"/>
              </w:rPr>
            </w:pPr>
            <w:r>
              <w:rPr>
                <w:b/>
                <w:color w:val="000000"/>
                <w:sz w:val="20"/>
              </w:rPr>
              <w:t>Route of exposure</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0FE198" w14:textId="77777777" w:rsidR="00983A6F" w:rsidRDefault="00983A6F" w:rsidP="00E439AD">
            <w:pPr>
              <w:keepNext/>
              <w:jc w:val="center"/>
              <w:rPr>
                <w:b/>
                <w:color w:val="000000"/>
                <w:sz w:val="20"/>
              </w:rPr>
            </w:pPr>
            <w:r>
              <w:rPr>
                <w:b/>
                <w:color w:val="000000"/>
                <w:sz w:val="20"/>
              </w:rPr>
              <w:t>Dose</w:t>
            </w:r>
            <w:r w:rsidR="002E75B1">
              <w:rPr>
                <w:b/>
                <w:color w:val="000000"/>
                <w:sz w:val="20"/>
              </w:rPr>
              <w:t>**</w:t>
            </w:r>
          </w:p>
        </w:tc>
        <w:tc>
          <w:tcPr>
            <w:tcW w:w="13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4E87A4" w14:textId="77777777" w:rsidR="00983A6F" w:rsidRDefault="00983A6F" w:rsidP="00E439AD">
            <w:pPr>
              <w:keepNext/>
              <w:jc w:val="center"/>
              <w:rPr>
                <w:b/>
                <w:color w:val="000000"/>
                <w:sz w:val="20"/>
              </w:rPr>
            </w:pPr>
            <w:r>
              <w:rPr>
                <w:b/>
                <w:color w:val="000000"/>
                <w:sz w:val="20"/>
              </w:rPr>
              <w:t>Total mouse sample size</w:t>
            </w:r>
          </w:p>
        </w:tc>
        <w:tc>
          <w:tcPr>
            <w:tcW w:w="12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B68F7F" w14:textId="77777777" w:rsidR="00983A6F" w:rsidRDefault="00983A6F" w:rsidP="00E439AD">
            <w:pPr>
              <w:keepNext/>
              <w:jc w:val="center"/>
              <w:rPr>
                <w:b/>
                <w:color w:val="000000"/>
                <w:sz w:val="20"/>
              </w:rPr>
            </w:pPr>
            <w:r>
              <w:rPr>
                <w:b/>
                <w:color w:val="000000"/>
                <w:sz w:val="20"/>
              </w:rPr>
              <w:t>Dosing frequency</w:t>
            </w:r>
          </w:p>
        </w:tc>
        <w:tc>
          <w:tcPr>
            <w:tcW w:w="12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ABCAB6" w14:textId="77777777" w:rsidR="00983A6F" w:rsidRDefault="00983A6F" w:rsidP="00E439AD">
            <w:pPr>
              <w:keepNext/>
              <w:jc w:val="center"/>
              <w:rPr>
                <w:b/>
                <w:color w:val="000000"/>
                <w:sz w:val="20"/>
                <w:vertAlign w:val="superscript"/>
              </w:rPr>
            </w:pPr>
            <w:r>
              <w:rPr>
                <w:b/>
                <w:color w:val="000000"/>
                <w:sz w:val="20"/>
              </w:rPr>
              <w:t>Outcomes</w:t>
            </w:r>
            <w:r>
              <w:rPr>
                <w:b/>
                <w:color w:val="000000"/>
                <w:sz w:val="20"/>
                <w:vertAlign w:val="superscript"/>
              </w:rPr>
              <w:t>*</w:t>
            </w: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8C7E35" w14:textId="77777777" w:rsidR="00983A6F" w:rsidRDefault="00983A6F" w:rsidP="00E439AD">
            <w:pPr>
              <w:keepNext/>
              <w:jc w:val="center"/>
              <w:rPr>
                <w:b/>
                <w:color w:val="000000"/>
                <w:sz w:val="20"/>
                <w:vertAlign w:val="superscript"/>
              </w:rPr>
            </w:pPr>
            <w:r>
              <w:rPr>
                <w:b/>
                <w:color w:val="000000"/>
                <w:sz w:val="20"/>
              </w:rPr>
              <w:t>Paraquat samples</w:t>
            </w:r>
          </w:p>
        </w:tc>
      </w:tr>
      <w:tr w:rsidR="00983A6F" w14:paraId="346318F9" w14:textId="77777777" w:rsidTr="00C34954">
        <w:tc>
          <w:tcPr>
            <w:tcW w:w="1309" w:type="dxa"/>
            <w:tcBorders>
              <w:top w:val="single" w:sz="4" w:space="0" w:color="auto"/>
              <w:left w:val="single" w:sz="4" w:space="0" w:color="auto"/>
              <w:bottom w:val="single" w:sz="4" w:space="0" w:color="auto"/>
              <w:right w:val="single" w:sz="4" w:space="0" w:color="auto"/>
            </w:tcBorders>
            <w:vAlign w:val="center"/>
            <w:hideMark/>
          </w:tcPr>
          <w:p w14:paraId="2922C8B5" w14:textId="77777777" w:rsidR="00983A6F" w:rsidRDefault="00983A6F" w:rsidP="00E439AD">
            <w:pPr>
              <w:keepNext/>
              <w:rPr>
                <w:color w:val="000000"/>
                <w:sz w:val="20"/>
              </w:rPr>
            </w:pPr>
            <w:r>
              <w:rPr>
                <w:color w:val="000000"/>
                <w:sz w:val="20"/>
              </w:rPr>
              <w:t>I</w:t>
            </w:r>
          </w:p>
        </w:tc>
        <w:tc>
          <w:tcPr>
            <w:tcW w:w="983" w:type="dxa"/>
            <w:tcBorders>
              <w:top w:val="single" w:sz="4" w:space="0" w:color="auto"/>
              <w:left w:val="single" w:sz="4" w:space="0" w:color="auto"/>
              <w:bottom w:val="single" w:sz="4" w:space="0" w:color="auto"/>
              <w:right w:val="single" w:sz="4" w:space="0" w:color="auto"/>
            </w:tcBorders>
            <w:vAlign w:val="center"/>
            <w:hideMark/>
          </w:tcPr>
          <w:p w14:paraId="367A833F" w14:textId="77777777" w:rsidR="00983A6F" w:rsidRDefault="00983A6F" w:rsidP="00E439AD">
            <w:pPr>
              <w:keepNext/>
              <w:shd w:val="clear" w:color="auto" w:fill="FFFFFF"/>
              <w:spacing w:after="120" w:line="312" w:lineRule="atLeast"/>
              <w:rPr>
                <w:color w:val="000000"/>
                <w:sz w:val="20"/>
              </w:rPr>
            </w:pPr>
            <w:r>
              <w:rPr>
                <w:color w:val="000000"/>
                <w:sz w:val="20"/>
              </w:rPr>
              <w:t>ip</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509EA45" w14:textId="77777777" w:rsidR="00436573" w:rsidRDefault="00983A6F" w:rsidP="00E439AD">
            <w:pPr>
              <w:keepNext/>
              <w:shd w:val="clear" w:color="auto" w:fill="FFFFFF"/>
              <w:spacing w:after="120" w:line="312" w:lineRule="atLeast"/>
              <w:jc w:val="left"/>
              <w:rPr>
                <w:rFonts w:ascii="Times New Roman Bold" w:hAnsi="Times New Roman Bold"/>
                <w:b/>
                <w:caps/>
                <w:color w:val="000000"/>
                <w:sz w:val="20"/>
              </w:rPr>
            </w:pPr>
            <w:r>
              <w:rPr>
                <w:color w:val="000000"/>
                <w:sz w:val="20"/>
              </w:rPr>
              <w:t>10 mg/kg bw</w:t>
            </w:r>
            <w:r w:rsidR="002E75B1">
              <w:rPr>
                <w:color w:val="000000"/>
                <w:sz w:val="20"/>
              </w:rPr>
              <w:t xml:space="preserve"> </w:t>
            </w:r>
          </w:p>
          <w:p w14:paraId="386D1F80" w14:textId="77777777" w:rsidR="00436573" w:rsidRDefault="00436573" w:rsidP="00E439AD">
            <w:pPr>
              <w:keepNext/>
              <w:shd w:val="clear" w:color="auto" w:fill="FFFFFF"/>
              <w:spacing w:after="120" w:line="312" w:lineRule="atLeast"/>
              <w:jc w:val="left"/>
              <w:rPr>
                <w:color w:val="000000"/>
                <w:sz w:val="20"/>
              </w:rPr>
            </w:pPr>
          </w:p>
        </w:tc>
        <w:tc>
          <w:tcPr>
            <w:tcW w:w="1359" w:type="dxa"/>
            <w:tcBorders>
              <w:top w:val="single" w:sz="4" w:space="0" w:color="auto"/>
              <w:left w:val="single" w:sz="4" w:space="0" w:color="auto"/>
              <w:bottom w:val="single" w:sz="4" w:space="0" w:color="auto"/>
              <w:right w:val="single" w:sz="4" w:space="0" w:color="auto"/>
            </w:tcBorders>
            <w:vAlign w:val="center"/>
            <w:hideMark/>
          </w:tcPr>
          <w:p w14:paraId="4D5E4173" w14:textId="77777777" w:rsidR="00983A6F" w:rsidRDefault="00983A6F" w:rsidP="00E439AD">
            <w:pPr>
              <w:keepNext/>
              <w:shd w:val="clear" w:color="auto" w:fill="FFFFFF"/>
              <w:spacing w:after="120" w:line="312" w:lineRule="atLeast"/>
              <w:jc w:val="center"/>
              <w:rPr>
                <w:color w:val="000000"/>
                <w:sz w:val="20"/>
              </w:rPr>
            </w:pPr>
            <w:r>
              <w:rPr>
                <w:color w:val="000000"/>
                <w:sz w:val="20"/>
              </w:rPr>
              <w:t>70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3401AB59" w14:textId="77777777" w:rsidR="00983A6F" w:rsidRDefault="00983A6F" w:rsidP="00E439AD">
            <w:pPr>
              <w:keepNext/>
              <w:shd w:val="clear" w:color="auto" w:fill="FFFFFF"/>
              <w:spacing w:after="120" w:line="312" w:lineRule="atLeast"/>
              <w:rPr>
                <w:color w:val="000000"/>
                <w:sz w:val="20"/>
              </w:rPr>
            </w:pPr>
            <w:r>
              <w:rPr>
                <w:color w:val="000000"/>
                <w:sz w:val="20"/>
              </w:rPr>
              <w:t xml:space="preserve">2 or 3x/week for 6, 12, 18, or 24 doses </w:t>
            </w:r>
          </w:p>
        </w:tc>
        <w:tc>
          <w:tcPr>
            <w:tcW w:w="1285" w:type="dxa"/>
            <w:tcBorders>
              <w:top w:val="single" w:sz="4" w:space="0" w:color="auto"/>
              <w:left w:val="single" w:sz="4" w:space="0" w:color="auto"/>
              <w:bottom w:val="single" w:sz="4" w:space="0" w:color="auto"/>
              <w:right w:val="single" w:sz="4" w:space="0" w:color="auto"/>
            </w:tcBorders>
            <w:vAlign w:val="center"/>
            <w:hideMark/>
          </w:tcPr>
          <w:p w14:paraId="3F17559E" w14:textId="77777777" w:rsidR="00983A6F" w:rsidRDefault="00983A6F" w:rsidP="00E439AD">
            <w:pPr>
              <w:keepNext/>
              <w:shd w:val="clear" w:color="auto" w:fill="FFFFFF"/>
              <w:spacing w:after="120" w:line="312" w:lineRule="atLeast"/>
              <w:rPr>
                <w:color w:val="000000"/>
                <w:sz w:val="20"/>
              </w:rPr>
            </w:pPr>
            <w:r>
              <w:rPr>
                <w:color w:val="000000"/>
                <w:sz w:val="20"/>
              </w:rPr>
              <w:t>Paraquat,</w:t>
            </w:r>
          </w:p>
          <w:p w14:paraId="7D3C5188" w14:textId="77777777" w:rsidR="00983A6F" w:rsidRDefault="00983A6F" w:rsidP="00E439AD">
            <w:pPr>
              <w:keepNext/>
              <w:rPr>
                <w:color w:val="000000"/>
                <w:sz w:val="20"/>
              </w:rPr>
            </w:pPr>
            <w:r>
              <w:rPr>
                <w:color w:val="000000"/>
                <w:sz w:val="20"/>
              </w:rPr>
              <w:t xml:space="preserve">Locomotor activity </w:t>
            </w:r>
          </w:p>
        </w:tc>
        <w:tc>
          <w:tcPr>
            <w:tcW w:w="1272" w:type="dxa"/>
            <w:tcBorders>
              <w:top w:val="single" w:sz="4" w:space="0" w:color="auto"/>
              <w:left w:val="single" w:sz="4" w:space="0" w:color="auto"/>
              <w:bottom w:val="single" w:sz="4" w:space="0" w:color="auto"/>
              <w:right w:val="single" w:sz="4" w:space="0" w:color="auto"/>
            </w:tcBorders>
            <w:vAlign w:val="center"/>
            <w:hideMark/>
          </w:tcPr>
          <w:p w14:paraId="0E10C505" w14:textId="77777777" w:rsidR="00983A6F" w:rsidRDefault="00983A6F" w:rsidP="00E439AD">
            <w:pPr>
              <w:keepNext/>
              <w:shd w:val="clear" w:color="auto" w:fill="FFFFFF"/>
              <w:spacing w:after="120" w:line="312" w:lineRule="atLeast"/>
              <w:rPr>
                <w:color w:val="000000"/>
                <w:sz w:val="20"/>
              </w:rPr>
            </w:pPr>
            <w:r>
              <w:rPr>
                <w:color w:val="000000"/>
                <w:sz w:val="20"/>
              </w:rPr>
              <w:t>Individual</w:t>
            </w:r>
          </w:p>
        </w:tc>
      </w:tr>
      <w:tr w:rsidR="00983A6F" w14:paraId="432A7FCB" w14:textId="77777777" w:rsidTr="00C34954">
        <w:tc>
          <w:tcPr>
            <w:tcW w:w="1309" w:type="dxa"/>
            <w:tcBorders>
              <w:top w:val="single" w:sz="4" w:space="0" w:color="auto"/>
              <w:left w:val="single" w:sz="4" w:space="0" w:color="auto"/>
              <w:bottom w:val="single" w:sz="4" w:space="0" w:color="auto"/>
              <w:right w:val="single" w:sz="4" w:space="0" w:color="auto"/>
            </w:tcBorders>
            <w:vAlign w:val="center"/>
            <w:hideMark/>
          </w:tcPr>
          <w:p w14:paraId="58C1DF39" w14:textId="77777777" w:rsidR="00983A6F" w:rsidRDefault="00983A6F" w:rsidP="00E439AD">
            <w:pPr>
              <w:keepNext/>
              <w:rPr>
                <w:color w:val="000000"/>
                <w:sz w:val="20"/>
              </w:rPr>
            </w:pPr>
            <w:r>
              <w:rPr>
                <w:color w:val="000000"/>
                <w:sz w:val="20"/>
              </w:rPr>
              <w:t>II</w:t>
            </w:r>
          </w:p>
        </w:tc>
        <w:tc>
          <w:tcPr>
            <w:tcW w:w="983" w:type="dxa"/>
            <w:tcBorders>
              <w:top w:val="single" w:sz="4" w:space="0" w:color="auto"/>
              <w:left w:val="single" w:sz="4" w:space="0" w:color="auto"/>
              <w:bottom w:val="single" w:sz="4" w:space="0" w:color="auto"/>
              <w:right w:val="single" w:sz="4" w:space="0" w:color="auto"/>
            </w:tcBorders>
            <w:vAlign w:val="center"/>
            <w:hideMark/>
          </w:tcPr>
          <w:p w14:paraId="209D7496" w14:textId="77777777" w:rsidR="00983A6F" w:rsidRDefault="00983A6F" w:rsidP="00E439AD">
            <w:pPr>
              <w:keepNext/>
              <w:shd w:val="clear" w:color="auto" w:fill="FFFFFF"/>
              <w:spacing w:after="120" w:line="312" w:lineRule="atLeast"/>
              <w:rPr>
                <w:color w:val="000000"/>
                <w:sz w:val="20"/>
              </w:rPr>
            </w:pPr>
            <w:r>
              <w:rPr>
                <w:color w:val="000000"/>
                <w:sz w:val="20"/>
              </w:rPr>
              <w:t>ip</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38E6107" w14:textId="77777777" w:rsidR="00436573" w:rsidRDefault="00983A6F" w:rsidP="00E439AD">
            <w:pPr>
              <w:keepNext/>
              <w:shd w:val="clear" w:color="auto" w:fill="FFFFFF"/>
              <w:spacing w:after="120" w:line="312" w:lineRule="atLeast"/>
              <w:jc w:val="left"/>
              <w:rPr>
                <w:color w:val="000000"/>
                <w:sz w:val="20"/>
              </w:rPr>
            </w:pPr>
            <w:r>
              <w:rPr>
                <w:color w:val="000000"/>
                <w:sz w:val="20"/>
              </w:rPr>
              <w:t>10 mg/kg bw</w:t>
            </w:r>
          </w:p>
        </w:tc>
        <w:tc>
          <w:tcPr>
            <w:tcW w:w="1359" w:type="dxa"/>
            <w:tcBorders>
              <w:top w:val="single" w:sz="4" w:space="0" w:color="auto"/>
              <w:left w:val="single" w:sz="4" w:space="0" w:color="auto"/>
              <w:bottom w:val="single" w:sz="4" w:space="0" w:color="auto"/>
              <w:right w:val="single" w:sz="4" w:space="0" w:color="auto"/>
            </w:tcBorders>
            <w:vAlign w:val="center"/>
            <w:hideMark/>
          </w:tcPr>
          <w:p w14:paraId="182D2EC6" w14:textId="77777777" w:rsidR="00983A6F" w:rsidRDefault="00983A6F" w:rsidP="00E439AD">
            <w:pPr>
              <w:keepNext/>
              <w:jc w:val="center"/>
              <w:rPr>
                <w:color w:val="000000"/>
                <w:sz w:val="20"/>
              </w:rPr>
            </w:pPr>
            <w:r>
              <w:rPr>
                <w:color w:val="000000"/>
                <w:sz w:val="20"/>
              </w:rPr>
              <w:t>55</w:t>
            </w:r>
          </w:p>
        </w:tc>
        <w:tc>
          <w:tcPr>
            <w:tcW w:w="1277" w:type="dxa"/>
            <w:tcBorders>
              <w:top w:val="single" w:sz="4" w:space="0" w:color="auto"/>
              <w:left w:val="single" w:sz="4" w:space="0" w:color="auto"/>
              <w:bottom w:val="single" w:sz="4" w:space="0" w:color="auto"/>
              <w:right w:val="single" w:sz="4" w:space="0" w:color="auto"/>
            </w:tcBorders>
            <w:vAlign w:val="center"/>
            <w:hideMark/>
          </w:tcPr>
          <w:p w14:paraId="1868249E" w14:textId="77777777" w:rsidR="00983A6F" w:rsidRDefault="00983A6F" w:rsidP="00E439AD">
            <w:pPr>
              <w:keepNext/>
              <w:rPr>
                <w:color w:val="000000"/>
                <w:sz w:val="20"/>
              </w:rPr>
            </w:pPr>
            <w:r>
              <w:rPr>
                <w:color w:val="000000"/>
                <w:sz w:val="20"/>
              </w:rPr>
              <w:t>3x and then 2x/week</w:t>
            </w:r>
          </w:p>
        </w:tc>
        <w:tc>
          <w:tcPr>
            <w:tcW w:w="1285" w:type="dxa"/>
            <w:tcBorders>
              <w:top w:val="single" w:sz="4" w:space="0" w:color="auto"/>
              <w:left w:val="single" w:sz="4" w:space="0" w:color="auto"/>
              <w:bottom w:val="single" w:sz="4" w:space="0" w:color="auto"/>
              <w:right w:val="single" w:sz="4" w:space="0" w:color="auto"/>
            </w:tcBorders>
            <w:vAlign w:val="center"/>
            <w:hideMark/>
          </w:tcPr>
          <w:p w14:paraId="6E518E33" w14:textId="77777777" w:rsidR="00983A6F" w:rsidRDefault="00983A6F" w:rsidP="00E439AD">
            <w:pPr>
              <w:keepNext/>
              <w:rPr>
                <w:color w:val="000000"/>
                <w:sz w:val="20"/>
              </w:rPr>
            </w:pPr>
            <w:r>
              <w:rPr>
                <w:color w:val="000000"/>
                <w:sz w:val="20"/>
              </w:rPr>
              <w:t>Paraquat, HPLC</w:t>
            </w:r>
          </w:p>
        </w:tc>
        <w:tc>
          <w:tcPr>
            <w:tcW w:w="1272" w:type="dxa"/>
            <w:tcBorders>
              <w:top w:val="single" w:sz="4" w:space="0" w:color="auto"/>
              <w:left w:val="single" w:sz="4" w:space="0" w:color="auto"/>
              <w:bottom w:val="single" w:sz="4" w:space="0" w:color="auto"/>
              <w:right w:val="single" w:sz="4" w:space="0" w:color="auto"/>
            </w:tcBorders>
            <w:vAlign w:val="center"/>
            <w:hideMark/>
          </w:tcPr>
          <w:p w14:paraId="49C91B56" w14:textId="77777777" w:rsidR="00983A6F" w:rsidRDefault="00983A6F" w:rsidP="00E439AD">
            <w:pPr>
              <w:keepNext/>
              <w:shd w:val="clear" w:color="auto" w:fill="FFFFFF"/>
              <w:spacing w:after="120" w:line="312" w:lineRule="atLeast"/>
              <w:rPr>
                <w:color w:val="000000"/>
                <w:sz w:val="20"/>
              </w:rPr>
            </w:pPr>
            <w:r>
              <w:rPr>
                <w:color w:val="000000"/>
                <w:sz w:val="20"/>
              </w:rPr>
              <w:t>Pooled</w:t>
            </w:r>
          </w:p>
        </w:tc>
      </w:tr>
      <w:tr w:rsidR="00983A6F" w14:paraId="50346389" w14:textId="77777777" w:rsidTr="00C34954">
        <w:tc>
          <w:tcPr>
            <w:tcW w:w="1309" w:type="dxa"/>
            <w:tcBorders>
              <w:top w:val="single" w:sz="4" w:space="0" w:color="auto"/>
              <w:left w:val="single" w:sz="4" w:space="0" w:color="auto"/>
              <w:bottom w:val="single" w:sz="4" w:space="0" w:color="auto"/>
              <w:right w:val="single" w:sz="4" w:space="0" w:color="auto"/>
            </w:tcBorders>
            <w:vAlign w:val="center"/>
            <w:hideMark/>
          </w:tcPr>
          <w:p w14:paraId="50756882" w14:textId="77777777" w:rsidR="00983A6F" w:rsidRDefault="00983A6F" w:rsidP="00E439AD">
            <w:pPr>
              <w:keepNext/>
              <w:rPr>
                <w:color w:val="000000"/>
                <w:sz w:val="20"/>
              </w:rPr>
            </w:pPr>
            <w:r>
              <w:rPr>
                <w:color w:val="000000"/>
                <w:sz w:val="20"/>
              </w:rPr>
              <w:t>III</w:t>
            </w:r>
          </w:p>
        </w:tc>
        <w:tc>
          <w:tcPr>
            <w:tcW w:w="983" w:type="dxa"/>
            <w:tcBorders>
              <w:top w:val="single" w:sz="4" w:space="0" w:color="auto"/>
              <w:left w:val="single" w:sz="4" w:space="0" w:color="auto"/>
              <w:bottom w:val="single" w:sz="4" w:space="0" w:color="auto"/>
              <w:right w:val="single" w:sz="4" w:space="0" w:color="auto"/>
            </w:tcBorders>
            <w:vAlign w:val="center"/>
            <w:hideMark/>
          </w:tcPr>
          <w:p w14:paraId="4337344B" w14:textId="77777777" w:rsidR="00983A6F" w:rsidRDefault="00983A6F" w:rsidP="00E439AD">
            <w:pPr>
              <w:keepNext/>
              <w:rPr>
                <w:color w:val="000000"/>
                <w:sz w:val="20"/>
              </w:rPr>
            </w:pPr>
            <w:r>
              <w:rPr>
                <w:color w:val="000000"/>
                <w:sz w:val="20"/>
              </w:rPr>
              <w:t>Oral</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7DDFEC2" w14:textId="77777777" w:rsidR="00436573" w:rsidRPr="006A42B1" w:rsidRDefault="00983A6F" w:rsidP="00E439AD">
            <w:pPr>
              <w:keepNext/>
              <w:jc w:val="left"/>
              <w:rPr>
                <w:color w:val="000000"/>
                <w:sz w:val="20"/>
                <w:lang w:val="de-DE"/>
              </w:rPr>
            </w:pPr>
            <w:r w:rsidRPr="006A42B1">
              <w:rPr>
                <w:color w:val="000000"/>
                <w:sz w:val="20"/>
                <w:lang w:val="de-DE"/>
              </w:rPr>
              <w:t>0.03 mg/mL</w:t>
            </w:r>
            <w:r w:rsidR="00897462" w:rsidRPr="006A42B1">
              <w:rPr>
                <w:color w:val="000000"/>
                <w:sz w:val="20"/>
                <w:vertAlign w:val="superscript"/>
                <w:lang w:val="de-DE"/>
              </w:rPr>
              <w:t>1</w:t>
            </w:r>
          </w:p>
          <w:p w14:paraId="5A832653" w14:textId="77777777" w:rsidR="00436573" w:rsidRPr="006A42B1" w:rsidRDefault="00983A6F" w:rsidP="00E439AD">
            <w:pPr>
              <w:keepNext/>
              <w:jc w:val="left"/>
              <w:rPr>
                <w:color w:val="000000"/>
                <w:sz w:val="20"/>
                <w:lang w:val="de-DE"/>
              </w:rPr>
            </w:pPr>
            <w:r w:rsidRPr="006A42B1">
              <w:rPr>
                <w:color w:val="000000"/>
                <w:sz w:val="20"/>
                <w:lang w:val="de-DE"/>
              </w:rPr>
              <w:t>0.04 mg/mL</w:t>
            </w:r>
            <w:r w:rsidR="004E0C85" w:rsidRPr="006A42B1">
              <w:rPr>
                <w:color w:val="000000"/>
                <w:sz w:val="20"/>
                <w:vertAlign w:val="superscript"/>
                <w:lang w:val="de-DE"/>
              </w:rPr>
              <w:t>1</w:t>
            </w:r>
          </w:p>
          <w:p w14:paraId="746233C9" w14:textId="77777777" w:rsidR="00436573" w:rsidRPr="006A42B1" w:rsidRDefault="00983A6F" w:rsidP="00E439AD">
            <w:pPr>
              <w:keepNext/>
              <w:jc w:val="left"/>
              <w:rPr>
                <w:color w:val="000000"/>
                <w:sz w:val="20"/>
                <w:lang w:val="de-DE"/>
              </w:rPr>
            </w:pPr>
            <w:r w:rsidRPr="006A42B1">
              <w:rPr>
                <w:color w:val="000000"/>
                <w:sz w:val="20"/>
                <w:lang w:val="de-DE"/>
              </w:rPr>
              <w:t>0.05 mg/mL</w:t>
            </w:r>
            <w:r w:rsidR="004E0C85" w:rsidRPr="006A42B1">
              <w:rPr>
                <w:color w:val="000000"/>
                <w:sz w:val="20"/>
                <w:vertAlign w:val="superscript"/>
                <w:lang w:val="de-DE"/>
              </w:rPr>
              <w:t>1</w:t>
            </w:r>
          </w:p>
        </w:tc>
        <w:tc>
          <w:tcPr>
            <w:tcW w:w="1359" w:type="dxa"/>
            <w:tcBorders>
              <w:top w:val="single" w:sz="4" w:space="0" w:color="auto"/>
              <w:left w:val="single" w:sz="4" w:space="0" w:color="auto"/>
              <w:bottom w:val="single" w:sz="4" w:space="0" w:color="auto"/>
              <w:right w:val="single" w:sz="4" w:space="0" w:color="auto"/>
            </w:tcBorders>
            <w:vAlign w:val="center"/>
            <w:hideMark/>
          </w:tcPr>
          <w:p w14:paraId="7669ACF6" w14:textId="77777777" w:rsidR="00983A6F" w:rsidRDefault="00983A6F" w:rsidP="00E439AD">
            <w:pPr>
              <w:keepNext/>
              <w:jc w:val="center"/>
              <w:rPr>
                <w:color w:val="000000"/>
                <w:sz w:val="20"/>
              </w:rPr>
            </w:pPr>
            <w:r>
              <w:rPr>
                <w:color w:val="000000"/>
                <w:sz w:val="20"/>
              </w:rPr>
              <w:t>24</w:t>
            </w:r>
          </w:p>
        </w:tc>
        <w:tc>
          <w:tcPr>
            <w:tcW w:w="1277" w:type="dxa"/>
            <w:tcBorders>
              <w:top w:val="single" w:sz="4" w:space="0" w:color="auto"/>
              <w:left w:val="single" w:sz="4" w:space="0" w:color="auto"/>
              <w:bottom w:val="single" w:sz="4" w:space="0" w:color="auto"/>
              <w:right w:val="single" w:sz="4" w:space="0" w:color="auto"/>
            </w:tcBorders>
            <w:vAlign w:val="center"/>
            <w:hideMark/>
          </w:tcPr>
          <w:p w14:paraId="4F1D5ED0" w14:textId="77777777" w:rsidR="00983A6F" w:rsidRDefault="00983A6F" w:rsidP="00E439AD">
            <w:pPr>
              <w:keepNext/>
              <w:rPr>
                <w:color w:val="000000"/>
                <w:sz w:val="20"/>
              </w:rPr>
            </w:pPr>
            <w:r>
              <w:rPr>
                <w:color w:val="000000"/>
                <w:sz w:val="20"/>
              </w:rPr>
              <w:t>Daily</w:t>
            </w:r>
          </w:p>
        </w:tc>
        <w:tc>
          <w:tcPr>
            <w:tcW w:w="1285" w:type="dxa"/>
            <w:tcBorders>
              <w:top w:val="single" w:sz="4" w:space="0" w:color="auto"/>
              <w:left w:val="single" w:sz="4" w:space="0" w:color="auto"/>
              <w:bottom w:val="single" w:sz="4" w:space="0" w:color="auto"/>
              <w:right w:val="single" w:sz="4" w:space="0" w:color="auto"/>
            </w:tcBorders>
            <w:vAlign w:val="center"/>
            <w:hideMark/>
          </w:tcPr>
          <w:p w14:paraId="34CB3EBC" w14:textId="77777777" w:rsidR="00983A6F" w:rsidRDefault="00983A6F" w:rsidP="00E439AD">
            <w:pPr>
              <w:keepNext/>
              <w:rPr>
                <w:color w:val="000000"/>
                <w:sz w:val="20"/>
              </w:rPr>
            </w:pPr>
            <w:r>
              <w:rPr>
                <w:color w:val="000000"/>
                <w:sz w:val="20"/>
              </w:rPr>
              <w:t>Paraquat</w:t>
            </w:r>
          </w:p>
        </w:tc>
        <w:tc>
          <w:tcPr>
            <w:tcW w:w="1272" w:type="dxa"/>
            <w:tcBorders>
              <w:top w:val="single" w:sz="4" w:space="0" w:color="auto"/>
              <w:left w:val="single" w:sz="4" w:space="0" w:color="auto"/>
              <w:bottom w:val="single" w:sz="4" w:space="0" w:color="auto"/>
              <w:right w:val="single" w:sz="4" w:space="0" w:color="auto"/>
            </w:tcBorders>
            <w:vAlign w:val="center"/>
            <w:hideMark/>
          </w:tcPr>
          <w:p w14:paraId="74327EB9" w14:textId="77777777" w:rsidR="00983A6F" w:rsidRDefault="00983A6F" w:rsidP="00E439AD">
            <w:pPr>
              <w:keepNext/>
              <w:shd w:val="clear" w:color="auto" w:fill="FFFFFF"/>
              <w:spacing w:after="120" w:line="312" w:lineRule="atLeast"/>
              <w:rPr>
                <w:color w:val="000000"/>
                <w:sz w:val="20"/>
              </w:rPr>
            </w:pPr>
            <w:r>
              <w:rPr>
                <w:color w:val="000000"/>
                <w:sz w:val="20"/>
              </w:rPr>
              <w:t>Pooled</w:t>
            </w:r>
          </w:p>
        </w:tc>
      </w:tr>
      <w:tr w:rsidR="00983A6F" w14:paraId="1B0F652A" w14:textId="77777777" w:rsidTr="00C34954">
        <w:tc>
          <w:tcPr>
            <w:tcW w:w="1309" w:type="dxa"/>
            <w:tcBorders>
              <w:top w:val="single" w:sz="4" w:space="0" w:color="auto"/>
              <w:left w:val="single" w:sz="4" w:space="0" w:color="auto"/>
              <w:bottom w:val="single" w:sz="4" w:space="0" w:color="auto"/>
              <w:right w:val="single" w:sz="4" w:space="0" w:color="auto"/>
            </w:tcBorders>
            <w:vAlign w:val="center"/>
            <w:hideMark/>
          </w:tcPr>
          <w:p w14:paraId="04DB6101" w14:textId="77777777" w:rsidR="00983A6F" w:rsidRDefault="00983A6F" w:rsidP="00E439AD">
            <w:pPr>
              <w:keepNext/>
              <w:rPr>
                <w:color w:val="000000"/>
                <w:sz w:val="20"/>
              </w:rPr>
            </w:pPr>
            <w:r>
              <w:rPr>
                <w:color w:val="000000"/>
                <w:sz w:val="20"/>
              </w:rPr>
              <w:t>IV</w:t>
            </w:r>
          </w:p>
        </w:tc>
        <w:tc>
          <w:tcPr>
            <w:tcW w:w="983" w:type="dxa"/>
            <w:tcBorders>
              <w:top w:val="single" w:sz="4" w:space="0" w:color="auto"/>
              <w:left w:val="single" w:sz="4" w:space="0" w:color="auto"/>
              <w:bottom w:val="single" w:sz="4" w:space="0" w:color="auto"/>
              <w:right w:val="single" w:sz="4" w:space="0" w:color="auto"/>
            </w:tcBorders>
            <w:vAlign w:val="center"/>
            <w:hideMark/>
          </w:tcPr>
          <w:p w14:paraId="6F251BDB" w14:textId="77777777" w:rsidR="00983A6F" w:rsidRDefault="00983A6F" w:rsidP="00E439AD">
            <w:pPr>
              <w:keepNext/>
              <w:shd w:val="clear" w:color="auto" w:fill="FFFFFF"/>
              <w:spacing w:after="120" w:line="312" w:lineRule="atLeast"/>
              <w:rPr>
                <w:color w:val="000000"/>
                <w:sz w:val="20"/>
              </w:rPr>
            </w:pPr>
            <w:r>
              <w:rPr>
                <w:color w:val="000000"/>
                <w:sz w:val="20"/>
              </w:rPr>
              <w:t>ip</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DAA9F1C" w14:textId="77777777" w:rsidR="00436573" w:rsidRDefault="00983A6F" w:rsidP="00E439AD">
            <w:pPr>
              <w:keepNext/>
              <w:shd w:val="clear" w:color="auto" w:fill="FFFFFF"/>
              <w:spacing w:after="120" w:line="312" w:lineRule="atLeast"/>
              <w:jc w:val="left"/>
              <w:rPr>
                <w:color w:val="000000"/>
                <w:sz w:val="20"/>
              </w:rPr>
            </w:pPr>
            <w:r>
              <w:rPr>
                <w:color w:val="000000"/>
                <w:sz w:val="20"/>
              </w:rPr>
              <w:t>10 mg/kg bw</w:t>
            </w:r>
          </w:p>
        </w:tc>
        <w:tc>
          <w:tcPr>
            <w:tcW w:w="1359" w:type="dxa"/>
            <w:tcBorders>
              <w:top w:val="single" w:sz="4" w:space="0" w:color="auto"/>
              <w:left w:val="single" w:sz="4" w:space="0" w:color="auto"/>
              <w:bottom w:val="single" w:sz="4" w:space="0" w:color="auto"/>
              <w:right w:val="single" w:sz="4" w:space="0" w:color="auto"/>
            </w:tcBorders>
            <w:vAlign w:val="center"/>
            <w:hideMark/>
          </w:tcPr>
          <w:p w14:paraId="15A6ED6F" w14:textId="77777777" w:rsidR="00983A6F" w:rsidRDefault="00983A6F" w:rsidP="00E439AD">
            <w:pPr>
              <w:keepNext/>
              <w:shd w:val="clear" w:color="auto" w:fill="FFFFFF"/>
              <w:spacing w:after="120" w:line="312" w:lineRule="atLeast"/>
              <w:jc w:val="center"/>
              <w:rPr>
                <w:color w:val="000000"/>
                <w:sz w:val="20"/>
              </w:rPr>
            </w:pPr>
            <w:r>
              <w:rPr>
                <w:color w:val="000000"/>
                <w:sz w:val="20"/>
              </w:rPr>
              <w:t>80</w:t>
            </w:r>
          </w:p>
        </w:tc>
        <w:tc>
          <w:tcPr>
            <w:tcW w:w="1277" w:type="dxa"/>
            <w:tcBorders>
              <w:top w:val="single" w:sz="4" w:space="0" w:color="auto"/>
              <w:left w:val="single" w:sz="4" w:space="0" w:color="auto"/>
              <w:bottom w:val="single" w:sz="4" w:space="0" w:color="auto"/>
              <w:right w:val="single" w:sz="4" w:space="0" w:color="auto"/>
            </w:tcBorders>
            <w:vAlign w:val="center"/>
            <w:hideMark/>
          </w:tcPr>
          <w:p w14:paraId="3FEF8355" w14:textId="77777777" w:rsidR="00983A6F" w:rsidRDefault="00983A6F" w:rsidP="00E439AD">
            <w:pPr>
              <w:keepNext/>
              <w:shd w:val="clear" w:color="auto" w:fill="FFFFFF"/>
              <w:spacing w:after="120" w:line="312" w:lineRule="atLeast"/>
              <w:rPr>
                <w:color w:val="000000"/>
                <w:sz w:val="20"/>
              </w:rPr>
            </w:pPr>
            <w:r>
              <w:rPr>
                <w:color w:val="000000"/>
                <w:sz w:val="20"/>
              </w:rPr>
              <w:t>Once</w:t>
            </w:r>
          </w:p>
        </w:tc>
        <w:tc>
          <w:tcPr>
            <w:tcW w:w="1285" w:type="dxa"/>
            <w:tcBorders>
              <w:top w:val="single" w:sz="4" w:space="0" w:color="auto"/>
              <w:left w:val="single" w:sz="4" w:space="0" w:color="auto"/>
              <w:bottom w:val="single" w:sz="4" w:space="0" w:color="auto"/>
              <w:right w:val="single" w:sz="4" w:space="0" w:color="auto"/>
            </w:tcBorders>
            <w:vAlign w:val="center"/>
            <w:hideMark/>
          </w:tcPr>
          <w:p w14:paraId="628E1CB5" w14:textId="77777777" w:rsidR="00983A6F" w:rsidRDefault="00983A6F" w:rsidP="00E439AD">
            <w:pPr>
              <w:keepNext/>
              <w:shd w:val="clear" w:color="auto" w:fill="FFFFFF"/>
              <w:spacing w:after="120" w:line="312" w:lineRule="atLeast"/>
              <w:rPr>
                <w:color w:val="000000"/>
                <w:sz w:val="20"/>
              </w:rPr>
            </w:pPr>
            <w:r>
              <w:rPr>
                <w:color w:val="000000"/>
                <w:sz w:val="20"/>
              </w:rPr>
              <w:t>Paraquat</w:t>
            </w:r>
          </w:p>
        </w:tc>
        <w:tc>
          <w:tcPr>
            <w:tcW w:w="1272" w:type="dxa"/>
            <w:tcBorders>
              <w:top w:val="single" w:sz="4" w:space="0" w:color="auto"/>
              <w:left w:val="single" w:sz="4" w:space="0" w:color="auto"/>
              <w:bottom w:val="single" w:sz="4" w:space="0" w:color="auto"/>
              <w:right w:val="single" w:sz="4" w:space="0" w:color="auto"/>
            </w:tcBorders>
            <w:vAlign w:val="center"/>
            <w:hideMark/>
          </w:tcPr>
          <w:p w14:paraId="00F03AE0" w14:textId="77777777" w:rsidR="00983A6F" w:rsidRDefault="00983A6F" w:rsidP="00E439AD">
            <w:pPr>
              <w:keepNext/>
              <w:shd w:val="clear" w:color="auto" w:fill="FFFFFF"/>
              <w:spacing w:after="120" w:line="312" w:lineRule="atLeast"/>
              <w:rPr>
                <w:color w:val="000000"/>
                <w:sz w:val="20"/>
              </w:rPr>
            </w:pPr>
            <w:r>
              <w:rPr>
                <w:color w:val="000000"/>
                <w:sz w:val="20"/>
              </w:rPr>
              <w:t>Pooled</w:t>
            </w:r>
          </w:p>
        </w:tc>
      </w:tr>
    </w:tbl>
    <w:p w14:paraId="38A8C22B" w14:textId="1770C87B" w:rsidR="00983A6F" w:rsidRPr="00C34954" w:rsidRDefault="00983A6F" w:rsidP="00E439AD">
      <w:pPr>
        <w:pStyle w:val="Footer"/>
        <w:keepNext/>
        <w:rPr>
          <w:sz w:val="20"/>
        </w:rPr>
      </w:pPr>
      <w:r>
        <w:rPr>
          <w:sz w:val="18"/>
          <w:szCs w:val="18"/>
          <w:vertAlign w:val="superscript"/>
        </w:rPr>
        <w:t>*</w:t>
      </w:r>
      <w:r>
        <w:rPr>
          <w:sz w:val="18"/>
          <w:szCs w:val="18"/>
        </w:rPr>
        <w:t xml:space="preserve"> Mice were sacrificed 7 days after the last </w:t>
      </w:r>
      <w:r w:rsidRPr="00197DA9">
        <w:rPr>
          <w:sz w:val="18"/>
          <w:szCs w:val="18"/>
        </w:rPr>
        <w:t>dose of paraquat for brain paraquat and metabolites estimations using HPLC-EC determinations or Western blot analysis</w:t>
      </w:r>
      <w:r w:rsidR="002E75B1" w:rsidRPr="00197DA9">
        <w:rPr>
          <w:sz w:val="18"/>
          <w:szCs w:val="18"/>
        </w:rPr>
        <w:t xml:space="preserve"> **Dose as paraquat dichloride. 10 mg/kg bw ≈7.2 mg paraquat ion/kg bw</w:t>
      </w:r>
      <w:r w:rsidR="004E0C85" w:rsidRPr="00197DA9">
        <w:rPr>
          <w:sz w:val="18"/>
          <w:szCs w:val="18"/>
        </w:rPr>
        <w:t xml:space="preserve">. 0.03/0.04/0.05 mg ≈ 0.02/0.03/0.04 mg paraquat ion. </w:t>
      </w:r>
      <w:r w:rsidR="00897462" w:rsidRPr="00C34954">
        <w:rPr>
          <w:color w:val="000000"/>
          <w:sz w:val="18"/>
          <w:szCs w:val="18"/>
          <w:vertAlign w:val="superscript"/>
        </w:rPr>
        <w:t xml:space="preserve">1 </w:t>
      </w:r>
      <w:r w:rsidR="00897462" w:rsidRPr="00C34954">
        <w:rPr>
          <w:color w:val="000000"/>
          <w:sz w:val="18"/>
          <w:szCs w:val="18"/>
        </w:rPr>
        <w:t xml:space="preserve">The OCS notes that these are the values generally provided in </w:t>
      </w:r>
      <w:r w:rsidR="00C31A63">
        <w:rPr>
          <w:color w:val="000000"/>
          <w:sz w:val="18"/>
          <w:szCs w:val="18"/>
        </w:rPr>
        <w:t>this published study</w:t>
      </w:r>
      <w:r w:rsidR="00897462" w:rsidRPr="00C34954">
        <w:rPr>
          <w:color w:val="000000"/>
          <w:sz w:val="18"/>
          <w:szCs w:val="18"/>
        </w:rPr>
        <w:t>. However, under 'PQ exposure in drinking water' it was stated that the mean concentrations of freshly made PQ were 0.30 mg/mL, 0.42 mg/mL and 0.47 mg/mL.</w:t>
      </w:r>
      <w:r w:rsidR="00197DA9" w:rsidRPr="00197DA9">
        <w:rPr>
          <w:color w:val="000000"/>
          <w:sz w:val="18"/>
          <w:szCs w:val="18"/>
        </w:rPr>
        <w:t xml:space="preserve"> This is </w:t>
      </w:r>
      <w:r w:rsidR="00197DA9">
        <w:rPr>
          <w:color w:val="000000"/>
          <w:sz w:val="18"/>
          <w:szCs w:val="18"/>
        </w:rPr>
        <w:t xml:space="preserve">assumed to </w:t>
      </w:r>
      <w:r w:rsidR="00197DA9" w:rsidRPr="00197DA9">
        <w:rPr>
          <w:color w:val="000000"/>
          <w:sz w:val="18"/>
          <w:szCs w:val="18"/>
        </w:rPr>
        <w:t>be an error.</w:t>
      </w:r>
    </w:p>
    <w:p w14:paraId="3D2DBCA8" w14:textId="77777777" w:rsidR="00983A6F" w:rsidRDefault="00983A6F" w:rsidP="00983A6F">
      <w:pPr>
        <w:spacing w:before="120"/>
        <w:rPr>
          <w:color w:val="000000"/>
        </w:rPr>
      </w:pPr>
      <w:r w:rsidRPr="00BC101B">
        <w:rPr>
          <w:color w:val="000000"/>
          <w:szCs w:val="24"/>
        </w:rPr>
        <w:t xml:space="preserve">In experiment I, analyses were done using balanced samples (n=2-4) from </w:t>
      </w:r>
      <w:r w:rsidR="006564E3" w:rsidRPr="004D01E6">
        <w:rPr>
          <w:color w:val="000000"/>
          <w:szCs w:val="24"/>
        </w:rPr>
        <w:t>the</w:t>
      </w:r>
      <w:r w:rsidRPr="00E043AC">
        <w:rPr>
          <w:color w:val="000000"/>
          <w:szCs w:val="24"/>
        </w:rPr>
        <w:t xml:space="preserve"> striatum of mice treated</w:t>
      </w:r>
      <w:r>
        <w:rPr>
          <w:color w:val="000000"/>
        </w:rPr>
        <w:t xml:space="preserve"> either 2x/week or 3x/week for 6, 12, 18, or 24 doses of 10 mg/kg bw. There were no differences in paraquat levels due to frequency of dosing at any dose number. In the 24 dose group, the values for the 2x/week (1.98 ± 0.99 ng/mg tissue, n=4) and 3x/week (1.83 ± 0.92 ng/mg tissue, n=4) were not significantly different (</w:t>
      </w:r>
      <w:r>
        <w:rPr>
          <w:i/>
          <w:color w:val="000000"/>
        </w:rPr>
        <w:t>p</w:t>
      </w:r>
      <w:r>
        <w:rPr>
          <w:color w:val="000000"/>
        </w:rPr>
        <w:t xml:space="preserve"> = 0.73) </w:t>
      </w:r>
    </w:p>
    <w:p w14:paraId="1EAB50B3" w14:textId="77777777" w:rsidR="00983A6F" w:rsidRDefault="00983A6F" w:rsidP="00983A6F">
      <w:pPr>
        <w:spacing w:before="120"/>
        <w:rPr>
          <w:color w:val="000000"/>
        </w:rPr>
      </w:pPr>
      <w:r>
        <w:rPr>
          <w:color w:val="000000"/>
        </w:rPr>
        <w:t xml:space="preserve">Experiment II demonstrated that the striatal level of paraquat reached a plateau after ≈ 18 doses. </w:t>
      </w:r>
    </w:p>
    <w:p w14:paraId="0C66E0B2" w14:textId="77777777" w:rsidR="00983A6F" w:rsidRDefault="00983A6F" w:rsidP="00983A6F">
      <w:pPr>
        <w:spacing w:before="120"/>
        <w:rPr>
          <w:color w:val="000000"/>
        </w:rPr>
      </w:pPr>
      <w:r>
        <w:rPr>
          <w:color w:val="000000"/>
        </w:rPr>
        <w:t>Tissue from experiment II w</w:t>
      </w:r>
      <w:r w:rsidR="006564E3">
        <w:rPr>
          <w:color w:val="000000"/>
        </w:rPr>
        <w:t>as</w:t>
      </w:r>
      <w:r>
        <w:rPr>
          <w:color w:val="000000"/>
        </w:rPr>
        <w:t xml:space="preserve"> used to measure the level of paraquat in frontal cortex, hippocampus, and cerebellum after the selected number of doses (18 and 36). Paraquat levels were: after 18 doses: frontal cortex (n=2) 0.91 ng/mg, hippocampus (n=4) 0.79 ng/mg, and cerebellum (n=4) 0.63 ng/mg. After 36 doses the paraquat level in the hippocampus (n=4) was 0.77 ± 0.09 ng/mg.</w:t>
      </w:r>
    </w:p>
    <w:p w14:paraId="61C6D5B8" w14:textId="77777777" w:rsidR="00983A6F" w:rsidRDefault="00983A6F" w:rsidP="00983A6F">
      <w:pPr>
        <w:spacing w:before="120"/>
        <w:rPr>
          <w:color w:val="000000"/>
        </w:rPr>
      </w:pPr>
      <w:r>
        <w:rPr>
          <w:color w:val="000000"/>
        </w:rPr>
        <w:t>Experiment III tested if paraquat could safely and effectively be administered orally in drinking water at 0.</w:t>
      </w:r>
      <w:r w:rsidR="00E043AC">
        <w:rPr>
          <w:color w:val="000000"/>
        </w:rPr>
        <w:t>0</w:t>
      </w:r>
      <w:r>
        <w:rPr>
          <w:color w:val="000000"/>
        </w:rPr>
        <w:t>3, 0.</w:t>
      </w:r>
      <w:r w:rsidR="00E043AC">
        <w:rPr>
          <w:color w:val="000000"/>
        </w:rPr>
        <w:t>0</w:t>
      </w:r>
      <w:r>
        <w:rPr>
          <w:color w:val="000000"/>
        </w:rPr>
        <w:t>4 or 0.</w:t>
      </w:r>
      <w:r w:rsidR="00E043AC">
        <w:rPr>
          <w:color w:val="000000"/>
        </w:rPr>
        <w:t>0</w:t>
      </w:r>
      <w:r>
        <w:rPr>
          <w:color w:val="000000"/>
        </w:rPr>
        <w:t>5 mg/mL for 8 or 12 weeks. Paraquat was stable in the drinking water for at least one week. No decline in the concentration of freshly made paraquat was seen after 3, 4 or 7 days in drinking water. Paraquat was measured in the striatum from each of the six groups and suggested that brain levels were related to the concentration of paraquat in the drinking water and the duration of exposure.</w:t>
      </w:r>
    </w:p>
    <w:p w14:paraId="2F2E80D7" w14:textId="77777777" w:rsidR="00983A6F" w:rsidRDefault="00983A6F" w:rsidP="00983A6F">
      <w:pPr>
        <w:spacing w:before="120"/>
        <w:rPr>
          <w:color w:val="000000"/>
        </w:rPr>
      </w:pPr>
      <w:r>
        <w:rPr>
          <w:color w:val="000000"/>
        </w:rPr>
        <w:t>Experiment IV determined the half-life of paraquat in striatum following a single ip dose (10 mg/kg bw) to five different inbred strains (n=4 per strain and time point). The strains of mice were C57BL/6J, 129S1/EiJ, A/J, NOD/LtJ and PWK/PhJ. The striatal level of paraquat was measured after 4, 14, 28, and 56 days. The interaction between strain and time was significant (p = 0.0094). Strain NOD/LtJ differed significantly from all other strains (comparing to 129S1/EiJ, p = 0.0071; to A/J p = 0.0020; to C57BL/6J p = 0.0018; and to PWK/PhJ p = 0.0416). No other pair of strains differed significantly from one another. Elimination from brain was linear for each strain (C57BL/6J r</w:t>
      </w:r>
      <w:r>
        <w:rPr>
          <w:color w:val="000000"/>
          <w:vertAlign w:val="superscript"/>
        </w:rPr>
        <w:t>2</w:t>
      </w:r>
      <w:r>
        <w:rPr>
          <w:color w:val="000000"/>
        </w:rPr>
        <w:t>=0.91, 129S1/EiJ r</w:t>
      </w:r>
      <w:r>
        <w:rPr>
          <w:color w:val="000000"/>
          <w:vertAlign w:val="superscript"/>
        </w:rPr>
        <w:t>2</w:t>
      </w:r>
      <w:r>
        <w:rPr>
          <w:color w:val="000000"/>
        </w:rPr>
        <w:t>=0.99, A/J r</w:t>
      </w:r>
      <w:r>
        <w:rPr>
          <w:color w:val="000000"/>
          <w:vertAlign w:val="superscript"/>
        </w:rPr>
        <w:t>2</w:t>
      </w:r>
      <w:r>
        <w:rPr>
          <w:color w:val="000000"/>
        </w:rPr>
        <w:t>=0.95, NOD/LtJ r</w:t>
      </w:r>
      <w:r>
        <w:rPr>
          <w:color w:val="000000"/>
          <w:vertAlign w:val="superscript"/>
        </w:rPr>
        <w:t>2</w:t>
      </w:r>
      <w:r>
        <w:rPr>
          <w:color w:val="000000"/>
        </w:rPr>
        <w:t>=0.83 and PWK/PhJ r</w:t>
      </w:r>
      <w:r>
        <w:rPr>
          <w:color w:val="000000"/>
          <w:vertAlign w:val="superscript"/>
        </w:rPr>
        <w:t>2</w:t>
      </w:r>
      <w:r>
        <w:rPr>
          <w:color w:val="000000"/>
        </w:rPr>
        <w:t xml:space="preserve">=0.90. The elimination </w:t>
      </w:r>
      <w:r w:rsidR="00794F11">
        <w:rPr>
          <w:color w:val="000000"/>
        </w:rPr>
        <w:t>half-life</w:t>
      </w:r>
      <w:r>
        <w:rPr>
          <w:color w:val="000000"/>
        </w:rPr>
        <w:t xml:space="preserve"> in brain was shortest in strain C57BL/6J (≈ 1 month) and longest in NOD/LtJ (≈ 3 months).</w:t>
      </w:r>
    </w:p>
    <w:p w14:paraId="26118F40" w14:textId="77777777" w:rsidR="00983A6F" w:rsidRDefault="00983A6F" w:rsidP="00983A6F">
      <w:pPr>
        <w:spacing w:before="120"/>
        <w:rPr>
          <w:color w:val="000000"/>
        </w:rPr>
      </w:pPr>
      <w:r>
        <w:rPr>
          <w:color w:val="000000"/>
        </w:rPr>
        <w:t xml:space="preserve">Striatal </w:t>
      </w:r>
      <w:r w:rsidR="00011149">
        <w:rPr>
          <w:color w:val="000000"/>
        </w:rPr>
        <w:t>DA</w:t>
      </w:r>
      <w:r>
        <w:rPr>
          <w:color w:val="000000"/>
        </w:rPr>
        <w:t xml:space="preserve"> and its metabolites from Experiments I and II were measured 7 days after the last paraquat treatments. The ANOVA from Experiment I demonstrated a significant overall effect </w:t>
      </w:r>
      <w:r>
        <w:rPr>
          <w:color w:val="000000"/>
        </w:rPr>
        <w:lastRenderedPageBreak/>
        <w:t xml:space="preserve">of paraquat only on the level of striatal </w:t>
      </w:r>
      <w:r w:rsidR="00011149">
        <w:rPr>
          <w:color w:val="000000"/>
        </w:rPr>
        <w:t>DA</w:t>
      </w:r>
      <w:r>
        <w:rPr>
          <w:color w:val="000000"/>
        </w:rPr>
        <w:t xml:space="preserve"> (≈ 75% of saline controls) (</w:t>
      </w:r>
      <w:r>
        <w:rPr>
          <w:i/>
          <w:color w:val="000000"/>
        </w:rPr>
        <w:t>p</w:t>
      </w:r>
      <w:r>
        <w:rPr>
          <w:color w:val="000000"/>
        </w:rPr>
        <w:t xml:space="preserve"> &lt; 0.001), after 24 doses. The levels of HVA  – a metabolite were reduced to similar levels after 24 doses. </w:t>
      </w:r>
    </w:p>
    <w:p w14:paraId="0AB1473F" w14:textId="77777777" w:rsidR="00983A6F" w:rsidRDefault="00983A6F" w:rsidP="00983A6F">
      <w:pPr>
        <w:spacing w:before="120"/>
        <w:rPr>
          <w:color w:val="000000"/>
        </w:rPr>
      </w:pPr>
      <w:r>
        <w:rPr>
          <w:color w:val="000000"/>
        </w:rPr>
        <w:t xml:space="preserve">Following Experiment II, the ANOVA demonstrated a significant overall effect of paraquat on the level of striatal </w:t>
      </w:r>
      <w:r w:rsidR="00011149">
        <w:rPr>
          <w:color w:val="000000"/>
        </w:rPr>
        <w:t>DA</w:t>
      </w:r>
      <w:r>
        <w:rPr>
          <w:color w:val="000000"/>
        </w:rPr>
        <w:t xml:space="preserve"> (p &lt; 0.001). There were significantly lower levels of </w:t>
      </w:r>
      <w:r w:rsidR="00011149">
        <w:rPr>
          <w:color w:val="000000"/>
        </w:rPr>
        <w:t>DA</w:t>
      </w:r>
      <w:r>
        <w:rPr>
          <w:color w:val="000000"/>
        </w:rPr>
        <w:t xml:space="preserve"> after paraquat treatments 18, 24, 30, and 36 compared to saline controls (all p &lt; 0.0001, 71 to 80% of saline controls). There was also a significant overall effect of paraquat on the level of striatal DOPAC (3,4-Dihydroxyphenyl-acetic acid – a metabolite) (p &lt; 0.001). There were significant decreases in DOPAC after the 30th and 36th dose (both p &lt; 0.0001). There was also a significant overall effect of paraquat on the level of striatal HVA (p &lt; 0.001). Significant decreases in </w:t>
      </w:r>
      <w:r w:rsidR="00CC4532">
        <w:rPr>
          <w:color w:val="000000"/>
        </w:rPr>
        <w:t xml:space="preserve">HVA </w:t>
      </w:r>
      <w:r>
        <w:rPr>
          <w:color w:val="000000"/>
        </w:rPr>
        <w:t>after the 24th, 30th and 36th doses (all p &lt; 0.05) were noted. No significant paraquat-related changes occurred with 5-HT  or 5-HIAA (5-hydroxyindoleacetic acid).</w:t>
      </w:r>
    </w:p>
    <w:p w14:paraId="4E06E9D1" w14:textId="77777777" w:rsidR="00983A6F" w:rsidRDefault="00983A6F" w:rsidP="00983A6F">
      <w:pPr>
        <w:rPr>
          <w:szCs w:val="24"/>
          <w:lang w:val="en-US"/>
        </w:rPr>
      </w:pPr>
    </w:p>
    <w:p w14:paraId="7A44DE06" w14:textId="77777777" w:rsidR="00983A6F" w:rsidRDefault="00983A6F" w:rsidP="00983A6F">
      <w:pPr>
        <w:rPr>
          <w:i/>
          <w:szCs w:val="24"/>
          <w:lang w:val="en-US"/>
        </w:rPr>
      </w:pPr>
      <w:r>
        <w:rPr>
          <w:i/>
          <w:szCs w:val="24"/>
          <w:lang w:val="en-US"/>
        </w:rPr>
        <w:t>Conclusion</w:t>
      </w:r>
    </w:p>
    <w:p w14:paraId="3F0689FC" w14:textId="77777777" w:rsidR="00983A6F" w:rsidRDefault="00983A6F" w:rsidP="00983A6F">
      <w:pPr>
        <w:spacing w:before="120"/>
        <w:rPr>
          <w:color w:val="000000"/>
        </w:rPr>
      </w:pPr>
      <w:r>
        <w:rPr>
          <w:color w:val="000000"/>
        </w:rPr>
        <w:t xml:space="preserve">The toxicokinetics and toxicodynamics of paraquat in </w:t>
      </w:r>
      <w:r w:rsidR="00CC4532">
        <w:rPr>
          <w:color w:val="000000"/>
        </w:rPr>
        <w:t>the brain of mice</w:t>
      </w:r>
      <w:r>
        <w:rPr>
          <w:color w:val="000000"/>
        </w:rPr>
        <w:t xml:space="preserve"> reflect the a</w:t>
      </w:r>
      <w:r w:rsidRPr="0056108B">
        <w:rPr>
          <w:color w:val="000000"/>
        </w:rPr>
        <w:t>ccumulation</w:t>
      </w:r>
      <w:r>
        <w:rPr>
          <w:color w:val="000000"/>
        </w:rPr>
        <w:t xml:space="preserve"> and plateau level of paraquat in brain </w:t>
      </w:r>
      <w:r w:rsidR="009F7EB6">
        <w:rPr>
          <w:color w:val="000000"/>
        </w:rPr>
        <w:t xml:space="preserve">after ip </w:t>
      </w:r>
      <w:r>
        <w:rPr>
          <w:color w:val="000000"/>
        </w:rPr>
        <w:t xml:space="preserve">and are related to the long half-life. The toxicodynamic consequences are dependent on the paraquat brain level and the duration of its presence in the brain. </w:t>
      </w:r>
    </w:p>
    <w:p w14:paraId="78E8617C" w14:textId="77777777" w:rsidR="002B2CFC" w:rsidRPr="002B2CFC" w:rsidRDefault="002B2CFC" w:rsidP="002B2CFC">
      <w:pPr>
        <w:rPr>
          <w:szCs w:val="24"/>
          <w:lang w:eastAsia="en-US"/>
        </w:rPr>
      </w:pPr>
    </w:p>
    <w:p w14:paraId="05F0C331" w14:textId="77777777" w:rsidR="002B2CFC" w:rsidRDefault="00FF5515" w:rsidP="00FC749B">
      <w:pPr>
        <w:pStyle w:val="Heading2"/>
        <w:rPr>
          <w:lang w:eastAsia="en-US"/>
        </w:rPr>
      </w:pPr>
      <w:bookmarkStart w:id="130" w:name="_Toc275178995"/>
      <w:bookmarkStart w:id="131" w:name="_Toc459108309"/>
      <w:r>
        <w:rPr>
          <w:lang w:eastAsia="en-US"/>
        </w:rPr>
        <w:t xml:space="preserve">Summary </w:t>
      </w:r>
      <w:r w:rsidR="006D4D78">
        <w:rPr>
          <w:lang w:eastAsia="en-US"/>
        </w:rPr>
        <w:t>of studies evaluated by</w:t>
      </w:r>
      <w:r w:rsidR="006D4D78" w:rsidRPr="002B2CFC">
        <w:rPr>
          <w:lang w:eastAsia="en-US"/>
        </w:rPr>
        <w:t xml:space="preserve"> </w:t>
      </w:r>
      <w:r w:rsidR="002B2CFC" w:rsidRPr="002B2CFC">
        <w:rPr>
          <w:lang w:eastAsia="en-US"/>
        </w:rPr>
        <w:t>route of administration</w:t>
      </w:r>
      <w:bookmarkEnd w:id="130"/>
      <w:bookmarkEnd w:id="131"/>
    </w:p>
    <w:p w14:paraId="007CED12" w14:textId="77777777" w:rsidR="002B2CFC" w:rsidRDefault="002B2CFC" w:rsidP="009E40A8">
      <w:pPr>
        <w:spacing w:before="120"/>
        <w:rPr>
          <w:szCs w:val="24"/>
          <w:lang w:eastAsia="en-US"/>
        </w:rPr>
      </w:pPr>
      <w:r w:rsidRPr="002B2CFC">
        <w:rPr>
          <w:szCs w:val="24"/>
          <w:lang w:eastAsia="en-US"/>
        </w:rPr>
        <w:t xml:space="preserve">The data from studies reviewed </w:t>
      </w:r>
      <w:r w:rsidR="00FF5515">
        <w:rPr>
          <w:szCs w:val="24"/>
          <w:lang w:eastAsia="en-US"/>
        </w:rPr>
        <w:t>in this report</w:t>
      </w:r>
      <w:r w:rsidR="00FF5515" w:rsidRPr="002B2CFC">
        <w:rPr>
          <w:szCs w:val="24"/>
          <w:lang w:eastAsia="en-US"/>
        </w:rPr>
        <w:t xml:space="preserve"> </w:t>
      </w:r>
      <w:r w:rsidRPr="002B2CFC">
        <w:rPr>
          <w:szCs w:val="24"/>
          <w:lang w:eastAsia="en-US"/>
        </w:rPr>
        <w:t xml:space="preserve">were grouped and considered here as prelude to determining the relevance of the experimental routes of administration used and the dose levels required to achieve particular brain levels of paraquat associated with </w:t>
      </w:r>
      <w:r w:rsidR="00FF5515">
        <w:rPr>
          <w:szCs w:val="24"/>
          <w:lang w:eastAsia="en-US"/>
        </w:rPr>
        <w:t>neurological sequelae</w:t>
      </w:r>
      <w:r w:rsidRPr="002B2CFC">
        <w:rPr>
          <w:szCs w:val="24"/>
          <w:lang w:eastAsia="en-US"/>
        </w:rPr>
        <w:t>. The brain levels achieved (where reported) following various routes of administration associated with neuropathology are presented below. Overall, poor concordance was observed between dose and the pathology reported.</w:t>
      </w:r>
    </w:p>
    <w:p w14:paraId="0BF58069" w14:textId="644BE979" w:rsidR="00E439AD" w:rsidRPr="00E439AD" w:rsidRDefault="00E439AD" w:rsidP="009E40A8">
      <w:pPr>
        <w:spacing w:before="120"/>
        <w:rPr>
          <w:i/>
          <w:szCs w:val="24"/>
          <w:lang w:eastAsia="en-US"/>
        </w:rPr>
      </w:pPr>
      <w:r>
        <w:rPr>
          <w:i/>
          <w:szCs w:val="24"/>
          <w:lang w:eastAsia="en-US"/>
        </w:rPr>
        <w:t>Oral administration</w:t>
      </w:r>
    </w:p>
    <w:p w14:paraId="539F7CD7" w14:textId="77777777" w:rsidR="00DA1235" w:rsidRPr="002B2CFC" w:rsidRDefault="00DA1235" w:rsidP="00E439AD">
      <w:pPr>
        <w:rPr>
          <w:szCs w:val="24"/>
          <w:lang w:eastAsia="en-US"/>
        </w:rPr>
      </w:pPr>
    </w:p>
    <w:p w14:paraId="288531E1" w14:textId="258F7AD5" w:rsidR="002B2CFC" w:rsidRPr="00E439AD" w:rsidRDefault="00E439AD" w:rsidP="00E439AD">
      <w:pPr>
        <w:pStyle w:val="Caption"/>
        <w:keepNext/>
        <w:spacing w:after="120"/>
      </w:pPr>
      <w:r>
        <w:t xml:space="preserve">Table </w:t>
      </w:r>
      <w:r>
        <w:fldChar w:fldCharType="begin"/>
      </w:r>
      <w:r>
        <w:instrText xml:space="preserve"> SEQ Table \* ARABIC </w:instrText>
      </w:r>
      <w:r>
        <w:fldChar w:fldCharType="separate"/>
      </w:r>
      <w:r w:rsidR="000E54B2">
        <w:rPr>
          <w:noProof/>
        </w:rPr>
        <w:t>34</w:t>
      </w:r>
      <w:r>
        <w:fldChar w:fldCharType="end"/>
      </w:r>
      <w:r>
        <w:t xml:space="preserve"> - Oral administration</w:t>
      </w:r>
    </w:p>
    <w:tbl>
      <w:tblPr>
        <w:tblStyle w:val="TableGrid"/>
        <w:tblW w:w="9356" w:type="dxa"/>
        <w:tblLayout w:type="fixed"/>
        <w:tblLook w:val="04A0" w:firstRow="1" w:lastRow="0" w:firstColumn="1" w:lastColumn="0" w:noHBand="0" w:noVBand="1"/>
      </w:tblPr>
      <w:tblGrid>
        <w:gridCol w:w="2552"/>
        <w:gridCol w:w="3402"/>
        <w:gridCol w:w="3402"/>
      </w:tblGrid>
      <w:tr w:rsidR="00CC4532" w:rsidRPr="00C76EAC" w14:paraId="0709D673" w14:textId="77777777" w:rsidTr="00AA49EC">
        <w:trPr>
          <w:tblHeader/>
        </w:trPr>
        <w:tc>
          <w:tcPr>
            <w:tcW w:w="2552" w:type="dxa"/>
            <w:vAlign w:val="center"/>
          </w:tcPr>
          <w:p w14:paraId="18D747A7" w14:textId="77777777" w:rsidR="00CC4532" w:rsidRPr="00DE7E25" w:rsidRDefault="00CC4532" w:rsidP="00DE7E25">
            <w:pPr>
              <w:spacing w:before="120"/>
              <w:jc w:val="left"/>
              <w:rPr>
                <w:b/>
                <w:sz w:val="22"/>
                <w:szCs w:val="22"/>
                <w:lang w:eastAsia="en-US"/>
              </w:rPr>
            </w:pPr>
            <w:r w:rsidRPr="00DE7E25">
              <w:rPr>
                <w:b/>
                <w:sz w:val="22"/>
                <w:szCs w:val="22"/>
                <w:lang w:eastAsia="en-US"/>
              </w:rPr>
              <w:t>Reference</w:t>
            </w:r>
          </w:p>
        </w:tc>
        <w:tc>
          <w:tcPr>
            <w:tcW w:w="3402" w:type="dxa"/>
            <w:vAlign w:val="center"/>
          </w:tcPr>
          <w:p w14:paraId="15E48D04" w14:textId="77777777" w:rsidR="00CC4532" w:rsidRPr="00DE7E25" w:rsidRDefault="00CC4532" w:rsidP="00DE7E25">
            <w:pPr>
              <w:spacing w:before="120"/>
              <w:jc w:val="left"/>
              <w:rPr>
                <w:b/>
                <w:sz w:val="22"/>
                <w:szCs w:val="22"/>
                <w:lang w:eastAsia="en-US"/>
              </w:rPr>
            </w:pPr>
            <w:r w:rsidRPr="00DE7E25">
              <w:rPr>
                <w:b/>
                <w:sz w:val="22"/>
                <w:szCs w:val="22"/>
                <w:lang w:eastAsia="en-US"/>
              </w:rPr>
              <w:t>Dose administration details</w:t>
            </w:r>
          </w:p>
        </w:tc>
        <w:tc>
          <w:tcPr>
            <w:tcW w:w="3402" w:type="dxa"/>
            <w:vAlign w:val="center"/>
          </w:tcPr>
          <w:p w14:paraId="7C028088" w14:textId="77777777" w:rsidR="00CC4532" w:rsidRPr="00DE7E25" w:rsidRDefault="00CC4532" w:rsidP="00DE7E25">
            <w:pPr>
              <w:spacing w:before="120"/>
              <w:jc w:val="left"/>
              <w:rPr>
                <w:b/>
                <w:sz w:val="22"/>
                <w:szCs w:val="22"/>
                <w:lang w:eastAsia="en-US"/>
              </w:rPr>
            </w:pPr>
            <w:r w:rsidRPr="00DE7E25">
              <w:rPr>
                <w:b/>
                <w:sz w:val="22"/>
                <w:szCs w:val="22"/>
                <w:lang w:eastAsia="en-US"/>
              </w:rPr>
              <w:t>Observations</w:t>
            </w:r>
          </w:p>
        </w:tc>
      </w:tr>
      <w:tr w:rsidR="00AA49EC" w:rsidRPr="00C76EAC" w14:paraId="49526B13" w14:textId="77777777" w:rsidTr="00AA49EC">
        <w:tc>
          <w:tcPr>
            <w:tcW w:w="9356" w:type="dxa"/>
            <w:gridSpan w:val="3"/>
            <w:vAlign w:val="center"/>
          </w:tcPr>
          <w:p w14:paraId="24937DEB" w14:textId="5EAD42BC" w:rsidR="00AA49EC" w:rsidRPr="00DE7E25" w:rsidRDefault="00AA49EC" w:rsidP="00DE7E25">
            <w:pPr>
              <w:spacing w:before="120"/>
              <w:jc w:val="left"/>
              <w:rPr>
                <w:b/>
                <w:sz w:val="22"/>
                <w:szCs w:val="22"/>
                <w:lang w:eastAsia="en-US"/>
              </w:rPr>
            </w:pPr>
            <w:r>
              <w:rPr>
                <w:b/>
                <w:sz w:val="22"/>
                <w:szCs w:val="22"/>
                <w:lang w:eastAsia="en-US"/>
              </w:rPr>
              <w:t>Oral administration</w:t>
            </w:r>
          </w:p>
        </w:tc>
      </w:tr>
      <w:tr w:rsidR="00CC4532" w:rsidRPr="00C76EAC" w14:paraId="00F5201C" w14:textId="77777777" w:rsidTr="00AA49EC">
        <w:tc>
          <w:tcPr>
            <w:tcW w:w="2552" w:type="dxa"/>
            <w:vAlign w:val="center"/>
          </w:tcPr>
          <w:p w14:paraId="1F74A2C4" w14:textId="77777777" w:rsidR="00CC4532" w:rsidRPr="00DE7E25" w:rsidRDefault="00CC4532" w:rsidP="00DE7E25">
            <w:pPr>
              <w:spacing w:before="120"/>
              <w:jc w:val="left"/>
              <w:rPr>
                <w:sz w:val="22"/>
                <w:szCs w:val="22"/>
                <w:lang w:eastAsia="en-US"/>
              </w:rPr>
            </w:pPr>
            <w:r w:rsidRPr="00DE7E25">
              <w:rPr>
                <w:sz w:val="22"/>
                <w:szCs w:val="22"/>
                <w:lang w:eastAsia="en-US"/>
              </w:rPr>
              <w:t>Brammer (2006)</w:t>
            </w:r>
          </w:p>
        </w:tc>
        <w:tc>
          <w:tcPr>
            <w:tcW w:w="3402" w:type="dxa"/>
            <w:vAlign w:val="center"/>
          </w:tcPr>
          <w:p w14:paraId="5894FA64" w14:textId="77777777" w:rsidR="00CC4532" w:rsidRPr="00DE7E25" w:rsidRDefault="00CC4532" w:rsidP="00DE7E25">
            <w:pPr>
              <w:spacing w:before="120"/>
              <w:jc w:val="left"/>
              <w:rPr>
                <w:sz w:val="22"/>
                <w:szCs w:val="22"/>
                <w:lang w:eastAsia="en-US"/>
              </w:rPr>
            </w:pPr>
            <w:r w:rsidRPr="00DE7E25">
              <w:rPr>
                <w:sz w:val="22"/>
                <w:szCs w:val="22"/>
                <w:lang w:eastAsia="en-US"/>
              </w:rPr>
              <w:t>Single oral doses of 0, 25, 75 or 250 mg paraquat technical/kg bw to rats (equivalent to 0, 8, 25 or 84 mg paraquat ion/kg bw).</w:t>
            </w:r>
          </w:p>
        </w:tc>
        <w:tc>
          <w:tcPr>
            <w:tcW w:w="3402" w:type="dxa"/>
            <w:vAlign w:val="center"/>
          </w:tcPr>
          <w:p w14:paraId="6656A937" w14:textId="77777777" w:rsidR="00CC4532" w:rsidRPr="00DE7E25" w:rsidRDefault="00CC4532" w:rsidP="00DE7E25">
            <w:pPr>
              <w:spacing w:before="120"/>
              <w:jc w:val="left"/>
              <w:rPr>
                <w:sz w:val="22"/>
                <w:szCs w:val="22"/>
                <w:lang w:eastAsia="en-US"/>
              </w:rPr>
            </w:pPr>
            <w:r w:rsidRPr="00DE7E25">
              <w:rPr>
                <w:sz w:val="22"/>
                <w:szCs w:val="22"/>
                <w:lang w:eastAsia="en-US"/>
              </w:rPr>
              <w:t>No neurotoxicity or neuropathology noted (brain histopathology not conducted).</w:t>
            </w:r>
          </w:p>
          <w:p w14:paraId="25A6897C" w14:textId="77777777" w:rsidR="00CC4532" w:rsidRPr="00DE7E25" w:rsidRDefault="00CC4532" w:rsidP="00DE7E25">
            <w:pPr>
              <w:spacing w:before="120"/>
              <w:jc w:val="left"/>
              <w:rPr>
                <w:sz w:val="22"/>
                <w:szCs w:val="22"/>
                <w:lang w:eastAsia="en-US"/>
              </w:rPr>
            </w:pPr>
            <w:r w:rsidRPr="00DE7E25">
              <w:rPr>
                <w:sz w:val="22"/>
                <w:szCs w:val="22"/>
                <w:lang w:eastAsia="en-US"/>
              </w:rPr>
              <w:t>Brain levels of paraquat not reported.</w:t>
            </w:r>
          </w:p>
        </w:tc>
      </w:tr>
      <w:tr w:rsidR="00CC4532" w:rsidRPr="00C76EAC" w14:paraId="7861FC20" w14:textId="77777777" w:rsidTr="00AA49EC">
        <w:tc>
          <w:tcPr>
            <w:tcW w:w="2552" w:type="dxa"/>
            <w:vAlign w:val="center"/>
          </w:tcPr>
          <w:p w14:paraId="56DD7F47" w14:textId="77777777" w:rsidR="00CC4532" w:rsidRPr="00DE7E25" w:rsidRDefault="00CC4532" w:rsidP="00DE7E25">
            <w:pPr>
              <w:spacing w:before="120"/>
              <w:jc w:val="left"/>
              <w:rPr>
                <w:sz w:val="22"/>
                <w:szCs w:val="22"/>
                <w:lang w:eastAsia="en-US"/>
              </w:rPr>
            </w:pPr>
            <w:r w:rsidRPr="00DE7E25">
              <w:rPr>
                <w:sz w:val="22"/>
                <w:szCs w:val="22"/>
                <w:lang w:eastAsia="en-US"/>
              </w:rPr>
              <w:t xml:space="preserve">Fredriksson </w:t>
            </w:r>
            <w:r w:rsidRPr="00DE7E25">
              <w:rPr>
                <w:i/>
                <w:sz w:val="22"/>
                <w:szCs w:val="22"/>
                <w:lang w:eastAsia="en-US"/>
              </w:rPr>
              <w:t>et al</w:t>
            </w:r>
            <w:r w:rsidRPr="00DE7E25">
              <w:rPr>
                <w:sz w:val="22"/>
                <w:szCs w:val="22"/>
                <w:lang w:eastAsia="en-US"/>
              </w:rPr>
              <w:t xml:space="preserve"> (1993)</w:t>
            </w:r>
          </w:p>
        </w:tc>
        <w:tc>
          <w:tcPr>
            <w:tcW w:w="3402" w:type="dxa"/>
            <w:vAlign w:val="center"/>
          </w:tcPr>
          <w:p w14:paraId="0A68ADF9" w14:textId="77777777" w:rsidR="00CC4532" w:rsidRPr="00DE7E25" w:rsidRDefault="00CC4532">
            <w:pPr>
              <w:spacing w:before="120"/>
              <w:jc w:val="left"/>
              <w:rPr>
                <w:sz w:val="22"/>
                <w:szCs w:val="22"/>
                <w:lang w:eastAsia="en-US"/>
              </w:rPr>
            </w:pPr>
            <w:r w:rsidRPr="00DE7E25">
              <w:rPr>
                <w:sz w:val="22"/>
                <w:szCs w:val="22"/>
                <w:lang w:eastAsia="en-US"/>
              </w:rPr>
              <w:t xml:space="preserve">Single doses of 0.07 or 0.36 mg/kg bw to neonate </w:t>
            </w:r>
            <w:r w:rsidR="00897462" w:rsidRPr="00C34954">
              <w:rPr>
                <w:sz w:val="20"/>
                <w:lang w:eastAsia="en-US"/>
              </w:rPr>
              <w:t>mice (</w:t>
            </w:r>
            <w:r w:rsidR="002E75B1">
              <w:rPr>
                <w:sz w:val="20"/>
                <w:lang w:eastAsia="en-US"/>
              </w:rPr>
              <w:t xml:space="preserve">equivalent to </w:t>
            </w:r>
            <w:r w:rsidR="00897462" w:rsidRPr="00C34954">
              <w:rPr>
                <w:sz w:val="20"/>
              </w:rPr>
              <w:t>0.050 and 0.26 mg</w:t>
            </w:r>
            <w:r w:rsidR="002E75B1">
              <w:rPr>
                <w:sz w:val="20"/>
              </w:rPr>
              <w:t xml:space="preserve"> paraquat ion</w:t>
            </w:r>
            <w:r w:rsidR="00897462" w:rsidRPr="00C34954">
              <w:rPr>
                <w:sz w:val="20"/>
              </w:rPr>
              <w:t>/kg)</w:t>
            </w:r>
            <w:r w:rsidR="00897462" w:rsidRPr="00C34954">
              <w:rPr>
                <w:sz w:val="20"/>
                <w:lang w:eastAsia="en-US"/>
              </w:rPr>
              <w:t>.</w:t>
            </w:r>
          </w:p>
        </w:tc>
        <w:tc>
          <w:tcPr>
            <w:tcW w:w="3402" w:type="dxa"/>
            <w:vAlign w:val="center"/>
          </w:tcPr>
          <w:p w14:paraId="6CE6ECF7" w14:textId="77777777" w:rsidR="00CC4532" w:rsidRPr="00DE7E25" w:rsidRDefault="00CC4532" w:rsidP="00DE7E25">
            <w:pPr>
              <w:spacing w:before="120"/>
              <w:jc w:val="left"/>
              <w:rPr>
                <w:sz w:val="22"/>
                <w:szCs w:val="22"/>
                <w:lang w:eastAsia="en-US"/>
              </w:rPr>
            </w:pPr>
            <w:r w:rsidRPr="00DE7E25">
              <w:rPr>
                <w:sz w:val="22"/>
                <w:szCs w:val="22"/>
                <w:lang w:eastAsia="en-US"/>
              </w:rPr>
              <w:t xml:space="preserve">No neuropathology reported but hypoactivity and striatal depression of </w:t>
            </w:r>
            <w:r w:rsidR="00011149">
              <w:rPr>
                <w:sz w:val="22"/>
                <w:szCs w:val="22"/>
                <w:lang w:eastAsia="en-US"/>
              </w:rPr>
              <w:t>DA</w:t>
            </w:r>
            <w:r w:rsidRPr="00DE7E25">
              <w:rPr>
                <w:sz w:val="22"/>
                <w:szCs w:val="22"/>
                <w:lang w:eastAsia="en-US"/>
              </w:rPr>
              <w:t xml:space="preserve"> metabolites.</w:t>
            </w:r>
          </w:p>
          <w:p w14:paraId="721DB2D1" w14:textId="77777777" w:rsidR="00CC4532" w:rsidRPr="00DE7E25" w:rsidRDefault="00CC4532" w:rsidP="00DE7E25">
            <w:pPr>
              <w:spacing w:before="120"/>
              <w:jc w:val="left"/>
              <w:rPr>
                <w:sz w:val="22"/>
                <w:szCs w:val="22"/>
                <w:lang w:eastAsia="en-US"/>
              </w:rPr>
            </w:pPr>
            <w:r w:rsidRPr="00DE7E25">
              <w:rPr>
                <w:sz w:val="22"/>
                <w:szCs w:val="22"/>
                <w:lang w:eastAsia="en-US"/>
              </w:rPr>
              <w:t>Brain levels of paraquat not reported.</w:t>
            </w:r>
          </w:p>
        </w:tc>
      </w:tr>
      <w:tr w:rsidR="00CC4532" w:rsidRPr="00C76EAC" w14:paraId="0E9B82DF" w14:textId="77777777" w:rsidTr="00AA49EC">
        <w:tc>
          <w:tcPr>
            <w:tcW w:w="2552" w:type="dxa"/>
            <w:vAlign w:val="center"/>
          </w:tcPr>
          <w:p w14:paraId="62124FBC" w14:textId="77777777" w:rsidR="00CC4532" w:rsidRPr="00DE7E25" w:rsidRDefault="00CC4532" w:rsidP="00DE7E25">
            <w:pPr>
              <w:spacing w:before="120"/>
              <w:jc w:val="left"/>
              <w:rPr>
                <w:sz w:val="22"/>
                <w:szCs w:val="22"/>
                <w:lang w:eastAsia="en-US"/>
              </w:rPr>
            </w:pPr>
            <w:r w:rsidRPr="00DE7E25">
              <w:rPr>
                <w:sz w:val="22"/>
                <w:szCs w:val="22"/>
                <w:lang w:eastAsia="en-US"/>
              </w:rPr>
              <w:t xml:space="preserve">Widdowson </w:t>
            </w:r>
            <w:r w:rsidRPr="00DE7E25">
              <w:rPr>
                <w:i/>
                <w:sz w:val="22"/>
                <w:szCs w:val="22"/>
                <w:lang w:eastAsia="en-US"/>
              </w:rPr>
              <w:t>et al</w:t>
            </w:r>
            <w:r w:rsidRPr="00DE7E25">
              <w:rPr>
                <w:sz w:val="22"/>
                <w:szCs w:val="22"/>
                <w:lang w:eastAsia="en-US"/>
              </w:rPr>
              <w:t xml:space="preserve"> (1996b)</w:t>
            </w:r>
          </w:p>
        </w:tc>
        <w:tc>
          <w:tcPr>
            <w:tcW w:w="3402" w:type="dxa"/>
            <w:vAlign w:val="center"/>
          </w:tcPr>
          <w:p w14:paraId="7389BFBA" w14:textId="77777777" w:rsidR="00CC4532" w:rsidRPr="00DE7E25" w:rsidRDefault="00CC4532" w:rsidP="00DE7E25">
            <w:pPr>
              <w:spacing w:before="120"/>
              <w:jc w:val="left"/>
              <w:rPr>
                <w:sz w:val="22"/>
                <w:szCs w:val="22"/>
                <w:lang w:eastAsia="en-US"/>
              </w:rPr>
            </w:pPr>
            <w:r w:rsidRPr="00DE7E25">
              <w:rPr>
                <w:sz w:val="22"/>
                <w:szCs w:val="22"/>
                <w:lang w:eastAsia="en-US"/>
              </w:rPr>
              <w:t>5 mg</w:t>
            </w:r>
            <w:r w:rsidR="002E75B1">
              <w:rPr>
                <w:sz w:val="22"/>
                <w:szCs w:val="22"/>
                <w:lang w:eastAsia="en-US"/>
              </w:rPr>
              <w:t xml:space="preserve"> paraquat cation</w:t>
            </w:r>
            <w:r w:rsidRPr="00DE7E25">
              <w:rPr>
                <w:sz w:val="22"/>
                <w:szCs w:val="22"/>
                <w:lang w:eastAsia="en-US"/>
              </w:rPr>
              <w:t>/kg bw/day for 14 days to rats.</w:t>
            </w:r>
          </w:p>
        </w:tc>
        <w:tc>
          <w:tcPr>
            <w:tcW w:w="3402" w:type="dxa"/>
            <w:vAlign w:val="center"/>
          </w:tcPr>
          <w:p w14:paraId="068D3A03" w14:textId="77777777" w:rsidR="00CC4532" w:rsidRPr="00DE7E25" w:rsidRDefault="00CC4532" w:rsidP="00DE7E25">
            <w:pPr>
              <w:spacing w:before="120"/>
              <w:jc w:val="left"/>
              <w:rPr>
                <w:sz w:val="22"/>
                <w:szCs w:val="22"/>
                <w:lang w:eastAsia="en-US"/>
              </w:rPr>
            </w:pPr>
            <w:r w:rsidRPr="00DE7E25">
              <w:rPr>
                <w:sz w:val="22"/>
                <w:szCs w:val="22"/>
                <w:lang w:eastAsia="en-US"/>
              </w:rPr>
              <w:t xml:space="preserve">The brain (parts not specified): after a single oral dose: 0.05 ± 0.00 nmol/g tissue : after 14 oral doses: </w:t>
            </w:r>
            <w:r w:rsidRPr="00DE7E25">
              <w:rPr>
                <w:sz w:val="22"/>
                <w:szCs w:val="22"/>
                <w:lang w:eastAsia="en-US"/>
              </w:rPr>
              <w:lastRenderedPageBreak/>
              <w:t>0.47 ± 0.05 nmol/g tissue (9.6 fold increase); while all other tissue only showed a 2- to 4-fold.</w:t>
            </w:r>
          </w:p>
          <w:p w14:paraId="72F726E1" w14:textId="77777777" w:rsidR="00CC4532" w:rsidRPr="00DE7E25" w:rsidRDefault="00CC4532" w:rsidP="00DE7E25">
            <w:pPr>
              <w:spacing w:before="120"/>
              <w:jc w:val="left"/>
              <w:rPr>
                <w:sz w:val="22"/>
                <w:szCs w:val="22"/>
                <w:lang w:eastAsia="en-US"/>
              </w:rPr>
            </w:pPr>
            <w:r w:rsidRPr="00DE7E25">
              <w:rPr>
                <w:sz w:val="22"/>
                <w:szCs w:val="22"/>
                <w:lang w:eastAsia="en-US"/>
              </w:rPr>
              <w:t>No neuropathology or adverse neurochemical changes observed.</w:t>
            </w:r>
          </w:p>
        </w:tc>
      </w:tr>
      <w:tr w:rsidR="00CC4532" w:rsidRPr="00C76EAC" w14:paraId="65AC8178" w14:textId="77777777" w:rsidTr="00AA49EC">
        <w:tc>
          <w:tcPr>
            <w:tcW w:w="2552" w:type="dxa"/>
            <w:vAlign w:val="center"/>
          </w:tcPr>
          <w:p w14:paraId="7EF865AC" w14:textId="77777777" w:rsidR="00CC4532" w:rsidRPr="00DE7E25" w:rsidRDefault="00CC4532" w:rsidP="00DE7E25">
            <w:pPr>
              <w:spacing w:before="120"/>
              <w:jc w:val="left"/>
              <w:rPr>
                <w:sz w:val="22"/>
                <w:szCs w:val="22"/>
                <w:lang w:eastAsia="en-US"/>
              </w:rPr>
            </w:pPr>
            <w:r w:rsidRPr="00DE7E25">
              <w:rPr>
                <w:sz w:val="22"/>
                <w:szCs w:val="22"/>
                <w:lang w:eastAsia="en-US"/>
              </w:rPr>
              <w:lastRenderedPageBreak/>
              <w:t xml:space="preserve">Prasad </w:t>
            </w:r>
            <w:r w:rsidRPr="00DE7E25">
              <w:rPr>
                <w:i/>
                <w:sz w:val="22"/>
                <w:szCs w:val="22"/>
                <w:lang w:eastAsia="en-US"/>
              </w:rPr>
              <w:t>et al</w:t>
            </w:r>
            <w:r w:rsidRPr="00DE7E25">
              <w:rPr>
                <w:sz w:val="22"/>
                <w:szCs w:val="22"/>
                <w:lang w:eastAsia="en-US"/>
              </w:rPr>
              <w:t xml:space="preserve"> (2009)</w:t>
            </w:r>
          </w:p>
        </w:tc>
        <w:tc>
          <w:tcPr>
            <w:tcW w:w="3402" w:type="dxa"/>
            <w:vAlign w:val="center"/>
          </w:tcPr>
          <w:p w14:paraId="1A616E53" w14:textId="77777777" w:rsidR="00CC4532" w:rsidRPr="00DE7E25" w:rsidRDefault="00CC4532">
            <w:pPr>
              <w:spacing w:before="120"/>
              <w:jc w:val="left"/>
              <w:rPr>
                <w:sz w:val="22"/>
                <w:szCs w:val="22"/>
                <w:lang w:eastAsia="en-US"/>
              </w:rPr>
            </w:pPr>
            <w:r w:rsidRPr="00DE7E25">
              <w:rPr>
                <w:sz w:val="22"/>
                <w:szCs w:val="22"/>
                <w:lang w:eastAsia="en-US"/>
              </w:rPr>
              <w:t>Administered in drinking water to mice at 0.</w:t>
            </w:r>
            <w:r w:rsidR="00197DA9">
              <w:rPr>
                <w:sz w:val="22"/>
                <w:szCs w:val="22"/>
                <w:lang w:eastAsia="en-US"/>
              </w:rPr>
              <w:t>0</w:t>
            </w:r>
            <w:r w:rsidRPr="00DE7E25">
              <w:rPr>
                <w:sz w:val="22"/>
                <w:szCs w:val="22"/>
                <w:lang w:eastAsia="en-US"/>
              </w:rPr>
              <w:t>3, 0.</w:t>
            </w:r>
            <w:r w:rsidR="00197DA9">
              <w:rPr>
                <w:sz w:val="22"/>
                <w:szCs w:val="22"/>
                <w:lang w:eastAsia="en-US"/>
              </w:rPr>
              <w:t>0</w:t>
            </w:r>
            <w:r w:rsidRPr="00DE7E25">
              <w:rPr>
                <w:sz w:val="22"/>
                <w:szCs w:val="22"/>
                <w:lang w:eastAsia="en-US"/>
              </w:rPr>
              <w:t>4 or 0.</w:t>
            </w:r>
            <w:r w:rsidR="00197DA9">
              <w:rPr>
                <w:sz w:val="22"/>
                <w:szCs w:val="22"/>
                <w:lang w:eastAsia="en-US"/>
              </w:rPr>
              <w:t>0</w:t>
            </w:r>
            <w:r w:rsidRPr="00DE7E25">
              <w:rPr>
                <w:sz w:val="22"/>
                <w:szCs w:val="22"/>
                <w:lang w:eastAsia="en-US"/>
              </w:rPr>
              <w:t>5 mg/mL for 8 or 12 weeks</w:t>
            </w:r>
            <w:r w:rsidR="004E0C85">
              <w:rPr>
                <w:sz w:val="22"/>
                <w:szCs w:val="22"/>
                <w:lang w:eastAsia="en-US"/>
              </w:rPr>
              <w:t xml:space="preserve"> (equivalent to </w:t>
            </w:r>
            <w:r w:rsidR="00F96C8B">
              <w:rPr>
                <w:sz w:val="22"/>
                <w:szCs w:val="22"/>
                <w:lang w:eastAsia="en-US"/>
              </w:rPr>
              <w:t>0.</w:t>
            </w:r>
            <w:r w:rsidR="00197DA9">
              <w:rPr>
                <w:sz w:val="22"/>
                <w:szCs w:val="22"/>
                <w:lang w:eastAsia="en-US"/>
              </w:rPr>
              <w:t>0</w:t>
            </w:r>
            <w:r w:rsidR="00F96C8B">
              <w:rPr>
                <w:sz w:val="22"/>
                <w:szCs w:val="22"/>
                <w:lang w:eastAsia="en-US"/>
              </w:rPr>
              <w:t>2, 0.</w:t>
            </w:r>
            <w:r w:rsidR="00197DA9">
              <w:rPr>
                <w:sz w:val="22"/>
                <w:szCs w:val="22"/>
                <w:lang w:eastAsia="en-US"/>
              </w:rPr>
              <w:t>0</w:t>
            </w:r>
            <w:r w:rsidR="00F96C8B">
              <w:rPr>
                <w:sz w:val="22"/>
                <w:szCs w:val="22"/>
                <w:lang w:eastAsia="en-US"/>
              </w:rPr>
              <w:t>3 or 0.</w:t>
            </w:r>
            <w:r w:rsidR="00197DA9">
              <w:rPr>
                <w:sz w:val="22"/>
                <w:szCs w:val="22"/>
                <w:lang w:eastAsia="en-US"/>
              </w:rPr>
              <w:t>0</w:t>
            </w:r>
            <w:r w:rsidR="00F96C8B">
              <w:rPr>
                <w:sz w:val="22"/>
                <w:szCs w:val="22"/>
                <w:lang w:eastAsia="en-US"/>
              </w:rPr>
              <w:t>4</w:t>
            </w:r>
            <w:r w:rsidR="00197DA9">
              <w:rPr>
                <w:sz w:val="22"/>
                <w:szCs w:val="22"/>
                <w:lang w:eastAsia="en-US"/>
              </w:rPr>
              <w:t xml:space="preserve"> </w:t>
            </w:r>
            <w:r w:rsidR="00F96C8B">
              <w:rPr>
                <w:sz w:val="22"/>
                <w:szCs w:val="22"/>
                <w:lang w:eastAsia="en-US"/>
              </w:rPr>
              <w:t>mg</w:t>
            </w:r>
            <w:r w:rsidR="00003296">
              <w:rPr>
                <w:sz w:val="22"/>
                <w:szCs w:val="22"/>
                <w:lang w:eastAsia="en-US"/>
              </w:rPr>
              <w:t xml:space="preserve"> paraquat ion</w:t>
            </w:r>
            <w:r w:rsidR="00F96C8B">
              <w:rPr>
                <w:sz w:val="22"/>
                <w:szCs w:val="22"/>
                <w:lang w:eastAsia="en-US"/>
              </w:rPr>
              <w:t>/mL</w:t>
            </w:r>
            <w:r w:rsidR="00003296">
              <w:rPr>
                <w:sz w:val="22"/>
                <w:szCs w:val="22"/>
                <w:lang w:eastAsia="en-US"/>
              </w:rPr>
              <w:t>)</w:t>
            </w:r>
            <w:r w:rsidRPr="00DE7E25">
              <w:rPr>
                <w:sz w:val="22"/>
                <w:szCs w:val="22"/>
                <w:lang w:eastAsia="en-US"/>
              </w:rPr>
              <w:t>.</w:t>
            </w:r>
          </w:p>
        </w:tc>
        <w:tc>
          <w:tcPr>
            <w:tcW w:w="3402" w:type="dxa"/>
            <w:vAlign w:val="center"/>
          </w:tcPr>
          <w:p w14:paraId="26D21CED" w14:textId="77777777" w:rsidR="00CC4532" w:rsidRPr="00DE7E25" w:rsidRDefault="00CC4532" w:rsidP="00DE7E25">
            <w:pPr>
              <w:spacing w:before="120"/>
              <w:jc w:val="left"/>
              <w:rPr>
                <w:sz w:val="22"/>
                <w:szCs w:val="22"/>
                <w:lang w:eastAsia="en-US"/>
              </w:rPr>
            </w:pPr>
            <w:r w:rsidRPr="00DE7E25">
              <w:rPr>
                <w:sz w:val="22"/>
                <w:szCs w:val="22"/>
                <w:lang w:eastAsia="en-US"/>
              </w:rPr>
              <w:t>Brain levels (not quantified) related to concentration of paraquat in water and the duration of exposure.</w:t>
            </w:r>
          </w:p>
        </w:tc>
      </w:tr>
      <w:tr w:rsidR="00CC4532" w:rsidRPr="00C76EAC" w14:paraId="6F633FA2" w14:textId="77777777" w:rsidTr="00AA49EC">
        <w:tc>
          <w:tcPr>
            <w:tcW w:w="2552" w:type="dxa"/>
            <w:vAlign w:val="center"/>
          </w:tcPr>
          <w:p w14:paraId="25EFBC7A" w14:textId="77777777" w:rsidR="00CC4532" w:rsidRPr="00DE7E25" w:rsidRDefault="00CC4532" w:rsidP="00DE7E25">
            <w:pPr>
              <w:spacing w:before="120"/>
              <w:jc w:val="left"/>
              <w:rPr>
                <w:sz w:val="22"/>
                <w:szCs w:val="22"/>
                <w:lang w:eastAsia="en-US"/>
              </w:rPr>
            </w:pPr>
            <w:r w:rsidRPr="00DE7E25">
              <w:rPr>
                <w:sz w:val="22"/>
                <w:szCs w:val="22"/>
                <w:lang w:eastAsia="en-US"/>
              </w:rPr>
              <w:t>Chivers (2006)</w:t>
            </w:r>
          </w:p>
        </w:tc>
        <w:tc>
          <w:tcPr>
            <w:tcW w:w="3402" w:type="dxa"/>
            <w:vAlign w:val="center"/>
          </w:tcPr>
          <w:p w14:paraId="791E4CAA" w14:textId="77777777" w:rsidR="00CC4532" w:rsidRPr="00DE7E25" w:rsidRDefault="00CC4532" w:rsidP="00DE7E25">
            <w:pPr>
              <w:spacing w:before="120"/>
              <w:jc w:val="left"/>
              <w:rPr>
                <w:sz w:val="22"/>
                <w:szCs w:val="22"/>
                <w:lang w:eastAsia="en-US"/>
              </w:rPr>
            </w:pPr>
            <w:r w:rsidRPr="00DE7E25">
              <w:rPr>
                <w:sz w:val="22"/>
                <w:szCs w:val="22"/>
                <w:lang w:eastAsia="en-US"/>
              </w:rPr>
              <w:t>Dietary administration of 0, 15, 50 or 150 ppm to rats for up to 90 days (males 0, 1.0, 3.4 or 10.2 mg/kg bw/d; females 0, 1.1, 3.9 or 11.9 mg/kg bw/d, respectively, as paraquat ion).</w:t>
            </w:r>
          </w:p>
        </w:tc>
        <w:tc>
          <w:tcPr>
            <w:tcW w:w="3402" w:type="dxa"/>
            <w:vAlign w:val="center"/>
          </w:tcPr>
          <w:p w14:paraId="1A700661" w14:textId="77777777" w:rsidR="004A0E47" w:rsidRPr="00DE7E25" w:rsidRDefault="004A0E47" w:rsidP="00DE7E25">
            <w:pPr>
              <w:spacing w:before="120"/>
              <w:jc w:val="left"/>
              <w:rPr>
                <w:sz w:val="22"/>
                <w:szCs w:val="22"/>
                <w:lang w:eastAsia="en-US"/>
              </w:rPr>
            </w:pPr>
            <w:r w:rsidRPr="00DE7E25">
              <w:rPr>
                <w:sz w:val="22"/>
                <w:szCs w:val="22"/>
                <w:lang w:eastAsia="en-US"/>
              </w:rPr>
              <w:t>No neuropathology reported.</w:t>
            </w:r>
          </w:p>
          <w:p w14:paraId="56B16B03" w14:textId="77777777" w:rsidR="00CC4532" w:rsidRPr="00DE7E25" w:rsidRDefault="004A0E47" w:rsidP="00DE7E25">
            <w:pPr>
              <w:spacing w:before="120"/>
              <w:jc w:val="left"/>
              <w:rPr>
                <w:sz w:val="22"/>
                <w:szCs w:val="22"/>
                <w:lang w:eastAsia="en-US"/>
              </w:rPr>
            </w:pPr>
            <w:r w:rsidRPr="00DE7E25">
              <w:rPr>
                <w:sz w:val="22"/>
                <w:szCs w:val="22"/>
                <w:lang w:eastAsia="en-US"/>
              </w:rPr>
              <w:t>Brain levels of paraquat not reported.</w:t>
            </w:r>
          </w:p>
        </w:tc>
      </w:tr>
      <w:tr w:rsidR="00CC4532" w:rsidRPr="00C76EAC" w14:paraId="13CBF2A2" w14:textId="77777777" w:rsidTr="00AA49EC">
        <w:tc>
          <w:tcPr>
            <w:tcW w:w="2552" w:type="dxa"/>
            <w:vAlign w:val="center"/>
          </w:tcPr>
          <w:p w14:paraId="4D8D191F" w14:textId="77777777" w:rsidR="00436573" w:rsidRDefault="004A0E47" w:rsidP="00C34954">
            <w:pPr>
              <w:spacing w:before="120"/>
              <w:jc w:val="left"/>
              <w:rPr>
                <w:sz w:val="22"/>
                <w:szCs w:val="22"/>
                <w:lang w:eastAsia="en-US"/>
              </w:rPr>
            </w:pPr>
            <w:r w:rsidRPr="00DE7E25">
              <w:rPr>
                <w:sz w:val="22"/>
                <w:szCs w:val="22"/>
                <w:lang w:eastAsia="en-US"/>
              </w:rPr>
              <w:t>Beck (2013)</w:t>
            </w:r>
          </w:p>
        </w:tc>
        <w:tc>
          <w:tcPr>
            <w:tcW w:w="3402" w:type="dxa"/>
            <w:vAlign w:val="center"/>
          </w:tcPr>
          <w:p w14:paraId="39098A10" w14:textId="77777777" w:rsidR="00436573" w:rsidRDefault="004A0E47" w:rsidP="00C34954">
            <w:pPr>
              <w:keepNext/>
              <w:keepLines/>
              <w:jc w:val="left"/>
              <w:rPr>
                <w:sz w:val="22"/>
                <w:szCs w:val="22"/>
                <w:lang w:eastAsia="en-US"/>
              </w:rPr>
            </w:pPr>
            <w:r w:rsidRPr="00DE7E25">
              <w:rPr>
                <w:sz w:val="22"/>
                <w:szCs w:val="22"/>
                <w:lang w:eastAsia="en-US"/>
              </w:rPr>
              <w:t>Dietary administration of 10 or 50 ppm to mice for up to 90 days (</w:t>
            </w:r>
            <w:r w:rsidR="00D765BA">
              <w:rPr>
                <w:sz w:val="22"/>
                <w:szCs w:val="22"/>
                <w:lang w:eastAsia="en-US"/>
              </w:rPr>
              <w:t>males</w:t>
            </w:r>
            <w:r w:rsidR="00D765BA" w:rsidRPr="002B2CFC">
              <w:rPr>
                <w:sz w:val="20"/>
              </w:rPr>
              <w:t xml:space="preserve"> 0, </w:t>
            </w:r>
            <w:r w:rsidR="00D765BA">
              <w:rPr>
                <w:sz w:val="20"/>
              </w:rPr>
              <w:t>1.7</w:t>
            </w:r>
            <w:r w:rsidR="00D765BA" w:rsidRPr="002B2CFC">
              <w:rPr>
                <w:sz w:val="20"/>
              </w:rPr>
              <w:t>, 1</w:t>
            </w:r>
            <w:r w:rsidR="00D765BA">
              <w:rPr>
                <w:sz w:val="20"/>
              </w:rPr>
              <w:t>0.2</w:t>
            </w:r>
            <w:r w:rsidR="00D765BA" w:rsidRPr="002B2CFC">
              <w:rPr>
                <w:sz w:val="20"/>
              </w:rPr>
              <w:t xml:space="preserve"> mg/kg bw/d</w:t>
            </w:r>
            <w:r w:rsidR="00D765BA">
              <w:rPr>
                <w:sz w:val="20"/>
              </w:rPr>
              <w:t>; females</w:t>
            </w:r>
            <w:r w:rsidR="00D765BA" w:rsidRPr="002B2CFC">
              <w:rPr>
                <w:sz w:val="20"/>
              </w:rPr>
              <w:t xml:space="preserve"> 0, </w:t>
            </w:r>
            <w:r w:rsidR="00D765BA">
              <w:rPr>
                <w:sz w:val="20"/>
              </w:rPr>
              <w:t xml:space="preserve">2.7, 15.6 </w:t>
            </w:r>
            <w:r w:rsidR="00D765BA" w:rsidRPr="002B2CFC">
              <w:rPr>
                <w:sz w:val="20"/>
              </w:rPr>
              <w:t xml:space="preserve"> mg/kg bw/d</w:t>
            </w:r>
            <w:r w:rsidR="00D765BA">
              <w:rPr>
                <w:sz w:val="20"/>
              </w:rPr>
              <w:t>, respectively, as paraquat ion</w:t>
            </w:r>
            <w:r w:rsidR="00D765BA" w:rsidRPr="00D765BA">
              <w:rPr>
                <w:sz w:val="20"/>
              </w:rPr>
              <w:t>)</w:t>
            </w:r>
            <w:r w:rsidRPr="00D765BA">
              <w:rPr>
                <w:sz w:val="22"/>
                <w:szCs w:val="22"/>
                <w:lang w:eastAsia="en-US"/>
              </w:rPr>
              <w:t>). Concurrent positive control</w:t>
            </w:r>
            <w:r w:rsidRPr="00DE7E25">
              <w:rPr>
                <w:sz w:val="22"/>
                <w:szCs w:val="22"/>
                <w:lang w:eastAsia="en-US"/>
              </w:rPr>
              <w:t xml:space="preserve"> (MPTP, 4x 10 mg/kg bw/dose ip injections, 2 h apart).</w:t>
            </w:r>
          </w:p>
        </w:tc>
        <w:tc>
          <w:tcPr>
            <w:tcW w:w="3402" w:type="dxa"/>
            <w:vAlign w:val="center"/>
          </w:tcPr>
          <w:p w14:paraId="3E024C72" w14:textId="77777777" w:rsidR="00436573" w:rsidRDefault="004A0E47" w:rsidP="00C34954">
            <w:pPr>
              <w:spacing w:before="120"/>
              <w:jc w:val="left"/>
              <w:rPr>
                <w:sz w:val="22"/>
                <w:szCs w:val="22"/>
                <w:lang w:eastAsia="en-US"/>
              </w:rPr>
            </w:pPr>
            <w:r w:rsidRPr="00DE7E25">
              <w:rPr>
                <w:sz w:val="22"/>
                <w:szCs w:val="22"/>
                <w:lang w:eastAsia="en-US"/>
              </w:rPr>
              <w:t xml:space="preserve">No neuropathology reported, including no effect on histology of the brain (specifically, no change to the </w:t>
            </w:r>
            <w:r w:rsidR="00A4092E">
              <w:rPr>
                <w:sz w:val="22"/>
                <w:szCs w:val="22"/>
                <w:lang w:eastAsia="en-US"/>
              </w:rPr>
              <w:t>SN</w:t>
            </w:r>
            <w:r w:rsidRPr="00DE7E25">
              <w:rPr>
                <w:sz w:val="22"/>
                <w:szCs w:val="22"/>
                <w:lang w:eastAsia="en-US"/>
              </w:rPr>
              <w:t xml:space="preserve"> or striatum), the number of dopaminergic neuronal cells (stereology analysis of tyrosine hydroxlase) or the levels of </w:t>
            </w:r>
            <w:r w:rsidR="00011149">
              <w:rPr>
                <w:sz w:val="22"/>
                <w:szCs w:val="22"/>
                <w:lang w:eastAsia="en-US"/>
              </w:rPr>
              <w:t>DA</w:t>
            </w:r>
            <w:r w:rsidRPr="00DE7E25">
              <w:rPr>
                <w:sz w:val="22"/>
                <w:szCs w:val="22"/>
                <w:lang w:eastAsia="en-US"/>
              </w:rPr>
              <w:t xml:space="preserve"> or its two metabolites.</w:t>
            </w:r>
          </w:p>
          <w:p w14:paraId="793B99F0" w14:textId="77777777" w:rsidR="00436573" w:rsidRDefault="004A0E47" w:rsidP="00C34954">
            <w:pPr>
              <w:spacing w:before="120"/>
              <w:jc w:val="left"/>
              <w:rPr>
                <w:sz w:val="22"/>
                <w:szCs w:val="22"/>
                <w:lang w:eastAsia="en-US"/>
              </w:rPr>
            </w:pPr>
            <w:r w:rsidRPr="00DE7E25">
              <w:rPr>
                <w:sz w:val="22"/>
                <w:szCs w:val="22"/>
                <w:lang w:eastAsia="en-US"/>
              </w:rPr>
              <w:t xml:space="preserve">Positive control group showed clear effects on the brain, validating study methodology. </w:t>
            </w:r>
          </w:p>
          <w:p w14:paraId="7E8D74EF" w14:textId="77777777" w:rsidR="00436573" w:rsidRDefault="004A0E47" w:rsidP="00C34954">
            <w:pPr>
              <w:spacing w:before="120"/>
              <w:jc w:val="left"/>
              <w:rPr>
                <w:sz w:val="22"/>
                <w:szCs w:val="22"/>
                <w:lang w:eastAsia="en-US"/>
              </w:rPr>
            </w:pPr>
            <w:r w:rsidRPr="00DE7E25">
              <w:rPr>
                <w:sz w:val="22"/>
                <w:szCs w:val="22"/>
                <w:lang w:eastAsia="en-US"/>
              </w:rPr>
              <w:t>Brain levels of paraquat not reported.</w:t>
            </w:r>
          </w:p>
        </w:tc>
      </w:tr>
      <w:tr w:rsidR="00AA49EC" w:rsidRPr="00C76EAC" w14:paraId="1C51213A" w14:textId="77777777" w:rsidTr="0012492B">
        <w:tc>
          <w:tcPr>
            <w:tcW w:w="9356" w:type="dxa"/>
            <w:gridSpan w:val="3"/>
            <w:vAlign w:val="center"/>
          </w:tcPr>
          <w:p w14:paraId="6609AD7A" w14:textId="11ECAE1D" w:rsidR="00AA49EC" w:rsidRPr="00DE7E25" w:rsidRDefault="00AA49EC" w:rsidP="00C34954">
            <w:pPr>
              <w:spacing w:before="120"/>
              <w:jc w:val="left"/>
              <w:rPr>
                <w:sz w:val="22"/>
                <w:szCs w:val="22"/>
                <w:lang w:eastAsia="en-US"/>
              </w:rPr>
            </w:pPr>
            <w:r w:rsidRPr="00AA49EC">
              <w:rPr>
                <w:b/>
                <w:sz w:val="22"/>
                <w:szCs w:val="22"/>
                <w:lang w:eastAsia="en-US"/>
              </w:rPr>
              <w:t>Intranasal administration</w:t>
            </w:r>
          </w:p>
        </w:tc>
      </w:tr>
      <w:tr w:rsidR="00AA49EC" w:rsidRPr="00C76EAC" w14:paraId="58A24A1A" w14:textId="77777777" w:rsidTr="00AA49EC">
        <w:tc>
          <w:tcPr>
            <w:tcW w:w="2552" w:type="dxa"/>
            <w:vAlign w:val="center"/>
          </w:tcPr>
          <w:p w14:paraId="06F034AC" w14:textId="77777777" w:rsidR="00AA49EC" w:rsidRPr="00AA49EC" w:rsidRDefault="00AA49EC" w:rsidP="00AA49EC">
            <w:pPr>
              <w:spacing w:before="120"/>
              <w:jc w:val="left"/>
              <w:rPr>
                <w:sz w:val="22"/>
                <w:szCs w:val="22"/>
                <w:lang w:eastAsia="en-US"/>
              </w:rPr>
            </w:pPr>
            <w:r w:rsidRPr="00AA49EC">
              <w:rPr>
                <w:sz w:val="22"/>
                <w:szCs w:val="22"/>
                <w:lang w:eastAsia="en-US"/>
              </w:rPr>
              <w:t>Rojo et al (2007)</w:t>
            </w:r>
          </w:p>
          <w:p w14:paraId="38B100BE" w14:textId="77777777" w:rsidR="00AA49EC" w:rsidRPr="00DE7E25" w:rsidRDefault="00AA49EC" w:rsidP="00C34954">
            <w:pPr>
              <w:spacing w:before="120"/>
              <w:jc w:val="left"/>
              <w:rPr>
                <w:sz w:val="22"/>
                <w:szCs w:val="22"/>
                <w:lang w:eastAsia="en-US"/>
              </w:rPr>
            </w:pPr>
          </w:p>
        </w:tc>
        <w:tc>
          <w:tcPr>
            <w:tcW w:w="3402" w:type="dxa"/>
            <w:vAlign w:val="center"/>
          </w:tcPr>
          <w:p w14:paraId="797641ED" w14:textId="5E46CC2C" w:rsidR="00AA49EC" w:rsidRPr="00DE7E25" w:rsidRDefault="00AA49EC" w:rsidP="00C34954">
            <w:pPr>
              <w:keepNext/>
              <w:keepLines/>
              <w:jc w:val="left"/>
              <w:rPr>
                <w:sz w:val="22"/>
                <w:szCs w:val="22"/>
                <w:lang w:eastAsia="en-US"/>
              </w:rPr>
            </w:pPr>
            <w:r w:rsidRPr="00AA49EC">
              <w:rPr>
                <w:sz w:val="22"/>
                <w:szCs w:val="22"/>
                <w:lang w:eastAsia="en-US"/>
              </w:rPr>
              <w:t>Intranasal inoculation: up to 30 mg/kg bw/d daily for 30 days, mice and rats. Positive control MPTP.</w:t>
            </w:r>
          </w:p>
        </w:tc>
        <w:tc>
          <w:tcPr>
            <w:tcW w:w="3402" w:type="dxa"/>
            <w:vAlign w:val="center"/>
          </w:tcPr>
          <w:p w14:paraId="1F7BDEC8" w14:textId="77777777" w:rsidR="00AA49EC" w:rsidRPr="00AA49EC" w:rsidRDefault="00AA49EC" w:rsidP="00AA49EC">
            <w:pPr>
              <w:spacing w:before="120"/>
              <w:jc w:val="left"/>
              <w:rPr>
                <w:sz w:val="22"/>
                <w:szCs w:val="22"/>
                <w:lang w:eastAsia="en-US"/>
              </w:rPr>
            </w:pPr>
            <w:r w:rsidRPr="00AA49EC">
              <w:rPr>
                <w:sz w:val="22"/>
                <w:szCs w:val="22"/>
                <w:lang w:eastAsia="en-US"/>
              </w:rPr>
              <w:t>No neuropathology observed, including no effect on TH-ir concentration, striatial DA or DOPAC levels.</w:t>
            </w:r>
          </w:p>
          <w:p w14:paraId="48CC172F" w14:textId="6E1E6FE0" w:rsidR="00AA49EC" w:rsidRPr="00DE7E25" w:rsidRDefault="00AA49EC" w:rsidP="00AA49EC">
            <w:pPr>
              <w:spacing w:before="120"/>
              <w:jc w:val="left"/>
              <w:rPr>
                <w:sz w:val="22"/>
                <w:szCs w:val="22"/>
                <w:lang w:eastAsia="en-US"/>
              </w:rPr>
            </w:pPr>
            <w:r w:rsidRPr="00AA49EC">
              <w:rPr>
                <w:sz w:val="22"/>
                <w:szCs w:val="22"/>
                <w:lang w:eastAsia="en-US"/>
              </w:rPr>
              <w:t>Paraquat detected only in olfactory bulbs, 10 mins following a single intranasal inoculation of 20 mg/kg bw.</w:t>
            </w:r>
          </w:p>
        </w:tc>
      </w:tr>
      <w:tr w:rsidR="00AA49EC" w:rsidRPr="00C76EAC" w14:paraId="004C7F26" w14:textId="77777777" w:rsidTr="0012492B">
        <w:tc>
          <w:tcPr>
            <w:tcW w:w="9356" w:type="dxa"/>
            <w:gridSpan w:val="3"/>
            <w:vAlign w:val="center"/>
          </w:tcPr>
          <w:p w14:paraId="37317B1B" w14:textId="336039B3" w:rsidR="00AA49EC" w:rsidRPr="00DE7E25" w:rsidRDefault="00AA49EC" w:rsidP="00C34954">
            <w:pPr>
              <w:spacing w:before="120"/>
              <w:jc w:val="left"/>
              <w:rPr>
                <w:sz w:val="22"/>
                <w:szCs w:val="22"/>
                <w:lang w:eastAsia="en-US"/>
              </w:rPr>
            </w:pPr>
            <w:r w:rsidRPr="00AA49EC">
              <w:rPr>
                <w:b/>
                <w:sz w:val="22"/>
                <w:szCs w:val="22"/>
                <w:lang w:eastAsia="en-US"/>
              </w:rPr>
              <w:t>Subcutaneous administration</w:t>
            </w:r>
          </w:p>
        </w:tc>
      </w:tr>
      <w:tr w:rsidR="00AA49EC" w:rsidRPr="00C76EAC" w14:paraId="556B239E" w14:textId="77777777" w:rsidTr="00AA49EC">
        <w:tc>
          <w:tcPr>
            <w:tcW w:w="2552" w:type="dxa"/>
            <w:vAlign w:val="center"/>
          </w:tcPr>
          <w:p w14:paraId="3031A5ED" w14:textId="0233A997" w:rsidR="00AA49EC" w:rsidRPr="00DE7E25" w:rsidRDefault="00AA49EC" w:rsidP="00C34954">
            <w:pPr>
              <w:spacing w:before="120"/>
              <w:jc w:val="left"/>
              <w:rPr>
                <w:sz w:val="22"/>
                <w:szCs w:val="22"/>
                <w:lang w:eastAsia="en-US"/>
              </w:rPr>
            </w:pPr>
            <w:r>
              <w:rPr>
                <w:sz w:val="22"/>
                <w:szCs w:val="22"/>
                <w:lang w:eastAsia="en-US"/>
              </w:rPr>
              <w:t>Naylor et al (1995)</w:t>
            </w:r>
          </w:p>
        </w:tc>
        <w:tc>
          <w:tcPr>
            <w:tcW w:w="3402" w:type="dxa"/>
            <w:vAlign w:val="center"/>
          </w:tcPr>
          <w:p w14:paraId="7BB74AAA" w14:textId="54E373ED" w:rsidR="00AA49EC" w:rsidRPr="00DE7E25" w:rsidRDefault="00AA49EC" w:rsidP="00C34954">
            <w:pPr>
              <w:keepNext/>
              <w:keepLines/>
              <w:jc w:val="left"/>
              <w:rPr>
                <w:sz w:val="22"/>
                <w:szCs w:val="22"/>
                <w:lang w:eastAsia="en-US"/>
              </w:rPr>
            </w:pPr>
            <w:r w:rsidRPr="00AA49EC">
              <w:rPr>
                <w:sz w:val="22"/>
                <w:szCs w:val="22"/>
                <w:lang w:eastAsia="en-US"/>
              </w:rPr>
              <w:t>Subcutaneous: single injection of 20 mg/kg bw (14.4 mg paraquat ion/kg bw) in rats.</w:t>
            </w:r>
          </w:p>
        </w:tc>
        <w:tc>
          <w:tcPr>
            <w:tcW w:w="3402" w:type="dxa"/>
            <w:vAlign w:val="center"/>
          </w:tcPr>
          <w:p w14:paraId="41B8463B" w14:textId="25713A77" w:rsidR="00AA49EC" w:rsidRPr="00DE7E25" w:rsidRDefault="00AA49EC" w:rsidP="00C34954">
            <w:pPr>
              <w:spacing w:before="120"/>
              <w:jc w:val="left"/>
              <w:rPr>
                <w:sz w:val="22"/>
                <w:szCs w:val="22"/>
                <w:lang w:eastAsia="en-US"/>
              </w:rPr>
            </w:pPr>
            <w:r w:rsidRPr="00AA49EC">
              <w:rPr>
                <w:sz w:val="22"/>
                <w:szCs w:val="22"/>
                <w:lang w:eastAsia="en-US"/>
              </w:rPr>
              <w:t>No neuropathology observed.</w:t>
            </w:r>
          </w:p>
        </w:tc>
      </w:tr>
    </w:tbl>
    <w:p w14:paraId="4F48C30A" w14:textId="77777777" w:rsidR="00E439AD" w:rsidRPr="002B2CFC" w:rsidRDefault="00E439AD" w:rsidP="008C151D">
      <w:pPr>
        <w:spacing w:before="120"/>
        <w:rPr>
          <w:i/>
          <w:szCs w:val="24"/>
          <w:lang w:eastAsia="en-US"/>
        </w:rPr>
      </w:pPr>
    </w:p>
    <w:p w14:paraId="1844E3E5" w14:textId="77777777" w:rsidR="002F3105" w:rsidRDefault="002F3105" w:rsidP="002B2CFC">
      <w:pPr>
        <w:spacing w:before="120"/>
        <w:rPr>
          <w:i/>
          <w:szCs w:val="24"/>
          <w:lang w:eastAsia="en-US"/>
        </w:rPr>
      </w:pPr>
    </w:p>
    <w:p w14:paraId="25E79299" w14:textId="77777777" w:rsidR="002B2CFC" w:rsidRPr="002B2CFC" w:rsidRDefault="002B2CFC" w:rsidP="002B2CFC">
      <w:pPr>
        <w:rPr>
          <w:szCs w:val="24"/>
          <w:lang w:eastAsia="en-US"/>
        </w:rPr>
      </w:pPr>
    </w:p>
    <w:p w14:paraId="76F0FFAE" w14:textId="77777777" w:rsidR="002B2CFC" w:rsidRPr="002B2CFC" w:rsidRDefault="002B2CFC" w:rsidP="002B2CFC">
      <w:pPr>
        <w:rPr>
          <w:szCs w:val="24"/>
          <w:lang w:eastAsia="en-US"/>
        </w:rPr>
      </w:pPr>
    </w:p>
    <w:p w14:paraId="168DBB36" w14:textId="77777777" w:rsidR="009F7EB6" w:rsidRDefault="009F7EB6" w:rsidP="00E439AD">
      <w:pPr>
        <w:pStyle w:val="Caption"/>
        <w:keepNext/>
        <w:spacing w:after="120"/>
      </w:pPr>
      <w:r>
        <w:t xml:space="preserve">Table </w:t>
      </w:r>
      <w:r w:rsidR="00897462">
        <w:fldChar w:fldCharType="begin"/>
      </w:r>
      <w:r>
        <w:instrText xml:space="preserve"> SEQ Table \* ARABIC </w:instrText>
      </w:r>
      <w:r w:rsidR="00897462">
        <w:fldChar w:fldCharType="separate"/>
      </w:r>
      <w:r w:rsidR="000E54B2">
        <w:rPr>
          <w:noProof/>
        </w:rPr>
        <w:t>35</w:t>
      </w:r>
      <w:r w:rsidR="00897462">
        <w:fldChar w:fldCharType="end"/>
      </w:r>
      <w:r>
        <w:t>. Tissue conc</w:t>
      </w:r>
      <w:r w:rsidR="00F72BDC">
        <w:t>e</w:t>
      </w:r>
      <w:r>
        <w:t>ntration of paraquat following single sc injection of 20 mg/kg bw</w:t>
      </w:r>
      <w:r w:rsidR="00F96C8B">
        <w:t xml:space="preserve"> (14.4 mg paraquat ion/kg bw)</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2976"/>
        <w:gridCol w:w="2835"/>
      </w:tblGrid>
      <w:tr w:rsidR="002B2CFC" w:rsidRPr="002B2CFC" w14:paraId="102D128B" w14:textId="77777777" w:rsidTr="000E221D">
        <w:trPr>
          <w:cantSplit/>
        </w:trPr>
        <w:tc>
          <w:tcPr>
            <w:tcW w:w="3261" w:type="dxa"/>
            <w:vMerge w:val="restart"/>
            <w:shd w:val="clear" w:color="auto" w:fill="BFBFBF" w:themeFill="background1" w:themeFillShade="BF"/>
            <w:vAlign w:val="center"/>
          </w:tcPr>
          <w:p w14:paraId="5653C9FA" w14:textId="77777777" w:rsidR="002B2CFC" w:rsidRPr="002B2CFC" w:rsidRDefault="002B2CFC" w:rsidP="00E439AD">
            <w:pPr>
              <w:keepNext/>
              <w:rPr>
                <w:b/>
                <w:sz w:val="20"/>
                <w:szCs w:val="24"/>
                <w:lang w:val="en-US" w:eastAsia="en-US"/>
              </w:rPr>
            </w:pPr>
            <w:r w:rsidRPr="002B2CFC">
              <w:rPr>
                <w:b/>
                <w:sz w:val="20"/>
                <w:szCs w:val="24"/>
                <w:lang w:val="en-US" w:eastAsia="en-US"/>
              </w:rPr>
              <w:t>Brain region</w:t>
            </w:r>
          </w:p>
        </w:tc>
        <w:tc>
          <w:tcPr>
            <w:tcW w:w="5811" w:type="dxa"/>
            <w:gridSpan w:val="2"/>
            <w:shd w:val="clear" w:color="auto" w:fill="BFBFBF" w:themeFill="background1" w:themeFillShade="BF"/>
          </w:tcPr>
          <w:p w14:paraId="677860F9" w14:textId="77777777" w:rsidR="002B2CFC" w:rsidRPr="002B2CFC" w:rsidRDefault="002B2CFC" w:rsidP="00E439AD">
            <w:pPr>
              <w:keepNext/>
              <w:jc w:val="center"/>
              <w:rPr>
                <w:b/>
                <w:sz w:val="20"/>
                <w:szCs w:val="24"/>
                <w:lang w:val="en-US" w:eastAsia="en-US"/>
              </w:rPr>
            </w:pPr>
            <w:r w:rsidRPr="002B2CFC">
              <w:rPr>
                <w:b/>
                <w:sz w:val="20"/>
                <w:szCs w:val="24"/>
                <w:lang w:val="en-US" w:eastAsia="en-US"/>
              </w:rPr>
              <w:t>Paraquat Concentration (nmol/g of tissue)</w:t>
            </w:r>
          </w:p>
        </w:tc>
      </w:tr>
      <w:tr w:rsidR="002B2CFC" w:rsidRPr="002B2CFC" w14:paraId="5CDAD555" w14:textId="77777777" w:rsidTr="000E221D">
        <w:trPr>
          <w:cantSplit/>
        </w:trPr>
        <w:tc>
          <w:tcPr>
            <w:tcW w:w="3261" w:type="dxa"/>
            <w:vMerge/>
            <w:shd w:val="clear" w:color="auto" w:fill="BFBFBF" w:themeFill="background1" w:themeFillShade="BF"/>
          </w:tcPr>
          <w:p w14:paraId="2C2D090F" w14:textId="77777777" w:rsidR="002B2CFC" w:rsidRPr="002B2CFC" w:rsidRDefault="002B2CFC" w:rsidP="00E439AD">
            <w:pPr>
              <w:keepNext/>
              <w:rPr>
                <w:sz w:val="20"/>
                <w:szCs w:val="24"/>
                <w:lang w:val="en-US" w:eastAsia="en-US"/>
              </w:rPr>
            </w:pPr>
          </w:p>
        </w:tc>
        <w:tc>
          <w:tcPr>
            <w:tcW w:w="2976" w:type="dxa"/>
            <w:shd w:val="clear" w:color="auto" w:fill="BFBFBF" w:themeFill="background1" w:themeFillShade="BF"/>
          </w:tcPr>
          <w:p w14:paraId="56C13E85" w14:textId="77777777" w:rsidR="002B2CFC" w:rsidRPr="002B2CFC" w:rsidRDefault="002B2CFC" w:rsidP="00E439AD">
            <w:pPr>
              <w:keepNext/>
              <w:jc w:val="center"/>
              <w:rPr>
                <w:b/>
                <w:sz w:val="20"/>
                <w:szCs w:val="24"/>
                <w:lang w:val="en-US" w:eastAsia="en-US"/>
              </w:rPr>
            </w:pPr>
            <w:r w:rsidRPr="002B2CFC">
              <w:rPr>
                <w:b/>
                <w:sz w:val="20"/>
                <w:szCs w:val="24"/>
                <w:lang w:val="en-US" w:eastAsia="en-US"/>
              </w:rPr>
              <w:t>0.5 h</w:t>
            </w:r>
          </w:p>
        </w:tc>
        <w:tc>
          <w:tcPr>
            <w:tcW w:w="2835" w:type="dxa"/>
            <w:shd w:val="clear" w:color="auto" w:fill="BFBFBF" w:themeFill="background1" w:themeFillShade="BF"/>
          </w:tcPr>
          <w:p w14:paraId="4E884563" w14:textId="77777777" w:rsidR="002B2CFC" w:rsidRPr="002B2CFC" w:rsidRDefault="002B2CFC" w:rsidP="00E439AD">
            <w:pPr>
              <w:keepNext/>
              <w:jc w:val="center"/>
              <w:rPr>
                <w:b/>
                <w:sz w:val="20"/>
                <w:szCs w:val="24"/>
                <w:lang w:val="en-US" w:eastAsia="en-US"/>
              </w:rPr>
            </w:pPr>
            <w:r w:rsidRPr="002B2CFC">
              <w:rPr>
                <w:b/>
                <w:sz w:val="20"/>
                <w:szCs w:val="24"/>
                <w:lang w:val="en-US" w:eastAsia="en-US"/>
              </w:rPr>
              <w:t>24 h</w:t>
            </w:r>
          </w:p>
        </w:tc>
      </w:tr>
      <w:tr w:rsidR="002B2CFC" w:rsidRPr="002B2CFC" w14:paraId="5B651BFB" w14:textId="77777777" w:rsidTr="00441FE4">
        <w:tc>
          <w:tcPr>
            <w:tcW w:w="3261" w:type="dxa"/>
          </w:tcPr>
          <w:p w14:paraId="52370D12" w14:textId="77777777" w:rsidR="002B2CFC" w:rsidRPr="002B2CFC" w:rsidRDefault="002B2CFC" w:rsidP="00E439AD">
            <w:pPr>
              <w:keepNext/>
              <w:rPr>
                <w:sz w:val="20"/>
                <w:szCs w:val="24"/>
                <w:lang w:val="en-US" w:eastAsia="en-US"/>
              </w:rPr>
            </w:pPr>
            <w:r w:rsidRPr="002B2CFC">
              <w:rPr>
                <w:sz w:val="20"/>
                <w:szCs w:val="24"/>
                <w:lang w:val="en-US" w:eastAsia="en-US"/>
              </w:rPr>
              <w:t>Anterior olfactory bulb</w:t>
            </w:r>
          </w:p>
        </w:tc>
        <w:tc>
          <w:tcPr>
            <w:tcW w:w="2976" w:type="dxa"/>
          </w:tcPr>
          <w:p w14:paraId="24FD5AA9" w14:textId="77777777" w:rsidR="002B2CFC" w:rsidRPr="002B2CFC" w:rsidRDefault="002B2CFC" w:rsidP="00E439AD">
            <w:pPr>
              <w:keepNext/>
              <w:jc w:val="center"/>
              <w:rPr>
                <w:sz w:val="20"/>
                <w:szCs w:val="24"/>
                <w:lang w:val="en-US" w:eastAsia="en-US"/>
              </w:rPr>
            </w:pPr>
            <w:r w:rsidRPr="002B2CFC">
              <w:rPr>
                <w:sz w:val="20"/>
                <w:szCs w:val="24"/>
                <w:lang w:val="en-US" w:eastAsia="en-US"/>
              </w:rPr>
              <w:t>5.8 ± 0.8</w:t>
            </w:r>
          </w:p>
        </w:tc>
        <w:tc>
          <w:tcPr>
            <w:tcW w:w="2835" w:type="dxa"/>
          </w:tcPr>
          <w:p w14:paraId="268BC72F" w14:textId="77777777" w:rsidR="002B2CFC" w:rsidRPr="002B2CFC" w:rsidRDefault="002B2CFC" w:rsidP="00E439AD">
            <w:pPr>
              <w:keepNext/>
              <w:jc w:val="center"/>
              <w:rPr>
                <w:sz w:val="20"/>
                <w:szCs w:val="24"/>
                <w:lang w:val="en-US" w:eastAsia="en-US"/>
              </w:rPr>
            </w:pPr>
            <w:r w:rsidRPr="002B2CFC">
              <w:rPr>
                <w:sz w:val="20"/>
                <w:szCs w:val="24"/>
                <w:lang w:val="en-US" w:eastAsia="en-US"/>
              </w:rPr>
              <w:t>9.1 ± 0.6</w:t>
            </w:r>
          </w:p>
        </w:tc>
      </w:tr>
      <w:tr w:rsidR="002B2CFC" w:rsidRPr="002B2CFC" w14:paraId="7357CA95" w14:textId="77777777" w:rsidTr="00441FE4">
        <w:tc>
          <w:tcPr>
            <w:tcW w:w="3261" w:type="dxa"/>
          </w:tcPr>
          <w:p w14:paraId="50EF5814" w14:textId="77777777" w:rsidR="002B2CFC" w:rsidRPr="002B2CFC" w:rsidRDefault="002B2CFC" w:rsidP="00E439AD">
            <w:pPr>
              <w:keepNext/>
              <w:rPr>
                <w:sz w:val="20"/>
                <w:szCs w:val="24"/>
                <w:lang w:val="en-US" w:eastAsia="en-US"/>
              </w:rPr>
            </w:pPr>
            <w:r w:rsidRPr="002B2CFC">
              <w:rPr>
                <w:sz w:val="20"/>
                <w:szCs w:val="24"/>
                <w:lang w:val="en-US" w:eastAsia="en-US"/>
              </w:rPr>
              <w:t>Posterior olfactory bulb</w:t>
            </w:r>
          </w:p>
        </w:tc>
        <w:tc>
          <w:tcPr>
            <w:tcW w:w="2976" w:type="dxa"/>
          </w:tcPr>
          <w:p w14:paraId="0912E6B0" w14:textId="77777777" w:rsidR="002B2CFC" w:rsidRPr="002B2CFC" w:rsidRDefault="002B2CFC" w:rsidP="00E439AD">
            <w:pPr>
              <w:keepNext/>
              <w:jc w:val="center"/>
              <w:rPr>
                <w:sz w:val="20"/>
                <w:szCs w:val="24"/>
                <w:lang w:val="en-US" w:eastAsia="en-US"/>
              </w:rPr>
            </w:pPr>
            <w:r w:rsidRPr="002B2CFC">
              <w:rPr>
                <w:sz w:val="20"/>
                <w:szCs w:val="24"/>
                <w:lang w:val="en-US" w:eastAsia="en-US"/>
              </w:rPr>
              <w:t>2.9 ± 0.5</w:t>
            </w:r>
          </w:p>
        </w:tc>
        <w:tc>
          <w:tcPr>
            <w:tcW w:w="2835" w:type="dxa"/>
          </w:tcPr>
          <w:p w14:paraId="3528A53C" w14:textId="77777777" w:rsidR="002B2CFC" w:rsidRPr="002B2CFC" w:rsidRDefault="002B2CFC" w:rsidP="00E439AD">
            <w:pPr>
              <w:keepNext/>
              <w:jc w:val="center"/>
              <w:rPr>
                <w:sz w:val="20"/>
                <w:szCs w:val="24"/>
                <w:lang w:val="en-US" w:eastAsia="en-US"/>
              </w:rPr>
            </w:pPr>
            <w:r w:rsidRPr="002B2CFC">
              <w:rPr>
                <w:sz w:val="20"/>
                <w:szCs w:val="24"/>
                <w:lang w:val="en-US" w:eastAsia="en-US"/>
              </w:rPr>
              <w:t>4.8 ± 0.4</w:t>
            </w:r>
          </w:p>
        </w:tc>
      </w:tr>
      <w:tr w:rsidR="002B2CFC" w:rsidRPr="002B2CFC" w14:paraId="76EE905D" w14:textId="77777777" w:rsidTr="00441FE4">
        <w:tc>
          <w:tcPr>
            <w:tcW w:w="3261" w:type="dxa"/>
          </w:tcPr>
          <w:p w14:paraId="0A03A387" w14:textId="77777777" w:rsidR="002B2CFC" w:rsidRPr="002B2CFC" w:rsidRDefault="002B2CFC" w:rsidP="00E439AD">
            <w:pPr>
              <w:keepNext/>
              <w:rPr>
                <w:sz w:val="20"/>
                <w:szCs w:val="24"/>
                <w:lang w:val="en-US" w:eastAsia="en-US"/>
              </w:rPr>
            </w:pPr>
            <w:r w:rsidRPr="002B2CFC">
              <w:rPr>
                <w:sz w:val="20"/>
                <w:szCs w:val="24"/>
                <w:lang w:val="en-US" w:eastAsia="en-US"/>
              </w:rPr>
              <w:t>Olfactory tubercle</w:t>
            </w:r>
          </w:p>
        </w:tc>
        <w:tc>
          <w:tcPr>
            <w:tcW w:w="2976" w:type="dxa"/>
          </w:tcPr>
          <w:p w14:paraId="48A52D03" w14:textId="77777777" w:rsidR="002B2CFC" w:rsidRPr="002B2CFC" w:rsidRDefault="002B2CFC" w:rsidP="00E439AD">
            <w:pPr>
              <w:keepNext/>
              <w:jc w:val="center"/>
              <w:rPr>
                <w:sz w:val="20"/>
                <w:szCs w:val="24"/>
                <w:lang w:val="en-US" w:eastAsia="en-US"/>
              </w:rPr>
            </w:pPr>
            <w:r w:rsidRPr="002B2CFC">
              <w:rPr>
                <w:sz w:val="20"/>
                <w:szCs w:val="24"/>
                <w:lang w:val="en-US" w:eastAsia="en-US"/>
              </w:rPr>
              <w:t>5.8 ± 0.9</w:t>
            </w:r>
          </w:p>
        </w:tc>
        <w:tc>
          <w:tcPr>
            <w:tcW w:w="2835" w:type="dxa"/>
          </w:tcPr>
          <w:p w14:paraId="03BCA40F" w14:textId="77777777" w:rsidR="002B2CFC" w:rsidRPr="002B2CFC" w:rsidRDefault="002B2CFC" w:rsidP="00E439AD">
            <w:pPr>
              <w:keepNext/>
              <w:jc w:val="center"/>
              <w:rPr>
                <w:sz w:val="20"/>
                <w:szCs w:val="24"/>
                <w:lang w:val="en-US" w:eastAsia="en-US"/>
              </w:rPr>
            </w:pPr>
            <w:r w:rsidRPr="002B2CFC">
              <w:rPr>
                <w:sz w:val="20"/>
                <w:szCs w:val="24"/>
                <w:lang w:val="en-US" w:eastAsia="en-US"/>
              </w:rPr>
              <w:t>4.0 ± 0.3</w:t>
            </w:r>
          </w:p>
        </w:tc>
      </w:tr>
      <w:tr w:rsidR="002B2CFC" w:rsidRPr="002B2CFC" w14:paraId="00A3D1AF" w14:textId="77777777" w:rsidTr="00441FE4">
        <w:tc>
          <w:tcPr>
            <w:tcW w:w="3261" w:type="dxa"/>
          </w:tcPr>
          <w:p w14:paraId="3925337A" w14:textId="77777777" w:rsidR="002B2CFC" w:rsidRPr="002B2CFC" w:rsidRDefault="002B2CFC" w:rsidP="00E439AD">
            <w:pPr>
              <w:keepNext/>
              <w:rPr>
                <w:sz w:val="20"/>
                <w:szCs w:val="24"/>
                <w:lang w:val="en-US" w:eastAsia="en-US"/>
              </w:rPr>
            </w:pPr>
            <w:r w:rsidRPr="002B2CFC">
              <w:rPr>
                <w:sz w:val="20"/>
                <w:szCs w:val="24"/>
                <w:lang w:val="en-US" w:eastAsia="en-US"/>
              </w:rPr>
              <w:t>Striatum</w:t>
            </w:r>
          </w:p>
        </w:tc>
        <w:tc>
          <w:tcPr>
            <w:tcW w:w="2976" w:type="dxa"/>
          </w:tcPr>
          <w:p w14:paraId="6334942D" w14:textId="77777777" w:rsidR="002B2CFC" w:rsidRPr="002B2CFC" w:rsidRDefault="002B2CFC" w:rsidP="00E439AD">
            <w:pPr>
              <w:keepNext/>
              <w:jc w:val="center"/>
              <w:rPr>
                <w:sz w:val="20"/>
                <w:szCs w:val="24"/>
                <w:lang w:val="en-US" w:eastAsia="en-US"/>
              </w:rPr>
            </w:pPr>
            <w:r w:rsidRPr="002B2CFC">
              <w:rPr>
                <w:sz w:val="20"/>
                <w:szCs w:val="24"/>
                <w:lang w:val="en-US" w:eastAsia="en-US"/>
              </w:rPr>
              <w:t>0.5 ± 0.0</w:t>
            </w:r>
          </w:p>
        </w:tc>
        <w:tc>
          <w:tcPr>
            <w:tcW w:w="2835" w:type="dxa"/>
          </w:tcPr>
          <w:p w14:paraId="73257FC6" w14:textId="77777777" w:rsidR="002B2CFC" w:rsidRPr="002B2CFC" w:rsidRDefault="002B2CFC" w:rsidP="00E439AD">
            <w:pPr>
              <w:keepNext/>
              <w:jc w:val="center"/>
              <w:rPr>
                <w:sz w:val="20"/>
                <w:szCs w:val="24"/>
                <w:lang w:val="en-US" w:eastAsia="en-US"/>
              </w:rPr>
            </w:pPr>
            <w:r w:rsidRPr="002B2CFC">
              <w:rPr>
                <w:sz w:val="20"/>
                <w:szCs w:val="24"/>
                <w:lang w:val="en-US" w:eastAsia="en-US"/>
              </w:rPr>
              <w:t>2.2 ± 0.1</w:t>
            </w:r>
          </w:p>
        </w:tc>
      </w:tr>
      <w:tr w:rsidR="002B2CFC" w:rsidRPr="002B2CFC" w14:paraId="1A093E5B" w14:textId="77777777" w:rsidTr="00441FE4">
        <w:tc>
          <w:tcPr>
            <w:tcW w:w="3261" w:type="dxa"/>
          </w:tcPr>
          <w:p w14:paraId="27AFD8B4" w14:textId="77777777" w:rsidR="002B2CFC" w:rsidRPr="002B2CFC" w:rsidRDefault="002B2CFC" w:rsidP="00E439AD">
            <w:pPr>
              <w:keepNext/>
              <w:rPr>
                <w:sz w:val="20"/>
                <w:szCs w:val="24"/>
                <w:lang w:val="en-US" w:eastAsia="en-US"/>
              </w:rPr>
            </w:pPr>
            <w:r w:rsidRPr="002B2CFC">
              <w:rPr>
                <w:sz w:val="20"/>
                <w:szCs w:val="24"/>
                <w:lang w:val="en-US" w:eastAsia="en-US"/>
              </w:rPr>
              <w:t>Nucleus accumbens</w:t>
            </w:r>
          </w:p>
        </w:tc>
        <w:tc>
          <w:tcPr>
            <w:tcW w:w="2976" w:type="dxa"/>
          </w:tcPr>
          <w:p w14:paraId="201938BA" w14:textId="77777777" w:rsidR="002B2CFC" w:rsidRPr="002B2CFC" w:rsidRDefault="002B2CFC" w:rsidP="00E439AD">
            <w:pPr>
              <w:keepNext/>
              <w:jc w:val="center"/>
              <w:rPr>
                <w:sz w:val="20"/>
                <w:szCs w:val="24"/>
                <w:lang w:val="en-US" w:eastAsia="en-US"/>
              </w:rPr>
            </w:pPr>
            <w:r w:rsidRPr="002B2CFC">
              <w:rPr>
                <w:sz w:val="20"/>
                <w:szCs w:val="24"/>
                <w:lang w:val="en-US" w:eastAsia="en-US"/>
              </w:rPr>
              <w:t>0.7 ± 0.1</w:t>
            </w:r>
          </w:p>
        </w:tc>
        <w:tc>
          <w:tcPr>
            <w:tcW w:w="2835" w:type="dxa"/>
          </w:tcPr>
          <w:p w14:paraId="02A1F38E" w14:textId="77777777" w:rsidR="002B2CFC" w:rsidRPr="002B2CFC" w:rsidRDefault="002B2CFC" w:rsidP="00E439AD">
            <w:pPr>
              <w:keepNext/>
              <w:jc w:val="center"/>
              <w:rPr>
                <w:sz w:val="20"/>
                <w:szCs w:val="24"/>
                <w:lang w:val="en-US" w:eastAsia="en-US"/>
              </w:rPr>
            </w:pPr>
            <w:r w:rsidRPr="002B2CFC">
              <w:rPr>
                <w:sz w:val="20"/>
                <w:szCs w:val="24"/>
                <w:lang w:val="en-US" w:eastAsia="en-US"/>
              </w:rPr>
              <w:t>2.8 ± 0.1</w:t>
            </w:r>
          </w:p>
        </w:tc>
      </w:tr>
      <w:tr w:rsidR="002B2CFC" w:rsidRPr="002B2CFC" w14:paraId="5BD3553C" w14:textId="77777777" w:rsidTr="00441FE4">
        <w:tc>
          <w:tcPr>
            <w:tcW w:w="3261" w:type="dxa"/>
          </w:tcPr>
          <w:p w14:paraId="6FA9E7E3" w14:textId="77777777" w:rsidR="002B2CFC" w:rsidRPr="002B2CFC" w:rsidRDefault="002B2CFC" w:rsidP="00E439AD">
            <w:pPr>
              <w:keepNext/>
              <w:rPr>
                <w:sz w:val="20"/>
                <w:szCs w:val="24"/>
                <w:lang w:val="en-US" w:eastAsia="en-US"/>
              </w:rPr>
            </w:pPr>
            <w:r w:rsidRPr="002B2CFC">
              <w:rPr>
                <w:sz w:val="20"/>
                <w:szCs w:val="24"/>
                <w:lang w:val="en-US" w:eastAsia="en-US"/>
              </w:rPr>
              <w:t>Parietal cortex (layers I-III)</w:t>
            </w:r>
          </w:p>
        </w:tc>
        <w:tc>
          <w:tcPr>
            <w:tcW w:w="2976" w:type="dxa"/>
          </w:tcPr>
          <w:p w14:paraId="6431D8DA" w14:textId="77777777" w:rsidR="002B2CFC" w:rsidRPr="002B2CFC" w:rsidRDefault="002B2CFC" w:rsidP="00E439AD">
            <w:pPr>
              <w:keepNext/>
              <w:jc w:val="center"/>
              <w:rPr>
                <w:sz w:val="20"/>
                <w:szCs w:val="24"/>
                <w:lang w:val="en-US" w:eastAsia="en-US"/>
              </w:rPr>
            </w:pPr>
            <w:r w:rsidRPr="002B2CFC">
              <w:rPr>
                <w:sz w:val="20"/>
                <w:szCs w:val="24"/>
                <w:lang w:val="en-US" w:eastAsia="en-US"/>
              </w:rPr>
              <w:t>2.0 ±0.2</w:t>
            </w:r>
          </w:p>
        </w:tc>
        <w:tc>
          <w:tcPr>
            <w:tcW w:w="2835" w:type="dxa"/>
          </w:tcPr>
          <w:p w14:paraId="6758FC48" w14:textId="77777777" w:rsidR="002B2CFC" w:rsidRPr="002B2CFC" w:rsidRDefault="002B2CFC" w:rsidP="00E439AD">
            <w:pPr>
              <w:keepNext/>
              <w:jc w:val="center"/>
              <w:rPr>
                <w:sz w:val="20"/>
                <w:szCs w:val="24"/>
                <w:lang w:val="en-US" w:eastAsia="en-US"/>
              </w:rPr>
            </w:pPr>
            <w:r w:rsidRPr="002B2CFC">
              <w:rPr>
                <w:sz w:val="20"/>
                <w:szCs w:val="24"/>
                <w:lang w:val="en-US" w:eastAsia="en-US"/>
              </w:rPr>
              <w:t>1.9 ± 0.1</w:t>
            </w:r>
          </w:p>
        </w:tc>
      </w:tr>
      <w:tr w:rsidR="002B2CFC" w:rsidRPr="002B2CFC" w14:paraId="55B03545" w14:textId="77777777" w:rsidTr="00441FE4">
        <w:tc>
          <w:tcPr>
            <w:tcW w:w="3261" w:type="dxa"/>
          </w:tcPr>
          <w:p w14:paraId="5579BB08" w14:textId="77777777" w:rsidR="002B2CFC" w:rsidRPr="002B2CFC" w:rsidRDefault="002B2CFC" w:rsidP="00E439AD">
            <w:pPr>
              <w:keepNext/>
              <w:rPr>
                <w:sz w:val="20"/>
                <w:szCs w:val="24"/>
                <w:lang w:val="en-US" w:eastAsia="en-US"/>
              </w:rPr>
            </w:pPr>
            <w:r w:rsidRPr="002B2CFC">
              <w:rPr>
                <w:sz w:val="20"/>
                <w:szCs w:val="24"/>
                <w:lang w:val="en-US" w:eastAsia="en-US"/>
              </w:rPr>
              <w:t>Parietal cortex (layers IV-VI)</w:t>
            </w:r>
          </w:p>
        </w:tc>
        <w:tc>
          <w:tcPr>
            <w:tcW w:w="2976" w:type="dxa"/>
          </w:tcPr>
          <w:p w14:paraId="3A0912C0" w14:textId="77777777" w:rsidR="002B2CFC" w:rsidRPr="002B2CFC" w:rsidRDefault="002B2CFC" w:rsidP="00E439AD">
            <w:pPr>
              <w:keepNext/>
              <w:jc w:val="center"/>
              <w:rPr>
                <w:sz w:val="20"/>
                <w:szCs w:val="24"/>
                <w:lang w:val="en-US" w:eastAsia="en-US"/>
              </w:rPr>
            </w:pPr>
            <w:r w:rsidRPr="002B2CFC">
              <w:rPr>
                <w:sz w:val="20"/>
                <w:szCs w:val="24"/>
                <w:lang w:val="en-US" w:eastAsia="en-US"/>
              </w:rPr>
              <w:t>0.9 ± 0.2</w:t>
            </w:r>
          </w:p>
        </w:tc>
        <w:tc>
          <w:tcPr>
            <w:tcW w:w="2835" w:type="dxa"/>
          </w:tcPr>
          <w:p w14:paraId="0921185C" w14:textId="77777777" w:rsidR="002B2CFC" w:rsidRPr="002B2CFC" w:rsidRDefault="002B2CFC" w:rsidP="00E439AD">
            <w:pPr>
              <w:keepNext/>
              <w:jc w:val="center"/>
              <w:rPr>
                <w:sz w:val="20"/>
                <w:szCs w:val="24"/>
                <w:lang w:val="en-US" w:eastAsia="en-US"/>
              </w:rPr>
            </w:pPr>
            <w:r w:rsidRPr="002B2CFC">
              <w:rPr>
                <w:sz w:val="20"/>
                <w:szCs w:val="24"/>
                <w:lang w:val="en-US" w:eastAsia="en-US"/>
              </w:rPr>
              <w:t>2.2 ± 0.1</w:t>
            </w:r>
          </w:p>
        </w:tc>
      </w:tr>
      <w:tr w:rsidR="002B2CFC" w:rsidRPr="002B2CFC" w14:paraId="3B5C3D51" w14:textId="77777777" w:rsidTr="00441FE4">
        <w:tc>
          <w:tcPr>
            <w:tcW w:w="3261" w:type="dxa"/>
          </w:tcPr>
          <w:p w14:paraId="63F88C94" w14:textId="77777777" w:rsidR="002B2CFC" w:rsidRPr="002B2CFC" w:rsidRDefault="002B2CFC" w:rsidP="00E439AD">
            <w:pPr>
              <w:keepNext/>
              <w:rPr>
                <w:sz w:val="20"/>
                <w:szCs w:val="24"/>
                <w:lang w:val="en-US" w:eastAsia="en-US"/>
              </w:rPr>
            </w:pPr>
            <w:r w:rsidRPr="002B2CFC">
              <w:rPr>
                <w:sz w:val="20"/>
                <w:szCs w:val="24"/>
                <w:lang w:val="en-US" w:eastAsia="en-US"/>
              </w:rPr>
              <w:t>Thalamus</w:t>
            </w:r>
          </w:p>
        </w:tc>
        <w:tc>
          <w:tcPr>
            <w:tcW w:w="2976" w:type="dxa"/>
          </w:tcPr>
          <w:p w14:paraId="5135F4EA" w14:textId="77777777" w:rsidR="002B2CFC" w:rsidRPr="002B2CFC" w:rsidRDefault="002B2CFC" w:rsidP="00E439AD">
            <w:pPr>
              <w:keepNext/>
              <w:jc w:val="center"/>
              <w:rPr>
                <w:sz w:val="20"/>
                <w:szCs w:val="24"/>
                <w:lang w:val="en-US" w:eastAsia="en-US"/>
              </w:rPr>
            </w:pPr>
            <w:r w:rsidRPr="002B2CFC">
              <w:rPr>
                <w:sz w:val="20"/>
                <w:szCs w:val="24"/>
                <w:lang w:val="en-US" w:eastAsia="en-US"/>
              </w:rPr>
              <w:t>2.0 ± 0.8</w:t>
            </w:r>
          </w:p>
        </w:tc>
        <w:tc>
          <w:tcPr>
            <w:tcW w:w="2835" w:type="dxa"/>
          </w:tcPr>
          <w:p w14:paraId="1E01851C" w14:textId="77777777" w:rsidR="002B2CFC" w:rsidRPr="002B2CFC" w:rsidRDefault="002B2CFC" w:rsidP="00E439AD">
            <w:pPr>
              <w:keepNext/>
              <w:jc w:val="center"/>
              <w:rPr>
                <w:sz w:val="20"/>
                <w:szCs w:val="24"/>
                <w:lang w:val="en-US" w:eastAsia="en-US"/>
              </w:rPr>
            </w:pPr>
            <w:r w:rsidRPr="002B2CFC">
              <w:rPr>
                <w:sz w:val="20"/>
                <w:szCs w:val="24"/>
                <w:lang w:val="en-US" w:eastAsia="en-US"/>
              </w:rPr>
              <w:t>2.2 ± 0.1</w:t>
            </w:r>
          </w:p>
        </w:tc>
      </w:tr>
      <w:tr w:rsidR="002B2CFC" w:rsidRPr="002B2CFC" w14:paraId="36449610" w14:textId="77777777" w:rsidTr="00441FE4">
        <w:tc>
          <w:tcPr>
            <w:tcW w:w="3261" w:type="dxa"/>
          </w:tcPr>
          <w:p w14:paraId="5CA92477" w14:textId="77777777" w:rsidR="002B2CFC" w:rsidRPr="002B2CFC" w:rsidRDefault="002B2CFC" w:rsidP="00E439AD">
            <w:pPr>
              <w:keepNext/>
              <w:rPr>
                <w:sz w:val="20"/>
                <w:szCs w:val="24"/>
                <w:lang w:val="en-US" w:eastAsia="en-US"/>
              </w:rPr>
            </w:pPr>
            <w:r w:rsidRPr="002B2CFC">
              <w:rPr>
                <w:sz w:val="20"/>
                <w:szCs w:val="24"/>
                <w:lang w:val="en-US" w:eastAsia="en-US"/>
              </w:rPr>
              <w:t>Hypothalamus</w:t>
            </w:r>
          </w:p>
        </w:tc>
        <w:tc>
          <w:tcPr>
            <w:tcW w:w="2976" w:type="dxa"/>
          </w:tcPr>
          <w:p w14:paraId="5FE8D37A" w14:textId="77777777" w:rsidR="002B2CFC" w:rsidRPr="002B2CFC" w:rsidRDefault="002B2CFC" w:rsidP="00E439AD">
            <w:pPr>
              <w:keepNext/>
              <w:jc w:val="center"/>
              <w:rPr>
                <w:sz w:val="20"/>
                <w:szCs w:val="24"/>
                <w:lang w:val="en-US" w:eastAsia="en-US"/>
              </w:rPr>
            </w:pPr>
            <w:r w:rsidRPr="002B2CFC">
              <w:rPr>
                <w:sz w:val="20"/>
                <w:szCs w:val="24"/>
                <w:lang w:val="en-US" w:eastAsia="en-US"/>
              </w:rPr>
              <w:t>4.1 ± 1.0</w:t>
            </w:r>
          </w:p>
        </w:tc>
        <w:tc>
          <w:tcPr>
            <w:tcW w:w="2835" w:type="dxa"/>
          </w:tcPr>
          <w:p w14:paraId="0205DEE5" w14:textId="77777777" w:rsidR="002B2CFC" w:rsidRPr="002B2CFC" w:rsidRDefault="002B2CFC" w:rsidP="00E439AD">
            <w:pPr>
              <w:keepNext/>
              <w:jc w:val="center"/>
              <w:rPr>
                <w:sz w:val="20"/>
                <w:szCs w:val="24"/>
                <w:lang w:val="en-US" w:eastAsia="en-US"/>
              </w:rPr>
            </w:pPr>
            <w:r w:rsidRPr="002B2CFC">
              <w:rPr>
                <w:sz w:val="20"/>
                <w:szCs w:val="24"/>
                <w:lang w:val="en-US" w:eastAsia="en-US"/>
              </w:rPr>
              <w:t>5.1 ± 0.2</w:t>
            </w:r>
          </w:p>
        </w:tc>
      </w:tr>
      <w:tr w:rsidR="002B2CFC" w:rsidRPr="002B2CFC" w14:paraId="619821A6" w14:textId="77777777" w:rsidTr="00441FE4">
        <w:tc>
          <w:tcPr>
            <w:tcW w:w="3261" w:type="dxa"/>
          </w:tcPr>
          <w:p w14:paraId="003DB75D" w14:textId="77777777" w:rsidR="002B2CFC" w:rsidRPr="002B2CFC" w:rsidRDefault="002B2CFC" w:rsidP="00E439AD">
            <w:pPr>
              <w:keepNext/>
              <w:rPr>
                <w:sz w:val="20"/>
                <w:szCs w:val="24"/>
                <w:lang w:val="en-US" w:eastAsia="en-US"/>
              </w:rPr>
            </w:pPr>
            <w:r w:rsidRPr="002B2CFC">
              <w:rPr>
                <w:sz w:val="20"/>
                <w:szCs w:val="24"/>
                <w:lang w:val="en-US" w:eastAsia="en-US"/>
              </w:rPr>
              <w:t>Hippocampus</w:t>
            </w:r>
          </w:p>
        </w:tc>
        <w:tc>
          <w:tcPr>
            <w:tcW w:w="2976" w:type="dxa"/>
          </w:tcPr>
          <w:p w14:paraId="5AB02334" w14:textId="77777777" w:rsidR="002B2CFC" w:rsidRPr="002B2CFC" w:rsidRDefault="002B2CFC" w:rsidP="00E439AD">
            <w:pPr>
              <w:keepNext/>
              <w:jc w:val="center"/>
              <w:rPr>
                <w:sz w:val="20"/>
                <w:szCs w:val="24"/>
                <w:lang w:val="en-US" w:eastAsia="en-US"/>
              </w:rPr>
            </w:pPr>
            <w:r w:rsidRPr="002B2CFC">
              <w:rPr>
                <w:sz w:val="20"/>
                <w:szCs w:val="24"/>
                <w:lang w:val="en-US" w:eastAsia="en-US"/>
              </w:rPr>
              <w:t>0.9 ± 0.2</w:t>
            </w:r>
          </w:p>
        </w:tc>
        <w:tc>
          <w:tcPr>
            <w:tcW w:w="2835" w:type="dxa"/>
          </w:tcPr>
          <w:p w14:paraId="3243797B" w14:textId="77777777" w:rsidR="002B2CFC" w:rsidRPr="002B2CFC" w:rsidRDefault="002B2CFC" w:rsidP="00E439AD">
            <w:pPr>
              <w:keepNext/>
              <w:jc w:val="center"/>
              <w:rPr>
                <w:sz w:val="20"/>
                <w:szCs w:val="24"/>
                <w:lang w:val="en-US" w:eastAsia="en-US"/>
              </w:rPr>
            </w:pPr>
            <w:r w:rsidRPr="002B2CFC">
              <w:rPr>
                <w:sz w:val="20"/>
                <w:szCs w:val="24"/>
                <w:lang w:val="en-US" w:eastAsia="en-US"/>
              </w:rPr>
              <w:t>2.8 ± 0.2</w:t>
            </w:r>
          </w:p>
        </w:tc>
      </w:tr>
      <w:tr w:rsidR="002B2CFC" w:rsidRPr="002B2CFC" w14:paraId="70667DD4" w14:textId="77777777" w:rsidTr="00441FE4">
        <w:tc>
          <w:tcPr>
            <w:tcW w:w="3261" w:type="dxa"/>
          </w:tcPr>
          <w:p w14:paraId="244FBF76" w14:textId="77777777" w:rsidR="002B2CFC" w:rsidRPr="002B2CFC" w:rsidRDefault="002B2CFC" w:rsidP="00E439AD">
            <w:pPr>
              <w:keepNext/>
              <w:rPr>
                <w:sz w:val="20"/>
                <w:szCs w:val="24"/>
                <w:lang w:val="en-US" w:eastAsia="en-US"/>
              </w:rPr>
            </w:pPr>
            <w:r w:rsidRPr="002B2CFC">
              <w:rPr>
                <w:sz w:val="20"/>
                <w:szCs w:val="24"/>
                <w:lang w:val="en-US" w:eastAsia="en-US"/>
              </w:rPr>
              <w:t>Lining of lateral ventricles</w:t>
            </w:r>
          </w:p>
        </w:tc>
        <w:tc>
          <w:tcPr>
            <w:tcW w:w="2976" w:type="dxa"/>
          </w:tcPr>
          <w:p w14:paraId="2270E9C3" w14:textId="77777777" w:rsidR="002B2CFC" w:rsidRPr="002B2CFC" w:rsidRDefault="002B2CFC" w:rsidP="00E439AD">
            <w:pPr>
              <w:keepNext/>
              <w:jc w:val="center"/>
              <w:rPr>
                <w:sz w:val="20"/>
                <w:szCs w:val="24"/>
                <w:lang w:val="en-US" w:eastAsia="en-US"/>
              </w:rPr>
            </w:pPr>
            <w:r w:rsidRPr="002B2CFC">
              <w:rPr>
                <w:sz w:val="20"/>
                <w:szCs w:val="24"/>
                <w:lang w:val="en-US" w:eastAsia="en-US"/>
              </w:rPr>
              <w:t>4.8 ± 1.0</w:t>
            </w:r>
          </w:p>
        </w:tc>
        <w:tc>
          <w:tcPr>
            <w:tcW w:w="2835" w:type="dxa"/>
          </w:tcPr>
          <w:p w14:paraId="60C493C9" w14:textId="77777777" w:rsidR="002B2CFC" w:rsidRPr="002B2CFC" w:rsidRDefault="002B2CFC" w:rsidP="00E439AD">
            <w:pPr>
              <w:keepNext/>
              <w:jc w:val="center"/>
              <w:rPr>
                <w:sz w:val="20"/>
                <w:szCs w:val="24"/>
                <w:lang w:val="en-US" w:eastAsia="en-US"/>
              </w:rPr>
            </w:pPr>
            <w:r w:rsidRPr="002B2CFC">
              <w:rPr>
                <w:sz w:val="20"/>
                <w:szCs w:val="24"/>
                <w:lang w:val="en-US" w:eastAsia="en-US"/>
              </w:rPr>
              <w:t>4.6 ± 0.7</w:t>
            </w:r>
          </w:p>
        </w:tc>
      </w:tr>
      <w:tr w:rsidR="002B2CFC" w:rsidRPr="002B2CFC" w14:paraId="55D76CB0" w14:textId="77777777" w:rsidTr="00441FE4">
        <w:tc>
          <w:tcPr>
            <w:tcW w:w="3261" w:type="dxa"/>
          </w:tcPr>
          <w:p w14:paraId="26F618DE" w14:textId="77777777" w:rsidR="002B2CFC" w:rsidRPr="002B2CFC" w:rsidRDefault="00A4092E" w:rsidP="00E439AD">
            <w:pPr>
              <w:keepNext/>
              <w:rPr>
                <w:sz w:val="20"/>
                <w:szCs w:val="24"/>
                <w:lang w:val="en-US" w:eastAsia="en-US"/>
              </w:rPr>
            </w:pPr>
            <w:r>
              <w:rPr>
                <w:sz w:val="20"/>
                <w:szCs w:val="24"/>
                <w:lang w:val="en-US" w:eastAsia="en-US"/>
              </w:rPr>
              <w:t>SN</w:t>
            </w:r>
          </w:p>
        </w:tc>
        <w:tc>
          <w:tcPr>
            <w:tcW w:w="2976" w:type="dxa"/>
          </w:tcPr>
          <w:p w14:paraId="4A24B106" w14:textId="77777777" w:rsidR="002B2CFC" w:rsidRPr="002B2CFC" w:rsidRDefault="002B2CFC" w:rsidP="00E439AD">
            <w:pPr>
              <w:keepNext/>
              <w:jc w:val="center"/>
              <w:rPr>
                <w:sz w:val="20"/>
                <w:szCs w:val="24"/>
                <w:lang w:val="en-US" w:eastAsia="en-US"/>
              </w:rPr>
            </w:pPr>
            <w:r w:rsidRPr="002B2CFC">
              <w:rPr>
                <w:sz w:val="20"/>
                <w:szCs w:val="24"/>
                <w:lang w:val="en-US" w:eastAsia="en-US"/>
              </w:rPr>
              <w:t>1.5 ± 0.4</w:t>
            </w:r>
          </w:p>
        </w:tc>
        <w:tc>
          <w:tcPr>
            <w:tcW w:w="2835" w:type="dxa"/>
          </w:tcPr>
          <w:p w14:paraId="7CA80BBE" w14:textId="77777777" w:rsidR="002B2CFC" w:rsidRPr="002B2CFC" w:rsidRDefault="002B2CFC" w:rsidP="00E439AD">
            <w:pPr>
              <w:keepNext/>
              <w:jc w:val="center"/>
              <w:rPr>
                <w:sz w:val="20"/>
                <w:szCs w:val="24"/>
                <w:lang w:val="en-US" w:eastAsia="en-US"/>
              </w:rPr>
            </w:pPr>
            <w:r w:rsidRPr="002B2CFC">
              <w:rPr>
                <w:sz w:val="20"/>
                <w:szCs w:val="24"/>
                <w:lang w:val="en-US" w:eastAsia="en-US"/>
              </w:rPr>
              <w:t>3.2 ± 0.2</w:t>
            </w:r>
          </w:p>
        </w:tc>
      </w:tr>
      <w:tr w:rsidR="002B2CFC" w:rsidRPr="002B2CFC" w14:paraId="01678D6E" w14:textId="77777777" w:rsidTr="00441FE4">
        <w:tc>
          <w:tcPr>
            <w:tcW w:w="3261" w:type="dxa"/>
          </w:tcPr>
          <w:p w14:paraId="44716EBC" w14:textId="77777777" w:rsidR="002B2CFC" w:rsidRPr="002B2CFC" w:rsidRDefault="002B2CFC" w:rsidP="00E439AD">
            <w:pPr>
              <w:keepNext/>
              <w:rPr>
                <w:sz w:val="20"/>
                <w:szCs w:val="24"/>
                <w:lang w:val="en-US" w:eastAsia="en-US"/>
              </w:rPr>
            </w:pPr>
            <w:r w:rsidRPr="002B2CFC">
              <w:rPr>
                <w:sz w:val="20"/>
                <w:szCs w:val="24"/>
                <w:lang w:val="en-US" w:eastAsia="en-US"/>
              </w:rPr>
              <w:t>Superior colliculus</w:t>
            </w:r>
          </w:p>
        </w:tc>
        <w:tc>
          <w:tcPr>
            <w:tcW w:w="2976" w:type="dxa"/>
          </w:tcPr>
          <w:p w14:paraId="4EB1F11F" w14:textId="77777777" w:rsidR="002B2CFC" w:rsidRPr="002B2CFC" w:rsidRDefault="002B2CFC" w:rsidP="00E439AD">
            <w:pPr>
              <w:keepNext/>
              <w:jc w:val="center"/>
              <w:rPr>
                <w:sz w:val="20"/>
                <w:szCs w:val="24"/>
                <w:lang w:val="en-US" w:eastAsia="en-US"/>
              </w:rPr>
            </w:pPr>
            <w:r w:rsidRPr="002B2CFC">
              <w:rPr>
                <w:sz w:val="20"/>
                <w:szCs w:val="24"/>
                <w:lang w:val="en-US" w:eastAsia="en-US"/>
              </w:rPr>
              <w:t>1.2 ± 0.1</w:t>
            </w:r>
          </w:p>
        </w:tc>
        <w:tc>
          <w:tcPr>
            <w:tcW w:w="2835" w:type="dxa"/>
          </w:tcPr>
          <w:p w14:paraId="1B7C0F66" w14:textId="77777777" w:rsidR="002B2CFC" w:rsidRPr="002B2CFC" w:rsidRDefault="002B2CFC" w:rsidP="00E439AD">
            <w:pPr>
              <w:keepNext/>
              <w:jc w:val="center"/>
              <w:rPr>
                <w:sz w:val="20"/>
                <w:szCs w:val="24"/>
                <w:lang w:val="en-US" w:eastAsia="en-US"/>
              </w:rPr>
            </w:pPr>
            <w:r w:rsidRPr="002B2CFC">
              <w:rPr>
                <w:sz w:val="20"/>
                <w:szCs w:val="24"/>
                <w:lang w:val="en-US" w:eastAsia="en-US"/>
              </w:rPr>
              <w:t>2.8 ± 0.1</w:t>
            </w:r>
          </w:p>
        </w:tc>
      </w:tr>
      <w:tr w:rsidR="002B2CFC" w:rsidRPr="002B2CFC" w14:paraId="2F106D0B" w14:textId="77777777" w:rsidTr="00441FE4">
        <w:tc>
          <w:tcPr>
            <w:tcW w:w="3261" w:type="dxa"/>
          </w:tcPr>
          <w:p w14:paraId="7CA97279" w14:textId="77777777" w:rsidR="002B2CFC" w:rsidRPr="002B2CFC" w:rsidRDefault="002B2CFC" w:rsidP="00E439AD">
            <w:pPr>
              <w:keepNext/>
              <w:rPr>
                <w:sz w:val="20"/>
                <w:szCs w:val="24"/>
                <w:lang w:val="en-US" w:eastAsia="en-US"/>
              </w:rPr>
            </w:pPr>
            <w:r w:rsidRPr="002B2CFC">
              <w:rPr>
                <w:sz w:val="20"/>
                <w:szCs w:val="24"/>
                <w:lang w:val="en-US" w:eastAsia="en-US"/>
              </w:rPr>
              <w:t>Inferior colliculus</w:t>
            </w:r>
          </w:p>
        </w:tc>
        <w:tc>
          <w:tcPr>
            <w:tcW w:w="2976" w:type="dxa"/>
          </w:tcPr>
          <w:p w14:paraId="0B999109" w14:textId="77777777" w:rsidR="002B2CFC" w:rsidRPr="002B2CFC" w:rsidRDefault="002B2CFC" w:rsidP="00E439AD">
            <w:pPr>
              <w:keepNext/>
              <w:jc w:val="center"/>
              <w:rPr>
                <w:sz w:val="20"/>
                <w:szCs w:val="24"/>
                <w:lang w:val="en-US" w:eastAsia="en-US"/>
              </w:rPr>
            </w:pPr>
            <w:r w:rsidRPr="002B2CFC">
              <w:rPr>
                <w:sz w:val="20"/>
                <w:szCs w:val="24"/>
                <w:lang w:val="en-US" w:eastAsia="en-US"/>
              </w:rPr>
              <w:t>1.1 ± 0.1</w:t>
            </w:r>
          </w:p>
        </w:tc>
        <w:tc>
          <w:tcPr>
            <w:tcW w:w="2835" w:type="dxa"/>
          </w:tcPr>
          <w:p w14:paraId="1D5DB5B4" w14:textId="77777777" w:rsidR="002B2CFC" w:rsidRPr="002B2CFC" w:rsidRDefault="002B2CFC" w:rsidP="00E439AD">
            <w:pPr>
              <w:keepNext/>
              <w:jc w:val="center"/>
              <w:rPr>
                <w:sz w:val="20"/>
                <w:szCs w:val="24"/>
                <w:lang w:val="en-US" w:eastAsia="en-US"/>
              </w:rPr>
            </w:pPr>
            <w:r w:rsidRPr="002B2CFC">
              <w:rPr>
                <w:sz w:val="20"/>
                <w:szCs w:val="24"/>
                <w:lang w:val="en-US" w:eastAsia="en-US"/>
              </w:rPr>
              <w:t>2.8 ± 0.1</w:t>
            </w:r>
          </w:p>
        </w:tc>
      </w:tr>
      <w:tr w:rsidR="002B2CFC" w:rsidRPr="002B2CFC" w14:paraId="5AC911F4" w14:textId="77777777" w:rsidTr="00441FE4">
        <w:tc>
          <w:tcPr>
            <w:tcW w:w="3261" w:type="dxa"/>
          </w:tcPr>
          <w:p w14:paraId="243410BF" w14:textId="77777777" w:rsidR="002B2CFC" w:rsidRPr="002B2CFC" w:rsidRDefault="002B2CFC" w:rsidP="00E439AD">
            <w:pPr>
              <w:keepNext/>
              <w:rPr>
                <w:sz w:val="20"/>
                <w:szCs w:val="24"/>
                <w:lang w:val="en-US" w:eastAsia="en-US"/>
              </w:rPr>
            </w:pPr>
            <w:r w:rsidRPr="002B2CFC">
              <w:rPr>
                <w:sz w:val="20"/>
                <w:szCs w:val="24"/>
                <w:lang w:val="en-US" w:eastAsia="en-US"/>
              </w:rPr>
              <w:t>Pons</w:t>
            </w:r>
          </w:p>
        </w:tc>
        <w:tc>
          <w:tcPr>
            <w:tcW w:w="2976" w:type="dxa"/>
          </w:tcPr>
          <w:p w14:paraId="7C732961" w14:textId="77777777" w:rsidR="002B2CFC" w:rsidRPr="002B2CFC" w:rsidRDefault="002B2CFC" w:rsidP="00E439AD">
            <w:pPr>
              <w:keepNext/>
              <w:jc w:val="center"/>
              <w:rPr>
                <w:sz w:val="20"/>
                <w:szCs w:val="24"/>
                <w:lang w:val="en-US" w:eastAsia="en-US"/>
              </w:rPr>
            </w:pPr>
            <w:r w:rsidRPr="002B2CFC">
              <w:rPr>
                <w:sz w:val="20"/>
                <w:szCs w:val="24"/>
                <w:lang w:val="en-US" w:eastAsia="en-US"/>
              </w:rPr>
              <w:t>4.2 ± 0.9</w:t>
            </w:r>
          </w:p>
        </w:tc>
        <w:tc>
          <w:tcPr>
            <w:tcW w:w="2835" w:type="dxa"/>
          </w:tcPr>
          <w:p w14:paraId="69075EB4" w14:textId="77777777" w:rsidR="002B2CFC" w:rsidRPr="002B2CFC" w:rsidRDefault="002B2CFC" w:rsidP="00E439AD">
            <w:pPr>
              <w:keepNext/>
              <w:jc w:val="center"/>
              <w:rPr>
                <w:sz w:val="20"/>
                <w:szCs w:val="24"/>
                <w:lang w:val="en-US" w:eastAsia="en-US"/>
              </w:rPr>
            </w:pPr>
            <w:r w:rsidRPr="002B2CFC">
              <w:rPr>
                <w:sz w:val="20"/>
                <w:szCs w:val="24"/>
                <w:lang w:val="en-US" w:eastAsia="en-US"/>
              </w:rPr>
              <w:t>3.0 ± 0.1</w:t>
            </w:r>
          </w:p>
        </w:tc>
      </w:tr>
      <w:tr w:rsidR="002B2CFC" w:rsidRPr="002B2CFC" w14:paraId="72E70481" w14:textId="77777777" w:rsidTr="00441FE4">
        <w:tc>
          <w:tcPr>
            <w:tcW w:w="3261" w:type="dxa"/>
          </w:tcPr>
          <w:p w14:paraId="6EC2B36D" w14:textId="77777777" w:rsidR="002B2CFC" w:rsidRPr="002B2CFC" w:rsidRDefault="002B2CFC" w:rsidP="00E439AD">
            <w:pPr>
              <w:keepNext/>
              <w:rPr>
                <w:sz w:val="20"/>
                <w:szCs w:val="24"/>
                <w:lang w:val="en-US" w:eastAsia="en-US"/>
              </w:rPr>
            </w:pPr>
            <w:r w:rsidRPr="002B2CFC">
              <w:rPr>
                <w:sz w:val="20"/>
                <w:szCs w:val="24"/>
                <w:lang w:val="en-US" w:eastAsia="en-US"/>
              </w:rPr>
              <w:t>Lining of fourth ventricle</w:t>
            </w:r>
          </w:p>
        </w:tc>
        <w:tc>
          <w:tcPr>
            <w:tcW w:w="2976" w:type="dxa"/>
          </w:tcPr>
          <w:p w14:paraId="3E6A4B1E" w14:textId="77777777" w:rsidR="002B2CFC" w:rsidRPr="002B2CFC" w:rsidRDefault="002B2CFC" w:rsidP="00E439AD">
            <w:pPr>
              <w:keepNext/>
              <w:jc w:val="center"/>
              <w:rPr>
                <w:sz w:val="20"/>
                <w:szCs w:val="24"/>
                <w:lang w:val="en-US" w:eastAsia="en-US"/>
              </w:rPr>
            </w:pPr>
            <w:r w:rsidRPr="002B2CFC">
              <w:rPr>
                <w:sz w:val="20"/>
                <w:szCs w:val="24"/>
                <w:lang w:val="en-US" w:eastAsia="en-US"/>
              </w:rPr>
              <w:t>4.3 ± 0.5</w:t>
            </w:r>
          </w:p>
        </w:tc>
        <w:tc>
          <w:tcPr>
            <w:tcW w:w="2835" w:type="dxa"/>
          </w:tcPr>
          <w:p w14:paraId="0ED094BE" w14:textId="77777777" w:rsidR="002B2CFC" w:rsidRPr="002B2CFC" w:rsidRDefault="002B2CFC" w:rsidP="00E439AD">
            <w:pPr>
              <w:keepNext/>
              <w:jc w:val="center"/>
              <w:rPr>
                <w:sz w:val="20"/>
                <w:szCs w:val="24"/>
                <w:lang w:val="en-US" w:eastAsia="en-US"/>
              </w:rPr>
            </w:pPr>
            <w:r w:rsidRPr="002B2CFC">
              <w:rPr>
                <w:sz w:val="20"/>
                <w:szCs w:val="24"/>
                <w:lang w:val="en-US" w:eastAsia="en-US"/>
              </w:rPr>
              <w:t>4.3 ± 0.2</w:t>
            </w:r>
          </w:p>
        </w:tc>
      </w:tr>
      <w:tr w:rsidR="002B2CFC" w:rsidRPr="002B2CFC" w14:paraId="01A9309D" w14:textId="77777777" w:rsidTr="00441FE4">
        <w:tc>
          <w:tcPr>
            <w:tcW w:w="3261" w:type="dxa"/>
          </w:tcPr>
          <w:p w14:paraId="23A4ADA5" w14:textId="77777777" w:rsidR="002B2CFC" w:rsidRPr="002B2CFC" w:rsidRDefault="002B2CFC" w:rsidP="00E439AD">
            <w:pPr>
              <w:keepNext/>
              <w:rPr>
                <w:sz w:val="20"/>
                <w:szCs w:val="24"/>
                <w:lang w:val="en-US" w:eastAsia="en-US"/>
              </w:rPr>
            </w:pPr>
            <w:r w:rsidRPr="002B2CFC">
              <w:rPr>
                <w:sz w:val="20"/>
                <w:szCs w:val="24"/>
                <w:lang w:val="en-US" w:eastAsia="en-US"/>
              </w:rPr>
              <w:t>Medulla oblongata</w:t>
            </w:r>
          </w:p>
        </w:tc>
        <w:tc>
          <w:tcPr>
            <w:tcW w:w="2976" w:type="dxa"/>
          </w:tcPr>
          <w:p w14:paraId="7FA65241" w14:textId="77777777" w:rsidR="002B2CFC" w:rsidRPr="002B2CFC" w:rsidRDefault="002B2CFC" w:rsidP="00E439AD">
            <w:pPr>
              <w:keepNext/>
              <w:jc w:val="center"/>
              <w:rPr>
                <w:sz w:val="20"/>
                <w:szCs w:val="24"/>
                <w:lang w:val="en-US" w:eastAsia="en-US"/>
              </w:rPr>
            </w:pPr>
            <w:r w:rsidRPr="002B2CFC">
              <w:rPr>
                <w:sz w:val="20"/>
                <w:szCs w:val="24"/>
                <w:lang w:val="en-US" w:eastAsia="en-US"/>
              </w:rPr>
              <w:t>2.6 ± 0.4</w:t>
            </w:r>
          </w:p>
        </w:tc>
        <w:tc>
          <w:tcPr>
            <w:tcW w:w="2835" w:type="dxa"/>
          </w:tcPr>
          <w:p w14:paraId="2AAE741C" w14:textId="77777777" w:rsidR="002B2CFC" w:rsidRPr="002B2CFC" w:rsidRDefault="002B2CFC" w:rsidP="00E439AD">
            <w:pPr>
              <w:keepNext/>
              <w:jc w:val="center"/>
              <w:rPr>
                <w:sz w:val="20"/>
                <w:szCs w:val="24"/>
                <w:lang w:val="en-US" w:eastAsia="en-US"/>
              </w:rPr>
            </w:pPr>
            <w:r w:rsidRPr="002B2CFC">
              <w:rPr>
                <w:sz w:val="20"/>
                <w:szCs w:val="24"/>
                <w:lang w:val="en-US" w:eastAsia="en-US"/>
              </w:rPr>
              <w:t>2.8 ± 0.1</w:t>
            </w:r>
          </w:p>
        </w:tc>
      </w:tr>
      <w:tr w:rsidR="002B2CFC" w:rsidRPr="002B2CFC" w14:paraId="0E643D51" w14:textId="77777777" w:rsidTr="00441FE4">
        <w:tc>
          <w:tcPr>
            <w:tcW w:w="3261" w:type="dxa"/>
          </w:tcPr>
          <w:p w14:paraId="52BAB3BA" w14:textId="77777777" w:rsidR="002B2CFC" w:rsidRPr="002B2CFC" w:rsidRDefault="002B2CFC" w:rsidP="00E439AD">
            <w:pPr>
              <w:keepNext/>
              <w:rPr>
                <w:sz w:val="20"/>
                <w:szCs w:val="24"/>
                <w:lang w:val="en-US" w:eastAsia="en-US"/>
              </w:rPr>
            </w:pPr>
            <w:r w:rsidRPr="002B2CFC">
              <w:rPr>
                <w:sz w:val="20"/>
                <w:szCs w:val="24"/>
                <w:lang w:val="en-US" w:eastAsia="en-US"/>
              </w:rPr>
              <w:t>Cerebellum</w:t>
            </w:r>
          </w:p>
        </w:tc>
        <w:tc>
          <w:tcPr>
            <w:tcW w:w="2976" w:type="dxa"/>
          </w:tcPr>
          <w:p w14:paraId="5F8DC55B" w14:textId="77777777" w:rsidR="002B2CFC" w:rsidRPr="002B2CFC" w:rsidRDefault="002B2CFC" w:rsidP="00E439AD">
            <w:pPr>
              <w:keepNext/>
              <w:jc w:val="center"/>
              <w:rPr>
                <w:sz w:val="20"/>
                <w:szCs w:val="24"/>
                <w:lang w:val="en-US" w:eastAsia="en-US"/>
              </w:rPr>
            </w:pPr>
            <w:r w:rsidRPr="002B2CFC">
              <w:rPr>
                <w:sz w:val="20"/>
                <w:szCs w:val="24"/>
                <w:lang w:val="en-US" w:eastAsia="en-US"/>
              </w:rPr>
              <w:t>1.2 ± 0.1</w:t>
            </w:r>
          </w:p>
        </w:tc>
        <w:tc>
          <w:tcPr>
            <w:tcW w:w="2835" w:type="dxa"/>
          </w:tcPr>
          <w:p w14:paraId="5CD910BE" w14:textId="77777777" w:rsidR="002B2CFC" w:rsidRPr="002B2CFC" w:rsidRDefault="002B2CFC" w:rsidP="00E439AD">
            <w:pPr>
              <w:keepNext/>
              <w:jc w:val="center"/>
              <w:rPr>
                <w:sz w:val="20"/>
                <w:szCs w:val="24"/>
                <w:lang w:val="en-US" w:eastAsia="en-US"/>
              </w:rPr>
            </w:pPr>
            <w:r w:rsidRPr="002B2CFC">
              <w:rPr>
                <w:sz w:val="20"/>
                <w:szCs w:val="24"/>
                <w:lang w:val="en-US" w:eastAsia="en-US"/>
              </w:rPr>
              <w:t>1.7 ± 0.0</w:t>
            </w:r>
          </w:p>
        </w:tc>
      </w:tr>
      <w:tr w:rsidR="002B2CFC" w:rsidRPr="002B2CFC" w14:paraId="5004A974" w14:textId="77777777" w:rsidTr="00441FE4">
        <w:tc>
          <w:tcPr>
            <w:tcW w:w="3261" w:type="dxa"/>
          </w:tcPr>
          <w:p w14:paraId="3690FC4E" w14:textId="77777777" w:rsidR="002B2CFC" w:rsidRPr="002B2CFC" w:rsidRDefault="002B2CFC" w:rsidP="00E439AD">
            <w:pPr>
              <w:keepNext/>
              <w:rPr>
                <w:sz w:val="20"/>
                <w:szCs w:val="24"/>
                <w:lang w:val="en-US" w:eastAsia="en-US"/>
              </w:rPr>
            </w:pPr>
            <w:r w:rsidRPr="002B2CFC">
              <w:rPr>
                <w:sz w:val="20"/>
                <w:szCs w:val="24"/>
                <w:lang w:val="en-US" w:eastAsia="en-US"/>
              </w:rPr>
              <w:t>Area postrema</w:t>
            </w:r>
          </w:p>
        </w:tc>
        <w:tc>
          <w:tcPr>
            <w:tcW w:w="2976" w:type="dxa"/>
          </w:tcPr>
          <w:p w14:paraId="732C18CB" w14:textId="77777777" w:rsidR="002B2CFC" w:rsidRPr="002B2CFC" w:rsidRDefault="002B2CFC" w:rsidP="00E439AD">
            <w:pPr>
              <w:keepNext/>
              <w:jc w:val="center"/>
              <w:rPr>
                <w:sz w:val="20"/>
                <w:szCs w:val="24"/>
                <w:lang w:val="en-US" w:eastAsia="en-US"/>
              </w:rPr>
            </w:pPr>
            <w:r w:rsidRPr="002B2CFC">
              <w:rPr>
                <w:sz w:val="20"/>
                <w:szCs w:val="24"/>
                <w:lang w:val="en-US" w:eastAsia="en-US"/>
              </w:rPr>
              <w:t>6.3 ± 2.0</w:t>
            </w:r>
          </w:p>
        </w:tc>
        <w:tc>
          <w:tcPr>
            <w:tcW w:w="2835" w:type="dxa"/>
          </w:tcPr>
          <w:p w14:paraId="7DC0297D" w14:textId="77777777" w:rsidR="002B2CFC" w:rsidRPr="002B2CFC" w:rsidRDefault="002B2CFC" w:rsidP="00E439AD">
            <w:pPr>
              <w:keepNext/>
              <w:jc w:val="center"/>
              <w:rPr>
                <w:sz w:val="20"/>
                <w:szCs w:val="24"/>
                <w:lang w:val="en-US" w:eastAsia="en-US"/>
              </w:rPr>
            </w:pPr>
            <w:r w:rsidRPr="002B2CFC">
              <w:rPr>
                <w:sz w:val="20"/>
                <w:szCs w:val="24"/>
                <w:lang w:val="en-US" w:eastAsia="en-US"/>
              </w:rPr>
              <w:t>4.9 ± 0.7</w:t>
            </w:r>
          </w:p>
        </w:tc>
      </w:tr>
      <w:tr w:rsidR="002B2CFC" w:rsidRPr="002B2CFC" w14:paraId="7C4A2F9D" w14:textId="77777777" w:rsidTr="00441FE4">
        <w:tc>
          <w:tcPr>
            <w:tcW w:w="3261" w:type="dxa"/>
          </w:tcPr>
          <w:p w14:paraId="5DE5A985" w14:textId="77777777" w:rsidR="002B2CFC" w:rsidRPr="002B2CFC" w:rsidRDefault="002B2CFC" w:rsidP="00E439AD">
            <w:pPr>
              <w:keepNext/>
              <w:rPr>
                <w:sz w:val="20"/>
                <w:szCs w:val="24"/>
                <w:lang w:val="en-US" w:eastAsia="en-US"/>
              </w:rPr>
            </w:pPr>
            <w:r w:rsidRPr="002B2CFC">
              <w:rPr>
                <w:sz w:val="20"/>
                <w:szCs w:val="24"/>
                <w:lang w:val="en-US" w:eastAsia="en-US"/>
              </w:rPr>
              <w:t>Pineal gland</w:t>
            </w:r>
          </w:p>
        </w:tc>
        <w:tc>
          <w:tcPr>
            <w:tcW w:w="2976" w:type="dxa"/>
          </w:tcPr>
          <w:p w14:paraId="4EA5401D" w14:textId="77777777" w:rsidR="002B2CFC" w:rsidRPr="002B2CFC" w:rsidRDefault="002B2CFC" w:rsidP="00E439AD">
            <w:pPr>
              <w:keepNext/>
              <w:jc w:val="center"/>
              <w:rPr>
                <w:sz w:val="20"/>
                <w:szCs w:val="24"/>
                <w:lang w:val="en-US" w:eastAsia="en-US"/>
              </w:rPr>
            </w:pPr>
            <w:r w:rsidRPr="002B2CFC">
              <w:rPr>
                <w:sz w:val="20"/>
                <w:szCs w:val="24"/>
                <w:lang w:val="en-US" w:eastAsia="en-US"/>
              </w:rPr>
              <w:t>17.0 ± 2.6</w:t>
            </w:r>
          </w:p>
        </w:tc>
        <w:tc>
          <w:tcPr>
            <w:tcW w:w="2835" w:type="dxa"/>
          </w:tcPr>
          <w:p w14:paraId="3499687C" w14:textId="77777777" w:rsidR="002B2CFC" w:rsidRPr="002B2CFC" w:rsidRDefault="002B2CFC" w:rsidP="00E439AD">
            <w:pPr>
              <w:keepNext/>
              <w:jc w:val="center"/>
              <w:rPr>
                <w:sz w:val="20"/>
                <w:szCs w:val="24"/>
                <w:lang w:val="en-US" w:eastAsia="en-US"/>
              </w:rPr>
            </w:pPr>
            <w:r w:rsidRPr="002B2CFC">
              <w:rPr>
                <w:sz w:val="20"/>
                <w:szCs w:val="24"/>
                <w:lang w:val="en-US" w:eastAsia="en-US"/>
              </w:rPr>
              <w:t>8.5 ± 0.3</w:t>
            </w:r>
          </w:p>
        </w:tc>
      </w:tr>
    </w:tbl>
    <w:p w14:paraId="4511A0AE" w14:textId="77777777" w:rsidR="002B2CFC" w:rsidRPr="002B2CFC" w:rsidRDefault="002B2CFC" w:rsidP="002B2CFC">
      <w:pPr>
        <w:rPr>
          <w:szCs w:val="24"/>
          <w:lang w:eastAsia="en-US"/>
        </w:rPr>
      </w:pPr>
    </w:p>
    <w:p w14:paraId="504E1CC9" w14:textId="77777777" w:rsidR="002B2CFC" w:rsidRDefault="002B2CFC" w:rsidP="002B2CFC">
      <w:pPr>
        <w:rPr>
          <w:szCs w:val="24"/>
          <w:u w:val="single"/>
          <w:lang w:eastAsia="en-US"/>
        </w:rPr>
      </w:pPr>
      <w:r w:rsidRPr="00DE7E25">
        <w:rPr>
          <w:szCs w:val="24"/>
          <w:u w:val="single"/>
          <w:lang w:eastAsia="en-US"/>
        </w:rPr>
        <w:t xml:space="preserve">Corasaniti </w:t>
      </w:r>
      <w:r w:rsidRPr="00DE7E25">
        <w:rPr>
          <w:i/>
          <w:szCs w:val="24"/>
          <w:u w:val="single"/>
          <w:lang w:eastAsia="en-US"/>
        </w:rPr>
        <w:t>et al</w:t>
      </w:r>
      <w:r w:rsidRPr="00DE7E25">
        <w:rPr>
          <w:szCs w:val="24"/>
          <w:u w:val="single"/>
          <w:lang w:eastAsia="en-US"/>
        </w:rPr>
        <w:t xml:space="preserve"> (1991)</w:t>
      </w:r>
    </w:p>
    <w:p w14:paraId="6EE4121B" w14:textId="77777777" w:rsidR="00E439AD" w:rsidRPr="00DE7E25" w:rsidRDefault="00E439AD" w:rsidP="002B2CFC">
      <w:pPr>
        <w:rPr>
          <w:szCs w:val="24"/>
          <w:u w:val="single"/>
          <w:lang w:eastAsia="en-US"/>
        </w:rPr>
      </w:pPr>
    </w:p>
    <w:p w14:paraId="5FB3223C" w14:textId="77777777" w:rsidR="002B2CFC" w:rsidRPr="002B2CFC" w:rsidRDefault="002B2CFC" w:rsidP="002B2CFC">
      <w:pPr>
        <w:rPr>
          <w:szCs w:val="24"/>
          <w:lang w:eastAsia="en-US"/>
        </w:rPr>
      </w:pPr>
      <w:r w:rsidRPr="002B2CFC">
        <w:rPr>
          <w:szCs w:val="24"/>
          <w:lang w:eastAsia="en-US"/>
        </w:rPr>
        <w:t xml:space="preserve">Subcutaneous: Single injections of 1, 2.5 or 5.0 mg/kg bw </w:t>
      </w:r>
      <w:r w:rsidR="00F96C8B">
        <w:rPr>
          <w:szCs w:val="24"/>
          <w:lang w:eastAsia="en-US"/>
        </w:rPr>
        <w:t>(</w:t>
      </w:r>
      <w:r w:rsidR="00F96C8B">
        <w:t>0.72, 1.8 or 3.6 mg/kg bw paraquat cation</w:t>
      </w:r>
      <w:r w:rsidR="00F96C8B">
        <w:rPr>
          <w:szCs w:val="24"/>
          <w:lang w:eastAsia="en-US"/>
        </w:rPr>
        <w:t xml:space="preserve">) </w:t>
      </w:r>
      <w:r w:rsidRPr="002B2CFC">
        <w:rPr>
          <w:szCs w:val="24"/>
          <w:lang w:eastAsia="en-US"/>
        </w:rPr>
        <w:t>in rats.</w:t>
      </w:r>
    </w:p>
    <w:p w14:paraId="7635421E" w14:textId="77777777" w:rsidR="002B2CFC" w:rsidRPr="002B2CFC" w:rsidRDefault="002B2CFC" w:rsidP="002B2CFC">
      <w:pPr>
        <w:rPr>
          <w:szCs w:val="24"/>
          <w:lang w:eastAsia="en-US"/>
        </w:rPr>
      </w:pPr>
      <w:r w:rsidRPr="002B2CFC">
        <w:rPr>
          <w:szCs w:val="24"/>
          <w:lang w:eastAsia="en-US"/>
        </w:rPr>
        <w:t>Brain parts not specified. Units of concentration: ng/g wet weight</w:t>
      </w:r>
    </w:p>
    <w:p w14:paraId="74366F6F" w14:textId="77777777" w:rsidR="002B2CFC" w:rsidRDefault="002B2CFC" w:rsidP="002B2CFC">
      <w:pPr>
        <w:rPr>
          <w:szCs w:val="24"/>
          <w:lang w:eastAsia="en-US"/>
        </w:rPr>
      </w:pPr>
      <w:r w:rsidRPr="002B2CFC">
        <w:rPr>
          <w:szCs w:val="24"/>
          <w:lang w:eastAsia="en-US"/>
        </w:rPr>
        <w:t>Neuropathology not examined.</w:t>
      </w:r>
    </w:p>
    <w:p w14:paraId="675DDCF3" w14:textId="77777777" w:rsidR="00C3356A" w:rsidRPr="002B2CFC" w:rsidRDefault="00C3356A" w:rsidP="002B2CFC">
      <w:pPr>
        <w:rPr>
          <w:szCs w:val="24"/>
          <w:lang w:eastAsia="en-US"/>
        </w:rPr>
      </w:pPr>
    </w:p>
    <w:p w14:paraId="16F23836" w14:textId="77777777" w:rsidR="009F7EB6" w:rsidRDefault="009F7EB6" w:rsidP="009D0D8F">
      <w:pPr>
        <w:pStyle w:val="Caption"/>
        <w:keepNext/>
        <w:spacing w:after="120"/>
      </w:pPr>
      <w:r>
        <w:t xml:space="preserve">Table </w:t>
      </w:r>
      <w:r w:rsidR="00897462">
        <w:fldChar w:fldCharType="begin"/>
      </w:r>
      <w:r>
        <w:instrText xml:space="preserve"> SEQ Table \* ARABIC </w:instrText>
      </w:r>
      <w:r w:rsidR="00897462">
        <w:fldChar w:fldCharType="separate"/>
      </w:r>
      <w:r w:rsidR="000E54B2">
        <w:rPr>
          <w:noProof/>
        </w:rPr>
        <w:t>36</w:t>
      </w:r>
      <w:r w:rsidR="00897462">
        <w:fldChar w:fldCharType="end"/>
      </w:r>
      <w:r>
        <w:t xml:space="preserve">. </w:t>
      </w:r>
      <w:r w:rsidRPr="002A4DEA">
        <w:t>Tissue conc</w:t>
      </w:r>
      <w:r w:rsidR="0056108B">
        <w:t>en</w:t>
      </w:r>
      <w:r w:rsidRPr="002A4DEA">
        <w:t>tration of paraquat following single sc injection of</w:t>
      </w:r>
      <w:r>
        <w:t xml:space="preserve"> 1, 2.5 or 5</w:t>
      </w:r>
      <w:r w:rsidRPr="002A4DEA">
        <w:t xml:space="preserve"> mg/kg bw</w:t>
      </w:r>
      <w:r w:rsidR="00197DA9">
        <w:t xml:space="preserve"> (0.72, 1.8 or 3.6 mg/kg bw paraquat cation)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4"/>
        <w:gridCol w:w="1838"/>
        <w:gridCol w:w="1838"/>
        <w:gridCol w:w="1838"/>
        <w:gridCol w:w="1769"/>
      </w:tblGrid>
      <w:tr w:rsidR="002B2CFC" w:rsidRPr="002B2CFC" w14:paraId="736B7215" w14:textId="77777777" w:rsidTr="000E221D">
        <w:tc>
          <w:tcPr>
            <w:tcW w:w="962" w:type="pct"/>
            <w:vMerge w:val="restart"/>
            <w:shd w:val="clear" w:color="auto" w:fill="BFBFBF" w:themeFill="background1" w:themeFillShade="BF"/>
            <w:vAlign w:val="center"/>
          </w:tcPr>
          <w:p w14:paraId="6563329A" w14:textId="77777777" w:rsidR="002B2CFC" w:rsidRPr="002B2CFC" w:rsidRDefault="002B2CFC" w:rsidP="002B2CFC">
            <w:pPr>
              <w:keepNext/>
              <w:keepLines/>
              <w:jc w:val="center"/>
              <w:rPr>
                <w:b/>
                <w:sz w:val="20"/>
                <w:lang w:val="en-US" w:eastAsia="en-US"/>
              </w:rPr>
            </w:pPr>
            <w:r w:rsidRPr="002B2CFC">
              <w:rPr>
                <w:b/>
                <w:sz w:val="20"/>
                <w:lang w:val="en-US" w:eastAsia="en-US"/>
              </w:rPr>
              <w:t>Dose (mg/kg bw)</w:t>
            </w:r>
          </w:p>
        </w:tc>
        <w:tc>
          <w:tcPr>
            <w:tcW w:w="4038" w:type="pct"/>
            <w:gridSpan w:val="4"/>
            <w:shd w:val="clear" w:color="auto" w:fill="BFBFBF" w:themeFill="background1" w:themeFillShade="BF"/>
          </w:tcPr>
          <w:p w14:paraId="2999269F" w14:textId="77777777" w:rsidR="002B2CFC" w:rsidRPr="002B2CFC" w:rsidRDefault="002B2CFC" w:rsidP="002B2CFC">
            <w:pPr>
              <w:keepNext/>
              <w:keepLines/>
              <w:jc w:val="center"/>
              <w:rPr>
                <w:b/>
                <w:sz w:val="20"/>
                <w:lang w:val="en-US" w:eastAsia="en-US"/>
              </w:rPr>
            </w:pPr>
            <w:r w:rsidRPr="002B2CFC">
              <w:rPr>
                <w:b/>
                <w:sz w:val="20"/>
                <w:lang w:val="en-US" w:eastAsia="en-US"/>
              </w:rPr>
              <w:t>Age of rat</w:t>
            </w:r>
          </w:p>
        </w:tc>
      </w:tr>
      <w:tr w:rsidR="002B2CFC" w:rsidRPr="002B2CFC" w14:paraId="2F630E51" w14:textId="77777777" w:rsidTr="000E221D">
        <w:tc>
          <w:tcPr>
            <w:tcW w:w="962" w:type="pct"/>
            <w:vMerge/>
            <w:shd w:val="clear" w:color="auto" w:fill="BFBFBF" w:themeFill="background1" w:themeFillShade="BF"/>
          </w:tcPr>
          <w:p w14:paraId="7C04850A" w14:textId="77777777" w:rsidR="002B2CFC" w:rsidRPr="002B2CFC" w:rsidRDefault="002B2CFC" w:rsidP="002B2CFC">
            <w:pPr>
              <w:keepNext/>
              <w:keepLines/>
              <w:jc w:val="center"/>
              <w:rPr>
                <w:b/>
                <w:sz w:val="20"/>
                <w:lang w:val="en-US" w:eastAsia="en-US"/>
              </w:rPr>
            </w:pPr>
          </w:p>
        </w:tc>
        <w:tc>
          <w:tcPr>
            <w:tcW w:w="1019" w:type="pct"/>
            <w:shd w:val="clear" w:color="auto" w:fill="BFBFBF" w:themeFill="background1" w:themeFillShade="BF"/>
          </w:tcPr>
          <w:p w14:paraId="5470C2BF" w14:textId="77777777" w:rsidR="002B2CFC" w:rsidRPr="002B2CFC" w:rsidRDefault="002B2CFC" w:rsidP="002B2CFC">
            <w:pPr>
              <w:keepNext/>
              <w:keepLines/>
              <w:jc w:val="center"/>
              <w:rPr>
                <w:b/>
                <w:sz w:val="20"/>
                <w:lang w:val="en-US" w:eastAsia="en-US"/>
              </w:rPr>
            </w:pPr>
            <w:r w:rsidRPr="002B2CFC">
              <w:rPr>
                <w:b/>
                <w:sz w:val="20"/>
                <w:lang w:val="en-US" w:eastAsia="en-US"/>
              </w:rPr>
              <w:t>2-week old</w:t>
            </w:r>
          </w:p>
        </w:tc>
        <w:tc>
          <w:tcPr>
            <w:tcW w:w="1019" w:type="pct"/>
            <w:shd w:val="clear" w:color="auto" w:fill="BFBFBF" w:themeFill="background1" w:themeFillShade="BF"/>
          </w:tcPr>
          <w:p w14:paraId="04EC0BCE" w14:textId="77777777" w:rsidR="002B2CFC" w:rsidRPr="002B2CFC" w:rsidRDefault="002B2CFC" w:rsidP="002B2CFC">
            <w:pPr>
              <w:keepNext/>
              <w:keepLines/>
              <w:jc w:val="center"/>
              <w:rPr>
                <w:b/>
                <w:sz w:val="20"/>
                <w:lang w:val="en-US" w:eastAsia="en-US"/>
              </w:rPr>
            </w:pPr>
            <w:r w:rsidRPr="002B2CFC">
              <w:rPr>
                <w:b/>
                <w:sz w:val="20"/>
                <w:lang w:val="en-US" w:eastAsia="en-US"/>
              </w:rPr>
              <w:t>3-month old</w:t>
            </w:r>
          </w:p>
        </w:tc>
        <w:tc>
          <w:tcPr>
            <w:tcW w:w="1019" w:type="pct"/>
            <w:shd w:val="clear" w:color="auto" w:fill="BFBFBF" w:themeFill="background1" w:themeFillShade="BF"/>
          </w:tcPr>
          <w:p w14:paraId="6E8D9F52" w14:textId="77777777" w:rsidR="002B2CFC" w:rsidRPr="002B2CFC" w:rsidRDefault="002B2CFC" w:rsidP="002B2CFC">
            <w:pPr>
              <w:keepNext/>
              <w:keepLines/>
              <w:jc w:val="center"/>
              <w:rPr>
                <w:b/>
                <w:sz w:val="20"/>
                <w:lang w:val="en-US" w:eastAsia="en-US"/>
              </w:rPr>
            </w:pPr>
            <w:r w:rsidRPr="002B2CFC">
              <w:rPr>
                <w:b/>
                <w:sz w:val="20"/>
                <w:lang w:val="en-US" w:eastAsia="en-US"/>
              </w:rPr>
              <w:t>12-month old</w:t>
            </w:r>
          </w:p>
        </w:tc>
        <w:tc>
          <w:tcPr>
            <w:tcW w:w="982" w:type="pct"/>
            <w:shd w:val="clear" w:color="auto" w:fill="BFBFBF" w:themeFill="background1" w:themeFillShade="BF"/>
          </w:tcPr>
          <w:p w14:paraId="4A26038D" w14:textId="77777777" w:rsidR="002B2CFC" w:rsidRPr="002B2CFC" w:rsidRDefault="002B2CFC" w:rsidP="002B2CFC">
            <w:pPr>
              <w:keepNext/>
              <w:keepLines/>
              <w:jc w:val="center"/>
              <w:rPr>
                <w:b/>
                <w:sz w:val="20"/>
                <w:lang w:val="en-US" w:eastAsia="en-US"/>
              </w:rPr>
            </w:pPr>
            <w:r w:rsidRPr="002B2CFC">
              <w:rPr>
                <w:b/>
                <w:sz w:val="20"/>
                <w:lang w:val="en-US" w:eastAsia="en-US"/>
              </w:rPr>
              <w:t>24-month old</w:t>
            </w:r>
          </w:p>
        </w:tc>
      </w:tr>
      <w:tr w:rsidR="002B2CFC" w:rsidRPr="002B2CFC" w14:paraId="3FFC17DE" w14:textId="77777777" w:rsidTr="0056108B">
        <w:tc>
          <w:tcPr>
            <w:tcW w:w="962" w:type="pct"/>
            <w:vAlign w:val="center"/>
          </w:tcPr>
          <w:p w14:paraId="062907F4" w14:textId="77777777" w:rsidR="002B2CFC" w:rsidRPr="002B2CFC" w:rsidRDefault="002B2CFC" w:rsidP="002B2CFC">
            <w:pPr>
              <w:keepNext/>
              <w:keepLines/>
              <w:jc w:val="center"/>
              <w:rPr>
                <w:sz w:val="20"/>
                <w:lang w:val="en-US" w:eastAsia="en-US"/>
              </w:rPr>
            </w:pPr>
            <w:r w:rsidRPr="002B2CFC">
              <w:rPr>
                <w:sz w:val="20"/>
                <w:lang w:val="en-US" w:eastAsia="en-US"/>
              </w:rPr>
              <w:t>1.0</w:t>
            </w:r>
          </w:p>
        </w:tc>
        <w:tc>
          <w:tcPr>
            <w:tcW w:w="1019" w:type="pct"/>
          </w:tcPr>
          <w:p w14:paraId="6F22DCE7" w14:textId="77777777" w:rsidR="002B2CFC" w:rsidRPr="002B2CFC" w:rsidRDefault="002B2CFC" w:rsidP="002B2CFC">
            <w:pPr>
              <w:keepNext/>
              <w:keepLines/>
              <w:jc w:val="center"/>
              <w:rPr>
                <w:sz w:val="20"/>
                <w:lang w:val="en-US" w:eastAsia="en-US"/>
              </w:rPr>
            </w:pPr>
            <w:r w:rsidRPr="002B2CFC">
              <w:rPr>
                <w:sz w:val="20"/>
                <w:lang w:val="en-US" w:eastAsia="en-US"/>
              </w:rPr>
              <w:t>64.0 ± 11.6</w:t>
            </w:r>
          </w:p>
        </w:tc>
        <w:tc>
          <w:tcPr>
            <w:tcW w:w="1019" w:type="pct"/>
          </w:tcPr>
          <w:p w14:paraId="27816BC7" w14:textId="77777777" w:rsidR="002B2CFC" w:rsidRPr="002B2CFC" w:rsidRDefault="002B2CFC" w:rsidP="002B2CFC">
            <w:pPr>
              <w:keepNext/>
              <w:keepLines/>
              <w:jc w:val="center"/>
              <w:rPr>
                <w:sz w:val="20"/>
                <w:lang w:val="en-US" w:eastAsia="en-US"/>
              </w:rPr>
            </w:pPr>
            <w:r w:rsidRPr="002B2CFC">
              <w:rPr>
                <w:sz w:val="20"/>
                <w:lang w:val="en-US" w:eastAsia="en-US"/>
              </w:rPr>
              <w:t>39.0 ± 6.6</w:t>
            </w:r>
          </w:p>
        </w:tc>
        <w:tc>
          <w:tcPr>
            <w:tcW w:w="1019" w:type="pct"/>
          </w:tcPr>
          <w:p w14:paraId="2B106D76" w14:textId="77777777" w:rsidR="002B2CFC" w:rsidRPr="002B2CFC" w:rsidRDefault="002B2CFC" w:rsidP="002B2CFC">
            <w:pPr>
              <w:keepNext/>
              <w:keepLines/>
              <w:jc w:val="center"/>
              <w:rPr>
                <w:sz w:val="20"/>
                <w:lang w:val="en-US" w:eastAsia="en-US"/>
              </w:rPr>
            </w:pPr>
            <w:r w:rsidRPr="002B2CFC">
              <w:rPr>
                <w:sz w:val="20"/>
                <w:lang w:val="en-US" w:eastAsia="en-US"/>
              </w:rPr>
              <w:t>47.1 ± 5.2</w:t>
            </w:r>
          </w:p>
        </w:tc>
        <w:tc>
          <w:tcPr>
            <w:tcW w:w="982" w:type="pct"/>
          </w:tcPr>
          <w:p w14:paraId="30441C3D" w14:textId="77777777" w:rsidR="002B2CFC" w:rsidRPr="002B2CFC" w:rsidRDefault="002B2CFC" w:rsidP="002B2CFC">
            <w:pPr>
              <w:keepNext/>
              <w:keepLines/>
              <w:jc w:val="center"/>
              <w:rPr>
                <w:sz w:val="20"/>
                <w:lang w:val="en-US" w:eastAsia="en-US"/>
              </w:rPr>
            </w:pPr>
            <w:r w:rsidRPr="002B2CFC">
              <w:rPr>
                <w:sz w:val="20"/>
                <w:lang w:val="en-US" w:eastAsia="en-US"/>
              </w:rPr>
              <w:t>79.8 ± 16.3</w:t>
            </w:r>
          </w:p>
        </w:tc>
      </w:tr>
      <w:tr w:rsidR="002B2CFC" w:rsidRPr="002B2CFC" w14:paraId="45F57CDE" w14:textId="77777777" w:rsidTr="0056108B">
        <w:tc>
          <w:tcPr>
            <w:tcW w:w="962" w:type="pct"/>
            <w:vAlign w:val="center"/>
          </w:tcPr>
          <w:p w14:paraId="452C72F8" w14:textId="77777777" w:rsidR="002B2CFC" w:rsidRPr="002B2CFC" w:rsidRDefault="002B2CFC" w:rsidP="002B2CFC">
            <w:pPr>
              <w:keepNext/>
              <w:keepLines/>
              <w:jc w:val="center"/>
              <w:rPr>
                <w:sz w:val="20"/>
                <w:lang w:val="en-US" w:eastAsia="en-US"/>
              </w:rPr>
            </w:pPr>
            <w:r w:rsidRPr="002B2CFC">
              <w:rPr>
                <w:sz w:val="20"/>
                <w:lang w:val="en-US" w:eastAsia="en-US"/>
              </w:rPr>
              <w:t>2.5</w:t>
            </w:r>
          </w:p>
        </w:tc>
        <w:tc>
          <w:tcPr>
            <w:tcW w:w="1019" w:type="pct"/>
          </w:tcPr>
          <w:p w14:paraId="55436D55" w14:textId="77777777" w:rsidR="002B2CFC" w:rsidRPr="002B2CFC" w:rsidRDefault="002B2CFC" w:rsidP="002B2CFC">
            <w:pPr>
              <w:keepNext/>
              <w:keepLines/>
              <w:jc w:val="center"/>
              <w:rPr>
                <w:sz w:val="20"/>
                <w:lang w:val="en-US" w:eastAsia="en-US"/>
              </w:rPr>
            </w:pPr>
            <w:r w:rsidRPr="002B2CFC">
              <w:rPr>
                <w:sz w:val="20"/>
                <w:lang w:val="en-US" w:eastAsia="en-US"/>
              </w:rPr>
              <w:t>117.6 ± 5.3</w:t>
            </w:r>
          </w:p>
        </w:tc>
        <w:tc>
          <w:tcPr>
            <w:tcW w:w="1019" w:type="pct"/>
          </w:tcPr>
          <w:p w14:paraId="16C63C89" w14:textId="77777777" w:rsidR="002B2CFC" w:rsidRPr="002B2CFC" w:rsidRDefault="002B2CFC" w:rsidP="002B2CFC">
            <w:pPr>
              <w:keepNext/>
              <w:keepLines/>
              <w:jc w:val="center"/>
              <w:rPr>
                <w:sz w:val="20"/>
                <w:lang w:val="en-US" w:eastAsia="en-US"/>
              </w:rPr>
            </w:pPr>
            <w:r w:rsidRPr="002B2CFC">
              <w:rPr>
                <w:sz w:val="20"/>
                <w:lang w:val="en-US" w:eastAsia="en-US"/>
              </w:rPr>
              <w:t>82.0 ± 12.1</w:t>
            </w:r>
          </w:p>
        </w:tc>
        <w:tc>
          <w:tcPr>
            <w:tcW w:w="1019" w:type="pct"/>
          </w:tcPr>
          <w:p w14:paraId="4E0D0166" w14:textId="77777777" w:rsidR="002B2CFC" w:rsidRPr="002B2CFC" w:rsidRDefault="002B2CFC" w:rsidP="002B2CFC">
            <w:pPr>
              <w:keepNext/>
              <w:keepLines/>
              <w:jc w:val="center"/>
              <w:rPr>
                <w:sz w:val="20"/>
                <w:lang w:val="en-US" w:eastAsia="en-US"/>
              </w:rPr>
            </w:pPr>
            <w:r w:rsidRPr="002B2CFC">
              <w:rPr>
                <w:sz w:val="20"/>
                <w:lang w:val="en-US" w:eastAsia="en-US"/>
              </w:rPr>
              <w:t>132.6 ± 18.9</w:t>
            </w:r>
          </w:p>
        </w:tc>
        <w:tc>
          <w:tcPr>
            <w:tcW w:w="982" w:type="pct"/>
          </w:tcPr>
          <w:p w14:paraId="63FB97A5" w14:textId="77777777" w:rsidR="002B2CFC" w:rsidRPr="002B2CFC" w:rsidRDefault="002B2CFC" w:rsidP="002B2CFC">
            <w:pPr>
              <w:keepNext/>
              <w:keepLines/>
              <w:jc w:val="center"/>
              <w:rPr>
                <w:sz w:val="20"/>
                <w:lang w:val="en-US" w:eastAsia="en-US"/>
              </w:rPr>
            </w:pPr>
            <w:r w:rsidRPr="002B2CFC">
              <w:rPr>
                <w:sz w:val="20"/>
                <w:lang w:val="en-US" w:eastAsia="en-US"/>
              </w:rPr>
              <w:t>170.6 ± 13.2</w:t>
            </w:r>
          </w:p>
        </w:tc>
      </w:tr>
      <w:tr w:rsidR="002B2CFC" w:rsidRPr="002B2CFC" w14:paraId="40F80334" w14:textId="77777777" w:rsidTr="0056108B">
        <w:tc>
          <w:tcPr>
            <w:tcW w:w="962" w:type="pct"/>
            <w:vAlign w:val="center"/>
          </w:tcPr>
          <w:p w14:paraId="75C42803" w14:textId="77777777" w:rsidR="002B2CFC" w:rsidRPr="002B2CFC" w:rsidRDefault="002B2CFC" w:rsidP="002B2CFC">
            <w:pPr>
              <w:keepNext/>
              <w:keepLines/>
              <w:jc w:val="center"/>
              <w:rPr>
                <w:sz w:val="20"/>
                <w:lang w:val="en-US" w:eastAsia="en-US"/>
              </w:rPr>
            </w:pPr>
            <w:r w:rsidRPr="002B2CFC">
              <w:rPr>
                <w:sz w:val="20"/>
                <w:lang w:val="en-US" w:eastAsia="en-US"/>
              </w:rPr>
              <w:t>5.0</w:t>
            </w:r>
          </w:p>
        </w:tc>
        <w:tc>
          <w:tcPr>
            <w:tcW w:w="1019" w:type="pct"/>
          </w:tcPr>
          <w:p w14:paraId="013FF35B" w14:textId="77777777" w:rsidR="002B2CFC" w:rsidRPr="002B2CFC" w:rsidRDefault="002B2CFC" w:rsidP="002B2CFC">
            <w:pPr>
              <w:keepNext/>
              <w:keepLines/>
              <w:jc w:val="center"/>
              <w:rPr>
                <w:sz w:val="20"/>
                <w:lang w:val="en-US" w:eastAsia="en-US"/>
              </w:rPr>
            </w:pPr>
            <w:r w:rsidRPr="002B2CFC">
              <w:rPr>
                <w:sz w:val="20"/>
                <w:lang w:val="en-US" w:eastAsia="en-US"/>
              </w:rPr>
              <w:t>334.0 ± 19.7</w:t>
            </w:r>
          </w:p>
        </w:tc>
        <w:tc>
          <w:tcPr>
            <w:tcW w:w="1019" w:type="pct"/>
          </w:tcPr>
          <w:p w14:paraId="0D678BB4" w14:textId="77777777" w:rsidR="002B2CFC" w:rsidRPr="002B2CFC" w:rsidRDefault="002B2CFC" w:rsidP="002B2CFC">
            <w:pPr>
              <w:keepNext/>
              <w:keepLines/>
              <w:jc w:val="center"/>
              <w:rPr>
                <w:sz w:val="20"/>
                <w:lang w:val="en-US" w:eastAsia="en-US"/>
              </w:rPr>
            </w:pPr>
            <w:r w:rsidRPr="002B2CFC">
              <w:rPr>
                <w:sz w:val="20"/>
                <w:lang w:val="en-US" w:eastAsia="en-US"/>
              </w:rPr>
              <w:t>185.6 ± 17.5</w:t>
            </w:r>
          </w:p>
        </w:tc>
        <w:tc>
          <w:tcPr>
            <w:tcW w:w="1019" w:type="pct"/>
          </w:tcPr>
          <w:p w14:paraId="58674139" w14:textId="77777777" w:rsidR="002B2CFC" w:rsidRPr="002B2CFC" w:rsidRDefault="002B2CFC" w:rsidP="002B2CFC">
            <w:pPr>
              <w:keepNext/>
              <w:keepLines/>
              <w:jc w:val="center"/>
              <w:rPr>
                <w:sz w:val="20"/>
                <w:lang w:val="en-US" w:eastAsia="en-US"/>
              </w:rPr>
            </w:pPr>
            <w:r w:rsidRPr="002B2CFC">
              <w:rPr>
                <w:sz w:val="20"/>
                <w:lang w:val="en-US" w:eastAsia="en-US"/>
              </w:rPr>
              <w:t>216.0 ± 22.6</w:t>
            </w:r>
          </w:p>
        </w:tc>
        <w:tc>
          <w:tcPr>
            <w:tcW w:w="982" w:type="pct"/>
          </w:tcPr>
          <w:p w14:paraId="0C3DFBF8" w14:textId="77777777" w:rsidR="002B2CFC" w:rsidRPr="002B2CFC" w:rsidRDefault="002B2CFC" w:rsidP="002B2CFC">
            <w:pPr>
              <w:keepNext/>
              <w:keepLines/>
              <w:jc w:val="center"/>
              <w:rPr>
                <w:sz w:val="20"/>
                <w:lang w:val="en-US" w:eastAsia="en-US"/>
              </w:rPr>
            </w:pPr>
            <w:r w:rsidRPr="002B2CFC">
              <w:rPr>
                <w:sz w:val="20"/>
                <w:lang w:val="en-US" w:eastAsia="en-US"/>
              </w:rPr>
              <w:t>243.2 ± 16.8</w:t>
            </w:r>
          </w:p>
        </w:tc>
      </w:tr>
    </w:tbl>
    <w:p w14:paraId="059FBEE1" w14:textId="77777777" w:rsidR="002B2CFC" w:rsidRPr="002B2CFC" w:rsidRDefault="002B2CFC" w:rsidP="002B2CFC">
      <w:pPr>
        <w:rPr>
          <w:szCs w:val="24"/>
          <w:lang w:eastAsia="en-US"/>
        </w:rPr>
      </w:pPr>
    </w:p>
    <w:p w14:paraId="5C6A812C" w14:textId="77777777" w:rsidR="002B2CFC" w:rsidRDefault="002B2CFC" w:rsidP="002B2CFC">
      <w:pPr>
        <w:rPr>
          <w:szCs w:val="24"/>
          <w:lang w:eastAsia="en-US"/>
        </w:rPr>
      </w:pPr>
      <w:r w:rsidRPr="00DE7E25">
        <w:rPr>
          <w:szCs w:val="24"/>
          <w:u w:val="single"/>
          <w:lang w:eastAsia="en-US"/>
        </w:rPr>
        <w:t xml:space="preserve">Widdowson </w:t>
      </w:r>
      <w:r w:rsidRPr="00DE7E25">
        <w:rPr>
          <w:i/>
          <w:szCs w:val="24"/>
          <w:u w:val="single"/>
          <w:lang w:eastAsia="en-US"/>
        </w:rPr>
        <w:t xml:space="preserve">et al </w:t>
      </w:r>
      <w:r w:rsidRPr="00DE7E25">
        <w:rPr>
          <w:szCs w:val="24"/>
          <w:u w:val="single"/>
          <w:lang w:eastAsia="en-US"/>
        </w:rPr>
        <w:t>(1996a).</w:t>
      </w:r>
      <w:r w:rsidRPr="002B2CFC">
        <w:rPr>
          <w:szCs w:val="24"/>
          <w:lang w:eastAsia="en-US"/>
        </w:rPr>
        <w:t xml:space="preserve"> Subcutaneous: Single injection of</w:t>
      </w:r>
      <w:r w:rsidR="00197DA9">
        <w:rPr>
          <w:szCs w:val="24"/>
          <w:lang w:eastAsia="en-US"/>
        </w:rPr>
        <w:t xml:space="preserve"> </w:t>
      </w:r>
      <w:r w:rsidRPr="002B2CFC">
        <w:rPr>
          <w:szCs w:val="24"/>
          <w:lang w:eastAsia="en-US"/>
        </w:rPr>
        <w:t>20 mg/kg bw</w:t>
      </w:r>
      <w:r w:rsidR="00197DA9">
        <w:rPr>
          <w:szCs w:val="24"/>
          <w:lang w:eastAsia="en-US"/>
        </w:rPr>
        <w:t xml:space="preserve"> (14.4 mg paraquat ion/kg bw)</w:t>
      </w:r>
      <w:r w:rsidRPr="002B2CFC">
        <w:rPr>
          <w:szCs w:val="24"/>
          <w:lang w:eastAsia="en-US"/>
        </w:rPr>
        <w:t xml:space="preserve">. Units of concentration: nmol/g tissue, Neuropathology not examined. </w:t>
      </w:r>
    </w:p>
    <w:p w14:paraId="7CEA611A" w14:textId="77777777" w:rsidR="00C3356A" w:rsidRPr="002B2CFC" w:rsidRDefault="00C3356A" w:rsidP="002B2CFC">
      <w:pPr>
        <w:rPr>
          <w:szCs w:val="24"/>
          <w:lang w:eastAsia="en-US"/>
        </w:rPr>
      </w:pPr>
    </w:p>
    <w:p w14:paraId="469C26C5" w14:textId="77777777" w:rsidR="009F7EB6" w:rsidRDefault="009F7EB6" w:rsidP="00E439AD">
      <w:pPr>
        <w:pStyle w:val="Caption"/>
        <w:keepNext/>
        <w:spacing w:after="120"/>
      </w:pPr>
      <w:r>
        <w:lastRenderedPageBreak/>
        <w:t xml:space="preserve">Table </w:t>
      </w:r>
      <w:r w:rsidR="00897462">
        <w:fldChar w:fldCharType="begin"/>
      </w:r>
      <w:r>
        <w:instrText xml:space="preserve"> SEQ Table \* ARABIC </w:instrText>
      </w:r>
      <w:r w:rsidR="00897462">
        <w:fldChar w:fldCharType="separate"/>
      </w:r>
      <w:r w:rsidR="000E54B2">
        <w:rPr>
          <w:noProof/>
        </w:rPr>
        <w:t>37</w:t>
      </w:r>
      <w:r w:rsidR="00897462">
        <w:fldChar w:fldCharType="end"/>
      </w:r>
      <w:r>
        <w:t xml:space="preserve">. </w:t>
      </w:r>
      <w:r w:rsidRPr="005A5340">
        <w:t>Tissue conc</w:t>
      </w:r>
      <w:r w:rsidR="0056108B">
        <w:t>en</w:t>
      </w:r>
      <w:r w:rsidRPr="005A5340">
        <w:t>tration of paraquat following single sc injection of 20 mg/kg bw</w:t>
      </w:r>
      <w:r w:rsidR="00F96C8B">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4"/>
        <w:gridCol w:w="1408"/>
        <w:gridCol w:w="1268"/>
        <w:gridCol w:w="986"/>
        <w:gridCol w:w="986"/>
        <w:gridCol w:w="1127"/>
        <w:gridCol w:w="1268"/>
      </w:tblGrid>
      <w:tr w:rsidR="002B2CFC" w:rsidRPr="002B2CFC" w14:paraId="0FF4D310" w14:textId="77777777" w:rsidTr="000E221D">
        <w:trPr>
          <w:tblHeader/>
        </w:trPr>
        <w:tc>
          <w:tcPr>
            <w:tcW w:w="1094" w:type="pct"/>
            <w:vMerge w:val="restart"/>
            <w:shd w:val="clear" w:color="auto" w:fill="BFBFBF" w:themeFill="background1" w:themeFillShade="BF"/>
            <w:vAlign w:val="center"/>
          </w:tcPr>
          <w:p w14:paraId="6F882503" w14:textId="77777777" w:rsidR="002B2CFC" w:rsidRPr="002B2CFC" w:rsidRDefault="002B2CFC" w:rsidP="00E439AD">
            <w:pPr>
              <w:keepNext/>
              <w:rPr>
                <w:b/>
                <w:sz w:val="20"/>
                <w:lang w:val="en-US" w:eastAsia="en-US"/>
              </w:rPr>
            </w:pPr>
            <w:r w:rsidRPr="002B2CFC">
              <w:rPr>
                <w:b/>
                <w:sz w:val="20"/>
                <w:lang w:val="en-US" w:eastAsia="en-US"/>
              </w:rPr>
              <w:t>Brain region</w:t>
            </w:r>
          </w:p>
        </w:tc>
        <w:tc>
          <w:tcPr>
            <w:tcW w:w="1484" w:type="pct"/>
            <w:gridSpan w:val="2"/>
            <w:shd w:val="clear" w:color="auto" w:fill="BFBFBF" w:themeFill="background1" w:themeFillShade="BF"/>
          </w:tcPr>
          <w:p w14:paraId="5500CEF0" w14:textId="77777777" w:rsidR="002B2CFC" w:rsidRPr="002B2CFC" w:rsidRDefault="002B2CFC" w:rsidP="00E439AD">
            <w:pPr>
              <w:keepNext/>
              <w:jc w:val="center"/>
              <w:rPr>
                <w:b/>
                <w:sz w:val="20"/>
                <w:lang w:val="en-US" w:eastAsia="en-US"/>
              </w:rPr>
            </w:pPr>
            <w:r w:rsidRPr="002B2CFC">
              <w:rPr>
                <w:b/>
                <w:sz w:val="20"/>
                <w:lang w:val="en-US" w:eastAsia="en-US"/>
              </w:rPr>
              <w:t>Neonates</w:t>
            </w:r>
          </w:p>
        </w:tc>
        <w:tc>
          <w:tcPr>
            <w:tcW w:w="1094" w:type="pct"/>
            <w:gridSpan w:val="2"/>
            <w:shd w:val="clear" w:color="auto" w:fill="BFBFBF" w:themeFill="background1" w:themeFillShade="BF"/>
          </w:tcPr>
          <w:p w14:paraId="1B0FA7EE" w14:textId="77777777" w:rsidR="002B2CFC" w:rsidRPr="002B2CFC" w:rsidRDefault="002B2CFC" w:rsidP="00E439AD">
            <w:pPr>
              <w:keepNext/>
              <w:jc w:val="center"/>
              <w:rPr>
                <w:b/>
                <w:sz w:val="20"/>
                <w:lang w:val="en-US" w:eastAsia="en-US"/>
              </w:rPr>
            </w:pPr>
            <w:r w:rsidRPr="002B2CFC">
              <w:rPr>
                <w:b/>
                <w:sz w:val="20"/>
                <w:lang w:val="en-US" w:eastAsia="en-US"/>
              </w:rPr>
              <w:t>Adults</w:t>
            </w:r>
          </w:p>
        </w:tc>
        <w:tc>
          <w:tcPr>
            <w:tcW w:w="1328" w:type="pct"/>
            <w:gridSpan w:val="2"/>
            <w:shd w:val="clear" w:color="auto" w:fill="BFBFBF" w:themeFill="background1" w:themeFillShade="BF"/>
          </w:tcPr>
          <w:p w14:paraId="42AA07AA" w14:textId="77777777" w:rsidR="002B2CFC" w:rsidRPr="002B2CFC" w:rsidRDefault="002B2CFC" w:rsidP="00E439AD">
            <w:pPr>
              <w:keepNext/>
              <w:jc w:val="center"/>
              <w:rPr>
                <w:b/>
                <w:sz w:val="20"/>
                <w:lang w:val="en-US" w:eastAsia="en-US"/>
              </w:rPr>
            </w:pPr>
            <w:r w:rsidRPr="002B2CFC">
              <w:rPr>
                <w:b/>
                <w:sz w:val="20"/>
                <w:lang w:val="en-US" w:eastAsia="en-US"/>
              </w:rPr>
              <w:t>Aged</w:t>
            </w:r>
          </w:p>
        </w:tc>
      </w:tr>
      <w:tr w:rsidR="002B2CFC" w:rsidRPr="002B2CFC" w14:paraId="552A9DC8" w14:textId="77777777" w:rsidTr="000E221D">
        <w:trPr>
          <w:tblHeader/>
        </w:trPr>
        <w:tc>
          <w:tcPr>
            <w:tcW w:w="1094" w:type="pct"/>
            <w:vMerge/>
            <w:shd w:val="clear" w:color="auto" w:fill="BFBFBF" w:themeFill="background1" w:themeFillShade="BF"/>
          </w:tcPr>
          <w:p w14:paraId="3E51B92C" w14:textId="77777777" w:rsidR="002B2CFC" w:rsidRPr="002B2CFC" w:rsidRDefault="002B2CFC" w:rsidP="00E439AD">
            <w:pPr>
              <w:keepNext/>
              <w:rPr>
                <w:sz w:val="20"/>
                <w:lang w:val="en-US" w:eastAsia="en-US"/>
              </w:rPr>
            </w:pPr>
          </w:p>
        </w:tc>
        <w:tc>
          <w:tcPr>
            <w:tcW w:w="781" w:type="pct"/>
            <w:shd w:val="clear" w:color="auto" w:fill="BFBFBF" w:themeFill="background1" w:themeFillShade="BF"/>
          </w:tcPr>
          <w:p w14:paraId="603994D7" w14:textId="77777777" w:rsidR="002B2CFC" w:rsidRPr="002B2CFC" w:rsidRDefault="002B2CFC" w:rsidP="00E439AD">
            <w:pPr>
              <w:keepNext/>
              <w:jc w:val="center"/>
              <w:rPr>
                <w:b/>
                <w:sz w:val="20"/>
                <w:lang w:val="en-US" w:eastAsia="en-US"/>
              </w:rPr>
            </w:pPr>
            <w:r w:rsidRPr="002B2CFC">
              <w:rPr>
                <w:b/>
                <w:sz w:val="20"/>
                <w:lang w:val="en-US" w:eastAsia="en-US"/>
              </w:rPr>
              <w:t>0.5 h</w:t>
            </w:r>
          </w:p>
        </w:tc>
        <w:tc>
          <w:tcPr>
            <w:tcW w:w="703" w:type="pct"/>
            <w:shd w:val="clear" w:color="auto" w:fill="BFBFBF" w:themeFill="background1" w:themeFillShade="BF"/>
          </w:tcPr>
          <w:p w14:paraId="1C0FDD5D" w14:textId="77777777" w:rsidR="002B2CFC" w:rsidRPr="002B2CFC" w:rsidRDefault="002B2CFC" w:rsidP="00E439AD">
            <w:pPr>
              <w:keepNext/>
              <w:jc w:val="center"/>
              <w:rPr>
                <w:b/>
                <w:sz w:val="20"/>
                <w:lang w:val="en-US" w:eastAsia="en-US"/>
              </w:rPr>
            </w:pPr>
            <w:r w:rsidRPr="002B2CFC">
              <w:rPr>
                <w:b/>
                <w:sz w:val="20"/>
                <w:lang w:val="en-US" w:eastAsia="en-US"/>
              </w:rPr>
              <w:t>24 h</w:t>
            </w:r>
          </w:p>
        </w:tc>
        <w:tc>
          <w:tcPr>
            <w:tcW w:w="547" w:type="pct"/>
            <w:shd w:val="clear" w:color="auto" w:fill="BFBFBF" w:themeFill="background1" w:themeFillShade="BF"/>
          </w:tcPr>
          <w:p w14:paraId="27AC09C9" w14:textId="77777777" w:rsidR="002B2CFC" w:rsidRPr="002B2CFC" w:rsidRDefault="002B2CFC" w:rsidP="00E439AD">
            <w:pPr>
              <w:keepNext/>
              <w:jc w:val="center"/>
              <w:rPr>
                <w:b/>
                <w:sz w:val="20"/>
                <w:lang w:val="en-US" w:eastAsia="en-US"/>
              </w:rPr>
            </w:pPr>
            <w:r w:rsidRPr="002B2CFC">
              <w:rPr>
                <w:b/>
                <w:sz w:val="20"/>
                <w:lang w:val="en-US" w:eastAsia="en-US"/>
              </w:rPr>
              <w:t>0.5 h</w:t>
            </w:r>
          </w:p>
        </w:tc>
        <w:tc>
          <w:tcPr>
            <w:tcW w:w="547" w:type="pct"/>
            <w:shd w:val="clear" w:color="auto" w:fill="BFBFBF" w:themeFill="background1" w:themeFillShade="BF"/>
          </w:tcPr>
          <w:p w14:paraId="0E002510" w14:textId="77777777" w:rsidR="002B2CFC" w:rsidRPr="002B2CFC" w:rsidRDefault="002B2CFC" w:rsidP="00E439AD">
            <w:pPr>
              <w:keepNext/>
              <w:jc w:val="center"/>
              <w:rPr>
                <w:b/>
                <w:sz w:val="20"/>
                <w:lang w:val="en-US" w:eastAsia="en-US"/>
              </w:rPr>
            </w:pPr>
            <w:r w:rsidRPr="002B2CFC">
              <w:rPr>
                <w:b/>
                <w:sz w:val="20"/>
                <w:lang w:val="en-US" w:eastAsia="en-US"/>
              </w:rPr>
              <w:t>24 h</w:t>
            </w:r>
          </w:p>
        </w:tc>
        <w:tc>
          <w:tcPr>
            <w:tcW w:w="625" w:type="pct"/>
            <w:shd w:val="clear" w:color="auto" w:fill="BFBFBF" w:themeFill="background1" w:themeFillShade="BF"/>
          </w:tcPr>
          <w:p w14:paraId="369A7D67" w14:textId="77777777" w:rsidR="002B2CFC" w:rsidRPr="002B2CFC" w:rsidRDefault="002B2CFC" w:rsidP="00E439AD">
            <w:pPr>
              <w:keepNext/>
              <w:jc w:val="center"/>
              <w:rPr>
                <w:b/>
                <w:sz w:val="20"/>
                <w:lang w:val="en-US" w:eastAsia="en-US"/>
              </w:rPr>
            </w:pPr>
            <w:r w:rsidRPr="002B2CFC">
              <w:rPr>
                <w:b/>
                <w:sz w:val="20"/>
                <w:lang w:val="en-US" w:eastAsia="en-US"/>
              </w:rPr>
              <w:t>0.5 h</w:t>
            </w:r>
          </w:p>
        </w:tc>
        <w:tc>
          <w:tcPr>
            <w:tcW w:w="703" w:type="pct"/>
            <w:shd w:val="clear" w:color="auto" w:fill="BFBFBF" w:themeFill="background1" w:themeFillShade="BF"/>
          </w:tcPr>
          <w:p w14:paraId="5FC9A0CC" w14:textId="77777777" w:rsidR="002B2CFC" w:rsidRPr="002B2CFC" w:rsidRDefault="000E221D" w:rsidP="00E439AD">
            <w:pPr>
              <w:keepNext/>
              <w:tabs>
                <w:tab w:val="left" w:pos="255"/>
                <w:tab w:val="center" w:pos="545"/>
              </w:tabs>
              <w:jc w:val="left"/>
              <w:rPr>
                <w:b/>
                <w:sz w:val="20"/>
                <w:lang w:val="en-US" w:eastAsia="en-US"/>
              </w:rPr>
            </w:pPr>
            <w:r>
              <w:rPr>
                <w:b/>
                <w:sz w:val="20"/>
                <w:lang w:val="en-US" w:eastAsia="en-US"/>
              </w:rPr>
              <w:tab/>
            </w:r>
            <w:r>
              <w:rPr>
                <w:b/>
                <w:sz w:val="20"/>
                <w:lang w:val="en-US" w:eastAsia="en-US"/>
              </w:rPr>
              <w:tab/>
            </w:r>
            <w:r w:rsidR="002B2CFC" w:rsidRPr="002B2CFC">
              <w:rPr>
                <w:b/>
                <w:sz w:val="20"/>
                <w:lang w:val="en-US" w:eastAsia="en-US"/>
              </w:rPr>
              <w:t>24 h</w:t>
            </w:r>
          </w:p>
        </w:tc>
      </w:tr>
      <w:tr w:rsidR="002B2CFC" w:rsidRPr="002B2CFC" w14:paraId="70EA1E90" w14:textId="77777777" w:rsidTr="00441FE4">
        <w:trPr>
          <w:trHeight w:val="700"/>
        </w:trPr>
        <w:tc>
          <w:tcPr>
            <w:tcW w:w="1094" w:type="pct"/>
          </w:tcPr>
          <w:p w14:paraId="5EF3DC2B" w14:textId="77777777" w:rsidR="002B2CFC" w:rsidRPr="002B2CFC" w:rsidRDefault="002B2CFC" w:rsidP="00E439AD">
            <w:pPr>
              <w:keepNext/>
              <w:rPr>
                <w:sz w:val="20"/>
                <w:lang w:val="en-US" w:eastAsia="en-US"/>
              </w:rPr>
            </w:pPr>
            <w:r w:rsidRPr="002B2CFC">
              <w:rPr>
                <w:sz w:val="20"/>
                <w:lang w:val="en-US" w:eastAsia="en-US"/>
              </w:rPr>
              <w:t>Olfactory bulb</w:t>
            </w:r>
          </w:p>
          <w:p w14:paraId="4C5247A5" w14:textId="77777777" w:rsidR="002B2CFC" w:rsidRPr="002B2CFC" w:rsidRDefault="002B2CFC" w:rsidP="00E439AD">
            <w:pPr>
              <w:keepNext/>
              <w:rPr>
                <w:sz w:val="20"/>
                <w:lang w:val="en-US" w:eastAsia="en-US"/>
              </w:rPr>
            </w:pPr>
            <w:r w:rsidRPr="002B2CFC">
              <w:rPr>
                <w:sz w:val="20"/>
                <w:lang w:val="en-US" w:eastAsia="en-US"/>
              </w:rPr>
              <w:t xml:space="preserve">     Anterior portion</w:t>
            </w:r>
          </w:p>
          <w:p w14:paraId="0B935F9C" w14:textId="77777777" w:rsidR="002B2CFC" w:rsidRPr="002B2CFC" w:rsidRDefault="002B2CFC" w:rsidP="00E439AD">
            <w:pPr>
              <w:keepNext/>
              <w:rPr>
                <w:sz w:val="20"/>
                <w:lang w:val="en-US" w:eastAsia="en-US"/>
              </w:rPr>
            </w:pPr>
            <w:r w:rsidRPr="002B2CFC">
              <w:rPr>
                <w:sz w:val="20"/>
                <w:lang w:val="en-US" w:eastAsia="en-US"/>
              </w:rPr>
              <w:t xml:space="preserve">     Posterior portion</w:t>
            </w:r>
          </w:p>
        </w:tc>
        <w:tc>
          <w:tcPr>
            <w:tcW w:w="781" w:type="pct"/>
          </w:tcPr>
          <w:p w14:paraId="2FC78EE8" w14:textId="77777777" w:rsidR="002B2CFC" w:rsidRPr="002B2CFC" w:rsidRDefault="002B2CFC" w:rsidP="00E439AD">
            <w:pPr>
              <w:keepNext/>
              <w:jc w:val="center"/>
              <w:rPr>
                <w:sz w:val="20"/>
                <w:lang w:val="en-US" w:eastAsia="en-US"/>
              </w:rPr>
            </w:pPr>
          </w:p>
          <w:p w14:paraId="15C22CB5" w14:textId="77777777" w:rsidR="002B2CFC" w:rsidRPr="002B2CFC" w:rsidRDefault="002B2CFC" w:rsidP="00E439AD">
            <w:pPr>
              <w:keepNext/>
              <w:jc w:val="center"/>
              <w:rPr>
                <w:sz w:val="20"/>
                <w:lang w:val="en-US" w:eastAsia="en-US"/>
              </w:rPr>
            </w:pPr>
            <w:r w:rsidRPr="002B2CFC">
              <w:rPr>
                <w:sz w:val="20"/>
                <w:lang w:val="en-US" w:eastAsia="en-US"/>
              </w:rPr>
              <w:t xml:space="preserve">30.1 </w:t>
            </w:r>
            <w:r w:rsidRPr="002B2CFC">
              <w:rPr>
                <w:sz w:val="20"/>
                <w:u w:val="single"/>
                <w:lang w:val="en-US" w:eastAsia="en-US"/>
              </w:rPr>
              <w:t>+</w:t>
            </w:r>
            <w:r w:rsidRPr="002B2CFC">
              <w:rPr>
                <w:sz w:val="20"/>
                <w:lang w:val="en-US" w:eastAsia="en-US"/>
              </w:rPr>
              <w:t xml:space="preserve"> 3.7</w:t>
            </w:r>
          </w:p>
          <w:p w14:paraId="5539C7BC" w14:textId="77777777" w:rsidR="002B2CFC" w:rsidRPr="002B2CFC" w:rsidRDefault="002B2CFC" w:rsidP="00E439AD">
            <w:pPr>
              <w:keepNext/>
              <w:jc w:val="center"/>
              <w:rPr>
                <w:sz w:val="20"/>
                <w:lang w:val="en-US" w:eastAsia="en-US"/>
              </w:rPr>
            </w:pPr>
            <w:r w:rsidRPr="002B2CFC">
              <w:rPr>
                <w:sz w:val="20"/>
                <w:lang w:val="en-US" w:eastAsia="en-US"/>
              </w:rPr>
              <w:t xml:space="preserve">19.1 </w:t>
            </w:r>
            <w:r w:rsidRPr="002B2CFC">
              <w:rPr>
                <w:sz w:val="20"/>
                <w:u w:val="single"/>
                <w:lang w:val="en-US" w:eastAsia="en-US"/>
              </w:rPr>
              <w:t>+</w:t>
            </w:r>
            <w:r w:rsidRPr="002B2CFC">
              <w:rPr>
                <w:sz w:val="20"/>
                <w:lang w:val="en-US" w:eastAsia="en-US"/>
              </w:rPr>
              <w:t xml:space="preserve"> 1.9</w:t>
            </w:r>
          </w:p>
        </w:tc>
        <w:tc>
          <w:tcPr>
            <w:tcW w:w="703" w:type="pct"/>
          </w:tcPr>
          <w:p w14:paraId="24B0690A" w14:textId="77777777" w:rsidR="002B2CFC" w:rsidRPr="002B2CFC" w:rsidRDefault="002B2CFC" w:rsidP="00E439AD">
            <w:pPr>
              <w:keepNext/>
              <w:jc w:val="center"/>
              <w:rPr>
                <w:sz w:val="20"/>
                <w:lang w:val="en-US" w:eastAsia="en-US"/>
              </w:rPr>
            </w:pPr>
          </w:p>
          <w:p w14:paraId="1EBA7422" w14:textId="77777777" w:rsidR="002B2CFC" w:rsidRPr="002B2CFC" w:rsidRDefault="002B2CFC" w:rsidP="00E439AD">
            <w:pPr>
              <w:keepNext/>
              <w:jc w:val="center"/>
              <w:rPr>
                <w:sz w:val="20"/>
                <w:lang w:val="en-US" w:eastAsia="en-US"/>
              </w:rPr>
            </w:pPr>
            <w:r w:rsidRPr="002B2CFC">
              <w:rPr>
                <w:sz w:val="20"/>
                <w:lang w:val="en-US" w:eastAsia="en-US"/>
              </w:rPr>
              <w:t xml:space="preserve">21.5 </w:t>
            </w:r>
            <w:r w:rsidRPr="002B2CFC">
              <w:rPr>
                <w:sz w:val="20"/>
                <w:u w:val="single"/>
                <w:lang w:val="en-US" w:eastAsia="en-US"/>
              </w:rPr>
              <w:t>+</w:t>
            </w:r>
            <w:r w:rsidRPr="002B2CFC">
              <w:rPr>
                <w:sz w:val="20"/>
                <w:lang w:val="en-US" w:eastAsia="en-US"/>
              </w:rPr>
              <w:t xml:space="preserve"> 1.5</w:t>
            </w:r>
          </w:p>
          <w:p w14:paraId="72060B79" w14:textId="77777777" w:rsidR="002B2CFC" w:rsidRPr="002B2CFC" w:rsidRDefault="002B2CFC" w:rsidP="00E439AD">
            <w:pPr>
              <w:keepNext/>
              <w:jc w:val="center"/>
              <w:rPr>
                <w:sz w:val="20"/>
                <w:lang w:val="en-US" w:eastAsia="en-US"/>
              </w:rPr>
            </w:pPr>
            <w:r w:rsidRPr="002B2CFC">
              <w:rPr>
                <w:sz w:val="20"/>
                <w:lang w:val="en-US" w:eastAsia="en-US"/>
              </w:rPr>
              <w:t xml:space="preserve">10.2 </w:t>
            </w:r>
            <w:r w:rsidRPr="002B2CFC">
              <w:rPr>
                <w:sz w:val="20"/>
                <w:u w:val="single"/>
                <w:lang w:val="en-US" w:eastAsia="en-US"/>
              </w:rPr>
              <w:t>+</w:t>
            </w:r>
            <w:r w:rsidRPr="002B2CFC">
              <w:rPr>
                <w:sz w:val="20"/>
                <w:lang w:val="en-US" w:eastAsia="en-US"/>
              </w:rPr>
              <w:t xml:space="preserve"> 0.8</w:t>
            </w:r>
          </w:p>
        </w:tc>
        <w:tc>
          <w:tcPr>
            <w:tcW w:w="547" w:type="pct"/>
          </w:tcPr>
          <w:p w14:paraId="6CF319F7" w14:textId="77777777" w:rsidR="002B2CFC" w:rsidRPr="002B2CFC" w:rsidRDefault="002B2CFC" w:rsidP="00E439AD">
            <w:pPr>
              <w:keepNext/>
              <w:jc w:val="center"/>
              <w:rPr>
                <w:sz w:val="20"/>
                <w:lang w:val="en-US" w:eastAsia="en-US"/>
              </w:rPr>
            </w:pPr>
          </w:p>
          <w:p w14:paraId="4538000E" w14:textId="77777777" w:rsidR="002B2CFC" w:rsidRPr="002B2CFC" w:rsidRDefault="002B2CFC" w:rsidP="00E439AD">
            <w:pPr>
              <w:keepNext/>
              <w:jc w:val="center"/>
              <w:rPr>
                <w:sz w:val="20"/>
                <w:lang w:val="en-US" w:eastAsia="en-US"/>
              </w:rPr>
            </w:pPr>
            <w:r w:rsidRPr="002B2CFC">
              <w:rPr>
                <w:sz w:val="20"/>
                <w:lang w:val="en-US" w:eastAsia="en-US"/>
              </w:rPr>
              <w:t xml:space="preserve">5.8 </w:t>
            </w:r>
            <w:r w:rsidRPr="002B2CFC">
              <w:rPr>
                <w:sz w:val="20"/>
                <w:u w:val="single"/>
                <w:lang w:val="en-US" w:eastAsia="en-US"/>
              </w:rPr>
              <w:t>+</w:t>
            </w:r>
            <w:r w:rsidRPr="002B2CFC">
              <w:rPr>
                <w:sz w:val="20"/>
                <w:lang w:val="en-US" w:eastAsia="en-US"/>
              </w:rPr>
              <w:t xml:space="preserve"> 0.8</w:t>
            </w:r>
          </w:p>
          <w:p w14:paraId="10670583" w14:textId="77777777" w:rsidR="002B2CFC" w:rsidRPr="002B2CFC" w:rsidRDefault="002B2CFC" w:rsidP="00E439AD">
            <w:pPr>
              <w:keepNext/>
              <w:jc w:val="center"/>
              <w:rPr>
                <w:sz w:val="20"/>
                <w:lang w:val="en-US" w:eastAsia="en-US"/>
              </w:rPr>
            </w:pPr>
            <w:r w:rsidRPr="002B2CFC">
              <w:rPr>
                <w:sz w:val="20"/>
                <w:lang w:val="en-US" w:eastAsia="en-US"/>
              </w:rPr>
              <w:t xml:space="preserve">2.9 </w:t>
            </w:r>
            <w:r w:rsidRPr="002B2CFC">
              <w:rPr>
                <w:sz w:val="20"/>
                <w:u w:val="single"/>
                <w:lang w:val="en-US" w:eastAsia="en-US"/>
              </w:rPr>
              <w:t>+</w:t>
            </w:r>
            <w:r w:rsidRPr="002B2CFC">
              <w:rPr>
                <w:sz w:val="20"/>
                <w:lang w:val="en-US" w:eastAsia="en-US"/>
              </w:rPr>
              <w:t xml:space="preserve"> 0.5</w:t>
            </w:r>
          </w:p>
        </w:tc>
        <w:tc>
          <w:tcPr>
            <w:tcW w:w="547" w:type="pct"/>
          </w:tcPr>
          <w:p w14:paraId="5B4B1FB2" w14:textId="77777777" w:rsidR="002B2CFC" w:rsidRPr="002B2CFC" w:rsidRDefault="002B2CFC" w:rsidP="00E439AD">
            <w:pPr>
              <w:keepNext/>
              <w:jc w:val="center"/>
              <w:rPr>
                <w:sz w:val="20"/>
                <w:lang w:val="en-US" w:eastAsia="en-US"/>
              </w:rPr>
            </w:pPr>
          </w:p>
          <w:p w14:paraId="6C0BD6D7" w14:textId="77777777" w:rsidR="002B2CFC" w:rsidRPr="002B2CFC" w:rsidRDefault="002B2CFC" w:rsidP="00E439AD">
            <w:pPr>
              <w:keepNext/>
              <w:jc w:val="center"/>
              <w:rPr>
                <w:sz w:val="20"/>
                <w:lang w:val="en-US" w:eastAsia="en-US"/>
              </w:rPr>
            </w:pPr>
            <w:r w:rsidRPr="002B2CFC">
              <w:rPr>
                <w:sz w:val="20"/>
                <w:lang w:val="en-US" w:eastAsia="en-US"/>
              </w:rPr>
              <w:t xml:space="preserve">9.1 </w:t>
            </w:r>
            <w:r w:rsidRPr="002B2CFC">
              <w:rPr>
                <w:sz w:val="20"/>
                <w:u w:val="single"/>
                <w:lang w:val="en-US" w:eastAsia="en-US"/>
              </w:rPr>
              <w:t>+</w:t>
            </w:r>
            <w:r w:rsidRPr="002B2CFC">
              <w:rPr>
                <w:sz w:val="20"/>
                <w:lang w:val="en-US" w:eastAsia="en-US"/>
              </w:rPr>
              <w:t xml:space="preserve"> 0.6</w:t>
            </w:r>
          </w:p>
          <w:p w14:paraId="1D3DD484" w14:textId="77777777" w:rsidR="002B2CFC" w:rsidRPr="002B2CFC" w:rsidRDefault="002B2CFC" w:rsidP="00E439AD">
            <w:pPr>
              <w:keepNext/>
              <w:jc w:val="center"/>
              <w:rPr>
                <w:sz w:val="20"/>
                <w:lang w:val="en-US" w:eastAsia="en-US"/>
              </w:rPr>
            </w:pPr>
            <w:r w:rsidRPr="002B2CFC">
              <w:rPr>
                <w:sz w:val="20"/>
                <w:lang w:val="en-US" w:eastAsia="en-US"/>
              </w:rPr>
              <w:t xml:space="preserve">4.8 </w:t>
            </w:r>
            <w:r w:rsidRPr="002B2CFC">
              <w:rPr>
                <w:sz w:val="20"/>
                <w:u w:val="single"/>
                <w:lang w:val="en-US" w:eastAsia="en-US"/>
              </w:rPr>
              <w:t>+</w:t>
            </w:r>
            <w:r w:rsidRPr="002B2CFC">
              <w:rPr>
                <w:sz w:val="20"/>
                <w:lang w:val="en-US" w:eastAsia="en-US"/>
              </w:rPr>
              <w:t xml:space="preserve"> 0.4</w:t>
            </w:r>
          </w:p>
        </w:tc>
        <w:tc>
          <w:tcPr>
            <w:tcW w:w="625" w:type="pct"/>
          </w:tcPr>
          <w:p w14:paraId="680EA0B2" w14:textId="77777777" w:rsidR="002B2CFC" w:rsidRPr="002B2CFC" w:rsidRDefault="002B2CFC" w:rsidP="00E439AD">
            <w:pPr>
              <w:keepNext/>
              <w:jc w:val="center"/>
              <w:rPr>
                <w:sz w:val="20"/>
                <w:lang w:val="en-US" w:eastAsia="en-US"/>
              </w:rPr>
            </w:pPr>
          </w:p>
          <w:p w14:paraId="1437B737" w14:textId="77777777" w:rsidR="002B2CFC" w:rsidRPr="002B2CFC" w:rsidRDefault="002B2CFC" w:rsidP="00E439AD">
            <w:pPr>
              <w:keepNext/>
              <w:jc w:val="center"/>
              <w:rPr>
                <w:sz w:val="20"/>
                <w:lang w:val="en-US" w:eastAsia="en-US"/>
              </w:rPr>
            </w:pPr>
            <w:r w:rsidRPr="002B2CFC">
              <w:rPr>
                <w:sz w:val="20"/>
                <w:lang w:val="en-US" w:eastAsia="en-US"/>
              </w:rPr>
              <w:t xml:space="preserve">2.9 </w:t>
            </w:r>
            <w:r w:rsidRPr="002B2CFC">
              <w:rPr>
                <w:sz w:val="20"/>
                <w:u w:val="single"/>
                <w:lang w:val="en-US" w:eastAsia="en-US"/>
              </w:rPr>
              <w:t>+</w:t>
            </w:r>
            <w:r w:rsidRPr="002B2CFC">
              <w:rPr>
                <w:sz w:val="20"/>
                <w:lang w:val="en-US" w:eastAsia="en-US"/>
              </w:rPr>
              <w:t xml:space="preserve"> 0.1</w:t>
            </w:r>
          </w:p>
          <w:p w14:paraId="387C77B2" w14:textId="77777777" w:rsidR="002B2CFC" w:rsidRPr="002B2CFC" w:rsidRDefault="002B2CFC" w:rsidP="00E439AD">
            <w:pPr>
              <w:keepNext/>
              <w:jc w:val="center"/>
              <w:rPr>
                <w:sz w:val="20"/>
                <w:lang w:val="en-US" w:eastAsia="en-US"/>
              </w:rPr>
            </w:pPr>
            <w:r w:rsidRPr="002B2CFC">
              <w:rPr>
                <w:sz w:val="20"/>
                <w:lang w:val="en-US" w:eastAsia="en-US"/>
              </w:rPr>
              <w:t xml:space="preserve">2.8 </w:t>
            </w:r>
            <w:r w:rsidRPr="002B2CFC">
              <w:rPr>
                <w:sz w:val="20"/>
                <w:u w:val="single"/>
                <w:lang w:val="en-US" w:eastAsia="en-US"/>
              </w:rPr>
              <w:t>+</w:t>
            </w:r>
            <w:r w:rsidRPr="002B2CFC">
              <w:rPr>
                <w:sz w:val="20"/>
                <w:lang w:val="en-US" w:eastAsia="en-US"/>
              </w:rPr>
              <w:t xml:space="preserve"> 0.2</w:t>
            </w:r>
          </w:p>
        </w:tc>
        <w:tc>
          <w:tcPr>
            <w:tcW w:w="703" w:type="pct"/>
            <w:tcBorders>
              <w:bottom w:val="single" w:sz="4" w:space="0" w:color="auto"/>
            </w:tcBorders>
          </w:tcPr>
          <w:p w14:paraId="1A08C2C8" w14:textId="77777777" w:rsidR="002B2CFC" w:rsidRPr="002B2CFC" w:rsidRDefault="002B2CFC" w:rsidP="00E439AD">
            <w:pPr>
              <w:keepNext/>
              <w:jc w:val="center"/>
              <w:rPr>
                <w:sz w:val="20"/>
                <w:lang w:val="en-US" w:eastAsia="en-US"/>
              </w:rPr>
            </w:pPr>
          </w:p>
          <w:p w14:paraId="5D252156" w14:textId="77777777" w:rsidR="002B2CFC" w:rsidRPr="002B2CFC" w:rsidRDefault="002B2CFC" w:rsidP="00E439AD">
            <w:pPr>
              <w:keepNext/>
              <w:jc w:val="center"/>
              <w:rPr>
                <w:sz w:val="20"/>
                <w:lang w:val="en-US" w:eastAsia="en-US"/>
              </w:rPr>
            </w:pPr>
            <w:r w:rsidRPr="002B2CFC">
              <w:rPr>
                <w:sz w:val="20"/>
                <w:lang w:val="en-US" w:eastAsia="en-US"/>
              </w:rPr>
              <w:t xml:space="preserve">5.4 </w:t>
            </w:r>
            <w:r w:rsidRPr="002B2CFC">
              <w:rPr>
                <w:sz w:val="20"/>
                <w:u w:val="single"/>
                <w:lang w:val="en-US" w:eastAsia="en-US"/>
              </w:rPr>
              <w:t>+</w:t>
            </w:r>
            <w:r w:rsidRPr="002B2CFC">
              <w:rPr>
                <w:sz w:val="20"/>
                <w:lang w:val="en-US" w:eastAsia="en-US"/>
              </w:rPr>
              <w:t xml:space="preserve"> 1.0</w:t>
            </w:r>
          </w:p>
          <w:p w14:paraId="747CC04C" w14:textId="77777777" w:rsidR="002B2CFC" w:rsidRPr="002B2CFC" w:rsidRDefault="002B2CFC" w:rsidP="00E439AD">
            <w:pPr>
              <w:keepNext/>
              <w:jc w:val="center"/>
              <w:rPr>
                <w:sz w:val="20"/>
                <w:lang w:val="en-US" w:eastAsia="en-US"/>
              </w:rPr>
            </w:pPr>
            <w:r w:rsidRPr="002B2CFC">
              <w:rPr>
                <w:sz w:val="20"/>
                <w:lang w:val="en-US" w:eastAsia="en-US"/>
              </w:rPr>
              <w:t xml:space="preserve">5.5 </w:t>
            </w:r>
            <w:r w:rsidRPr="002B2CFC">
              <w:rPr>
                <w:sz w:val="20"/>
                <w:u w:val="single"/>
                <w:lang w:val="en-US" w:eastAsia="en-US"/>
              </w:rPr>
              <w:t>+</w:t>
            </w:r>
            <w:r w:rsidRPr="002B2CFC">
              <w:rPr>
                <w:sz w:val="20"/>
                <w:lang w:val="en-US" w:eastAsia="en-US"/>
              </w:rPr>
              <w:t xml:space="preserve"> 0.7</w:t>
            </w:r>
          </w:p>
        </w:tc>
      </w:tr>
      <w:tr w:rsidR="002B2CFC" w:rsidRPr="002B2CFC" w14:paraId="3F906177" w14:textId="77777777" w:rsidTr="00441FE4">
        <w:tc>
          <w:tcPr>
            <w:tcW w:w="1094" w:type="pct"/>
          </w:tcPr>
          <w:p w14:paraId="60A37D5C" w14:textId="77777777" w:rsidR="002B2CFC" w:rsidRPr="002B2CFC" w:rsidRDefault="002B2CFC" w:rsidP="00E439AD">
            <w:pPr>
              <w:keepNext/>
              <w:rPr>
                <w:sz w:val="20"/>
                <w:lang w:val="en-US" w:eastAsia="en-US"/>
              </w:rPr>
            </w:pPr>
            <w:r w:rsidRPr="002B2CFC">
              <w:rPr>
                <w:sz w:val="20"/>
                <w:lang w:val="en-US" w:eastAsia="en-US"/>
              </w:rPr>
              <w:t>Frontal cortex</w:t>
            </w:r>
          </w:p>
        </w:tc>
        <w:tc>
          <w:tcPr>
            <w:tcW w:w="781" w:type="pct"/>
          </w:tcPr>
          <w:p w14:paraId="7B0D26C8" w14:textId="77777777" w:rsidR="002B2CFC" w:rsidRPr="002B2CFC" w:rsidRDefault="002B2CFC" w:rsidP="00E439AD">
            <w:pPr>
              <w:keepNext/>
              <w:jc w:val="center"/>
              <w:rPr>
                <w:sz w:val="20"/>
                <w:lang w:val="en-US" w:eastAsia="en-US"/>
              </w:rPr>
            </w:pPr>
            <w:r w:rsidRPr="002B2CFC">
              <w:rPr>
                <w:sz w:val="20"/>
                <w:lang w:val="en-US" w:eastAsia="en-US"/>
              </w:rPr>
              <w:t xml:space="preserve">10.2 </w:t>
            </w:r>
            <w:r w:rsidRPr="002B2CFC">
              <w:rPr>
                <w:sz w:val="20"/>
                <w:u w:val="single"/>
                <w:lang w:val="en-US" w:eastAsia="en-US"/>
              </w:rPr>
              <w:t>+</w:t>
            </w:r>
            <w:r w:rsidRPr="002B2CFC">
              <w:rPr>
                <w:sz w:val="20"/>
                <w:lang w:val="en-US" w:eastAsia="en-US"/>
              </w:rPr>
              <w:t xml:space="preserve"> 0.9</w:t>
            </w:r>
          </w:p>
        </w:tc>
        <w:tc>
          <w:tcPr>
            <w:tcW w:w="703" w:type="pct"/>
          </w:tcPr>
          <w:p w14:paraId="4295CA3B" w14:textId="77777777" w:rsidR="002B2CFC" w:rsidRPr="002B2CFC" w:rsidRDefault="002B2CFC" w:rsidP="00E439AD">
            <w:pPr>
              <w:keepNext/>
              <w:jc w:val="center"/>
              <w:rPr>
                <w:sz w:val="20"/>
                <w:lang w:val="en-US" w:eastAsia="en-US"/>
              </w:rPr>
            </w:pPr>
            <w:r w:rsidRPr="002B2CFC">
              <w:rPr>
                <w:sz w:val="20"/>
                <w:lang w:val="en-US" w:eastAsia="en-US"/>
              </w:rPr>
              <w:t xml:space="preserve">14.3 </w:t>
            </w:r>
            <w:r w:rsidRPr="002B2CFC">
              <w:rPr>
                <w:sz w:val="20"/>
                <w:u w:val="single"/>
                <w:lang w:val="en-US" w:eastAsia="en-US"/>
              </w:rPr>
              <w:t>+</w:t>
            </w:r>
            <w:r w:rsidRPr="002B2CFC">
              <w:rPr>
                <w:sz w:val="20"/>
                <w:lang w:val="en-US" w:eastAsia="en-US"/>
              </w:rPr>
              <w:t xml:space="preserve"> 0.6</w:t>
            </w:r>
          </w:p>
        </w:tc>
        <w:tc>
          <w:tcPr>
            <w:tcW w:w="547" w:type="pct"/>
          </w:tcPr>
          <w:p w14:paraId="077C11C7" w14:textId="77777777" w:rsidR="002B2CFC" w:rsidRPr="002B2CFC" w:rsidRDefault="002B2CFC" w:rsidP="00E439AD">
            <w:pPr>
              <w:keepNext/>
              <w:jc w:val="center"/>
              <w:rPr>
                <w:sz w:val="20"/>
                <w:lang w:val="en-US" w:eastAsia="en-US"/>
              </w:rPr>
            </w:pPr>
            <w:r w:rsidRPr="002B2CFC">
              <w:rPr>
                <w:sz w:val="20"/>
                <w:lang w:val="en-US" w:eastAsia="en-US"/>
              </w:rPr>
              <w:t xml:space="preserve">1.5 </w:t>
            </w:r>
            <w:r w:rsidRPr="002B2CFC">
              <w:rPr>
                <w:sz w:val="20"/>
                <w:u w:val="single"/>
                <w:lang w:val="en-US" w:eastAsia="en-US"/>
              </w:rPr>
              <w:t>+</w:t>
            </w:r>
            <w:r w:rsidRPr="002B2CFC">
              <w:rPr>
                <w:sz w:val="20"/>
                <w:lang w:val="en-US" w:eastAsia="en-US"/>
              </w:rPr>
              <w:t xml:space="preserve"> 0.2</w:t>
            </w:r>
          </w:p>
        </w:tc>
        <w:tc>
          <w:tcPr>
            <w:tcW w:w="547" w:type="pct"/>
          </w:tcPr>
          <w:p w14:paraId="3DC2B8B0" w14:textId="77777777" w:rsidR="002B2CFC" w:rsidRPr="002B2CFC" w:rsidRDefault="002B2CFC" w:rsidP="00E439AD">
            <w:pPr>
              <w:keepNext/>
              <w:jc w:val="center"/>
              <w:rPr>
                <w:sz w:val="20"/>
                <w:lang w:val="en-US" w:eastAsia="en-US"/>
              </w:rPr>
            </w:pPr>
            <w:r w:rsidRPr="002B2CFC">
              <w:rPr>
                <w:sz w:val="20"/>
                <w:lang w:val="en-US" w:eastAsia="en-US"/>
              </w:rPr>
              <w:t xml:space="preserve">2.0 </w:t>
            </w:r>
            <w:r w:rsidRPr="002B2CFC">
              <w:rPr>
                <w:sz w:val="20"/>
                <w:u w:val="single"/>
                <w:lang w:val="en-US" w:eastAsia="en-US"/>
              </w:rPr>
              <w:t>+</w:t>
            </w:r>
            <w:r w:rsidRPr="002B2CFC">
              <w:rPr>
                <w:sz w:val="20"/>
                <w:lang w:val="en-US" w:eastAsia="en-US"/>
              </w:rPr>
              <w:t xml:space="preserve"> 0.1</w:t>
            </w:r>
          </w:p>
        </w:tc>
        <w:tc>
          <w:tcPr>
            <w:tcW w:w="625" w:type="pct"/>
          </w:tcPr>
          <w:p w14:paraId="72341705" w14:textId="77777777" w:rsidR="002B2CFC" w:rsidRPr="002B2CFC" w:rsidRDefault="002B2CFC" w:rsidP="00E439AD">
            <w:pPr>
              <w:keepNext/>
              <w:jc w:val="center"/>
              <w:rPr>
                <w:sz w:val="20"/>
                <w:lang w:val="en-US" w:eastAsia="en-US"/>
              </w:rPr>
            </w:pPr>
            <w:r w:rsidRPr="002B2CFC">
              <w:rPr>
                <w:sz w:val="20"/>
                <w:lang w:val="en-US" w:eastAsia="en-US"/>
              </w:rPr>
              <w:t xml:space="preserve">2.8 </w:t>
            </w:r>
            <w:r w:rsidRPr="002B2CFC">
              <w:rPr>
                <w:sz w:val="20"/>
                <w:u w:val="single"/>
                <w:lang w:val="en-US" w:eastAsia="en-US"/>
              </w:rPr>
              <w:t>+</w:t>
            </w:r>
            <w:r w:rsidRPr="002B2CFC">
              <w:rPr>
                <w:sz w:val="20"/>
                <w:lang w:val="en-US" w:eastAsia="en-US"/>
              </w:rPr>
              <w:t xml:space="preserve"> 0.3</w:t>
            </w:r>
          </w:p>
        </w:tc>
        <w:tc>
          <w:tcPr>
            <w:tcW w:w="703" w:type="pct"/>
          </w:tcPr>
          <w:p w14:paraId="536407E9" w14:textId="77777777" w:rsidR="002B2CFC" w:rsidRPr="002B2CFC" w:rsidRDefault="002B2CFC" w:rsidP="00E439AD">
            <w:pPr>
              <w:keepNext/>
              <w:jc w:val="center"/>
              <w:rPr>
                <w:sz w:val="20"/>
                <w:lang w:val="en-US" w:eastAsia="en-US"/>
              </w:rPr>
            </w:pPr>
            <w:r w:rsidRPr="002B2CFC">
              <w:rPr>
                <w:sz w:val="20"/>
                <w:lang w:val="en-US" w:eastAsia="en-US"/>
              </w:rPr>
              <w:t xml:space="preserve">6.5 </w:t>
            </w:r>
            <w:r w:rsidRPr="002B2CFC">
              <w:rPr>
                <w:sz w:val="20"/>
                <w:u w:val="single"/>
                <w:lang w:val="en-US" w:eastAsia="en-US"/>
              </w:rPr>
              <w:t>+</w:t>
            </w:r>
            <w:r w:rsidRPr="002B2CFC">
              <w:rPr>
                <w:sz w:val="20"/>
                <w:lang w:val="en-US" w:eastAsia="en-US"/>
              </w:rPr>
              <w:t xml:space="preserve"> 0.7</w:t>
            </w:r>
          </w:p>
        </w:tc>
      </w:tr>
      <w:tr w:rsidR="002B2CFC" w:rsidRPr="002B2CFC" w14:paraId="2810D0E4" w14:textId="77777777" w:rsidTr="00441FE4">
        <w:tc>
          <w:tcPr>
            <w:tcW w:w="1094" w:type="pct"/>
          </w:tcPr>
          <w:p w14:paraId="20F7FAAF" w14:textId="77777777" w:rsidR="002B2CFC" w:rsidRPr="002B2CFC" w:rsidRDefault="002B2CFC" w:rsidP="00E439AD">
            <w:pPr>
              <w:keepNext/>
              <w:rPr>
                <w:sz w:val="20"/>
                <w:lang w:val="en-US" w:eastAsia="en-US"/>
              </w:rPr>
            </w:pPr>
            <w:r w:rsidRPr="002B2CFC">
              <w:rPr>
                <w:sz w:val="20"/>
                <w:lang w:val="en-US" w:eastAsia="en-US"/>
              </w:rPr>
              <w:t>Striatum</w:t>
            </w:r>
          </w:p>
        </w:tc>
        <w:tc>
          <w:tcPr>
            <w:tcW w:w="781" w:type="pct"/>
          </w:tcPr>
          <w:p w14:paraId="6458C6FE" w14:textId="77777777" w:rsidR="002B2CFC" w:rsidRPr="002B2CFC" w:rsidRDefault="002B2CFC" w:rsidP="00E439AD">
            <w:pPr>
              <w:keepNext/>
              <w:jc w:val="center"/>
              <w:rPr>
                <w:sz w:val="20"/>
                <w:lang w:val="en-US" w:eastAsia="en-US"/>
              </w:rPr>
            </w:pPr>
            <w:r w:rsidRPr="002B2CFC">
              <w:rPr>
                <w:sz w:val="20"/>
                <w:lang w:val="en-US" w:eastAsia="en-US"/>
              </w:rPr>
              <w:t xml:space="preserve">8.4 </w:t>
            </w:r>
            <w:r w:rsidRPr="002B2CFC">
              <w:rPr>
                <w:sz w:val="20"/>
                <w:u w:val="single"/>
                <w:lang w:val="en-US" w:eastAsia="en-US"/>
              </w:rPr>
              <w:t>+</w:t>
            </w:r>
            <w:r w:rsidRPr="002B2CFC">
              <w:rPr>
                <w:sz w:val="20"/>
                <w:lang w:val="en-US" w:eastAsia="en-US"/>
              </w:rPr>
              <w:t xml:space="preserve"> 0.5</w:t>
            </w:r>
          </w:p>
        </w:tc>
        <w:tc>
          <w:tcPr>
            <w:tcW w:w="703" w:type="pct"/>
          </w:tcPr>
          <w:p w14:paraId="3CD6D9B0" w14:textId="77777777" w:rsidR="002B2CFC" w:rsidRPr="002B2CFC" w:rsidRDefault="002B2CFC" w:rsidP="00E439AD">
            <w:pPr>
              <w:keepNext/>
              <w:jc w:val="center"/>
              <w:rPr>
                <w:sz w:val="20"/>
                <w:lang w:val="en-US" w:eastAsia="en-US"/>
              </w:rPr>
            </w:pPr>
            <w:r w:rsidRPr="002B2CFC">
              <w:rPr>
                <w:sz w:val="20"/>
                <w:lang w:val="en-US" w:eastAsia="en-US"/>
              </w:rPr>
              <w:t xml:space="preserve">16.6 </w:t>
            </w:r>
            <w:r w:rsidRPr="002B2CFC">
              <w:rPr>
                <w:sz w:val="20"/>
                <w:u w:val="single"/>
                <w:lang w:val="en-US" w:eastAsia="en-US"/>
              </w:rPr>
              <w:t>+</w:t>
            </w:r>
            <w:r w:rsidRPr="002B2CFC">
              <w:rPr>
                <w:sz w:val="20"/>
                <w:lang w:val="en-US" w:eastAsia="en-US"/>
              </w:rPr>
              <w:t xml:space="preserve"> 0.5</w:t>
            </w:r>
          </w:p>
        </w:tc>
        <w:tc>
          <w:tcPr>
            <w:tcW w:w="547" w:type="pct"/>
          </w:tcPr>
          <w:p w14:paraId="1969FF7E" w14:textId="77777777" w:rsidR="002B2CFC" w:rsidRPr="002B2CFC" w:rsidRDefault="002B2CFC" w:rsidP="00E439AD">
            <w:pPr>
              <w:keepNext/>
              <w:jc w:val="center"/>
              <w:rPr>
                <w:sz w:val="20"/>
                <w:lang w:val="en-US" w:eastAsia="en-US"/>
              </w:rPr>
            </w:pPr>
            <w:r w:rsidRPr="002B2CFC">
              <w:rPr>
                <w:sz w:val="20"/>
                <w:lang w:val="en-US" w:eastAsia="en-US"/>
              </w:rPr>
              <w:t xml:space="preserve">0.5 </w:t>
            </w:r>
            <w:r w:rsidRPr="002B2CFC">
              <w:rPr>
                <w:sz w:val="20"/>
                <w:u w:val="single"/>
                <w:lang w:val="en-US" w:eastAsia="en-US"/>
              </w:rPr>
              <w:t>+</w:t>
            </w:r>
            <w:r w:rsidRPr="002B2CFC">
              <w:rPr>
                <w:sz w:val="20"/>
                <w:lang w:val="en-US" w:eastAsia="en-US"/>
              </w:rPr>
              <w:t xml:space="preserve"> 0.2</w:t>
            </w:r>
          </w:p>
        </w:tc>
        <w:tc>
          <w:tcPr>
            <w:tcW w:w="547" w:type="pct"/>
          </w:tcPr>
          <w:p w14:paraId="127B545A" w14:textId="77777777" w:rsidR="002B2CFC" w:rsidRPr="002B2CFC" w:rsidRDefault="002B2CFC" w:rsidP="00E439AD">
            <w:pPr>
              <w:keepNext/>
              <w:jc w:val="center"/>
              <w:rPr>
                <w:sz w:val="20"/>
                <w:lang w:val="en-US" w:eastAsia="en-US"/>
              </w:rPr>
            </w:pPr>
            <w:r w:rsidRPr="002B2CFC">
              <w:rPr>
                <w:sz w:val="20"/>
                <w:lang w:val="en-US" w:eastAsia="en-US"/>
              </w:rPr>
              <w:t xml:space="preserve">2.2 </w:t>
            </w:r>
            <w:r w:rsidRPr="002B2CFC">
              <w:rPr>
                <w:sz w:val="20"/>
                <w:u w:val="single"/>
                <w:lang w:val="en-US" w:eastAsia="en-US"/>
              </w:rPr>
              <w:t>+</w:t>
            </w:r>
            <w:r w:rsidRPr="002B2CFC">
              <w:rPr>
                <w:sz w:val="20"/>
                <w:lang w:val="en-US" w:eastAsia="en-US"/>
              </w:rPr>
              <w:t xml:space="preserve"> 0.1</w:t>
            </w:r>
          </w:p>
        </w:tc>
        <w:tc>
          <w:tcPr>
            <w:tcW w:w="625" w:type="pct"/>
          </w:tcPr>
          <w:p w14:paraId="205FB06D" w14:textId="77777777" w:rsidR="002B2CFC" w:rsidRPr="002B2CFC" w:rsidRDefault="002B2CFC" w:rsidP="00E439AD">
            <w:pPr>
              <w:keepNext/>
              <w:jc w:val="center"/>
              <w:rPr>
                <w:sz w:val="20"/>
                <w:lang w:val="en-US" w:eastAsia="en-US"/>
              </w:rPr>
            </w:pPr>
            <w:r w:rsidRPr="002B2CFC">
              <w:rPr>
                <w:sz w:val="20"/>
                <w:lang w:val="en-US" w:eastAsia="en-US"/>
              </w:rPr>
              <w:t xml:space="preserve">2.3 </w:t>
            </w:r>
            <w:r w:rsidRPr="002B2CFC">
              <w:rPr>
                <w:sz w:val="20"/>
                <w:u w:val="single"/>
                <w:lang w:val="en-US" w:eastAsia="en-US"/>
              </w:rPr>
              <w:t>+</w:t>
            </w:r>
            <w:r w:rsidRPr="002B2CFC">
              <w:rPr>
                <w:sz w:val="20"/>
                <w:lang w:val="en-US" w:eastAsia="en-US"/>
              </w:rPr>
              <w:t xml:space="preserve"> 0.2</w:t>
            </w:r>
          </w:p>
        </w:tc>
        <w:tc>
          <w:tcPr>
            <w:tcW w:w="703" w:type="pct"/>
          </w:tcPr>
          <w:p w14:paraId="12001420" w14:textId="77777777" w:rsidR="002B2CFC" w:rsidRPr="002B2CFC" w:rsidRDefault="002B2CFC" w:rsidP="00E439AD">
            <w:pPr>
              <w:keepNext/>
              <w:jc w:val="center"/>
              <w:rPr>
                <w:sz w:val="20"/>
                <w:lang w:val="en-US" w:eastAsia="en-US"/>
              </w:rPr>
            </w:pPr>
            <w:r w:rsidRPr="002B2CFC">
              <w:rPr>
                <w:sz w:val="20"/>
                <w:lang w:val="en-US" w:eastAsia="en-US"/>
              </w:rPr>
              <w:t xml:space="preserve">2.6 </w:t>
            </w:r>
            <w:r w:rsidRPr="002B2CFC">
              <w:rPr>
                <w:sz w:val="20"/>
                <w:u w:val="single"/>
                <w:lang w:val="en-US" w:eastAsia="en-US"/>
              </w:rPr>
              <w:t>+</w:t>
            </w:r>
            <w:r w:rsidRPr="002B2CFC">
              <w:rPr>
                <w:sz w:val="20"/>
                <w:lang w:val="en-US" w:eastAsia="en-US"/>
              </w:rPr>
              <w:t xml:space="preserve"> 0.1</w:t>
            </w:r>
          </w:p>
        </w:tc>
      </w:tr>
      <w:tr w:rsidR="002B2CFC" w:rsidRPr="002B2CFC" w14:paraId="2BC1BF56" w14:textId="77777777" w:rsidTr="00441FE4">
        <w:trPr>
          <w:trHeight w:val="700"/>
        </w:trPr>
        <w:tc>
          <w:tcPr>
            <w:tcW w:w="1094" w:type="pct"/>
          </w:tcPr>
          <w:p w14:paraId="282A7653" w14:textId="77777777" w:rsidR="002B2CFC" w:rsidRPr="006A42B1" w:rsidRDefault="002B2CFC" w:rsidP="00E439AD">
            <w:pPr>
              <w:keepNext/>
              <w:rPr>
                <w:sz w:val="20"/>
                <w:lang w:val="de-DE" w:eastAsia="en-US"/>
              </w:rPr>
            </w:pPr>
            <w:r w:rsidRPr="006A42B1">
              <w:rPr>
                <w:sz w:val="20"/>
                <w:lang w:val="de-DE" w:eastAsia="en-US"/>
              </w:rPr>
              <w:t>Hypothalamus</w:t>
            </w:r>
          </w:p>
          <w:p w14:paraId="000A0A2D" w14:textId="77777777" w:rsidR="002B2CFC" w:rsidRPr="006A42B1" w:rsidRDefault="002B2CFC" w:rsidP="00E439AD">
            <w:pPr>
              <w:keepNext/>
              <w:rPr>
                <w:sz w:val="20"/>
                <w:lang w:val="de-DE" w:eastAsia="en-US"/>
              </w:rPr>
            </w:pPr>
            <w:r w:rsidRPr="006A42B1">
              <w:rPr>
                <w:sz w:val="20"/>
                <w:lang w:val="de-DE" w:eastAsia="en-US"/>
              </w:rPr>
              <w:t xml:space="preserve">     Ventral region</w:t>
            </w:r>
          </w:p>
          <w:p w14:paraId="1C35006B" w14:textId="77777777" w:rsidR="002B2CFC" w:rsidRPr="006A42B1" w:rsidRDefault="002B2CFC" w:rsidP="00E439AD">
            <w:pPr>
              <w:keepNext/>
              <w:rPr>
                <w:sz w:val="20"/>
                <w:lang w:val="de-DE" w:eastAsia="en-US"/>
              </w:rPr>
            </w:pPr>
            <w:r w:rsidRPr="006A42B1">
              <w:rPr>
                <w:sz w:val="20"/>
                <w:lang w:val="de-DE" w:eastAsia="en-US"/>
              </w:rPr>
              <w:t xml:space="preserve">     Dorsal region</w:t>
            </w:r>
          </w:p>
        </w:tc>
        <w:tc>
          <w:tcPr>
            <w:tcW w:w="781" w:type="pct"/>
          </w:tcPr>
          <w:p w14:paraId="385DD8D2" w14:textId="77777777" w:rsidR="002B2CFC" w:rsidRPr="006A42B1" w:rsidRDefault="002B2CFC" w:rsidP="00E439AD">
            <w:pPr>
              <w:keepNext/>
              <w:jc w:val="center"/>
              <w:rPr>
                <w:sz w:val="20"/>
                <w:lang w:val="de-DE" w:eastAsia="en-US"/>
              </w:rPr>
            </w:pPr>
          </w:p>
          <w:p w14:paraId="0353D080" w14:textId="77777777" w:rsidR="002B2CFC" w:rsidRPr="002B2CFC" w:rsidRDefault="002B2CFC" w:rsidP="00E439AD">
            <w:pPr>
              <w:keepNext/>
              <w:jc w:val="center"/>
              <w:rPr>
                <w:sz w:val="20"/>
                <w:lang w:val="en-US" w:eastAsia="en-US"/>
              </w:rPr>
            </w:pPr>
            <w:r w:rsidRPr="002B2CFC">
              <w:rPr>
                <w:sz w:val="20"/>
                <w:lang w:val="en-US" w:eastAsia="en-US"/>
              </w:rPr>
              <w:t xml:space="preserve">20.6 </w:t>
            </w:r>
            <w:r w:rsidRPr="002B2CFC">
              <w:rPr>
                <w:sz w:val="20"/>
                <w:u w:val="single"/>
                <w:lang w:val="en-US" w:eastAsia="en-US"/>
              </w:rPr>
              <w:t>+</w:t>
            </w:r>
            <w:r w:rsidRPr="002B2CFC">
              <w:rPr>
                <w:sz w:val="20"/>
                <w:lang w:val="en-US" w:eastAsia="en-US"/>
              </w:rPr>
              <w:t xml:space="preserve"> 0.13</w:t>
            </w:r>
          </w:p>
          <w:p w14:paraId="41727AAB" w14:textId="77777777" w:rsidR="002B2CFC" w:rsidRPr="002B2CFC" w:rsidRDefault="002B2CFC" w:rsidP="00E439AD">
            <w:pPr>
              <w:keepNext/>
              <w:jc w:val="center"/>
              <w:rPr>
                <w:sz w:val="20"/>
                <w:lang w:val="en-US" w:eastAsia="en-US"/>
              </w:rPr>
            </w:pPr>
            <w:r w:rsidRPr="002B2CFC">
              <w:rPr>
                <w:sz w:val="20"/>
                <w:lang w:val="en-US" w:eastAsia="en-US"/>
              </w:rPr>
              <w:t xml:space="preserve">9.0 </w:t>
            </w:r>
            <w:r w:rsidRPr="002B2CFC">
              <w:rPr>
                <w:sz w:val="20"/>
                <w:u w:val="single"/>
                <w:lang w:val="en-US" w:eastAsia="en-US"/>
              </w:rPr>
              <w:t>+</w:t>
            </w:r>
            <w:r w:rsidRPr="002B2CFC">
              <w:rPr>
                <w:sz w:val="20"/>
                <w:lang w:val="en-US" w:eastAsia="en-US"/>
              </w:rPr>
              <w:t xml:space="preserve"> 0.7</w:t>
            </w:r>
          </w:p>
        </w:tc>
        <w:tc>
          <w:tcPr>
            <w:tcW w:w="703" w:type="pct"/>
          </w:tcPr>
          <w:p w14:paraId="5FD8C67E" w14:textId="77777777" w:rsidR="002B2CFC" w:rsidRPr="002B2CFC" w:rsidRDefault="002B2CFC" w:rsidP="00E439AD">
            <w:pPr>
              <w:keepNext/>
              <w:jc w:val="center"/>
              <w:rPr>
                <w:sz w:val="20"/>
                <w:lang w:val="en-US" w:eastAsia="en-US"/>
              </w:rPr>
            </w:pPr>
          </w:p>
          <w:p w14:paraId="1A43AE7C" w14:textId="77777777" w:rsidR="002B2CFC" w:rsidRPr="002B2CFC" w:rsidRDefault="002B2CFC" w:rsidP="00E439AD">
            <w:pPr>
              <w:keepNext/>
              <w:jc w:val="center"/>
              <w:rPr>
                <w:sz w:val="20"/>
                <w:lang w:val="en-US" w:eastAsia="en-US"/>
              </w:rPr>
            </w:pPr>
            <w:r w:rsidRPr="002B2CFC">
              <w:rPr>
                <w:sz w:val="20"/>
                <w:lang w:val="en-US" w:eastAsia="en-US"/>
              </w:rPr>
              <w:t xml:space="preserve">35.3 </w:t>
            </w:r>
            <w:r w:rsidRPr="002B2CFC">
              <w:rPr>
                <w:sz w:val="20"/>
                <w:u w:val="single"/>
                <w:lang w:val="en-US" w:eastAsia="en-US"/>
              </w:rPr>
              <w:t>+</w:t>
            </w:r>
            <w:r w:rsidRPr="002B2CFC">
              <w:rPr>
                <w:sz w:val="20"/>
                <w:lang w:val="en-US" w:eastAsia="en-US"/>
              </w:rPr>
              <w:t xml:space="preserve"> 3.0</w:t>
            </w:r>
          </w:p>
          <w:p w14:paraId="3189954D" w14:textId="77777777" w:rsidR="002B2CFC" w:rsidRPr="002B2CFC" w:rsidRDefault="002B2CFC" w:rsidP="00E439AD">
            <w:pPr>
              <w:keepNext/>
              <w:jc w:val="center"/>
              <w:rPr>
                <w:sz w:val="20"/>
                <w:lang w:val="en-US" w:eastAsia="en-US"/>
              </w:rPr>
            </w:pPr>
            <w:r w:rsidRPr="002B2CFC">
              <w:rPr>
                <w:sz w:val="20"/>
                <w:lang w:val="en-US" w:eastAsia="en-US"/>
              </w:rPr>
              <w:t xml:space="preserve">23.3 </w:t>
            </w:r>
            <w:r w:rsidRPr="002B2CFC">
              <w:rPr>
                <w:sz w:val="20"/>
                <w:u w:val="single"/>
                <w:lang w:val="en-US" w:eastAsia="en-US"/>
              </w:rPr>
              <w:t>+</w:t>
            </w:r>
            <w:r w:rsidRPr="002B2CFC">
              <w:rPr>
                <w:sz w:val="20"/>
                <w:lang w:val="en-US" w:eastAsia="en-US"/>
              </w:rPr>
              <w:t xml:space="preserve"> 1.7</w:t>
            </w:r>
          </w:p>
        </w:tc>
        <w:tc>
          <w:tcPr>
            <w:tcW w:w="547" w:type="pct"/>
          </w:tcPr>
          <w:p w14:paraId="0631850A" w14:textId="77777777" w:rsidR="002B2CFC" w:rsidRPr="002B2CFC" w:rsidRDefault="002B2CFC" w:rsidP="00E439AD">
            <w:pPr>
              <w:keepNext/>
              <w:jc w:val="center"/>
              <w:rPr>
                <w:sz w:val="20"/>
                <w:lang w:val="en-US" w:eastAsia="en-US"/>
              </w:rPr>
            </w:pPr>
          </w:p>
          <w:p w14:paraId="34C990D9" w14:textId="77777777" w:rsidR="002B2CFC" w:rsidRPr="002B2CFC" w:rsidRDefault="002B2CFC" w:rsidP="00E439AD">
            <w:pPr>
              <w:keepNext/>
              <w:jc w:val="center"/>
              <w:rPr>
                <w:sz w:val="20"/>
                <w:lang w:val="en-US" w:eastAsia="en-US"/>
              </w:rPr>
            </w:pPr>
            <w:r w:rsidRPr="002B2CFC">
              <w:rPr>
                <w:sz w:val="20"/>
                <w:lang w:val="en-US" w:eastAsia="en-US"/>
              </w:rPr>
              <w:t xml:space="preserve">4.1 </w:t>
            </w:r>
            <w:r w:rsidRPr="002B2CFC">
              <w:rPr>
                <w:sz w:val="20"/>
                <w:u w:val="single"/>
                <w:lang w:val="en-US" w:eastAsia="en-US"/>
              </w:rPr>
              <w:t>+</w:t>
            </w:r>
            <w:r w:rsidRPr="002B2CFC">
              <w:rPr>
                <w:sz w:val="20"/>
                <w:lang w:val="en-US" w:eastAsia="en-US"/>
              </w:rPr>
              <w:t xml:space="preserve"> 1.0</w:t>
            </w:r>
          </w:p>
          <w:p w14:paraId="33C6A1DC" w14:textId="77777777" w:rsidR="002B2CFC" w:rsidRPr="002B2CFC" w:rsidRDefault="002B2CFC" w:rsidP="00E439AD">
            <w:pPr>
              <w:keepNext/>
              <w:jc w:val="center"/>
              <w:rPr>
                <w:sz w:val="20"/>
                <w:lang w:val="en-US" w:eastAsia="en-US"/>
              </w:rPr>
            </w:pPr>
            <w:r w:rsidRPr="002B2CFC">
              <w:rPr>
                <w:sz w:val="20"/>
                <w:lang w:val="en-US" w:eastAsia="en-US"/>
              </w:rPr>
              <w:t xml:space="preserve">1.5 </w:t>
            </w:r>
            <w:r w:rsidRPr="002B2CFC">
              <w:rPr>
                <w:sz w:val="20"/>
                <w:u w:val="single"/>
                <w:lang w:val="en-US" w:eastAsia="en-US"/>
              </w:rPr>
              <w:t>+</w:t>
            </w:r>
            <w:r w:rsidRPr="002B2CFC">
              <w:rPr>
                <w:sz w:val="20"/>
                <w:lang w:val="en-US" w:eastAsia="en-US"/>
              </w:rPr>
              <w:t xml:space="preserve"> 0.6</w:t>
            </w:r>
          </w:p>
        </w:tc>
        <w:tc>
          <w:tcPr>
            <w:tcW w:w="547" w:type="pct"/>
          </w:tcPr>
          <w:p w14:paraId="663C4445" w14:textId="77777777" w:rsidR="002B2CFC" w:rsidRPr="002B2CFC" w:rsidRDefault="002B2CFC" w:rsidP="00E439AD">
            <w:pPr>
              <w:keepNext/>
              <w:jc w:val="center"/>
              <w:rPr>
                <w:sz w:val="20"/>
                <w:lang w:val="en-US" w:eastAsia="en-US"/>
              </w:rPr>
            </w:pPr>
          </w:p>
          <w:p w14:paraId="3113F29E" w14:textId="77777777" w:rsidR="002B2CFC" w:rsidRPr="002B2CFC" w:rsidRDefault="002B2CFC" w:rsidP="00E439AD">
            <w:pPr>
              <w:keepNext/>
              <w:jc w:val="center"/>
              <w:rPr>
                <w:sz w:val="20"/>
                <w:lang w:val="en-US" w:eastAsia="en-US"/>
              </w:rPr>
            </w:pPr>
            <w:r w:rsidRPr="002B2CFC">
              <w:rPr>
                <w:sz w:val="20"/>
                <w:lang w:val="en-US" w:eastAsia="en-US"/>
              </w:rPr>
              <w:t xml:space="preserve">5.1 </w:t>
            </w:r>
            <w:r w:rsidRPr="002B2CFC">
              <w:rPr>
                <w:sz w:val="20"/>
                <w:u w:val="single"/>
                <w:lang w:val="en-US" w:eastAsia="en-US"/>
              </w:rPr>
              <w:t>+</w:t>
            </w:r>
            <w:r w:rsidRPr="002B2CFC">
              <w:rPr>
                <w:sz w:val="20"/>
                <w:lang w:val="en-US" w:eastAsia="en-US"/>
              </w:rPr>
              <w:t xml:space="preserve"> 0.2</w:t>
            </w:r>
          </w:p>
          <w:p w14:paraId="654F7249" w14:textId="77777777" w:rsidR="002B2CFC" w:rsidRPr="002B2CFC" w:rsidRDefault="002B2CFC" w:rsidP="00E439AD">
            <w:pPr>
              <w:keepNext/>
              <w:jc w:val="center"/>
              <w:rPr>
                <w:sz w:val="20"/>
                <w:lang w:val="en-US" w:eastAsia="en-US"/>
              </w:rPr>
            </w:pPr>
            <w:r w:rsidRPr="002B2CFC">
              <w:rPr>
                <w:sz w:val="20"/>
                <w:lang w:val="en-US" w:eastAsia="en-US"/>
              </w:rPr>
              <w:t xml:space="preserve">2.3 </w:t>
            </w:r>
            <w:r w:rsidRPr="002B2CFC">
              <w:rPr>
                <w:sz w:val="20"/>
                <w:u w:val="single"/>
                <w:lang w:val="en-US" w:eastAsia="en-US"/>
              </w:rPr>
              <w:t>+</w:t>
            </w:r>
            <w:r w:rsidRPr="002B2CFC">
              <w:rPr>
                <w:sz w:val="20"/>
                <w:lang w:val="en-US" w:eastAsia="en-US"/>
              </w:rPr>
              <w:t xml:space="preserve"> 0.5</w:t>
            </w:r>
          </w:p>
        </w:tc>
        <w:tc>
          <w:tcPr>
            <w:tcW w:w="625" w:type="pct"/>
          </w:tcPr>
          <w:p w14:paraId="33E04106" w14:textId="77777777" w:rsidR="002B2CFC" w:rsidRPr="002B2CFC" w:rsidRDefault="002B2CFC" w:rsidP="00E439AD">
            <w:pPr>
              <w:keepNext/>
              <w:jc w:val="center"/>
              <w:rPr>
                <w:sz w:val="20"/>
                <w:lang w:val="en-US" w:eastAsia="en-US"/>
              </w:rPr>
            </w:pPr>
          </w:p>
          <w:p w14:paraId="3D2B493D" w14:textId="77777777" w:rsidR="002B2CFC" w:rsidRPr="002B2CFC" w:rsidRDefault="002B2CFC" w:rsidP="00E439AD">
            <w:pPr>
              <w:keepNext/>
              <w:jc w:val="center"/>
              <w:rPr>
                <w:sz w:val="20"/>
                <w:lang w:val="en-US" w:eastAsia="en-US"/>
              </w:rPr>
            </w:pPr>
            <w:r w:rsidRPr="002B2CFC">
              <w:rPr>
                <w:sz w:val="20"/>
                <w:lang w:val="en-US" w:eastAsia="en-US"/>
              </w:rPr>
              <w:t xml:space="preserve">5.0 </w:t>
            </w:r>
            <w:r w:rsidRPr="002B2CFC">
              <w:rPr>
                <w:sz w:val="20"/>
                <w:u w:val="single"/>
                <w:lang w:val="en-US" w:eastAsia="en-US"/>
              </w:rPr>
              <w:t>+</w:t>
            </w:r>
            <w:r w:rsidRPr="002B2CFC">
              <w:rPr>
                <w:sz w:val="20"/>
                <w:lang w:val="en-US" w:eastAsia="en-US"/>
              </w:rPr>
              <w:t xml:space="preserve"> 0.5</w:t>
            </w:r>
          </w:p>
          <w:p w14:paraId="40A57CA1" w14:textId="77777777" w:rsidR="002B2CFC" w:rsidRPr="002B2CFC" w:rsidRDefault="002B2CFC" w:rsidP="00E439AD">
            <w:pPr>
              <w:keepNext/>
              <w:jc w:val="center"/>
              <w:rPr>
                <w:sz w:val="20"/>
                <w:lang w:val="en-US" w:eastAsia="en-US"/>
              </w:rPr>
            </w:pPr>
            <w:r w:rsidRPr="002B2CFC">
              <w:rPr>
                <w:sz w:val="20"/>
                <w:lang w:val="en-US" w:eastAsia="en-US"/>
              </w:rPr>
              <w:t xml:space="preserve">3.0 </w:t>
            </w:r>
            <w:r w:rsidRPr="002B2CFC">
              <w:rPr>
                <w:sz w:val="20"/>
                <w:u w:val="single"/>
                <w:lang w:val="en-US" w:eastAsia="en-US"/>
              </w:rPr>
              <w:t>+</w:t>
            </w:r>
            <w:r w:rsidRPr="002B2CFC">
              <w:rPr>
                <w:sz w:val="20"/>
                <w:lang w:val="en-US" w:eastAsia="en-US"/>
              </w:rPr>
              <w:t xml:space="preserve"> 0.2</w:t>
            </w:r>
          </w:p>
        </w:tc>
        <w:tc>
          <w:tcPr>
            <w:tcW w:w="703" w:type="pct"/>
            <w:tcBorders>
              <w:bottom w:val="single" w:sz="4" w:space="0" w:color="auto"/>
            </w:tcBorders>
          </w:tcPr>
          <w:p w14:paraId="27AB13AB" w14:textId="77777777" w:rsidR="002B2CFC" w:rsidRPr="002B2CFC" w:rsidRDefault="002B2CFC" w:rsidP="00E439AD">
            <w:pPr>
              <w:keepNext/>
              <w:jc w:val="center"/>
              <w:rPr>
                <w:sz w:val="20"/>
                <w:lang w:val="en-US" w:eastAsia="en-US"/>
              </w:rPr>
            </w:pPr>
          </w:p>
          <w:p w14:paraId="691E3F2A" w14:textId="77777777" w:rsidR="002B2CFC" w:rsidRPr="002B2CFC" w:rsidRDefault="002B2CFC" w:rsidP="00E439AD">
            <w:pPr>
              <w:keepNext/>
              <w:jc w:val="center"/>
              <w:rPr>
                <w:sz w:val="20"/>
                <w:lang w:val="en-US" w:eastAsia="en-US"/>
              </w:rPr>
            </w:pPr>
            <w:r w:rsidRPr="002B2CFC">
              <w:rPr>
                <w:sz w:val="20"/>
                <w:lang w:val="en-US" w:eastAsia="en-US"/>
              </w:rPr>
              <w:t xml:space="preserve">9.2 </w:t>
            </w:r>
            <w:r w:rsidRPr="002B2CFC">
              <w:rPr>
                <w:sz w:val="20"/>
                <w:u w:val="single"/>
                <w:lang w:val="en-US" w:eastAsia="en-US"/>
              </w:rPr>
              <w:t>+</w:t>
            </w:r>
            <w:r w:rsidRPr="002B2CFC">
              <w:rPr>
                <w:sz w:val="20"/>
                <w:lang w:val="en-US" w:eastAsia="en-US"/>
              </w:rPr>
              <w:t xml:space="preserve"> 0.7</w:t>
            </w:r>
          </w:p>
          <w:p w14:paraId="486A295D" w14:textId="77777777" w:rsidR="002B2CFC" w:rsidRPr="002B2CFC" w:rsidRDefault="002B2CFC" w:rsidP="00E439AD">
            <w:pPr>
              <w:keepNext/>
              <w:jc w:val="center"/>
              <w:rPr>
                <w:sz w:val="20"/>
                <w:lang w:val="en-US" w:eastAsia="en-US"/>
              </w:rPr>
            </w:pPr>
            <w:r w:rsidRPr="002B2CFC">
              <w:rPr>
                <w:sz w:val="20"/>
                <w:lang w:val="en-US" w:eastAsia="en-US"/>
              </w:rPr>
              <w:t xml:space="preserve">4.0 </w:t>
            </w:r>
            <w:r w:rsidRPr="002B2CFC">
              <w:rPr>
                <w:sz w:val="20"/>
                <w:u w:val="single"/>
                <w:lang w:val="en-US" w:eastAsia="en-US"/>
              </w:rPr>
              <w:t>+</w:t>
            </w:r>
            <w:r w:rsidRPr="002B2CFC">
              <w:rPr>
                <w:sz w:val="20"/>
                <w:lang w:val="en-US" w:eastAsia="en-US"/>
              </w:rPr>
              <w:t xml:space="preserve"> 0.2</w:t>
            </w:r>
          </w:p>
        </w:tc>
      </w:tr>
      <w:tr w:rsidR="002B2CFC" w:rsidRPr="002B2CFC" w14:paraId="2CBCC3F7" w14:textId="77777777" w:rsidTr="00441FE4">
        <w:tc>
          <w:tcPr>
            <w:tcW w:w="1094" w:type="pct"/>
          </w:tcPr>
          <w:p w14:paraId="42D604F5" w14:textId="77777777" w:rsidR="002B2CFC" w:rsidRPr="002B2CFC" w:rsidRDefault="002B2CFC" w:rsidP="00E439AD">
            <w:pPr>
              <w:keepNext/>
              <w:rPr>
                <w:sz w:val="20"/>
                <w:lang w:val="en-US" w:eastAsia="en-US"/>
              </w:rPr>
            </w:pPr>
            <w:r w:rsidRPr="002B2CFC">
              <w:rPr>
                <w:sz w:val="20"/>
                <w:lang w:val="en-US" w:eastAsia="en-US"/>
              </w:rPr>
              <w:t>Ependymal lining of the lateral ventricles</w:t>
            </w:r>
          </w:p>
        </w:tc>
        <w:tc>
          <w:tcPr>
            <w:tcW w:w="781" w:type="pct"/>
            <w:vAlign w:val="center"/>
          </w:tcPr>
          <w:p w14:paraId="2789061E" w14:textId="77777777" w:rsidR="002B2CFC" w:rsidRPr="002B2CFC" w:rsidRDefault="002B2CFC" w:rsidP="00E439AD">
            <w:pPr>
              <w:keepNext/>
              <w:jc w:val="center"/>
              <w:rPr>
                <w:sz w:val="20"/>
                <w:lang w:val="en-US" w:eastAsia="en-US"/>
              </w:rPr>
            </w:pPr>
            <w:r w:rsidRPr="002B2CFC">
              <w:rPr>
                <w:sz w:val="20"/>
                <w:lang w:val="en-US" w:eastAsia="en-US"/>
              </w:rPr>
              <w:t xml:space="preserve">19.2 </w:t>
            </w:r>
            <w:r w:rsidRPr="002B2CFC">
              <w:rPr>
                <w:sz w:val="20"/>
                <w:u w:val="single"/>
                <w:lang w:val="en-US" w:eastAsia="en-US"/>
              </w:rPr>
              <w:t>+</w:t>
            </w:r>
            <w:r w:rsidRPr="002B2CFC">
              <w:rPr>
                <w:sz w:val="20"/>
                <w:lang w:val="en-US" w:eastAsia="en-US"/>
              </w:rPr>
              <w:t xml:space="preserve"> 0.5</w:t>
            </w:r>
          </w:p>
        </w:tc>
        <w:tc>
          <w:tcPr>
            <w:tcW w:w="703" w:type="pct"/>
            <w:vAlign w:val="center"/>
          </w:tcPr>
          <w:p w14:paraId="4EBC81F1" w14:textId="77777777" w:rsidR="002B2CFC" w:rsidRPr="002B2CFC" w:rsidRDefault="002B2CFC" w:rsidP="00E439AD">
            <w:pPr>
              <w:keepNext/>
              <w:jc w:val="center"/>
              <w:rPr>
                <w:sz w:val="20"/>
                <w:lang w:val="en-US" w:eastAsia="en-US"/>
              </w:rPr>
            </w:pPr>
            <w:r w:rsidRPr="002B2CFC">
              <w:rPr>
                <w:sz w:val="20"/>
                <w:lang w:val="en-US" w:eastAsia="en-US"/>
              </w:rPr>
              <w:t xml:space="preserve">46.5 </w:t>
            </w:r>
            <w:r w:rsidRPr="002B2CFC">
              <w:rPr>
                <w:sz w:val="20"/>
                <w:u w:val="single"/>
                <w:lang w:val="en-US" w:eastAsia="en-US"/>
              </w:rPr>
              <w:t>+</w:t>
            </w:r>
            <w:r w:rsidRPr="002B2CFC">
              <w:rPr>
                <w:sz w:val="20"/>
                <w:lang w:val="en-US" w:eastAsia="en-US"/>
              </w:rPr>
              <w:t xml:space="preserve"> 4.1</w:t>
            </w:r>
          </w:p>
        </w:tc>
        <w:tc>
          <w:tcPr>
            <w:tcW w:w="547" w:type="pct"/>
            <w:vAlign w:val="center"/>
          </w:tcPr>
          <w:p w14:paraId="30D1DA9C" w14:textId="77777777" w:rsidR="002B2CFC" w:rsidRPr="002B2CFC" w:rsidRDefault="002B2CFC" w:rsidP="00E439AD">
            <w:pPr>
              <w:keepNext/>
              <w:jc w:val="center"/>
              <w:rPr>
                <w:sz w:val="20"/>
                <w:lang w:val="en-US" w:eastAsia="en-US"/>
              </w:rPr>
            </w:pPr>
            <w:r w:rsidRPr="002B2CFC">
              <w:rPr>
                <w:sz w:val="20"/>
                <w:lang w:val="en-US" w:eastAsia="en-US"/>
              </w:rPr>
              <w:t xml:space="preserve">4.8 </w:t>
            </w:r>
            <w:r w:rsidRPr="002B2CFC">
              <w:rPr>
                <w:sz w:val="20"/>
                <w:u w:val="single"/>
                <w:lang w:val="en-US" w:eastAsia="en-US"/>
              </w:rPr>
              <w:t>+</w:t>
            </w:r>
            <w:r w:rsidRPr="002B2CFC">
              <w:rPr>
                <w:sz w:val="20"/>
                <w:lang w:val="en-US" w:eastAsia="en-US"/>
              </w:rPr>
              <w:t xml:space="preserve"> 1.0</w:t>
            </w:r>
          </w:p>
        </w:tc>
        <w:tc>
          <w:tcPr>
            <w:tcW w:w="547" w:type="pct"/>
            <w:vAlign w:val="center"/>
          </w:tcPr>
          <w:p w14:paraId="7DBC6743" w14:textId="77777777" w:rsidR="002B2CFC" w:rsidRPr="002B2CFC" w:rsidRDefault="002B2CFC" w:rsidP="00E439AD">
            <w:pPr>
              <w:keepNext/>
              <w:jc w:val="center"/>
              <w:rPr>
                <w:sz w:val="20"/>
                <w:lang w:val="en-US" w:eastAsia="en-US"/>
              </w:rPr>
            </w:pPr>
            <w:r w:rsidRPr="002B2CFC">
              <w:rPr>
                <w:sz w:val="20"/>
                <w:lang w:val="en-US" w:eastAsia="en-US"/>
              </w:rPr>
              <w:t xml:space="preserve">4.6 </w:t>
            </w:r>
            <w:r w:rsidRPr="002B2CFC">
              <w:rPr>
                <w:sz w:val="20"/>
                <w:u w:val="single"/>
                <w:lang w:val="en-US" w:eastAsia="en-US"/>
              </w:rPr>
              <w:t>+</w:t>
            </w:r>
            <w:r w:rsidRPr="002B2CFC">
              <w:rPr>
                <w:sz w:val="20"/>
                <w:lang w:val="en-US" w:eastAsia="en-US"/>
              </w:rPr>
              <w:t xml:space="preserve"> 0.7</w:t>
            </w:r>
          </w:p>
        </w:tc>
        <w:tc>
          <w:tcPr>
            <w:tcW w:w="625" w:type="pct"/>
            <w:vAlign w:val="center"/>
          </w:tcPr>
          <w:p w14:paraId="3FD27851" w14:textId="77777777" w:rsidR="002B2CFC" w:rsidRPr="002B2CFC" w:rsidRDefault="002B2CFC" w:rsidP="00E439AD">
            <w:pPr>
              <w:keepNext/>
              <w:jc w:val="center"/>
              <w:rPr>
                <w:sz w:val="20"/>
                <w:lang w:val="en-US" w:eastAsia="en-US"/>
              </w:rPr>
            </w:pPr>
            <w:r w:rsidRPr="002B2CFC">
              <w:rPr>
                <w:sz w:val="20"/>
                <w:lang w:val="en-US" w:eastAsia="en-US"/>
              </w:rPr>
              <w:t xml:space="preserve">4.3 </w:t>
            </w:r>
            <w:r w:rsidRPr="002B2CFC">
              <w:rPr>
                <w:sz w:val="20"/>
                <w:u w:val="single"/>
                <w:lang w:val="en-US" w:eastAsia="en-US"/>
              </w:rPr>
              <w:t>+</w:t>
            </w:r>
            <w:r w:rsidRPr="002B2CFC">
              <w:rPr>
                <w:sz w:val="20"/>
                <w:lang w:val="en-US" w:eastAsia="en-US"/>
              </w:rPr>
              <w:t xml:space="preserve"> 0.5</w:t>
            </w:r>
          </w:p>
        </w:tc>
        <w:tc>
          <w:tcPr>
            <w:tcW w:w="703" w:type="pct"/>
            <w:vAlign w:val="center"/>
          </w:tcPr>
          <w:p w14:paraId="085E8263" w14:textId="77777777" w:rsidR="002B2CFC" w:rsidRPr="002B2CFC" w:rsidRDefault="002B2CFC" w:rsidP="00E439AD">
            <w:pPr>
              <w:keepNext/>
              <w:jc w:val="center"/>
              <w:rPr>
                <w:sz w:val="20"/>
                <w:lang w:val="en-US" w:eastAsia="en-US"/>
              </w:rPr>
            </w:pPr>
            <w:r w:rsidRPr="002B2CFC">
              <w:rPr>
                <w:sz w:val="20"/>
                <w:lang w:val="en-US" w:eastAsia="en-US"/>
              </w:rPr>
              <w:t xml:space="preserve">7.2 </w:t>
            </w:r>
            <w:r w:rsidRPr="002B2CFC">
              <w:rPr>
                <w:sz w:val="20"/>
                <w:u w:val="single"/>
                <w:lang w:val="en-US" w:eastAsia="en-US"/>
              </w:rPr>
              <w:t>+</w:t>
            </w:r>
            <w:r w:rsidRPr="002B2CFC">
              <w:rPr>
                <w:sz w:val="20"/>
                <w:lang w:val="en-US" w:eastAsia="en-US"/>
              </w:rPr>
              <w:t xml:space="preserve"> 1.5</w:t>
            </w:r>
          </w:p>
        </w:tc>
      </w:tr>
      <w:tr w:rsidR="002B2CFC" w:rsidRPr="002B2CFC" w14:paraId="217C4F14" w14:textId="77777777" w:rsidTr="00441FE4">
        <w:tc>
          <w:tcPr>
            <w:tcW w:w="1094" w:type="pct"/>
          </w:tcPr>
          <w:p w14:paraId="60B6B6D1" w14:textId="77777777" w:rsidR="002B2CFC" w:rsidRPr="002B2CFC" w:rsidRDefault="00A4092E" w:rsidP="00E439AD">
            <w:pPr>
              <w:keepNext/>
              <w:rPr>
                <w:sz w:val="20"/>
                <w:lang w:val="en-US" w:eastAsia="en-US"/>
              </w:rPr>
            </w:pPr>
            <w:r>
              <w:rPr>
                <w:sz w:val="20"/>
                <w:lang w:val="en-US" w:eastAsia="en-US"/>
              </w:rPr>
              <w:t>SN</w:t>
            </w:r>
          </w:p>
        </w:tc>
        <w:tc>
          <w:tcPr>
            <w:tcW w:w="781" w:type="pct"/>
          </w:tcPr>
          <w:p w14:paraId="5C9052D4" w14:textId="77777777" w:rsidR="002B2CFC" w:rsidRPr="002B2CFC" w:rsidRDefault="002B2CFC" w:rsidP="00E439AD">
            <w:pPr>
              <w:keepNext/>
              <w:jc w:val="center"/>
              <w:rPr>
                <w:sz w:val="20"/>
                <w:lang w:val="en-US" w:eastAsia="en-US"/>
              </w:rPr>
            </w:pPr>
            <w:r w:rsidRPr="002B2CFC">
              <w:rPr>
                <w:sz w:val="20"/>
                <w:lang w:val="en-US" w:eastAsia="en-US"/>
              </w:rPr>
              <w:t xml:space="preserve">10.7 </w:t>
            </w:r>
            <w:r w:rsidRPr="002B2CFC">
              <w:rPr>
                <w:sz w:val="20"/>
                <w:u w:val="single"/>
                <w:lang w:val="en-US" w:eastAsia="en-US"/>
              </w:rPr>
              <w:t>+</w:t>
            </w:r>
            <w:r w:rsidRPr="002B2CFC">
              <w:rPr>
                <w:sz w:val="20"/>
                <w:lang w:val="en-US" w:eastAsia="en-US"/>
              </w:rPr>
              <w:t xml:space="preserve"> 0.4</w:t>
            </w:r>
          </w:p>
        </w:tc>
        <w:tc>
          <w:tcPr>
            <w:tcW w:w="703" w:type="pct"/>
          </w:tcPr>
          <w:p w14:paraId="27C6863A" w14:textId="77777777" w:rsidR="002B2CFC" w:rsidRPr="002B2CFC" w:rsidRDefault="002B2CFC" w:rsidP="00E439AD">
            <w:pPr>
              <w:keepNext/>
              <w:jc w:val="center"/>
              <w:rPr>
                <w:sz w:val="20"/>
                <w:lang w:val="en-US" w:eastAsia="en-US"/>
              </w:rPr>
            </w:pPr>
            <w:r w:rsidRPr="002B2CFC">
              <w:rPr>
                <w:sz w:val="20"/>
                <w:lang w:val="en-US" w:eastAsia="en-US"/>
              </w:rPr>
              <w:t xml:space="preserve">16.5 </w:t>
            </w:r>
            <w:r w:rsidRPr="002B2CFC">
              <w:rPr>
                <w:sz w:val="20"/>
                <w:u w:val="single"/>
                <w:lang w:val="en-US" w:eastAsia="en-US"/>
              </w:rPr>
              <w:t>+</w:t>
            </w:r>
            <w:r w:rsidRPr="002B2CFC">
              <w:rPr>
                <w:sz w:val="20"/>
                <w:lang w:val="en-US" w:eastAsia="en-US"/>
              </w:rPr>
              <w:t xml:space="preserve"> 0.8</w:t>
            </w:r>
          </w:p>
        </w:tc>
        <w:tc>
          <w:tcPr>
            <w:tcW w:w="547" w:type="pct"/>
          </w:tcPr>
          <w:p w14:paraId="0618388A" w14:textId="77777777" w:rsidR="002B2CFC" w:rsidRPr="002B2CFC" w:rsidRDefault="002B2CFC" w:rsidP="00E439AD">
            <w:pPr>
              <w:keepNext/>
              <w:jc w:val="center"/>
              <w:rPr>
                <w:sz w:val="20"/>
                <w:lang w:val="en-US" w:eastAsia="en-US"/>
              </w:rPr>
            </w:pPr>
            <w:r w:rsidRPr="002B2CFC">
              <w:rPr>
                <w:sz w:val="20"/>
                <w:lang w:val="en-US" w:eastAsia="en-US"/>
              </w:rPr>
              <w:t xml:space="preserve">1.5 </w:t>
            </w:r>
            <w:r w:rsidRPr="002B2CFC">
              <w:rPr>
                <w:sz w:val="20"/>
                <w:u w:val="single"/>
                <w:lang w:val="en-US" w:eastAsia="en-US"/>
              </w:rPr>
              <w:t>+</w:t>
            </w:r>
            <w:r w:rsidRPr="002B2CFC">
              <w:rPr>
                <w:sz w:val="20"/>
                <w:lang w:val="en-US" w:eastAsia="en-US"/>
              </w:rPr>
              <w:t xml:space="preserve"> 0.4</w:t>
            </w:r>
          </w:p>
        </w:tc>
        <w:tc>
          <w:tcPr>
            <w:tcW w:w="547" w:type="pct"/>
          </w:tcPr>
          <w:p w14:paraId="6A3DB4F6" w14:textId="77777777" w:rsidR="002B2CFC" w:rsidRPr="002B2CFC" w:rsidRDefault="002B2CFC" w:rsidP="00E439AD">
            <w:pPr>
              <w:keepNext/>
              <w:jc w:val="center"/>
              <w:rPr>
                <w:sz w:val="20"/>
                <w:lang w:val="en-US" w:eastAsia="en-US"/>
              </w:rPr>
            </w:pPr>
            <w:r w:rsidRPr="002B2CFC">
              <w:rPr>
                <w:sz w:val="20"/>
                <w:lang w:val="en-US" w:eastAsia="en-US"/>
              </w:rPr>
              <w:t xml:space="preserve">3.2 </w:t>
            </w:r>
            <w:r w:rsidRPr="002B2CFC">
              <w:rPr>
                <w:sz w:val="20"/>
                <w:u w:val="single"/>
                <w:lang w:val="en-US" w:eastAsia="en-US"/>
              </w:rPr>
              <w:t>+</w:t>
            </w:r>
            <w:r w:rsidRPr="002B2CFC">
              <w:rPr>
                <w:sz w:val="20"/>
                <w:lang w:val="en-US" w:eastAsia="en-US"/>
              </w:rPr>
              <w:t xml:space="preserve"> 0.2</w:t>
            </w:r>
          </w:p>
        </w:tc>
        <w:tc>
          <w:tcPr>
            <w:tcW w:w="625" w:type="pct"/>
          </w:tcPr>
          <w:p w14:paraId="5C542F5C" w14:textId="77777777" w:rsidR="002B2CFC" w:rsidRPr="002B2CFC" w:rsidRDefault="002B2CFC" w:rsidP="00E439AD">
            <w:pPr>
              <w:keepNext/>
              <w:jc w:val="center"/>
              <w:rPr>
                <w:sz w:val="20"/>
                <w:lang w:val="en-US" w:eastAsia="en-US"/>
              </w:rPr>
            </w:pPr>
            <w:r w:rsidRPr="002B2CFC">
              <w:rPr>
                <w:sz w:val="20"/>
                <w:lang w:val="en-US" w:eastAsia="en-US"/>
              </w:rPr>
              <w:t xml:space="preserve">2.6 </w:t>
            </w:r>
            <w:r w:rsidRPr="002B2CFC">
              <w:rPr>
                <w:sz w:val="20"/>
                <w:u w:val="single"/>
                <w:lang w:val="en-US" w:eastAsia="en-US"/>
              </w:rPr>
              <w:t>+</w:t>
            </w:r>
            <w:r w:rsidRPr="002B2CFC">
              <w:rPr>
                <w:sz w:val="20"/>
                <w:lang w:val="en-US" w:eastAsia="en-US"/>
              </w:rPr>
              <w:t xml:space="preserve"> 0.2</w:t>
            </w:r>
          </w:p>
        </w:tc>
        <w:tc>
          <w:tcPr>
            <w:tcW w:w="703" w:type="pct"/>
          </w:tcPr>
          <w:p w14:paraId="24A9CF24" w14:textId="77777777" w:rsidR="002B2CFC" w:rsidRPr="002B2CFC" w:rsidRDefault="002B2CFC" w:rsidP="00E439AD">
            <w:pPr>
              <w:keepNext/>
              <w:jc w:val="center"/>
              <w:rPr>
                <w:sz w:val="20"/>
                <w:lang w:val="en-US" w:eastAsia="en-US"/>
              </w:rPr>
            </w:pPr>
            <w:r w:rsidRPr="002B2CFC">
              <w:rPr>
                <w:sz w:val="20"/>
                <w:lang w:val="en-US" w:eastAsia="en-US"/>
              </w:rPr>
              <w:t xml:space="preserve">3.7 </w:t>
            </w:r>
            <w:r w:rsidRPr="002B2CFC">
              <w:rPr>
                <w:sz w:val="20"/>
                <w:u w:val="single"/>
                <w:lang w:val="en-US" w:eastAsia="en-US"/>
              </w:rPr>
              <w:t>+</w:t>
            </w:r>
            <w:r w:rsidRPr="002B2CFC">
              <w:rPr>
                <w:sz w:val="20"/>
                <w:lang w:val="en-US" w:eastAsia="en-US"/>
              </w:rPr>
              <w:t xml:space="preserve"> 0.5</w:t>
            </w:r>
          </w:p>
        </w:tc>
      </w:tr>
      <w:tr w:rsidR="002B2CFC" w:rsidRPr="002B2CFC" w14:paraId="4C62494D" w14:textId="77777777" w:rsidTr="00441FE4">
        <w:tc>
          <w:tcPr>
            <w:tcW w:w="1094" w:type="pct"/>
          </w:tcPr>
          <w:p w14:paraId="38F2722E" w14:textId="77777777" w:rsidR="002B2CFC" w:rsidRPr="002B2CFC" w:rsidRDefault="002B2CFC" w:rsidP="00E439AD">
            <w:pPr>
              <w:keepNext/>
              <w:rPr>
                <w:sz w:val="20"/>
                <w:lang w:val="en-US" w:eastAsia="en-US"/>
              </w:rPr>
            </w:pPr>
            <w:r w:rsidRPr="002B2CFC">
              <w:rPr>
                <w:sz w:val="20"/>
                <w:lang w:val="en-US" w:eastAsia="en-US"/>
              </w:rPr>
              <w:t>Area postrema</w:t>
            </w:r>
          </w:p>
        </w:tc>
        <w:tc>
          <w:tcPr>
            <w:tcW w:w="781" w:type="pct"/>
          </w:tcPr>
          <w:p w14:paraId="4813263A" w14:textId="77777777" w:rsidR="002B2CFC" w:rsidRPr="002B2CFC" w:rsidRDefault="002B2CFC" w:rsidP="00E439AD">
            <w:pPr>
              <w:keepNext/>
              <w:jc w:val="center"/>
              <w:rPr>
                <w:sz w:val="20"/>
                <w:lang w:val="en-US" w:eastAsia="en-US"/>
              </w:rPr>
            </w:pPr>
            <w:r w:rsidRPr="002B2CFC">
              <w:rPr>
                <w:sz w:val="20"/>
                <w:lang w:val="en-US" w:eastAsia="en-US"/>
              </w:rPr>
              <w:t xml:space="preserve">24.9 </w:t>
            </w:r>
            <w:r w:rsidRPr="002B2CFC">
              <w:rPr>
                <w:sz w:val="20"/>
                <w:u w:val="single"/>
                <w:lang w:val="en-US" w:eastAsia="en-US"/>
              </w:rPr>
              <w:t>+</w:t>
            </w:r>
            <w:r w:rsidRPr="002B2CFC">
              <w:rPr>
                <w:sz w:val="20"/>
                <w:lang w:val="en-US" w:eastAsia="en-US"/>
              </w:rPr>
              <w:t xml:space="preserve"> 4.3</w:t>
            </w:r>
          </w:p>
        </w:tc>
        <w:tc>
          <w:tcPr>
            <w:tcW w:w="703" w:type="pct"/>
          </w:tcPr>
          <w:p w14:paraId="21AE5EE8" w14:textId="77777777" w:rsidR="002B2CFC" w:rsidRPr="002B2CFC" w:rsidRDefault="002B2CFC" w:rsidP="00E439AD">
            <w:pPr>
              <w:keepNext/>
              <w:jc w:val="center"/>
              <w:rPr>
                <w:sz w:val="20"/>
                <w:lang w:val="en-US" w:eastAsia="en-US"/>
              </w:rPr>
            </w:pPr>
            <w:r w:rsidRPr="002B2CFC">
              <w:rPr>
                <w:sz w:val="20"/>
                <w:lang w:val="en-US" w:eastAsia="en-US"/>
              </w:rPr>
              <w:t xml:space="preserve">45.2 </w:t>
            </w:r>
            <w:r w:rsidRPr="002B2CFC">
              <w:rPr>
                <w:sz w:val="20"/>
                <w:u w:val="single"/>
                <w:lang w:val="en-US" w:eastAsia="en-US"/>
              </w:rPr>
              <w:t>+</w:t>
            </w:r>
            <w:r w:rsidRPr="002B2CFC">
              <w:rPr>
                <w:sz w:val="20"/>
                <w:lang w:val="en-US" w:eastAsia="en-US"/>
              </w:rPr>
              <w:t xml:space="preserve"> 3.4</w:t>
            </w:r>
          </w:p>
        </w:tc>
        <w:tc>
          <w:tcPr>
            <w:tcW w:w="547" w:type="pct"/>
          </w:tcPr>
          <w:p w14:paraId="397BA9F9" w14:textId="77777777" w:rsidR="002B2CFC" w:rsidRPr="002B2CFC" w:rsidRDefault="002B2CFC" w:rsidP="00E439AD">
            <w:pPr>
              <w:keepNext/>
              <w:jc w:val="center"/>
              <w:rPr>
                <w:sz w:val="20"/>
                <w:lang w:val="en-US" w:eastAsia="en-US"/>
              </w:rPr>
            </w:pPr>
            <w:r w:rsidRPr="002B2CFC">
              <w:rPr>
                <w:sz w:val="20"/>
                <w:lang w:val="en-US" w:eastAsia="en-US"/>
              </w:rPr>
              <w:t xml:space="preserve">6.3 </w:t>
            </w:r>
            <w:r w:rsidRPr="002B2CFC">
              <w:rPr>
                <w:sz w:val="20"/>
                <w:u w:val="single"/>
                <w:lang w:val="en-US" w:eastAsia="en-US"/>
              </w:rPr>
              <w:t>+</w:t>
            </w:r>
            <w:r w:rsidRPr="002B2CFC">
              <w:rPr>
                <w:sz w:val="20"/>
                <w:lang w:val="en-US" w:eastAsia="en-US"/>
              </w:rPr>
              <w:t xml:space="preserve"> 2.0</w:t>
            </w:r>
          </w:p>
        </w:tc>
        <w:tc>
          <w:tcPr>
            <w:tcW w:w="547" w:type="pct"/>
          </w:tcPr>
          <w:p w14:paraId="58347811" w14:textId="77777777" w:rsidR="002B2CFC" w:rsidRPr="002B2CFC" w:rsidRDefault="002B2CFC" w:rsidP="00E439AD">
            <w:pPr>
              <w:keepNext/>
              <w:jc w:val="center"/>
              <w:rPr>
                <w:sz w:val="20"/>
                <w:lang w:val="en-US" w:eastAsia="en-US"/>
              </w:rPr>
            </w:pPr>
            <w:r w:rsidRPr="002B2CFC">
              <w:rPr>
                <w:sz w:val="20"/>
                <w:lang w:val="en-US" w:eastAsia="en-US"/>
              </w:rPr>
              <w:t xml:space="preserve">4.9 </w:t>
            </w:r>
            <w:r w:rsidRPr="002B2CFC">
              <w:rPr>
                <w:sz w:val="20"/>
                <w:u w:val="single"/>
                <w:lang w:val="en-US" w:eastAsia="en-US"/>
              </w:rPr>
              <w:t>+</w:t>
            </w:r>
            <w:r w:rsidRPr="002B2CFC">
              <w:rPr>
                <w:sz w:val="20"/>
                <w:lang w:val="en-US" w:eastAsia="en-US"/>
              </w:rPr>
              <w:t xml:space="preserve"> 0.7</w:t>
            </w:r>
          </w:p>
        </w:tc>
        <w:tc>
          <w:tcPr>
            <w:tcW w:w="625" w:type="pct"/>
          </w:tcPr>
          <w:p w14:paraId="6FEF105F" w14:textId="77777777" w:rsidR="002B2CFC" w:rsidRPr="002B2CFC" w:rsidRDefault="002B2CFC" w:rsidP="00E439AD">
            <w:pPr>
              <w:keepNext/>
              <w:jc w:val="center"/>
              <w:rPr>
                <w:sz w:val="20"/>
                <w:lang w:val="en-US" w:eastAsia="en-US"/>
              </w:rPr>
            </w:pPr>
            <w:r w:rsidRPr="002B2CFC">
              <w:rPr>
                <w:sz w:val="20"/>
                <w:lang w:val="en-US" w:eastAsia="en-US"/>
              </w:rPr>
              <w:t xml:space="preserve">5.5 </w:t>
            </w:r>
            <w:r w:rsidRPr="002B2CFC">
              <w:rPr>
                <w:sz w:val="20"/>
                <w:u w:val="single"/>
                <w:lang w:val="en-US" w:eastAsia="en-US"/>
              </w:rPr>
              <w:t>+</w:t>
            </w:r>
            <w:r w:rsidRPr="002B2CFC">
              <w:rPr>
                <w:sz w:val="20"/>
                <w:lang w:val="en-US" w:eastAsia="en-US"/>
              </w:rPr>
              <w:t xml:space="preserve"> 0.8</w:t>
            </w:r>
          </w:p>
        </w:tc>
        <w:tc>
          <w:tcPr>
            <w:tcW w:w="703" w:type="pct"/>
          </w:tcPr>
          <w:p w14:paraId="4153F171" w14:textId="77777777" w:rsidR="002B2CFC" w:rsidRPr="002B2CFC" w:rsidRDefault="002B2CFC" w:rsidP="00E439AD">
            <w:pPr>
              <w:keepNext/>
              <w:jc w:val="center"/>
              <w:rPr>
                <w:sz w:val="20"/>
                <w:lang w:val="en-US" w:eastAsia="en-US"/>
              </w:rPr>
            </w:pPr>
            <w:r w:rsidRPr="002B2CFC">
              <w:rPr>
                <w:sz w:val="20"/>
                <w:lang w:val="en-US" w:eastAsia="en-US"/>
              </w:rPr>
              <w:t xml:space="preserve">7.9 </w:t>
            </w:r>
            <w:r w:rsidRPr="002B2CFC">
              <w:rPr>
                <w:sz w:val="20"/>
                <w:u w:val="single"/>
                <w:lang w:val="en-US" w:eastAsia="en-US"/>
              </w:rPr>
              <w:t>+</w:t>
            </w:r>
            <w:r w:rsidRPr="002B2CFC">
              <w:rPr>
                <w:sz w:val="20"/>
                <w:lang w:val="en-US" w:eastAsia="en-US"/>
              </w:rPr>
              <w:t xml:space="preserve"> 1.1</w:t>
            </w:r>
          </w:p>
        </w:tc>
      </w:tr>
      <w:tr w:rsidR="002B2CFC" w:rsidRPr="002B2CFC" w14:paraId="34145D6E" w14:textId="77777777" w:rsidTr="00441FE4">
        <w:tc>
          <w:tcPr>
            <w:tcW w:w="1094" w:type="pct"/>
          </w:tcPr>
          <w:p w14:paraId="71A2F339" w14:textId="77777777" w:rsidR="002B2CFC" w:rsidRPr="002B2CFC" w:rsidRDefault="002B2CFC" w:rsidP="00E439AD">
            <w:pPr>
              <w:keepNext/>
              <w:rPr>
                <w:sz w:val="20"/>
                <w:lang w:val="en-US" w:eastAsia="en-US"/>
              </w:rPr>
            </w:pPr>
            <w:r w:rsidRPr="002B2CFC">
              <w:rPr>
                <w:sz w:val="20"/>
                <w:lang w:val="en-US" w:eastAsia="en-US"/>
              </w:rPr>
              <w:t>Medulla oblongata</w:t>
            </w:r>
          </w:p>
        </w:tc>
        <w:tc>
          <w:tcPr>
            <w:tcW w:w="781" w:type="pct"/>
          </w:tcPr>
          <w:p w14:paraId="1359D343" w14:textId="77777777" w:rsidR="002B2CFC" w:rsidRPr="002B2CFC" w:rsidRDefault="002B2CFC" w:rsidP="00E439AD">
            <w:pPr>
              <w:keepNext/>
              <w:jc w:val="center"/>
              <w:rPr>
                <w:sz w:val="20"/>
                <w:lang w:val="en-US" w:eastAsia="en-US"/>
              </w:rPr>
            </w:pPr>
            <w:r w:rsidRPr="002B2CFC">
              <w:rPr>
                <w:sz w:val="20"/>
                <w:lang w:val="en-US" w:eastAsia="en-US"/>
              </w:rPr>
              <w:t xml:space="preserve">13.9 </w:t>
            </w:r>
            <w:r w:rsidRPr="002B2CFC">
              <w:rPr>
                <w:sz w:val="20"/>
                <w:u w:val="single"/>
                <w:lang w:val="en-US" w:eastAsia="en-US"/>
              </w:rPr>
              <w:t>+</w:t>
            </w:r>
            <w:r w:rsidRPr="002B2CFC">
              <w:rPr>
                <w:sz w:val="20"/>
                <w:lang w:val="en-US" w:eastAsia="en-US"/>
              </w:rPr>
              <w:t xml:space="preserve"> 1.6</w:t>
            </w:r>
          </w:p>
        </w:tc>
        <w:tc>
          <w:tcPr>
            <w:tcW w:w="703" w:type="pct"/>
          </w:tcPr>
          <w:p w14:paraId="780A670F" w14:textId="77777777" w:rsidR="002B2CFC" w:rsidRPr="002B2CFC" w:rsidRDefault="002B2CFC" w:rsidP="00E439AD">
            <w:pPr>
              <w:keepNext/>
              <w:jc w:val="center"/>
              <w:rPr>
                <w:sz w:val="20"/>
                <w:lang w:val="en-US" w:eastAsia="en-US"/>
              </w:rPr>
            </w:pPr>
            <w:r w:rsidRPr="002B2CFC">
              <w:rPr>
                <w:sz w:val="20"/>
                <w:lang w:val="en-US" w:eastAsia="en-US"/>
              </w:rPr>
              <w:t xml:space="preserve">42.1 </w:t>
            </w:r>
            <w:r w:rsidRPr="002B2CFC">
              <w:rPr>
                <w:sz w:val="20"/>
                <w:u w:val="single"/>
                <w:lang w:val="en-US" w:eastAsia="en-US"/>
              </w:rPr>
              <w:t>+</w:t>
            </w:r>
            <w:r w:rsidRPr="002B2CFC">
              <w:rPr>
                <w:sz w:val="20"/>
                <w:lang w:val="en-US" w:eastAsia="en-US"/>
              </w:rPr>
              <w:t xml:space="preserve"> 2.6</w:t>
            </w:r>
          </w:p>
        </w:tc>
        <w:tc>
          <w:tcPr>
            <w:tcW w:w="547" w:type="pct"/>
          </w:tcPr>
          <w:p w14:paraId="4220B3B8" w14:textId="77777777" w:rsidR="002B2CFC" w:rsidRPr="002B2CFC" w:rsidRDefault="002B2CFC" w:rsidP="00E439AD">
            <w:pPr>
              <w:keepNext/>
              <w:jc w:val="center"/>
              <w:rPr>
                <w:sz w:val="20"/>
                <w:lang w:val="en-US" w:eastAsia="en-US"/>
              </w:rPr>
            </w:pPr>
            <w:r w:rsidRPr="002B2CFC">
              <w:rPr>
                <w:sz w:val="20"/>
                <w:lang w:val="en-US" w:eastAsia="en-US"/>
              </w:rPr>
              <w:t xml:space="preserve">2.6 </w:t>
            </w:r>
            <w:r w:rsidRPr="002B2CFC">
              <w:rPr>
                <w:sz w:val="20"/>
                <w:u w:val="single"/>
                <w:lang w:val="en-US" w:eastAsia="en-US"/>
              </w:rPr>
              <w:t>+</w:t>
            </w:r>
            <w:r w:rsidRPr="002B2CFC">
              <w:rPr>
                <w:sz w:val="20"/>
                <w:lang w:val="en-US" w:eastAsia="en-US"/>
              </w:rPr>
              <w:t xml:space="preserve"> 0.4</w:t>
            </w:r>
          </w:p>
        </w:tc>
        <w:tc>
          <w:tcPr>
            <w:tcW w:w="547" w:type="pct"/>
          </w:tcPr>
          <w:p w14:paraId="7B9B6AB0" w14:textId="77777777" w:rsidR="002B2CFC" w:rsidRPr="002B2CFC" w:rsidRDefault="002B2CFC" w:rsidP="00E439AD">
            <w:pPr>
              <w:keepNext/>
              <w:jc w:val="center"/>
              <w:rPr>
                <w:sz w:val="20"/>
                <w:lang w:val="en-US" w:eastAsia="en-US"/>
              </w:rPr>
            </w:pPr>
            <w:r w:rsidRPr="002B2CFC">
              <w:rPr>
                <w:sz w:val="20"/>
                <w:lang w:val="en-US" w:eastAsia="en-US"/>
              </w:rPr>
              <w:t xml:space="preserve">1.7 </w:t>
            </w:r>
            <w:r w:rsidRPr="002B2CFC">
              <w:rPr>
                <w:sz w:val="20"/>
                <w:u w:val="single"/>
                <w:lang w:val="en-US" w:eastAsia="en-US"/>
              </w:rPr>
              <w:t>+</w:t>
            </w:r>
            <w:r w:rsidRPr="002B2CFC">
              <w:rPr>
                <w:sz w:val="20"/>
                <w:lang w:val="en-US" w:eastAsia="en-US"/>
              </w:rPr>
              <w:t xml:space="preserve"> 0.0</w:t>
            </w:r>
          </w:p>
        </w:tc>
        <w:tc>
          <w:tcPr>
            <w:tcW w:w="625" w:type="pct"/>
          </w:tcPr>
          <w:p w14:paraId="1458E1C5" w14:textId="77777777" w:rsidR="002B2CFC" w:rsidRPr="002B2CFC" w:rsidRDefault="002B2CFC" w:rsidP="00E439AD">
            <w:pPr>
              <w:keepNext/>
              <w:jc w:val="center"/>
              <w:rPr>
                <w:sz w:val="20"/>
                <w:lang w:val="en-US" w:eastAsia="en-US"/>
              </w:rPr>
            </w:pPr>
            <w:r w:rsidRPr="002B2CFC">
              <w:rPr>
                <w:sz w:val="20"/>
                <w:lang w:val="en-US" w:eastAsia="en-US"/>
              </w:rPr>
              <w:t xml:space="preserve">2.6 </w:t>
            </w:r>
            <w:r w:rsidRPr="002B2CFC">
              <w:rPr>
                <w:sz w:val="20"/>
                <w:u w:val="single"/>
                <w:lang w:val="en-US" w:eastAsia="en-US"/>
              </w:rPr>
              <w:t>+</w:t>
            </w:r>
            <w:r w:rsidRPr="002B2CFC">
              <w:rPr>
                <w:sz w:val="20"/>
                <w:lang w:val="en-US" w:eastAsia="en-US"/>
              </w:rPr>
              <w:t xml:space="preserve"> 0.1</w:t>
            </w:r>
          </w:p>
        </w:tc>
        <w:tc>
          <w:tcPr>
            <w:tcW w:w="703" w:type="pct"/>
          </w:tcPr>
          <w:p w14:paraId="30D9F18C" w14:textId="77777777" w:rsidR="002B2CFC" w:rsidRPr="002B2CFC" w:rsidRDefault="002B2CFC" w:rsidP="00E439AD">
            <w:pPr>
              <w:keepNext/>
              <w:jc w:val="center"/>
              <w:rPr>
                <w:sz w:val="20"/>
                <w:lang w:val="en-US" w:eastAsia="en-US"/>
              </w:rPr>
            </w:pPr>
            <w:r w:rsidRPr="002B2CFC">
              <w:rPr>
                <w:sz w:val="20"/>
                <w:lang w:val="en-US" w:eastAsia="en-US"/>
              </w:rPr>
              <w:t xml:space="preserve">5.3 </w:t>
            </w:r>
            <w:r w:rsidRPr="002B2CFC">
              <w:rPr>
                <w:sz w:val="20"/>
                <w:u w:val="single"/>
                <w:lang w:val="en-US" w:eastAsia="en-US"/>
              </w:rPr>
              <w:t>+</w:t>
            </w:r>
            <w:r w:rsidRPr="002B2CFC">
              <w:rPr>
                <w:sz w:val="20"/>
                <w:lang w:val="en-US" w:eastAsia="en-US"/>
              </w:rPr>
              <w:t xml:space="preserve"> 0.5</w:t>
            </w:r>
          </w:p>
        </w:tc>
      </w:tr>
    </w:tbl>
    <w:p w14:paraId="0C510913" w14:textId="77777777" w:rsidR="002B2CFC" w:rsidRPr="002B2CFC" w:rsidRDefault="002B2CFC" w:rsidP="002B2CFC">
      <w:pPr>
        <w:rPr>
          <w:szCs w:val="24"/>
          <w:lang w:eastAsia="en-US"/>
        </w:rPr>
      </w:pPr>
    </w:p>
    <w:p w14:paraId="1BD5D5A7" w14:textId="77777777" w:rsidR="002B2CFC" w:rsidRPr="002B2CFC" w:rsidRDefault="002B2CFC" w:rsidP="002B2CFC">
      <w:pPr>
        <w:rPr>
          <w:szCs w:val="24"/>
          <w:lang w:eastAsia="en-US"/>
        </w:rPr>
      </w:pPr>
      <w:r w:rsidRPr="00DE7E25">
        <w:rPr>
          <w:szCs w:val="24"/>
          <w:u w:val="single"/>
          <w:lang w:eastAsia="en-US"/>
        </w:rPr>
        <w:t xml:space="preserve">Shimizu </w:t>
      </w:r>
      <w:r w:rsidRPr="00DE7E25">
        <w:rPr>
          <w:i/>
          <w:szCs w:val="24"/>
          <w:u w:val="single"/>
          <w:lang w:eastAsia="en-US"/>
        </w:rPr>
        <w:t>et al</w:t>
      </w:r>
      <w:r w:rsidRPr="00DE7E25">
        <w:rPr>
          <w:szCs w:val="24"/>
          <w:u w:val="single"/>
          <w:lang w:eastAsia="en-US"/>
        </w:rPr>
        <w:t xml:space="preserve"> (2001).</w:t>
      </w:r>
      <w:r w:rsidRPr="002B2CFC">
        <w:rPr>
          <w:szCs w:val="24"/>
          <w:lang w:eastAsia="en-US"/>
        </w:rPr>
        <w:t xml:space="preserve"> Subcutaneous: Single doses of 5, 10 or 20 mg/kg bw</w:t>
      </w:r>
      <w:r w:rsidR="00F96C8B">
        <w:rPr>
          <w:szCs w:val="24"/>
          <w:lang w:eastAsia="en-US"/>
        </w:rPr>
        <w:t xml:space="preserve"> </w:t>
      </w:r>
      <w:r w:rsidR="00F96C8B">
        <w:t>(equivalent to 3.6, 7.2 and 14.4 mg/kg bw paraquat cation</w:t>
      </w:r>
      <w:r w:rsidR="00197DA9">
        <w:t>).</w:t>
      </w:r>
    </w:p>
    <w:p w14:paraId="75722089" w14:textId="77777777" w:rsidR="002B2CFC" w:rsidRDefault="002B2CFC" w:rsidP="002B2CFC">
      <w:pPr>
        <w:rPr>
          <w:szCs w:val="24"/>
          <w:lang w:eastAsia="en-US"/>
        </w:rPr>
      </w:pPr>
      <w:r w:rsidRPr="002B2CFC">
        <w:rPr>
          <w:szCs w:val="24"/>
          <w:lang w:eastAsia="en-US"/>
        </w:rPr>
        <w:t>Neuropathology not examined.</w:t>
      </w:r>
    </w:p>
    <w:p w14:paraId="365722CD" w14:textId="77777777" w:rsidR="009F7EB6" w:rsidRPr="002B2CFC" w:rsidRDefault="009F7EB6" w:rsidP="002B2CFC">
      <w:pPr>
        <w:rPr>
          <w:szCs w:val="24"/>
          <w:lang w:eastAsia="en-US"/>
        </w:rPr>
      </w:pPr>
    </w:p>
    <w:p w14:paraId="47DEF634" w14:textId="03283BDB" w:rsidR="009F7EB6" w:rsidRDefault="009F7EB6" w:rsidP="009D0D8F">
      <w:pPr>
        <w:pStyle w:val="Caption"/>
        <w:keepNext/>
        <w:spacing w:after="120"/>
      </w:pPr>
      <w:r>
        <w:t xml:space="preserve">Table </w:t>
      </w:r>
      <w:r w:rsidR="00897462">
        <w:fldChar w:fldCharType="begin"/>
      </w:r>
      <w:r>
        <w:instrText xml:space="preserve"> SEQ Table \* ARABIC </w:instrText>
      </w:r>
      <w:r w:rsidR="00897462">
        <w:fldChar w:fldCharType="separate"/>
      </w:r>
      <w:r w:rsidR="000E54B2">
        <w:rPr>
          <w:noProof/>
        </w:rPr>
        <w:t>38</w:t>
      </w:r>
      <w:r w:rsidR="00897462">
        <w:fldChar w:fldCharType="end"/>
      </w:r>
      <w:r>
        <w:t xml:space="preserve">. </w:t>
      </w:r>
      <w:r w:rsidRPr="0041101B">
        <w:t>Tissue conc</w:t>
      </w:r>
      <w:r w:rsidR="00197DA9">
        <w:t>en</w:t>
      </w:r>
      <w:r w:rsidRPr="0041101B">
        <w:t>tration of paraquat following single sc injection of</w:t>
      </w:r>
      <w:r>
        <w:t xml:space="preserve"> 5, 10 or</w:t>
      </w:r>
      <w:r w:rsidRPr="0041101B">
        <w:t xml:space="preserve"> 20 mg/kg bw</w:t>
      </w:r>
      <w:r w:rsidR="00197DA9">
        <w:t xml:space="preserve"> (equivalent to 3.6, 7.2 and 14.4 mg/kg bw paraquat 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567"/>
        <w:gridCol w:w="2268"/>
        <w:gridCol w:w="2464"/>
        <w:gridCol w:w="1788"/>
      </w:tblGrid>
      <w:tr w:rsidR="002B2CFC" w:rsidRPr="002B2CFC" w14:paraId="2057600D" w14:textId="77777777" w:rsidTr="000E221D">
        <w:tc>
          <w:tcPr>
            <w:tcW w:w="1985" w:type="dxa"/>
            <w:shd w:val="clear" w:color="auto" w:fill="BFBFBF" w:themeFill="background1" w:themeFillShade="BF"/>
            <w:vAlign w:val="center"/>
          </w:tcPr>
          <w:p w14:paraId="4F97F9AA" w14:textId="77777777" w:rsidR="002B2CFC" w:rsidRPr="002B2CFC" w:rsidRDefault="002B2CFC" w:rsidP="002B2CFC">
            <w:pPr>
              <w:rPr>
                <w:b/>
                <w:sz w:val="20"/>
                <w:szCs w:val="24"/>
                <w:lang w:val="en-US" w:eastAsia="en-US"/>
              </w:rPr>
            </w:pPr>
            <w:r w:rsidRPr="002B2CFC">
              <w:rPr>
                <w:b/>
                <w:sz w:val="20"/>
                <w:szCs w:val="24"/>
                <w:lang w:val="en-US" w:eastAsia="en-US"/>
              </w:rPr>
              <w:t>Treatment</w:t>
            </w:r>
          </w:p>
        </w:tc>
        <w:tc>
          <w:tcPr>
            <w:tcW w:w="567" w:type="dxa"/>
            <w:shd w:val="clear" w:color="auto" w:fill="BFBFBF" w:themeFill="background1" w:themeFillShade="BF"/>
            <w:vAlign w:val="center"/>
          </w:tcPr>
          <w:p w14:paraId="1451C142" w14:textId="77777777" w:rsidR="002B2CFC" w:rsidRPr="002B2CFC" w:rsidRDefault="002B2CFC" w:rsidP="002B2CFC">
            <w:pPr>
              <w:jc w:val="center"/>
              <w:rPr>
                <w:b/>
                <w:sz w:val="20"/>
                <w:szCs w:val="24"/>
                <w:lang w:val="en-US" w:eastAsia="en-US"/>
              </w:rPr>
            </w:pPr>
            <w:r w:rsidRPr="002B2CFC">
              <w:rPr>
                <w:b/>
                <w:sz w:val="20"/>
                <w:szCs w:val="24"/>
                <w:lang w:val="en-US" w:eastAsia="en-US"/>
              </w:rPr>
              <w:t>n</w:t>
            </w:r>
          </w:p>
        </w:tc>
        <w:tc>
          <w:tcPr>
            <w:tcW w:w="2268" w:type="dxa"/>
            <w:shd w:val="clear" w:color="auto" w:fill="BFBFBF" w:themeFill="background1" w:themeFillShade="BF"/>
            <w:vAlign w:val="center"/>
          </w:tcPr>
          <w:p w14:paraId="1F6FB3EE" w14:textId="77777777" w:rsidR="002B2CFC" w:rsidRPr="002B2CFC" w:rsidRDefault="002B2CFC" w:rsidP="002B2CFC">
            <w:pPr>
              <w:jc w:val="center"/>
              <w:rPr>
                <w:b/>
                <w:sz w:val="20"/>
                <w:szCs w:val="24"/>
                <w:lang w:val="en-US" w:eastAsia="en-US"/>
              </w:rPr>
            </w:pPr>
            <w:r w:rsidRPr="002B2CFC">
              <w:rPr>
                <w:b/>
                <w:sz w:val="20"/>
                <w:szCs w:val="24"/>
                <w:lang w:val="en-US" w:eastAsia="en-US"/>
              </w:rPr>
              <w:t>Serum concentration</w:t>
            </w:r>
          </w:p>
          <w:p w14:paraId="1B5678B8" w14:textId="77777777" w:rsidR="002B2CFC" w:rsidRPr="002B2CFC" w:rsidRDefault="002B2CFC" w:rsidP="002B2CFC">
            <w:pPr>
              <w:jc w:val="center"/>
              <w:rPr>
                <w:b/>
                <w:sz w:val="20"/>
                <w:szCs w:val="24"/>
                <w:lang w:val="en-US" w:eastAsia="en-US"/>
              </w:rPr>
            </w:pPr>
            <w:r w:rsidRPr="002B2CFC">
              <w:rPr>
                <w:b/>
                <w:sz w:val="20"/>
                <w:szCs w:val="24"/>
                <w:lang w:val="en-US" w:eastAsia="en-US"/>
              </w:rPr>
              <w:t>(nmol/mL)</w:t>
            </w:r>
          </w:p>
        </w:tc>
        <w:tc>
          <w:tcPr>
            <w:tcW w:w="2464" w:type="dxa"/>
            <w:shd w:val="clear" w:color="auto" w:fill="BFBFBF" w:themeFill="background1" w:themeFillShade="BF"/>
            <w:vAlign w:val="center"/>
          </w:tcPr>
          <w:p w14:paraId="5F61FAB7" w14:textId="77777777" w:rsidR="002B2CFC" w:rsidRPr="002B2CFC" w:rsidRDefault="002B2CFC" w:rsidP="002B2CFC">
            <w:pPr>
              <w:jc w:val="center"/>
              <w:rPr>
                <w:b/>
                <w:sz w:val="20"/>
                <w:szCs w:val="24"/>
                <w:lang w:val="en-US" w:eastAsia="en-US"/>
              </w:rPr>
            </w:pPr>
            <w:r w:rsidRPr="002B2CFC">
              <w:rPr>
                <w:b/>
                <w:sz w:val="20"/>
                <w:szCs w:val="24"/>
                <w:lang w:val="en-US" w:eastAsia="en-US"/>
              </w:rPr>
              <w:t>Striatal extracellular</w:t>
            </w:r>
          </w:p>
          <w:p w14:paraId="4CDC3072" w14:textId="77777777" w:rsidR="002B2CFC" w:rsidRPr="002B2CFC" w:rsidRDefault="002B2CFC" w:rsidP="002B2CFC">
            <w:pPr>
              <w:jc w:val="center"/>
              <w:rPr>
                <w:b/>
                <w:sz w:val="20"/>
                <w:szCs w:val="24"/>
                <w:lang w:val="en-US" w:eastAsia="en-US"/>
              </w:rPr>
            </w:pPr>
            <w:r w:rsidRPr="002B2CFC">
              <w:rPr>
                <w:b/>
                <w:sz w:val="20"/>
                <w:szCs w:val="24"/>
                <w:lang w:val="en-US" w:eastAsia="en-US"/>
              </w:rPr>
              <w:t>concentration (nmol/mL)</w:t>
            </w:r>
          </w:p>
        </w:tc>
        <w:tc>
          <w:tcPr>
            <w:tcW w:w="1788" w:type="dxa"/>
            <w:shd w:val="clear" w:color="auto" w:fill="BFBFBF" w:themeFill="background1" w:themeFillShade="BF"/>
            <w:vAlign w:val="center"/>
          </w:tcPr>
          <w:p w14:paraId="363B69D2" w14:textId="77777777" w:rsidR="002B2CFC" w:rsidRPr="002B2CFC" w:rsidRDefault="002B2CFC" w:rsidP="002B2CFC">
            <w:pPr>
              <w:jc w:val="center"/>
              <w:rPr>
                <w:b/>
                <w:sz w:val="20"/>
                <w:szCs w:val="24"/>
                <w:lang w:val="en-US" w:eastAsia="en-US"/>
              </w:rPr>
            </w:pPr>
            <w:r w:rsidRPr="002B2CFC">
              <w:rPr>
                <w:b/>
                <w:sz w:val="20"/>
                <w:szCs w:val="24"/>
                <w:lang w:val="en-US" w:eastAsia="en-US"/>
              </w:rPr>
              <w:t>Ratio</w:t>
            </w:r>
          </w:p>
        </w:tc>
      </w:tr>
      <w:tr w:rsidR="002B2CFC" w:rsidRPr="002B2CFC" w14:paraId="00564AE6" w14:textId="77777777" w:rsidTr="00441FE4">
        <w:tc>
          <w:tcPr>
            <w:tcW w:w="1985" w:type="dxa"/>
          </w:tcPr>
          <w:p w14:paraId="530CA67E" w14:textId="77777777" w:rsidR="002B2CFC" w:rsidRPr="002B2CFC" w:rsidRDefault="002B2CFC" w:rsidP="002B2CFC">
            <w:pPr>
              <w:rPr>
                <w:sz w:val="20"/>
                <w:szCs w:val="24"/>
                <w:lang w:val="en-US" w:eastAsia="en-US"/>
              </w:rPr>
            </w:pPr>
            <w:r w:rsidRPr="002B2CFC">
              <w:rPr>
                <w:sz w:val="20"/>
                <w:szCs w:val="24"/>
                <w:lang w:val="en-US" w:eastAsia="en-US"/>
              </w:rPr>
              <w:t>5 mg/kg bw PQ</w:t>
            </w:r>
          </w:p>
        </w:tc>
        <w:tc>
          <w:tcPr>
            <w:tcW w:w="567" w:type="dxa"/>
          </w:tcPr>
          <w:p w14:paraId="275C0C76" w14:textId="77777777" w:rsidR="002B2CFC" w:rsidRPr="002B2CFC" w:rsidRDefault="002B2CFC" w:rsidP="002B2CFC">
            <w:pPr>
              <w:jc w:val="center"/>
              <w:rPr>
                <w:sz w:val="20"/>
                <w:szCs w:val="24"/>
                <w:lang w:val="en-US" w:eastAsia="en-US"/>
              </w:rPr>
            </w:pPr>
            <w:r w:rsidRPr="002B2CFC">
              <w:rPr>
                <w:sz w:val="20"/>
                <w:szCs w:val="24"/>
                <w:lang w:val="en-US" w:eastAsia="en-US"/>
              </w:rPr>
              <w:t>3</w:t>
            </w:r>
          </w:p>
        </w:tc>
        <w:tc>
          <w:tcPr>
            <w:tcW w:w="2268" w:type="dxa"/>
          </w:tcPr>
          <w:p w14:paraId="1156D8CC" w14:textId="77777777" w:rsidR="002B2CFC" w:rsidRPr="002B2CFC" w:rsidRDefault="002B2CFC" w:rsidP="002B2CFC">
            <w:pPr>
              <w:jc w:val="center"/>
              <w:rPr>
                <w:sz w:val="20"/>
                <w:szCs w:val="24"/>
                <w:lang w:val="en-US" w:eastAsia="en-US"/>
              </w:rPr>
            </w:pPr>
            <w:r w:rsidRPr="002B2CFC">
              <w:rPr>
                <w:sz w:val="20"/>
                <w:szCs w:val="24"/>
                <w:lang w:val="en-US" w:eastAsia="en-US"/>
              </w:rPr>
              <w:t xml:space="preserve">1.42 </w:t>
            </w:r>
            <w:r w:rsidRPr="002B2CFC">
              <w:rPr>
                <w:sz w:val="20"/>
                <w:szCs w:val="24"/>
                <w:u w:val="single"/>
                <w:lang w:val="en-US" w:eastAsia="en-US"/>
              </w:rPr>
              <w:t>+</w:t>
            </w:r>
            <w:r w:rsidRPr="002B2CFC">
              <w:rPr>
                <w:sz w:val="20"/>
                <w:szCs w:val="24"/>
                <w:lang w:val="en-US" w:eastAsia="en-US"/>
              </w:rPr>
              <w:t xml:space="preserve"> 1.50</w:t>
            </w:r>
          </w:p>
        </w:tc>
        <w:tc>
          <w:tcPr>
            <w:tcW w:w="2464" w:type="dxa"/>
          </w:tcPr>
          <w:p w14:paraId="4BC7B9FD" w14:textId="77777777" w:rsidR="002B2CFC" w:rsidRPr="002B2CFC" w:rsidRDefault="002B2CFC" w:rsidP="002B2CFC">
            <w:pPr>
              <w:jc w:val="center"/>
              <w:rPr>
                <w:sz w:val="20"/>
                <w:szCs w:val="24"/>
                <w:lang w:val="en-US" w:eastAsia="en-US"/>
              </w:rPr>
            </w:pPr>
            <w:r w:rsidRPr="002B2CFC">
              <w:rPr>
                <w:sz w:val="20"/>
                <w:szCs w:val="24"/>
                <w:lang w:val="en-US" w:eastAsia="en-US"/>
              </w:rPr>
              <w:t xml:space="preserve">0.28 </w:t>
            </w:r>
            <w:r w:rsidRPr="002B2CFC">
              <w:rPr>
                <w:sz w:val="20"/>
                <w:szCs w:val="24"/>
                <w:u w:val="single"/>
                <w:lang w:val="en-US" w:eastAsia="en-US"/>
              </w:rPr>
              <w:t>+</w:t>
            </w:r>
            <w:r w:rsidRPr="002B2CFC">
              <w:rPr>
                <w:sz w:val="20"/>
                <w:szCs w:val="24"/>
                <w:lang w:val="en-US" w:eastAsia="en-US"/>
              </w:rPr>
              <w:t xml:space="preserve"> 0.06</w:t>
            </w:r>
          </w:p>
        </w:tc>
        <w:tc>
          <w:tcPr>
            <w:tcW w:w="1788" w:type="dxa"/>
          </w:tcPr>
          <w:p w14:paraId="4836FB5F" w14:textId="77777777" w:rsidR="002B2CFC" w:rsidRPr="002B2CFC" w:rsidRDefault="002B2CFC" w:rsidP="002B2CFC">
            <w:pPr>
              <w:jc w:val="center"/>
              <w:rPr>
                <w:sz w:val="20"/>
                <w:szCs w:val="24"/>
                <w:lang w:val="en-US" w:eastAsia="en-US"/>
              </w:rPr>
            </w:pPr>
            <w:r w:rsidRPr="002B2CFC">
              <w:rPr>
                <w:sz w:val="20"/>
                <w:szCs w:val="24"/>
                <w:lang w:val="en-US" w:eastAsia="en-US"/>
              </w:rPr>
              <w:t xml:space="preserve">0.208 </w:t>
            </w:r>
            <w:r w:rsidRPr="002B2CFC">
              <w:rPr>
                <w:sz w:val="20"/>
                <w:szCs w:val="24"/>
                <w:u w:val="single"/>
                <w:lang w:val="en-US" w:eastAsia="en-US"/>
              </w:rPr>
              <w:t>+</w:t>
            </w:r>
            <w:r w:rsidRPr="002B2CFC">
              <w:rPr>
                <w:sz w:val="20"/>
                <w:szCs w:val="24"/>
                <w:lang w:val="en-US" w:eastAsia="en-US"/>
              </w:rPr>
              <w:t xml:space="preserve"> 0.064</w:t>
            </w:r>
          </w:p>
        </w:tc>
      </w:tr>
      <w:tr w:rsidR="002B2CFC" w:rsidRPr="002B2CFC" w14:paraId="56F5E3A5" w14:textId="77777777" w:rsidTr="00441FE4">
        <w:tc>
          <w:tcPr>
            <w:tcW w:w="1985" w:type="dxa"/>
          </w:tcPr>
          <w:p w14:paraId="098415CD" w14:textId="77777777" w:rsidR="002B2CFC" w:rsidRPr="002B2CFC" w:rsidRDefault="002B2CFC" w:rsidP="002B2CFC">
            <w:pPr>
              <w:rPr>
                <w:sz w:val="20"/>
                <w:szCs w:val="24"/>
                <w:lang w:val="en-US" w:eastAsia="en-US"/>
              </w:rPr>
            </w:pPr>
            <w:r w:rsidRPr="002B2CFC">
              <w:rPr>
                <w:sz w:val="20"/>
                <w:szCs w:val="24"/>
                <w:lang w:val="en-US" w:eastAsia="en-US"/>
              </w:rPr>
              <w:t>10 mg/kg bw PQ</w:t>
            </w:r>
          </w:p>
        </w:tc>
        <w:tc>
          <w:tcPr>
            <w:tcW w:w="567" w:type="dxa"/>
          </w:tcPr>
          <w:p w14:paraId="2B450E73" w14:textId="77777777" w:rsidR="002B2CFC" w:rsidRPr="002B2CFC" w:rsidRDefault="002B2CFC" w:rsidP="002B2CFC">
            <w:pPr>
              <w:jc w:val="center"/>
              <w:rPr>
                <w:sz w:val="20"/>
                <w:szCs w:val="24"/>
                <w:lang w:val="en-US" w:eastAsia="en-US"/>
              </w:rPr>
            </w:pPr>
            <w:r w:rsidRPr="002B2CFC">
              <w:rPr>
                <w:sz w:val="20"/>
                <w:szCs w:val="24"/>
                <w:lang w:val="en-US" w:eastAsia="en-US"/>
              </w:rPr>
              <w:t>5</w:t>
            </w:r>
          </w:p>
        </w:tc>
        <w:tc>
          <w:tcPr>
            <w:tcW w:w="2268" w:type="dxa"/>
          </w:tcPr>
          <w:p w14:paraId="134823BE" w14:textId="77777777" w:rsidR="002B2CFC" w:rsidRPr="002B2CFC" w:rsidRDefault="002B2CFC" w:rsidP="002B2CFC">
            <w:pPr>
              <w:jc w:val="center"/>
              <w:rPr>
                <w:sz w:val="20"/>
                <w:szCs w:val="24"/>
                <w:lang w:val="en-US" w:eastAsia="en-US"/>
              </w:rPr>
            </w:pPr>
            <w:r w:rsidRPr="002B2CFC">
              <w:rPr>
                <w:sz w:val="20"/>
                <w:szCs w:val="24"/>
                <w:lang w:val="en-US" w:eastAsia="en-US"/>
              </w:rPr>
              <w:t xml:space="preserve">3.88 </w:t>
            </w:r>
            <w:r w:rsidRPr="002B2CFC">
              <w:rPr>
                <w:sz w:val="20"/>
                <w:szCs w:val="24"/>
                <w:u w:val="single"/>
                <w:lang w:val="en-US" w:eastAsia="en-US"/>
              </w:rPr>
              <w:t>+</w:t>
            </w:r>
            <w:r w:rsidRPr="002B2CFC">
              <w:rPr>
                <w:sz w:val="20"/>
                <w:szCs w:val="24"/>
                <w:lang w:val="en-US" w:eastAsia="en-US"/>
              </w:rPr>
              <w:t xml:space="preserve"> 0.79</w:t>
            </w:r>
          </w:p>
        </w:tc>
        <w:tc>
          <w:tcPr>
            <w:tcW w:w="2464" w:type="dxa"/>
          </w:tcPr>
          <w:p w14:paraId="518FEFAD" w14:textId="77777777" w:rsidR="002B2CFC" w:rsidRPr="002B2CFC" w:rsidRDefault="002B2CFC" w:rsidP="002B2CFC">
            <w:pPr>
              <w:jc w:val="center"/>
              <w:rPr>
                <w:sz w:val="20"/>
                <w:szCs w:val="24"/>
                <w:lang w:val="en-US" w:eastAsia="en-US"/>
              </w:rPr>
            </w:pPr>
            <w:r w:rsidRPr="002B2CFC">
              <w:rPr>
                <w:sz w:val="20"/>
                <w:szCs w:val="24"/>
                <w:lang w:val="en-US" w:eastAsia="en-US"/>
              </w:rPr>
              <w:t xml:space="preserve">0.36 </w:t>
            </w:r>
            <w:r w:rsidRPr="002B2CFC">
              <w:rPr>
                <w:sz w:val="20"/>
                <w:szCs w:val="24"/>
                <w:u w:val="single"/>
                <w:lang w:val="en-US" w:eastAsia="en-US"/>
              </w:rPr>
              <w:t>+</w:t>
            </w:r>
            <w:r w:rsidRPr="002B2CFC">
              <w:rPr>
                <w:sz w:val="20"/>
                <w:szCs w:val="24"/>
                <w:lang w:val="en-US" w:eastAsia="en-US"/>
              </w:rPr>
              <w:t xml:space="preserve"> 0.09</w:t>
            </w:r>
          </w:p>
        </w:tc>
        <w:tc>
          <w:tcPr>
            <w:tcW w:w="1788" w:type="dxa"/>
          </w:tcPr>
          <w:p w14:paraId="19EA9229" w14:textId="77777777" w:rsidR="002B2CFC" w:rsidRPr="002B2CFC" w:rsidRDefault="002B2CFC" w:rsidP="002B2CFC">
            <w:pPr>
              <w:jc w:val="center"/>
              <w:rPr>
                <w:sz w:val="20"/>
                <w:szCs w:val="24"/>
                <w:lang w:val="en-US" w:eastAsia="en-US"/>
              </w:rPr>
            </w:pPr>
            <w:r w:rsidRPr="002B2CFC">
              <w:rPr>
                <w:sz w:val="20"/>
                <w:szCs w:val="24"/>
                <w:lang w:val="en-US" w:eastAsia="en-US"/>
              </w:rPr>
              <w:t xml:space="preserve">0.126 </w:t>
            </w:r>
            <w:r w:rsidRPr="002B2CFC">
              <w:rPr>
                <w:sz w:val="20"/>
                <w:szCs w:val="24"/>
                <w:u w:val="single"/>
                <w:lang w:val="en-US" w:eastAsia="en-US"/>
              </w:rPr>
              <w:t>+</w:t>
            </w:r>
            <w:r w:rsidRPr="002B2CFC">
              <w:rPr>
                <w:sz w:val="20"/>
                <w:szCs w:val="24"/>
                <w:lang w:val="en-US" w:eastAsia="en-US"/>
              </w:rPr>
              <w:t xml:space="preserve"> 0.031</w:t>
            </w:r>
          </w:p>
        </w:tc>
      </w:tr>
      <w:tr w:rsidR="002B2CFC" w:rsidRPr="002B2CFC" w14:paraId="6D7F1625" w14:textId="77777777" w:rsidTr="00441FE4">
        <w:tc>
          <w:tcPr>
            <w:tcW w:w="1985" w:type="dxa"/>
          </w:tcPr>
          <w:p w14:paraId="322B05FC" w14:textId="77777777" w:rsidR="002B2CFC" w:rsidRPr="002B2CFC" w:rsidRDefault="002B2CFC" w:rsidP="002B2CFC">
            <w:pPr>
              <w:rPr>
                <w:sz w:val="20"/>
                <w:szCs w:val="24"/>
                <w:lang w:val="en-US" w:eastAsia="en-US"/>
              </w:rPr>
            </w:pPr>
            <w:r w:rsidRPr="002B2CFC">
              <w:rPr>
                <w:sz w:val="20"/>
                <w:szCs w:val="24"/>
                <w:lang w:val="en-US" w:eastAsia="en-US"/>
              </w:rPr>
              <w:t>20 mg/kg bw PQ</w:t>
            </w:r>
          </w:p>
        </w:tc>
        <w:tc>
          <w:tcPr>
            <w:tcW w:w="567" w:type="dxa"/>
          </w:tcPr>
          <w:p w14:paraId="3791749B" w14:textId="77777777" w:rsidR="002B2CFC" w:rsidRPr="002B2CFC" w:rsidRDefault="002B2CFC" w:rsidP="002B2CFC">
            <w:pPr>
              <w:jc w:val="center"/>
              <w:rPr>
                <w:sz w:val="20"/>
                <w:szCs w:val="24"/>
                <w:lang w:val="en-US" w:eastAsia="en-US"/>
              </w:rPr>
            </w:pPr>
            <w:r w:rsidRPr="002B2CFC">
              <w:rPr>
                <w:sz w:val="20"/>
                <w:szCs w:val="24"/>
                <w:lang w:val="en-US" w:eastAsia="en-US"/>
              </w:rPr>
              <w:t>8</w:t>
            </w:r>
          </w:p>
        </w:tc>
        <w:tc>
          <w:tcPr>
            <w:tcW w:w="2268" w:type="dxa"/>
          </w:tcPr>
          <w:p w14:paraId="623332E7" w14:textId="77777777" w:rsidR="002B2CFC" w:rsidRPr="002B2CFC" w:rsidRDefault="002B2CFC" w:rsidP="002B2CFC">
            <w:pPr>
              <w:jc w:val="center"/>
              <w:rPr>
                <w:sz w:val="20"/>
                <w:szCs w:val="24"/>
                <w:lang w:val="en-US" w:eastAsia="en-US"/>
              </w:rPr>
            </w:pPr>
            <w:r w:rsidRPr="002B2CFC">
              <w:rPr>
                <w:sz w:val="20"/>
                <w:szCs w:val="24"/>
                <w:lang w:val="en-US" w:eastAsia="en-US"/>
              </w:rPr>
              <w:t xml:space="preserve">8.04 </w:t>
            </w:r>
            <w:r w:rsidRPr="002B2CFC">
              <w:rPr>
                <w:sz w:val="20"/>
                <w:szCs w:val="24"/>
                <w:u w:val="single"/>
                <w:lang w:val="en-US" w:eastAsia="en-US"/>
              </w:rPr>
              <w:t>+</w:t>
            </w:r>
            <w:r w:rsidRPr="002B2CFC">
              <w:rPr>
                <w:sz w:val="20"/>
                <w:szCs w:val="24"/>
                <w:lang w:val="en-US" w:eastAsia="en-US"/>
              </w:rPr>
              <w:t xml:space="preserve"> 2.41</w:t>
            </w:r>
          </w:p>
        </w:tc>
        <w:tc>
          <w:tcPr>
            <w:tcW w:w="2464" w:type="dxa"/>
          </w:tcPr>
          <w:p w14:paraId="6134A487" w14:textId="77777777" w:rsidR="002B2CFC" w:rsidRPr="002B2CFC" w:rsidRDefault="002B2CFC" w:rsidP="002B2CFC">
            <w:pPr>
              <w:jc w:val="center"/>
              <w:rPr>
                <w:sz w:val="20"/>
                <w:szCs w:val="24"/>
                <w:lang w:val="en-US" w:eastAsia="en-US"/>
              </w:rPr>
            </w:pPr>
            <w:r w:rsidRPr="002B2CFC">
              <w:rPr>
                <w:sz w:val="20"/>
                <w:szCs w:val="24"/>
                <w:lang w:val="en-US" w:eastAsia="en-US"/>
              </w:rPr>
              <w:t xml:space="preserve">0.49 </w:t>
            </w:r>
            <w:r w:rsidRPr="002B2CFC">
              <w:rPr>
                <w:sz w:val="20"/>
                <w:szCs w:val="24"/>
                <w:u w:val="single"/>
                <w:lang w:val="en-US" w:eastAsia="en-US"/>
              </w:rPr>
              <w:t>+</w:t>
            </w:r>
            <w:r w:rsidRPr="002B2CFC">
              <w:rPr>
                <w:sz w:val="20"/>
                <w:szCs w:val="24"/>
                <w:lang w:val="en-US" w:eastAsia="en-US"/>
              </w:rPr>
              <w:t xml:space="preserve"> 0.09</w:t>
            </w:r>
          </w:p>
        </w:tc>
        <w:tc>
          <w:tcPr>
            <w:tcW w:w="1788" w:type="dxa"/>
          </w:tcPr>
          <w:p w14:paraId="3B98BC5D" w14:textId="77777777" w:rsidR="002B2CFC" w:rsidRPr="002B2CFC" w:rsidRDefault="002B2CFC" w:rsidP="002B2CFC">
            <w:pPr>
              <w:jc w:val="center"/>
              <w:rPr>
                <w:sz w:val="20"/>
                <w:szCs w:val="24"/>
                <w:lang w:val="en-US" w:eastAsia="en-US"/>
              </w:rPr>
            </w:pPr>
            <w:r w:rsidRPr="002B2CFC">
              <w:rPr>
                <w:sz w:val="20"/>
                <w:szCs w:val="24"/>
                <w:lang w:val="en-US" w:eastAsia="en-US"/>
              </w:rPr>
              <w:t xml:space="preserve">0.085 </w:t>
            </w:r>
            <w:r w:rsidRPr="002B2CFC">
              <w:rPr>
                <w:sz w:val="20"/>
                <w:szCs w:val="24"/>
                <w:u w:val="single"/>
                <w:lang w:val="en-US" w:eastAsia="en-US"/>
              </w:rPr>
              <w:t>+</w:t>
            </w:r>
            <w:r w:rsidRPr="002B2CFC">
              <w:rPr>
                <w:sz w:val="20"/>
                <w:szCs w:val="24"/>
                <w:lang w:val="en-US" w:eastAsia="en-US"/>
              </w:rPr>
              <w:t xml:space="preserve"> 0.023**</w:t>
            </w:r>
          </w:p>
        </w:tc>
      </w:tr>
    </w:tbl>
    <w:p w14:paraId="3F818BE4" w14:textId="77777777" w:rsidR="002B2CFC" w:rsidRPr="002B2CFC" w:rsidRDefault="002B2CFC" w:rsidP="002B2CFC">
      <w:pPr>
        <w:rPr>
          <w:szCs w:val="24"/>
          <w:lang w:eastAsia="en-US"/>
        </w:rPr>
      </w:pPr>
    </w:p>
    <w:p w14:paraId="67E08CCE" w14:textId="77777777" w:rsidR="002B2CFC" w:rsidRPr="00DE7E25" w:rsidRDefault="002B2CFC" w:rsidP="002B2CFC">
      <w:pPr>
        <w:rPr>
          <w:szCs w:val="24"/>
          <w:u w:val="single"/>
          <w:lang w:eastAsia="en-US"/>
        </w:rPr>
      </w:pPr>
      <w:r w:rsidRPr="00DE7E25">
        <w:rPr>
          <w:szCs w:val="24"/>
          <w:u w:val="single"/>
          <w:lang w:eastAsia="en-US"/>
        </w:rPr>
        <w:t xml:space="preserve">Kuter </w:t>
      </w:r>
      <w:r w:rsidRPr="00DE7E25">
        <w:rPr>
          <w:i/>
          <w:szCs w:val="24"/>
          <w:u w:val="single"/>
          <w:lang w:eastAsia="en-US"/>
        </w:rPr>
        <w:t>et al</w:t>
      </w:r>
      <w:r w:rsidRPr="00DE7E25">
        <w:rPr>
          <w:szCs w:val="24"/>
          <w:u w:val="single"/>
          <w:lang w:eastAsia="en-US"/>
        </w:rPr>
        <w:t xml:space="preserve"> (2007)</w:t>
      </w:r>
    </w:p>
    <w:p w14:paraId="2C86B904" w14:textId="77777777" w:rsidR="002B2CFC" w:rsidRPr="002B2CFC" w:rsidRDefault="002B2CFC" w:rsidP="002B2CFC">
      <w:pPr>
        <w:rPr>
          <w:szCs w:val="24"/>
          <w:lang w:eastAsia="en-US"/>
        </w:rPr>
      </w:pPr>
      <w:r w:rsidRPr="002B2CFC">
        <w:rPr>
          <w:szCs w:val="24"/>
          <w:lang w:eastAsia="en-US"/>
        </w:rPr>
        <w:t xml:space="preserve">Subcutaneous: 10 mg/kg bw/day </w:t>
      </w:r>
      <w:r w:rsidR="00197DA9">
        <w:rPr>
          <w:szCs w:val="24"/>
          <w:lang w:eastAsia="en-US"/>
        </w:rPr>
        <w:t xml:space="preserve">(7.2 mg paraquat ion/kg bw/d) </w:t>
      </w:r>
      <w:r w:rsidRPr="002B2CFC">
        <w:rPr>
          <w:szCs w:val="24"/>
          <w:lang w:eastAsia="en-US"/>
        </w:rPr>
        <w:t>for 5 consecutive days in rats; necropsied 2</w:t>
      </w:r>
      <w:r w:rsidR="00197DA9">
        <w:rPr>
          <w:szCs w:val="24"/>
          <w:lang w:eastAsia="en-US"/>
        </w:rPr>
        <w:t>or 3</w:t>
      </w:r>
      <w:r w:rsidRPr="002B2CFC">
        <w:rPr>
          <w:szCs w:val="24"/>
          <w:lang w:eastAsia="en-US"/>
        </w:rPr>
        <w:t xml:space="preserve"> days after cessation of treatment.</w:t>
      </w:r>
    </w:p>
    <w:p w14:paraId="4774A3CC" w14:textId="77777777" w:rsidR="002B2CFC" w:rsidRPr="002B2CFC" w:rsidRDefault="002B2CFC" w:rsidP="002B2CFC">
      <w:pPr>
        <w:rPr>
          <w:szCs w:val="24"/>
          <w:lang w:eastAsia="en-US"/>
        </w:rPr>
      </w:pPr>
      <w:r w:rsidRPr="002B2CFC">
        <w:rPr>
          <w:szCs w:val="24"/>
          <w:lang w:eastAsia="en-US"/>
        </w:rPr>
        <w:t xml:space="preserve">At 3 days after withdrawal: 22% decrease in dopaminergic neurons in the </w:t>
      </w:r>
      <w:r w:rsidR="00A4092E">
        <w:rPr>
          <w:szCs w:val="24"/>
          <w:lang w:eastAsia="en-US"/>
        </w:rPr>
        <w:t>SN</w:t>
      </w:r>
      <w:r w:rsidR="00044F22">
        <w:rPr>
          <w:szCs w:val="24"/>
          <w:lang w:eastAsia="en-US"/>
        </w:rPr>
        <w:t>.</w:t>
      </w:r>
      <w:r w:rsidRPr="002B2CFC">
        <w:rPr>
          <w:szCs w:val="24"/>
          <w:lang w:eastAsia="en-US"/>
        </w:rPr>
        <w:t xml:space="preserve"> </w:t>
      </w:r>
    </w:p>
    <w:p w14:paraId="60BC9EAD" w14:textId="77777777" w:rsidR="002B2CFC" w:rsidRPr="002B2CFC" w:rsidRDefault="002B2CFC" w:rsidP="002B2CFC">
      <w:pPr>
        <w:rPr>
          <w:szCs w:val="24"/>
          <w:lang w:eastAsia="en-US"/>
        </w:rPr>
      </w:pPr>
      <w:r w:rsidRPr="002B2CFC">
        <w:rPr>
          <w:szCs w:val="24"/>
          <w:lang w:eastAsia="en-US"/>
        </w:rPr>
        <w:t xml:space="preserve">At 2 days after withdrawal: 20-60% decrease in </w:t>
      </w:r>
      <w:r w:rsidR="00011149">
        <w:rPr>
          <w:szCs w:val="24"/>
          <w:lang w:eastAsia="en-US"/>
        </w:rPr>
        <w:t>DA</w:t>
      </w:r>
      <w:r w:rsidRPr="002B2CFC">
        <w:rPr>
          <w:szCs w:val="24"/>
          <w:lang w:eastAsia="en-US"/>
        </w:rPr>
        <w:t xml:space="preserve"> turnover and </w:t>
      </w:r>
      <w:r w:rsidR="00011149">
        <w:rPr>
          <w:szCs w:val="24"/>
          <w:lang w:eastAsia="en-US"/>
        </w:rPr>
        <w:t>DA</w:t>
      </w:r>
      <w:r w:rsidRPr="002B2CFC">
        <w:rPr>
          <w:szCs w:val="24"/>
          <w:lang w:eastAsia="en-US"/>
        </w:rPr>
        <w:t xml:space="preserve"> metabolites</w:t>
      </w:r>
      <w:r w:rsidR="00044F22">
        <w:rPr>
          <w:szCs w:val="24"/>
          <w:lang w:eastAsia="en-US"/>
        </w:rPr>
        <w:t>.</w:t>
      </w:r>
      <w:r w:rsidRPr="002B2CFC">
        <w:rPr>
          <w:szCs w:val="24"/>
          <w:lang w:eastAsia="en-US"/>
        </w:rPr>
        <w:t xml:space="preserve"> </w:t>
      </w:r>
    </w:p>
    <w:p w14:paraId="3F203D52" w14:textId="77777777" w:rsidR="002B2CFC" w:rsidRPr="002B2CFC" w:rsidRDefault="002B2CFC" w:rsidP="002B2CFC">
      <w:pPr>
        <w:rPr>
          <w:szCs w:val="24"/>
          <w:lang w:eastAsia="en-US"/>
        </w:rPr>
      </w:pPr>
      <w:r w:rsidRPr="002B2CFC">
        <w:rPr>
          <w:szCs w:val="24"/>
          <w:lang w:eastAsia="en-US"/>
        </w:rPr>
        <w:t xml:space="preserve">At 3 days after withdrawal: level of </w:t>
      </w:r>
      <w:r w:rsidR="00011149">
        <w:rPr>
          <w:szCs w:val="24"/>
          <w:lang w:eastAsia="en-US"/>
        </w:rPr>
        <w:t>DA</w:t>
      </w:r>
      <w:r w:rsidRPr="002B2CFC">
        <w:rPr>
          <w:szCs w:val="24"/>
          <w:lang w:eastAsia="en-US"/>
        </w:rPr>
        <w:t xml:space="preserve"> increased, decrease in metabolites reversed.</w:t>
      </w:r>
    </w:p>
    <w:p w14:paraId="52DD50E6" w14:textId="77777777" w:rsidR="002B2CFC" w:rsidRDefault="002B2CFC" w:rsidP="002B2CFC">
      <w:pPr>
        <w:rPr>
          <w:szCs w:val="24"/>
          <w:lang w:eastAsia="en-US"/>
        </w:rPr>
      </w:pPr>
      <w:r w:rsidRPr="002B2CFC">
        <w:rPr>
          <w:szCs w:val="24"/>
          <w:lang w:eastAsia="en-US"/>
        </w:rPr>
        <w:t>Brain levels of paraquat not reported.</w:t>
      </w:r>
    </w:p>
    <w:p w14:paraId="0F7566CB" w14:textId="77777777" w:rsidR="0059290A" w:rsidRPr="002B2CFC" w:rsidRDefault="0059290A" w:rsidP="002B2CFC">
      <w:pPr>
        <w:rPr>
          <w:szCs w:val="24"/>
          <w:lang w:eastAsia="en-US"/>
        </w:rPr>
      </w:pPr>
    </w:p>
    <w:p w14:paraId="25F5280E" w14:textId="77777777" w:rsidR="002B2CFC" w:rsidRDefault="002B2CFC" w:rsidP="002B2CFC">
      <w:pPr>
        <w:keepNext/>
        <w:keepLines/>
        <w:spacing w:before="120"/>
        <w:rPr>
          <w:i/>
          <w:szCs w:val="24"/>
          <w:lang w:eastAsia="en-US"/>
        </w:rPr>
      </w:pPr>
      <w:r w:rsidRPr="002B2CFC">
        <w:rPr>
          <w:i/>
          <w:szCs w:val="24"/>
          <w:lang w:eastAsia="en-US"/>
        </w:rPr>
        <w:lastRenderedPageBreak/>
        <w:t>Intraperitoneal administration</w:t>
      </w:r>
    </w:p>
    <w:p w14:paraId="0FFC445C" w14:textId="77777777" w:rsidR="00F82258" w:rsidRDefault="00F82258" w:rsidP="00965E16">
      <w:pPr>
        <w:keepNext/>
        <w:keepLines/>
        <w:rPr>
          <w:i/>
          <w:szCs w:val="24"/>
          <w:lang w:eastAsia="en-US"/>
        </w:rPr>
      </w:pPr>
    </w:p>
    <w:p w14:paraId="207166B9" w14:textId="4C6669F9" w:rsidR="00E439AD" w:rsidRDefault="00F82258" w:rsidP="00965E16">
      <w:pPr>
        <w:pStyle w:val="Caption"/>
        <w:keepNext/>
        <w:spacing w:after="120"/>
        <w:rPr>
          <w:i/>
          <w:szCs w:val="24"/>
        </w:rPr>
      </w:pPr>
      <w:r>
        <w:t xml:space="preserve">Table </w:t>
      </w:r>
      <w:r>
        <w:fldChar w:fldCharType="begin"/>
      </w:r>
      <w:r>
        <w:instrText xml:space="preserve"> SEQ Table \* ARABIC </w:instrText>
      </w:r>
      <w:r>
        <w:fldChar w:fldCharType="separate"/>
      </w:r>
      <w:r w:rsidR="000E54B2">
        <w:rPr>
          <w:noProof/>
        </w:rPr>
        <w:t>39</w:t>
      </w:r>
      <w:r>
        <w:fldChar w:fldCharType="end"/>
      </w:r>
      <w:r>
        <w:t xml:space="preserve"> - Intraperitoneal administration</w:t>
      </w:r>
    </w:p>
    <w:tbl>
      <w:tblPr>
        <w:tblStyle w:val="TableGrid"/>
        <w:tblW w:w="9356" w:type="dxa"/>
        <w:tblLayout w:type="fixed"/>
        <w:tblLook w:val="04A0" w:firstRow="1" w:lastRow="0" w:firstColumn="1" w:lastColumn="0" w:noHBand="0" w:noVBand="1"/>
      </w:tblPr>
      <w:tblGrid>
        <w:gridCol w:w="1668"/>
        <w:gridCol w:w="3260"/>
        <w:gridCol w:w="4428"/>
      </w:tblGrid>
      <w:tr w:rsidR="004A0E47" w:rsidRPr="00C76EAC" w14:paraId="14F61CC6" w14:textId="77777777" w:rsidTr="00DE7E25">
        <w:tc>
          <w:tcPr>
            <w:tcW w:w="1668" w:type="dxa"/>
            <w:vAlign w:val="center"/>
          </w:tcPr>
          <w:p w14:paraId="490E5E4D" w14:textId="77777777" w:rsidR="004A0E47" w:rsidRPr="00DE7E25" w:rsidRDefault="004A0E47" w:rsidP="00965E16">
            <w:pPr>
              <w:keepNext/>
              <w:keepLines/>
              <w:spacing w:before="120"/>
              <w:jc w:val="left"/>
              <w:rPr>
                <w:i/>
                <w:sz w:val="22"/>
                <w:szCs w:val="22"/>
                <w:lang w:eastAsia="en-US"/>
              </w:rPr>
            </w:pPr>
            <w:r w:rsidRPr="00DE7E25">
              <w:rPr>
                <w:b/>
                <w:sz w:val="22"/>
                <w:szCs w:val="22"/>
                <w:lang w:eastAsia="en-US"/>
              </w:rPr>
              <w:t>Reference</w:t>
            </w:r>
          </w:p>
        </w:tc>
        <w:tc>
          <w:tcPr>
            <w:tcW w:w="3260" w:type="dxa"/>
            <w:vAlign w:val="center"/>
          </w:tcPr>
          <w:p w14:paraId="4744992C" w14:textId="77777777" w:rsidR="004A0E47" w:rsidRPr="00DE7E25" w:rsidRDefault="004A0E47" w:rsidP="00965E16">
            <w:pPr>
              <w:keepNext/>
              <w:keepLines/>
              <w:spacing w:before="120"/>
              <w:jc w:val="left"/>
              <w:rPr>
                <w:i/>
                <w:sz w:val="22"/>
                <w:szCs w:val="22"/>
                <w:lang w:eastAsia="en-US"/>
              </w:rPr>
            </w:pPr>
            <w:r w:rsidRPr="00DE7E25">
              <w:rPr>
                <w:b/>
                <w:sz w:val="22"/>
                <w:szCs w:val="22"/>
                <w:lang w:eastAsia="en-US"/>
              </w:rPr>
              <w:t>Dose administration details</w:t>
            </w:r>
          </w:p>
        </w:tc>
        <w:tc>
          <w:tcPr>
            <w:tcW w:w="4428" w:type="dxa"/>
            <w:vAlign w:val="center"/>
          </w:tcPr>
          <w:p w14:paraId="2DB507B9" w14:textId="77777777" w:rsidR="004A0E47" w:rsidRPr="00DE7E25" w:rsidRDefault="004A0E47" w:rsidP="00965E16">
            <w:pPr>
              <w:keepNext/>
              <w:keepLines/>
              <w:spacing w:before="120"/>
              <w:jc w:val="left"/>
              <w:rPr>
                <w:i/>
                <w:sz w:val="22"/>
                <w:szCs w:val="22"/>
                <w:lang w:eastAsia="en-US"/>
              </w:rPr>
            </w:pPr>
            <w:r w:rsidRPr="00DE7E25">
              <w:rPr>
                <w:b/>
                <w:sz w:val="22"/>
                <w:szCs w:val="22"/>
                <w:lang w:eastAsia="en-US"/>
              </w:rPr>
              <w:t>Observations</w:t>
            </w:r>
          </w:p>
        </w:tc>
      </w:tr>
      <w:tr w:rsidR="004A0E47" w:rsidRPr="00C76EAC" w14:paraId="2CA424B5" w14:textId="77777777" w:rsidTr="00DE7E25">
        <w:tc>
          <w:tcPr>
            <w:tcW w:w="1668" w:type="dxa"/>
            <w:vAlign w:val="center"/>
          </w:tcPr>
          <w:p w14:paraId="40BAA63B"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Beck (2012a,c)</w:t>
            </w:r>
          </w:p>
        </w:tc>
        <w:tc>
          <w:tcPr>
            <w:tcW w:w="3260" w:type="dxa"/>
            <w:vAlign w:val="center"/>
          </w:tcPr>
          <w:p w14:paraId="5387F827"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1, 2 or 3 weekly injections of</w:t>
            </w:r>
            <w:r w:rsidR="00C76EAC">
              <w:rPr>
                <w:sz w:val="22"/>
                <w:szCs w:val="22"/>
                <w:lang w:eastAsia="en-US"/>
              </w:rPr>
              <w:t xml:space="preserve"> </w:t>
            </w:r>
            <w:r w:rsidRPr="00DE7E25">
              <w:rPr>
                <w:sz w:val="22"/>
                <w:szCs w:val="22"/>
                <w:lang w:eastAsia="en-US"/>
              </w:rPr>
              <w:t xml:space="preserve"> </w:t>
            </w:r>
            <w:r w:rsidR="00D765BA">
              <w:rPr>
                <w:sz w:val="22"/>
                <w:szCs w:val="22"/>
                <w:lang w:eastAsia="en-US"/>
              </w:rPr>
              <w:t>0, 10, 15 or 25 mg/kg bw/d (</w:t>
            </w:r>
            <w:r w:rsidR="00D765BA" w:rsidRPr="00C33BE1">
              <w:rPr>
                <w:sz w:val="20"/>
              </w:rPr>
              <w:t xml:space="preserve">0, 7.2, 10.9, 18.1 </w:t>
            </w:r>
            <w:r w:rsidR="00D765BA">
              <w:rPr>
                <w:sz w:val="20"/>
              </w:rPr>
              <w:t xml:space="preserve">mg </w:t>
            </w:r>
            <w:r w:rsidR="00D765BA" w:rsidRPr="00C33BE1">
              <w:rPr>
                <w:sz w:val="20"/>
              </w:rPr>
              <w:t>paraquat ion</w:t>
            </w:r>
            <w:r w:rsidR="00D765BA">
              <w:rPr>
                <w:sz w:val="20"/>
              </w:rPr>
              <w:t>/kg bw)</w:t>
            </w:r>
            <w:r w:rsidRPr="00DE7E25">
              <w:rPr>
                <w:sz w:val="22"/>
                <w:szCs w:val="22"/>
                <w:lang w:eastAsia="en-US"/>
              </w:rPr>
              <w:t>, concurrent positive control (MPTP, 4x 10 mg/kg bw/dose ip injections, 2 h apart).</w:t>
            </w:r>
          </w:p>
        </w:tc>
        <w:tc>
          <w:tcPr>
            <w:tcW w:w="4428" w:type="dxa"/>
            <w:vAlign w:val="center"/>
          </w:tcPr>
          <w:p w14:paraId="2247DE64"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 xml:space="preserve">Mortality and effects on body weight and/or food consumption noted. No neuropathology reported, including no effect on histology of the brain (specifically, no change to the </w:t>
            </w:r>
            <w:r w:rsidR="00A4092E">
              <w:rPr>
                <w:sz w:val="22"/>
                <w:szCs w:val="22"/>
                <w:lang w:eastAsia="en-US"/>
              </w:rPr>
              <w:t>SN</w:t>
            </w:r>
            <w:r w:rsidRPr="00DE7E25">
              <w:rPr>
                <w:sz w:val="22"/>
                <w:szCs w:val="22"/>
                <w:lang w:eastAsia="en-US"/>
              </w:rPr>
              <w:t xml:space="preserve"> or striatum), the number of dopaminergic neuronal cells (stereology analysis of tyrosine hydroxlase) or the levels of </w:t>
            </w:r>
            <w:r w:rsidR="00011149">
              <w:rPr>
                <w:sz w:val="22"/>
                <w:szCs w:val="22"/>
                <w:lang w:eastAsia="en-US"/>
              </w:rPr>
              <w:t>DA</w:t>
            </w:r>
            <w:r w:rsidRPr="00DE7E25">
              <w:rPr>
                <w:sz w:val="22"/>
                <w:szCs w:val="22"/>
                <w:lang w:eastAsia="en-US"/>
              </w:rPr>
              <w:t xml:space="preserve"> or its two metabolites. Reduced total contour volume of SN from 15 mg/kg bw/dose, but significance unclear. Positive control group showed clear effects on the brain, validating study methodology.</w:t>
            </w:r>
          </w:p>
          <w:p w14:paraId="3A2B5D39"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Brain levels of paraquat not reported.</w:t>
            </w:r>
          </w:p>
        </w:tc>
      </w:tr>
      <w:tr w:rsidR="004A0E47" w:rsidRPr="00C76EAC" w14:paraId="64D7D865" w14:textId="77777777" w:rsidTr="00DE7E25">
        <w:tc>
          <w:tcPr>
            <w:tcW w:w="1668" w:type="dxa"/>
            <w:vAlign w:val="center"/>
          </w:tcPr>
          <w:p w14:paraId="3020F4CB"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 xml:space="preserve">Brooks </w:t>
            </w:r>
            <w:r w:rsidRPr="00DE7E25">
              <w:rPr>
                <w:i/>
                <w:sz w:val="22"/>
                <w:szCs w:val="22"/>
                <w:lang w:eastAsia="en-US"/>
              </w:rPr>
              <w:t>et al</w:t>
            </w:r>
            <w:r w:rsidRPr="00DE7E25">
              <w:rPr>
                <w:sz w:val="22"/>
                <w:szCs w:val="22"/>
                <w:lang w:eastAsia="en-US"/>
              </w:rPr>
              <w:t xml:space="preserve"> (1999)</w:t>
            </w:r>
          </w:p>
        </w:tc>
        <w:tc>
          <w:tcPr>
            <w:tcW w:w="3260" w:type="dxa"/>
            <w:vAlign w:val="center"/>
          </w:tcPr>
          <w:p w14:paraId="7B5BDCB2"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Single doses of 5 or 10 mg/kg bw to mice</w:t>
            </w:r>
            <w:r w:rsidR="00D765BA">
              <w:rPr>
                <w:sz w:val="22"/>
                <w:szCs w:val="22"/>
                <w:lang w:eastAsia="en-US"/>
              </w:rPr>
              <w:t xml:space="preserve"> </w:t>
            </w:r>
            <w:r w:rsidR="00897462" w:rsidRPr="005E54CD">
              <w:rPr>
                <w:sz w:val="20"/>
                <w:lang w:eastAsia="en-US"/>
              </w:rPr>
              <w:t>(</w:t>
            </w:r>
            <w:r w:rsidR="00897462" w:rsidRPr="005E54CD">
              <w:rPr>
                <w:sz w:val="20"/>
              </w:rPr>
              <w:t>3.6 and 7.2 mg/kg bw paraquat cation, respectively)</w:t>
            </w:r>
            <w:r w:rsidR="00897462" w:rsidRPr="005E54CD">
              <w:rPr>
                <w:sz w:val="20"/>
                <w:lang w:eastAsia="en-US"/>
              </w:rPr>
              <w:t>.</w:t>
            </w:r>
          </w:p>
        </w:tc>
        <w:tc>
          <w:tcPr>
            <w:tcW w:w="4428" w:type="dxa"/>
            <w:vAlign w:val="center"/>
          </w:tcPr>
          <w:p w14:paraId="0E2E8769"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Significant loss of dopaminergic neurons: 87% and 94% for each dose respectively.</w:t>
            </w:r>
          </w:p>
          <w:p w14:paraId="2A0D8C9B"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Brain levels of paraquat not reported.</w:t>
            </w:r>
          </w:p>
        </w:tc>
      </w:tr>
      <w:tr w:rsidR="004A0E47" w:rsidRPr="00C76EAC" w14:paraId="06D456D9" w14:textId="77777777" w:rsidTr="00DE7E25">
        <w:tc>
          <w:tcPr>
            <w:tcW w:w="1668" w:type="dxa"/>
            <w:vAlign w:val="center"/>
          </w:tcPr>
          <w:p w14:paraId="47957C79"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Ossowska</w:t>
            </w:r>
            <w:r w:rsidRPr="00DE7E25">
              <w:rPr>
                <w:i/>
                <w:sz w:val="22"/>
                <w:szCs w:val="22"/>
                <w:lang w:eastAsia="en-US"/>
              </w:rPr>
              <w:t xml:space="preserve"> et al</w:t>
            </w:r>
            <w:r w:rsidRPr="00DE7E25">
              <w:rPr>
                <w:sz w:val="22"/>
                <w:szCs w:val="22"/>
                <w:lang w:eastAsia="en-US"/>
              </w:rPr>
              <w:t xml:space="preserve"> (2005b)</w:t>
            </w:r>
          </w:p>
        </w:tc>
        <w:tc>
          <w:tcPr>
            <w:tcW w:w="3260" w:type="dxa"/>
            <w:vAlign w:val="center"/>
          </w:tcPr>
          <w:p w14:paraId="4CD5095E"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 xml:space="preserve">10 mg/kg bw/week </w:t>
            </w:r>
            <w:r w:rsidR="00D765BA">
              <w:rPr>
                <w:sz w:val="22"/>
                <w:szCs w:val="22"/>
                <w:lang w:eastAsia="en-US"/>
              </w:rPr>
              <w:t>(7.2 mg paraquat ion/kg bw</w:t>
            </w:r>
            <w:r w:rsidR="002E75B1">
              <w:rPr>
                <w:sz w:val="22"/>
                <w:szCs w:val="22"/>
                <w:lang w:eastAsia="en-US"/>
              </w:rPr>
              <w:t xml:space="preserve">/week) </w:t>
            </w:r>
            <w:r w:rsidRPr="00DE7E25">
              <w:rPr>
                <w:sz w:val="22"/>
                <w:szCs w:val="22"/>
                <w:lang w:eastAsia="en-US"/>
              </w:rPr>
              <w:t>for 4, 8, 12 or 24 weeks (rats).</w:t>
            </w:r>
          </w:p>
        </w:tc>
        <w:tc>
          <w:tcPr>
            <w:tcW w:w="4428" w:type="dxa"/>
            <w:vAlign w:val="center"/>
          </w:tcPr>
          <w:p w14:paraId="23D54C11"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Slowly progressing loss of dopaminergic neurons; delayed deficit of striatal dopaminergic transmission.</w:t>
            </w:r>
          </w:p>
          <w:p w14:paraId="48D3F7C0"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Brain levels of paraquat not reported.</w:t>
            </w:r>
          </w:p>
        </w:tc>
      </w:tr>
      <w:tr w:rsidR="004A0E47" w:rsidRPr="00C76EAC" w14:paraId="6829654A" w14:textId="77777777" w:rsidTr="00DE7E25">
        <w:tc>
          <w:tcPr>
            <w:tcW w:w="1668" w:type="dxa"/>
            <w:vAlign w:val="center"/>
          </w:tcPr>
          <w:p w14:paraId="1B146AFF"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 xml:space="preserve">Prasad </w:t>
            </w:r>
            <w:r w:rsidRPr="00DE7E25">
              <w:rPr>
                <w:i/>
                <w:sz w:val="22"/>
                <w:szCs w:val="22"/>
                <w:lang w:eastAsia="en-US"/>
              </w:rPr>
              <w:t>et al</w:t>
            </w:r>
            <w:r w:rsidRPr="00DE7E25">
              <w:rPr>
                <w:sz w:val="22"/>
                <w:szCs w:val="22"/>
                <w:lang w:eastAsia="en-US"/>
              </w:rPr>
              <w:t xml:space="preserve"> (2009)</w:t>
            </w:r>
          </w:p>
        </w:tc>
        <w:tc>
          <w:tcPr>
            <w:tcW w:w="3260" w:type="dxa"/>
            <w:vAlign w:val="center"/>
          </w:tcPr>
          <w:p w14:paraId="795979E5"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10 mg/kg bw for a total of 1, 3 (M-W-F) or 5 (M-W-F-M-W) in mice</w:t>
            </w:r>
            <w:r w:rsidR="002E75B1">
              <w:rPr>
                <w:sz w:val="22"/>
                <w:szCs w:val="22"/>
                <w:lang w:eastAsia="en-US"/>
              </w:rPr>
              <w:t xml:space="preserve"> (7.2 mg paraquat ion/kg bw)</w:t>
            </w:r>
            <w:r w:rsidRPr="00DE7E25">
              <w:rPr>
                <w:sz w:val="22"/>
                <w:szCs w:val="22"/>
                <w:lang w:eastAsia="en-US"/>
              </w:rPr>
              <w:t>.</w:t>
            </w:r>
          </w:p>
        </w:tc>
        <w:tc>
          <w:tcPr>
            <w:tcW w:w="4428" w:type="dxa"/>
            <w:vAlign w:val="center"/>
          </w:tcPr>
          <w:p w14:paraId="78A64E68"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Ventral midbrain paraquat levels: 0.12 ± 0.04, 0.33 ± 0.03, 0.55 ± 0.04 ng/mg tissue per dose respectively at one week after the last dose.</w:t>
            </w:r>
          </w:p>
          <w:p w14:paraId="1F1AF4AD" w14:textId="77777777" w:rsidR="004A0E47" w:rsidRPr="00DE7E25" w:rsidRDefault="004A0E47" w:rsidP="00965E16">
            <w:pPr>
              <w:keepNext/>
              <w:keepLines/>
              <w:spacing w:before="120"/>
              <w:jc w:val="left"/>
              <w:rPr>
                <w:sz w:val="22"/>
                <w:szCs w:val="22"/>
                <w:lang w:eastAsia="en-US"/>
              </w:rPr>
            </w:pPr>
            <w:r w:rsidRPr="00DE7E25">
              <w:rPr>
                <w:sz w:val="22"/>
                <w:szCs w:val="22"/>
                <w:lang w:eastAsia="en-US"/>
              </w:rPr>
              <w:t>No neuropathology reported (toxicokinetic study).</w:t>
            </w:r>
          </w:p>
        </w:tc>
      </w:tr>
    </w:tbl>
    <w:p w14:paraId="752BDD77" w14:textId="08A8F118" w:rsidR="002B2CFC" w:rsidRPr="002B2CFC" w:rsidRDefault="001F685E" w:rsidP="00F82258">
      <w:pPr>
        <w:rPr>
          <w:szCs w:val="24"/>
          <w:lang w:eastAsia="en-US"/>
        </w:rPr>
      </w:pPr>
      <w:r>
        <w:rPr>
          <w:szCs w:val="24"/>
          <w:lang w:eastAsia="en-US"/>
        </w:rPr>
        <w:br w:type="page"/>
      </w:r>
    </w:p>
    <w:p w14:paraId="24D4A5D2" w14:textId="77777777" w:rsidR="002B2CFC" w:rsidRDefault="002B2CFC" w:rsidP="00F82258">
      <w:pPr>
        <w:pStyle w:val="Heading1"/>
        <w:spacing w:before="0" w:after="0"/>
        <w:jc w:val="left"/>
      </w:pPr>
      <w:bookmarkStart w:id="132" w:name="_Ref399231812"/>
      <w:bookmarkStart w:id="133" w:name="_Toc459108310"/>
      <w:r w:rsidRPr="002B2CFC">
        <w:lastRenderedPageBreak/>
        <w:t>Human occupational exposure/poisoning case information</w:t>
      </w:r>
      <w:bookmarkEnd w:id="132"/>
      <w:bookmarkEnd w:id="133"/>
    </w:p>
    <w:p w14:paraId="55F69BEC" w14:textId="77777777" w:rsidR="00F82258" w:rsidRPr="00F82258" w:rsidRDefault="00F82258" w:rsidP="00F82258"/>
    <w:p w14:paraId="0CEA28C2" w14:textId="77777777" w:rsidR="002B2CFC" w:rsidRPr="002B2CFC" w:rsidRDefault="002B2CFC" w:rsidP="00F82258">
      <w:pPr>
        <w:pStyle w:val="Heading2"/>
        <w:spacing w:before="0" w:after="0"/>
        <w:rPr>
          <w:lang w:eastAsia="en-US"/>
        </w:rPr>
      </w:pPr>
      <w:bookmarkStart w:id="134" w:name="_Ref399855672"/>
      <w:bookmarkStart w:id="135" w:name="_Toc459108311"/>
      <w:r w:rsidRPr="002B2CFC">
        <w:rPr>
          <w:lang w:eastAsia="en-US"/>
        </w:rPr>
        <w:t>Occupational Exposure</w:t>
      </w:r>
      <w:bookmarkEnd w:id="134"/>
      <w:bookmarkEnd w:id="135"/>
    </w:p>
    <w:p w14:paraId="0E2A4830" w14:textId="77777777" w:rsidR="002B2CFC" w:rsidRPr="002B2CFC" w:rsidRDefault="002B2CFC" w:rsidP="002B2CFC">
      <w:pPr>
        <w:rPr>
          <w:szCs w:val="24"/>
          <w:lang w:val="en-US" w:eastAsia="en-US"/>
        </w:rPr>
      </w:pPr>
    </w:p>
    <w:p w14:paraId="07200546" w14:textId="77777777" w:rsidR="00FE6175" w:rsidRDefault="00FE6175" w:rsidP="00FE6175">
      <w:r w:rsidRPr="00FE6175">
        <w:t>Studies investigating exposure to paraquat in an occupational setting are included in a</w:t>
      </w:r>
      <w:r>
        <w:t xml:space="preserve"> separate technical report ‘Supplement I: Toxicology’. The studies reviewed do not indicate that paraquat is a neurotoxi</w:t>
      </w:r>
      <w:r w:rsidR="006D4D78">
        <w:t>cant</w:t>
      </w:r>
      <w:r>
        <w:t xml:space="preserve"> to humans in these exposure scenarios.</w:t>
      </w:r>
      <w:r w:rsidR="00901928">
        <w:t xml:space="preserve"> Included here is an epidemiology study considering the relationship between mortality from Parkinson’s disease (and other  causes) among workers in a paraquat manufacturing plant.</w:t>
      </w:r>
    </w:p>
    <w:p w14:paraId="72770BDE" w14:textId="77777777" w:rsidR="002B2CFC" w:rsidRPr="002B2CFC" w:rsidRDefault="002B2CFC" w:rsidP="009E40A8">
      <w:pPr>
        <w:spacing w:before="120"/>
        <w:rPr>
          <w:szCs w:val="24"/>
          <w:lang w:val="en-US" w:eastAsia="en-US"/>
        </w:rPr>
      </w:pPr>
    </w:p>
    <w:p w14:paraId="5C0F41C0" w14:textId="77777777" w:rsidR="002B2CFC" w:rsidRPr="002B2CFC" w:rsidRDefault="002B2CFC" w:rsidP="00FC749B">
      <w:pPr>
        <w:keepNext/>
        <w:spacing w:after="240"/>
        <w:rPr>
          <w:b/>
          <w:i/>
        </w:rPr>
      </w:pPr>
      <w:r w:rsidRPr="002B2CFC">
        <w:rPr>
          <w:b/>
        </w:rPr>
        <w:t>Tomenson JA &amp; Campbell C (2011) Mortality from Parkinson’s disease and other causes among a workforce manufacturing paraquat: a retrospective cohort study. BMJ Open 2011;1:e000283. Doi:10. 1136/bmjopen-2011-000283</w:t>
      </w:r>
    </w:p>
    <w:p w14:paraId="505A5790" w14:textId="77777777" w:rsidR="002B2CFC" w:rsidRPr="002B2CFC" w:rsidRDefault="002B2CFC" w:rsidP="009E40A8">
      <w:pPr>
        <w:spacing w:after="240"/>
      </w:pPr>
      <w:r w:rsidRPr="002B2CFC">
        <w:t>(Only the neurological aspects of this study are presented here)</w:t>
      </w:r>
    </w:p>
    <w:p w14:paraId="34DE0FF9" w14:textId="77777777" w:rsidR="002B2CFC" w:rsidRPr="002B2CFC" w:rsidRDefault="002B2CFC" w:rsidP="009E40A8">
      <w:pPr>
        <w:rPr>
          <w:szCs w:val="24"/>
          <w:lang w:val="en-US" w:eastAsia="en-US"/>
        </w:rPr>
      </w:pPr>
      <w:r w:rsidRPr="002B2CFC">
        <w:rPr>
          <w:i/>
          <w:szCs w:val="24"/>
          <w:lang w:val="en-US" w:eastAsia="en-US"/>
        </w:rPr>
        <w:t xml:space="preserve">Objective: </w:t>
      </w:r>
      <w:r w:rsidRPr="002B2CFC">
        <w:rPr>
          <w:szCs w:val="24"/>
          <w:lang w:val="en-US" w:eastAsia="en-US"/>
        </w:rPr>
        <w:t xml:space="preserve">This retrospective cohort study was conducted to assess the risk of Parkinson’s disease among a UK workforce who manufactured paraquat. The study included an extension and an update of the cohort mortality study conducted by Paddle </w:t>
      </w:r>
      <w:r w:rsidRPr="002B2CFC">
        <w:rPr>
          <w:i/>
          <w:szCs w:val="24"/>
          <w:lang w:val="en-US" w:eastAsia="en-US"/>
        </w:rPr>
        <w:t>et al</w:t>
      </w:r>
      <w:r w:rsidRPr="002B2CFC">
        <w:rPr>
          <w:szCs w:val="24"/>
          <w:lang w:val="en-US" w:eastAsia="en-US"/>
        </w:rPr>
        <w:t xml:space="preserve"> (1991) which investigated the mortality of employees in plants manufacturing 4,4’-bipyridyl or its subsequent conversion to paraquat or the packaging of paraquat solutions.</w:t>
      </w:r>
    </w:p>
    <w:p w14:paraId="46178312" w14:textId="77777777" w:rsidR="002B2CFC" w:rsidRPr="002B2CFC" w:rsidRDefault="002B2CFC" w:rsidP="009E40A8">
      <w:pPr>
        <w:rPr>
          <w:szCs w:val="24"/>
          <w:lang w:val="en-US" w:eastAsia="en-US"/>
        </w:rPr>
      </w:pPr>
    </w:p>
    <w:p w14:paraId="0F0C2B8C" w14:textId="77777777" w:rsidR="002B2CFC" w:rsidRPr="002B2CFC" w:rsidRDefault="002B2CFC" w:rsidP="009E40A8">
      <w:pPr>
        <w:rPr>
          <w:szCs w:val="24"/>
          <w:lang w:val="en-US" w:eastAsia="en-US"/>
        </w:rPr>
      </w:pPr>
      <w:r w:rsidRPr="002B2CFC">
        <w:rPr>
          <w:i/>
          <w:szCs w:val="24"/>
          <w:lang w:val="en-US" w:eastAsia="en-US"/>
        </w:rPr>
        <w:t>Method</w:t>
      </w:r>
      <w:r w:rsidRPr="002B2CFC">
        <w:rPr>
          <w:szCs w:val="24"/>
          <w:lang w:val="en-US" w:eastAsia="en-US"/>
        </w:rPr>
        <w:t xml:space="preserve">: The original cohort used in the Paddle </w:t>
      </w:r>
      <w:r w:rsidRPr="002B2CFC">
        <w:rPr>
          <w:i/>
          <w:szCs w:val="24"/>
          <w:lang w:val="en-US" w:eastAsia="en-US"/>
        </w:rPr>
        <w:t>et al</w:t>
      </w:r>
      <w:r w:rsidRPr="002B2CFC">
        <w:rPr>
          <w:szCs w:val="24"/>
          <w:lang w:val="en-US" w:eastAsia="en-US"/>
        </w:rPr>
        <w:t xml:space="preserve"> study included all employees who had ever worked in one or more of 4 paraquat production plants in Widnes, UK between 1961 and </w:t>
      </w:r>
      <w:r w:rsidR="00097555" w:rsidRPr="002B2CFC">
        <w:rPr>
          <w:szCs w:val="24"/>
          <w:lang w:val="en-US" w:eastAsia="en-US"/>
        </w:rPr>
        <w:t>198</w:t>
      </w:r>
      <w:r w:rsidR="00097555">
        <w:rPr>
          <w:szCs w:val="24"/>
          <w:lang w:val="en-US" w:eastAsia="en-US"/>
        </w:rPr>
        <w:t>3</w:t>
      </w:r>
      <w:r w:rsidRPr="002B2CFC">
        <w:rPr>
          <w:szCs w:val="24"/>
          <w:lang w:val="en-US" w:eastAsia="en-US"/>
        </w:rPr>
        <w:t xml:space="preserve">. The 4 plants used different processes to manufacture paraquat. The study was instigated to investigate skin lesions noted in several workers. Parkinson’s was not investigated at this time and the only adverse health effect noted was a moderately increased incidence of lung cancer, further narrowed to the chemical diglyme and determined to be implausible in this exposure scenario. However it was recommended that a follow-up on the cohort be conducted. </w:t>
      </w:r>
    </w:p>
    <w:p w14:paraId="60EF63D0" w14:textId="77777777" w:rsidR="002B2CFC" w:rsidRPr="002B2CFC" w:rsidRDefault="002B2CFC" w:rsidP="009E40A8">
      <w:pPr>
        <w:rPr>
          <w:szCs w:val="24"/>
          <w:lang w:val="en-US" w:eastAsia="en-US"/>
        </w:rPr>
      </w:pPr>
    </w:p>
    <w:p w14:paraId="5AD5071D" w14:textId="77777777" w:rsidR="002B2CFC" w:rsidRPr="002B2CFC" w:rsidRDefault="002B2CFC" w:rsidP="009E40A8">
      <w:pPr>
        <w:rPr>
          <w:szCs w:val="24"/>
          <w:lang w:val="en-US" w:eastAsia="en-US"/>
        </w:rPr>
      </w:pPr>
      <w:r w:rsidRPr="002B2CFC">
        <w:rPr>
          <w:szCs w:val="24"/>
          <w:lang w:val="en-US" w:eastAsia="en-US"/>
        </w:rPr>
        <w:t xml:space="preserve">This study included the same cohort used by Paddle </w:t>
      </w:r>
      <w:r w:rsidRPr="002B2CFC">
        <w:rPr>
          <w:i/>
          <w:szCs w:val="24"/>
          <w:lang w:val="en-US" w:eastAsia="en-US"/>
        </w:rPr>
        <w:t>et al</w:t>
      </w:r>
      <w:r w:rsidRPr="002B2CFC">
        <w:rPr>
          <w:szCs w:val="24"/>
          <w:lang w:val="en-US" w:eastAsia="en-US"/>
        </w:rPr>
        <w:t xml:space="preserve"> (729 males, 32 females), with the addition of a further 217 male and 10 female employees. Twenty males from the original cohort were excluded due to either not being exposed to paraquat or having minimal identifying information. The final numbers were therefore 926 male and 42 female employees. The vital status of these workers were ascertained from the Medical Research Information Service of the National Health Service and of those that had died, the underlying cause of death and other causes of death mentioned on the death certificate were coded according to the International Classification of Diseases (ICD) by the Office of Population Censuses and Surveys.</w:t>
      </w:r>
    </w:p>
    <w:p w14:paraId="397EDA99" w14:textId="77777777" w:rsidR="002B2CFC" w:rsidRPr="002B2CFC" w:rsidRDefault="002B2CFC" w:rsidP="009E40A8">
      <w:pPr>
        <w:rPr>
          <w:szCs w:val="24"/>
          <w:lang w:val="en-US" w:eastAsia="en-US"/>
        </w:rPr>
      </w:pPr>
    </w:p>
    <w:p w14:paraId="5294EB1C" w14:textId="77777777" w:rsidR="002B2CFC" w:rsidRPr="002B2CFC" w:rsidRDefault="002B2CFC" w:rsidP="009E40A8">
      <w:pPr>
        <w:rPr>
          <w:szCs w:val="24"/>
          <w:lang w:val="en-US" w:eastAsia="en-US"/>
        </w:rPr>
      </w:pPr>
      <w:r w:rsidRPr="002B2CFC">
        <w:rPr>
          <w:szCs w:val="24"/>
          <w:lang w:val="en-US" w:eastAsia="en-US"/>
        </w:rPr>
        <w:t>Exposure to paraquat was ascertained by</w:t>
      </w:r>
      <w:r w:rsidR="00B07BAE">
        <w:rPr>
          <w:szCs w:val="24"/>
          <w:lang w:val="en-US" w:eastAsia="en-US"/>
        </w:rPr>
        <w:t xml:space="preserve"> </w:t>
      </w:r>
      <w:r w:rsidRPr="002B2CFC">
        <w:rPr>
          <w:szCs w:val="24"/>
          <w:lang w:val="en-US" w:eastAsia="en-US"/>
        </w:rPr>
        <w:t xml:space="preserve">1330 static monitoring results collected between 1979 and 1993 (summary information only pre-1987), and 100 personal monitoring results (1983-1993). Paddle </w:t>
      </w:r>
      <w:r w:rsidRPr="002B2CFC">
        <w:rPr>
          <w:i/>
          <w:szCs w:val="24"/>
          <w:lang w:val="en-US" w:eastAsia="en-US"/>
        </w:rPr>
        <w:t>et al</w:t>
      </w:r>
      <w:r w:rsidRPr="002B2CFC">
        <w:rPr>
          <w:szCs w:val="24"/>
          <w:lang w:val="en-US" w:eastAsia="en-US"/>
        </w:rPr>
        <w:t xml:space="preserve"> performed a limited qualitative exposure assessment of male workers</w:t>
      </w:r>
      <w:r w:rsidR="008B6EC5">
        <w:rPr>
          <w:szCs w:val="24"/>
          <w:lang w:val="en-US" w:eastAsia="en-US"/>
        </w:rPr>
        <w:t xml:space="preserve"> who would have been expected to have medium to high exposure only</w:t>
      </w:r>
      <w:r w:rsidR="00156CF5">
        <w:rPr>
          <w:szCs w:val="24"/>
          <w:lang w:val="en-US" w:eastAsia="en-US"/>
        </w:rPr>
        <w:t>(</w:t>
      </w:r>
      <w:r w:rsidRPr="002B2CFC">
        <w:rPr>
          <w:szCs w:val="24"/>
          <w:lang w:val="en-US" w:eastAsia="en-US"/>
        </w:rPr>
        <w:t>approximately 300 of the 729 males</w:t>
      </w:r>
      <w:r w:rsidR="00156CF5">
        <w:rPr>
          <w:szCs w:val="24"/>
          <w:lang w:val="en-US" w:eastAsia="en-US"/>
        </w:rPr>
        <w:t>)</w:t>
      </w:r>
      <w:r w:rsidRPr="002B2CFC">
        <w:rPr>
          <w:szCs w:val="24"/>
          <w:lang w:val="en-US" w:eastAsia="en-US"/>
        </w:rPr>
        <w:t>. In addition, it was considered that exposure in the 1960s was likely to have been higher, and workers recruited after the time of the assessment were unlikely to have been exposed to medium or high levels of paraquat.</w:t>
      </w:r>
    </w:p>
    <w:p w14:paraId="360C6E9C" w14:textId="77777777" w:rsidR="002B2CFC" w:rsidRPr="002B2CFC" w:rsidRDefault="002B2CFC" w:rsidP="009E40A8">
      <w:pPr>
        <w:rPr>
          <w:szCs w:val="24"/>
          <w:lang w:val="en-US" w:eastAsia="en-US"/>
        </w:rPr>
      </w:pPr>
    </w:p>
    <w:p w14:paraId="15FC1D8F" w14:textId="77777777" w:rsidR="002B2CFC" w:rsidRPr="002B2CFC" w:rsidRDefault="002B2CFC" w:rsidP="009E40A8">
      <w:pPr>
        <w:rPr>
          <w:szCs w:val="24"/>
          <w:lang w:val="en-US" w:eastAsia="en-US"/>
        </w:rPr>
      </w:pPr>
      <w:r w:rsidRPr="002B2CFC">
        <w:rPr>
          <w:szCs w:val="24"/>
          <w:lang w:val="en-US" w:eastAsia="en-US"/>
        </w:rPr>
        <w:lastRenderedPageBreak/>
        <w:t xml:space="preserve">Following categorisation of deaths from selected causes, the observed number was compared with the expected number calculated on the basis of national and local age and period-specific mortalities. The standardised mortality ratio (SMR) was calculated as the ratio of the observed to the expected deaths, expressed as a percentage. Occupational cohort specific software (OCMAP-PLUS) was used to sum person-years within categories of age (5-year intervals) and calendar period (generally 5-year intervals to conform to changes in the ICD). Due to their small numbers (n=15), females were not included in this calculation, although their cause of death was </w:t>
      </w:r>
      <w:r w:rsidR="00873D20">
        <w:rPr>
          <w:szCs w:val="24"/>
          <w:lang w:val="en-US" w:eastAsia="en-US"/>
        </w:rPr>
        <w:t>noted</w:t>
      </w:r>
      <w:r w:rsidRPr="002B2CFC">
        <w:rPr>
          <w:szCs w:val="24"/>
          <w:lang w:val="en-US" w:eastAsia="en-US"/>
        </w:rPr>
        <w:t>. Mortality data for seven surrounding local districts and for England and Wales were used for comparison, for the time periods 1981-2008 and 1960-1980, respectively. Mortalities for Parkinson’s disease were calculated using all certified causes of death listed on the death certificate (termed ‘mentions’), as well as rates for Parkinson’s as the underlying cause of death. Data on ‘mentions’ was not available pre-1993 and was conservatively estimated as the number of workers whose death certificate would be expected to mention Parkinson’s disease (using mortalities for Parkinson’s as an underlying cause of death pre-1993 and a mentioned cause of death from 1993).</w:t>
      </w:r>
    </w:p>
    <w:p w14:paraId="0406A3FC" w14:textId="77777777" w:rsidR="002B2CFC" w:rsidRPr="002B2CFC" w:rsidRDefault="002B2CFC" w:rsidP="009E40A8">
      <w:pPr>
        <w:rPr>
          <w:szCs w:val="24"/>
          <w:lang w:val="en-US" w:eastAsia="en-US"/>
        </w:rPr>
      </w:pPr>
    </w:p>
    <w:p w14:paraId="0DCDB465" w14:textId="77777777" w:rsidR="002B2CFC" w:rsidRPr="002B2CFC" w:rsidRDefault="002B2CFC" w:rsidP="009E40A8">
      <w:pPr>
        <w:rPr>
          <w:szCs w:val="24"/>
          <w:lang w:val="en-US" w:eastAsia="en-US"/>
        </w:rPr>
      </w:pPr>
      <w:r w:rsidRPr="002B2CFC">
        <w:rPr>
          <w:szCs w:val="24"/>
          <w:lang w:val="en-US" w:eastAsia="en-US"/>
        </w:rPr>
        <w:t xml:space="preserve">Analyses were performed </w:t>
      </w:r>
      <w:r w:rsidR="00783ECA">
        <w:rPr>
          <w:szCs w:val="24"/>
          <w:lang w:val="en-US" w:eastAsia="en-US"/>
        </w:rPr>
        <w:t xml:space="preserve">for </w:t>
      </w:r>
      <w:r w:rsidRPr="002B2CFC">
        <w:rPr>
          <w:szCs w:val="24"/>
          <w:lang w:val="en-US" w:eastAsia="en-US"/>
        </w:rPr>
        <w:t>workers who had worked a minimum of 3 months. Duration of employment and latency were taken into account (as time related variables) with values calculated for each person-year.</w:t>
      </w:r>
    </w:p>
    <w:p w14:paraId="278E42DC" w14:textId="77777777" w:rsidR="002B2CFC" w:rsidRPr="002B2CFC" w:rsidRDefault="002B2CFC" w:rsidP="009E40A8">
      <w:pPr>
        <w:rPr>
          <w:szCs w:val="24"/>
          <w:lang w:val="en-US" w:eastAsia="en-US"/>
        </w:rPr>
      </w:pPr>
    </w:p>
    <w:p w14:paraId="17A7C64B" w14:textId="77777777" w:rsidR="002B2CFC" w:rsidRPr="002B2CFC" w:rsidRDefault="002B2CFC" w:rsidP="009E40A8">
      <w:pPr>
        <w:rPr>
          <w:szCs w:val="24"/>
          <w:lang w:val="en-US" w:eastAsia="en-US"/>
        </w:rPr>
      </w:pPr>
      <w:r w:rsidRPr="002B2CFC">
        <w:rPr>
          <w:i/>
          <w:szCs w:val="24"/>
          <w:lang w:val="en-US" w:eastAsia="en-US"/>
        </w:rPr>
        <w:t>Results</w:t>
      </w:r>
      <w:r w:rsidRPr="002B2CFC">
        <w:rPr>
          <w:szCs w:val="24"/>
          <w:lang w:val="en-US" w:eastAsia="en-US"/>
        </w:rPr>
        <w:t>: Of the total workers included in the cohort, 118 were found to have worked in positions of high exposure to paraquat and  202 had positions with medium exposure. Of the total 926 male workers, 292 had died and of the 42 females, 15 had died. Ten workers had emigrated or joined the armed forces and 9 were lost to follow-up. The average age of males at first exposure to paraquat was 32.8 years, and there was a total of 28 963 person years of follow-up for males.</w:t>
      </w:r>
    </w:p>
    <w:p w14:paraId="1A6EF2F5" w14:textId="77777777" w:rsidR="002B2CFC" w:rsidRPr="002B2CFC" w:rsidRDefault="002B2CFC" w:rsidP="009E40A8">
      <w:pPr>
        <w:rPr>
          <w:szCs w:val="24"/>
          <w:lang w:val="en-US" w:eastAsia="en-US"/>
        </w:rPr>
      </w:pPr>
    </w:p>
    <w:p w14:paraId="2D6B4DF6" w14:textId="77777777" w:rsidR="002B2CFC" w:rsidRPr="002B2CFC" w:rsidRDefault="002B2CFC" w:rsidP="009E40A8">
      <w:pPr>
        <w:rPr>
          <w:szCs w:val="24"/>
          <w:lang w:val="en-US" w:eastAsia="en-US"/>
        </w:rPr>
      </w:pPr>
      <w:r w:rsidRPr="002B2CFC">
        <w:rPr>
          <w:szCs w:val="24"/>
          <w:lang w:val="en-US" w:eastAsia="en-US"/>
        </w:rPr>
        <w:t>Static monitoring results (x1073) collected before 1987 had a mean exposure of 0.0120 mg of paraquat (PQ) ion/m</w:t>
      </w:r>
      <w:r w:rsidRPr="002B2CFC">
        <w:rPr>
          <w:szCs w:val="24"/>
          <w:vertAlign w:val="superscript"/>
          <w:lang w:val="en-US" w:eastAsia="en-US"/>
        </w:rPr>
        <w:t xml:space="preserve">3 </w:t>
      </w:r>
      <w:r w:rsidRPr="002B2CFC">
        <w:rPr>
          <w:szCs w:val="24"/>
          <w:lang w:val="en-US" w:eastAsia="en-US"/>
        </w:rPr>
        <w:t>(range &lt;0.002-1.005 mg PQ)</w:t>
      </w:r>
      <w:r w:rsidR="00783ECA">
        <w:rPr>
          <w:szCs w:val="24"/>
          <w:lang w:val="en-US" w:eastAsia="en-US"/>
        </w:rPr>
        <w:t>. M</w:t>
      </w:r>
      <w:r w:rsidRPr="002B2CFC">
        <w:rPr>
          <w:szCs w:val="24"/>
          <w:lang w:val="en-US" w:eastAsia="en-US"/>
        </w:rPr>
        <w:t>ean exposure from 6 personal monitoring results collected in a single month was 0.012 mg PQ ion/m</w:t>
      </w:r>
      <w:r w:rsidRPr="002B2CFC">
        <w:rPr>
          <w:szCs w:val="24"/>
          <w:vertAlign w:val="superscript"/>
          <w:lang w:val="en-US" w:eastAsia="en-US"/>
        </w:rPr>
        <w:t>3</w:t>
      </w:r>
      <w:r w:rsidRPr="002B2CFC">
        <w:rPr>
          <w:szCs w:val="24"/>
          <w:lang w:val="en-US" w:eastAsia="en-US"/>
        </w:rPr>
        <w:t xml:space="preserve"> (max 0.4 mg PQ ion/m</w:t>
      </w:r>
      <w:r w:rsidRPr="002B2CFC">
        <w:rPr>
          <w:szCs w:val="24"/>
          <w:vertAlign w:val="superscript"/>
          <w:lang w:val="en-US" w:eastAsia="en-US"/>
        </w:rPr>
        <w:t>3</w:t>
      </w:r>
      <w:r w:rsidRPr="002B2CFC">
        <w:rPr>
          <w:szCs w:val="24"/>
          <w:lang w:val="en-US" w:eastAsia="en-US"/>
        </w:rPr>
        <w:t>). Results collected in the period 1987-1993 showed a reduced exposure (257 x static monitoring: mean of 0.00328 mg PQ ion/m</w:t>
      </w:r>
      <w:r w:rsidRPr="002B2CFC">
        <w:rPr>
          <w:szCs w:val="24"/>
          <w:vertAlign w:val="superscript"/>
          <w:lang w:val="en-US" w:eastAsia="en-US"/>
        </w:rPr>
        <w:t>3</w:t>
      </w:r>
      <w:r w:rsidRPr="002B2CFC">
        <w:rPr>
          <w:szCs w:val="24"/>
          <w:lang w:val="en-US" w:eastAsia="en-US"/>
        </w:rPr>
        <w:t>; 94 x personal monitoring: mean of 0.00258 mg PQ ion/m</w:t>
      </w:r>
      <w:r w:rsidRPr="002B2CFC">
        <w:rPr>
          <w:szCs w:val="24"/>
          <w:vertAlign w:val="superscript"/>
          <w:lang w:val="en-US" w:eastAsia="en-US"/>
        </w:rPr>
        <w:t>3</w:t>
      </w:r>
      <w:r w:rsidRPr="002B2CFC">
        <w:rPr>
          <w:szCs w:val="24"/>
          <w:lang w:val="en-US" w:eastAsia="en-US"/>
        </w:rPr>
        <w:t xml:space="preserve">). </w:t>
      </w:r>
    </w:p>
    <w:p w14:paraId="089AAF9C" w14:textId="77777777" w:rsidR="002B2CFC" w:rsidRPr="002B2CFC" w:rsidRDefault="002B2CFC" w:rsidP="009E40A8">
      <w:pPr>
        <w:rPr>
          <w:szCs w:val="24"/>
          <w:lang w:val="en-US" w:eastAsia="en-US"/>
        </w:rPr>
      </w:pPr>
    </w:p>
    <w:p w14:paraId="314FB3F6" w14:textId="40A0FC96" w:rsidR="002B2CFC" w:rsidRPr="002B2CFC" w:rsidRDefault="002B2CFC" w:rsidP="009E40A8">
      <w:pPr>
        <w:rPr>
          <w:szCs w:val="24"/>
          <w:lang w:val="en-US" w:eastAsia="en-US"/>
        </w:rPr>
      </w:pPr>
      <w:r w:rsidRPr="002B2CFC">
        <w:rPr>
          <w:szCs w:val="24"/>
          <w:lang w:val="en-US" w:eastAsia="en-US"/>
        </w:rPr>
        <w:t>The standardised mortality ratios (SMRs) showed local mortalities for Parkinson’s disease were similar to those for England and Wales (</w:t>
      </w:r>
      <w:r w:rsidR="00F07346">
        <w:fldChar w:fldCharType="begin"/>
      </w:r>
      <w:r w:rsidR="00F07346">
        <w:instrText xml:space="preserve"> REF _Ref373836226 \h  \* MERGEFORMAT </w:instrText>
      </w:r>
      <w:r w:rsidR="00F07346">
        <w:fldChar w:fldCharType="separate"/>
      </w:r>
      <w:r w:rsidR="000E54B2" w:rsidRPr="000E54B2">
        <w:rPr>
          <w:bCs/>
          <w:szCs w:val="24"/>
          <w:lang w:val="en-US" w:eastAsia="en-US"/>
        </w:rPr>
        <w:t xml:space="preserve">Table </w:t>
      </w:r>
      <w:r w:rsidR="000E54B2" w:rsidRPr="000E54B2">
        <w:rPr>
          <w:bCs/>
          <w:noProof/>
          <w:szCs w:val="24"/>
          <w:lang w:val="en-US" w:eastAsia="en-US"/>
        </w:rPr>
        <w:t>40</w:t>
      </w:r>
      <w:r w:rsidR="00F07346">
        <w:fldChar w:fldCharType="end"/>
      </w:r>
      <w:r w:rsidR="00C31A63">
        <w:t xml:space="preserve"> </w:t>
      </w:r>
      <w:r w:rsidR="003A31EB">
        <w:fldChar w:fldCharType="begin"/>
      </w:r>
      <w:r w:rsidR="003A31EB">
        <w:instrText xml:space="preserve"> REF _Ref459038438 \p </w:instrText>
      </w:r>
      <w:r w:rsidR="003A31EB">
        <w:fldChar w:fldCharType="separate"/>
      </w:r>
      <w:r w:rsidR="000E54B2">
        <w:t>below</w:t>
      </w:r>
      <w:r w:rsidR="003A31EB">
        <w:fldChar w:fldCharType="end"/>
      </w:r>
      <w:r w:rsidRPr="002B2CFC">
        <w:rPr>
          <w:szCs w:val="24"/>
          <w:lang w:val="en-US" w:eastAsia="en-US"/>
        </w:rPr>
        <w:t xml:space="preserve">). </w:t>
      </w:r>
      <w:r w:rsidR="00783ECA">
        <w:rPr>
          <w:szCs w:val="24"/>
          <w:lang w:val="en-US" w:eastAsia="en-US"/>
        </w:rPr>
        <w:t xml:space="preserve">No deceased females had a mention of Parkinson's on their death certificate. </w:t>
      </w:r>
      <w:r w:rsidRPr="002B2CFC">
        <w:rPr>
          <w:szCs w:val="24"/>
          <w:lang w:val="en-US" w:eastAsia="en-US"/>
        </w:rPr>
        <w:t>Only a single</w:t>
      </w:r>
      <w:r w:rsidR="00783ECA">
        <w:rPr>
          <w:szCs w:val="24"/>
          <w:lang w:val="en-US" w:eastAsia="en-US"/>
        </w:rPr>
        <w:t xml:space="preserve"> male</w:t>
      </w:r>
      <w:r w:rsidRPr="002B2CFC">
        <w:rPr>
          <w:szCs w:val="24"/>
          <w:lang w:val="en-US" w:eastAsia="en-US"/>
        </w:rPr>
        <w:t xml:space="preserve"> worker was identified as Parkinson’s disease being the underlying cause of death (1.8 expected) and this death certificate was the only mention of Parkinson’s (3.3 expected; SMR=31). This worker was identified as having medium exposure to paraquat (1.1 expected) and no worker with high exposure had Parkinson’s disease mentioned on their death certificate (0.5 expected). </w:t>
      </w:r>
    </w:p>
    <w:p w14:paraId="59B7B85C" w14:textId="77777777" w:rsidR="002B2CFC" w:rsidRPr="002B2CFC" w:rsidRDefault="002B2CFC" w:rsidP="002B2CFC">
      <w:pPr>
        <w:rPr>
          <w:szCs w:val="24"/>
          <w:lang w:val="en-US" w:eastAsia="en-US"/>
        </w:rPr>
      </w:pPr>
    </w:p>
    <w:p w14:paraId="78289303" w14:textId="77777777" w:rsidR="002B2CFC" w:rsidRPr="002B2CFC" w:rsidRDefault="002B2CFC" w:rsidP="009D0D8F">
      <w:pPr>
        <w:keepNext/>
        <w:keepLines/>
        <w:spacing w:after="120"/>
        <w:rPr>
          <w:b/>
          <w:bCs/>
          <w:sz w:val="20"/>
          <w:lang w:val="en-US" w:eastAsia="en-US"/>
        </w:rPr>
      </w:pPr>
      <w:bookmarkStart w:id="136" w:name="_Ref373836226"/>
      <w:bookmarkStart w:id="137" w:name="_Ref459038438"/>
      <w:r w:rsidRPr="002B2CFC">
        <w:rPr>
          <w:b/>
          <w:bCs/>
          <w:sz w:val="20"/>
          <w:lang w:val="en-US" w:eastAsia="en-US"/>
        </w:rPr>
        <w:lastRenderedPageBreak/>
        <w:t xml:space="preserve">Table </w:t>
      </w:r>
      <w:r w:rsidR="00897462" w:rsidRPr="002B2CFC">
        <w:rPr>
          <w:b/>
          <w:bCs/>
          <w:sz w:val="20"/>
          <w:lang w:val="en-US" w:eastAsia="en-US"/>
        </w:rPr>
        <w:fldChar w:fldCharType="begin"/>
      </w:r>
      <w:r w:rsidRPr="002B2CFC">
        <w:rPr>
          <w:b/>
          <w:bCs/>
          <w:sz w:val="20"/>
          <w:lang w:val="en-US" w:eastAsia="en-US"/>
        </w:rPr>
        <w:instrText xml:space="preserve"> SEQ Table \* ARABIC </w:instrText>
      </w:r>
      <w:r w:rsidR="00897462" w:rsidRPr="002B2CFC">
        <w:rPr>
          <w:b/>
          <w:bCs/>
          <w:sz w:val="20"/>
          <w:lang w:val="en-US" w:eastAsia="en-US"/>
        </w:rPr>
        <w:fldChar w:fldCharType="separate"/>
      </w:r>
      <w:r w:rsidR="000E54B2">
        <w:rPr>
          <w:b/>
          <w:bCs/>
          <w:noProof/>
          <w:sz w:val="20"/>
          <w:lang w:val="en-US" w:eastAsia="en-US"/>
        </w:rPr>
        <w:t>40</w:t>
      </w:r>
      <w:r w:rsidR="00897462" w:rsidRPr="002B2CFC">
        <w:rPr>
          <w:b/>
          <w:bCs/>
          <w:sz w:val="20"/>
          <w:lang w:val="en-US" w:eastAsia="en-US"/>
        </w:rPr>
        <w:fldChar w:fldCharType="end"/>
      </w:r>
      <w:bookmarkEnd w:id="136"/>
      <w:r w:rsidRPr="002B2CFC">
        <w:rPr>
          <w:b/>
          <w:bCs/>
          <w:sz w:val="20"/>
          <w:lang w:val="en-US" w:eastAsia="en-US"/>
        </w:rPr>
        <w:t>. Observed numbers of deaths and standardised mortality ratios (SMR) for selected causes of death among males</w:t>
      </w:r>
      <w:r w:rsidR="00783ECA">
        <w:rPr>
          <w:b/>
          <w:bCs/>
          <w:sz w:val="20"/>
          <w:lang w:val="en-US" w:eastAsia="en-US"/>
        </w:rPr>
        <w:t xml:space="preserve"> (</w:t>
      </w:r>
      <w:r w:rsidR="001B0B0E">
        <w:rPr>
          <w:b/>
          <w:bCs/>
          <w:sz w:val="20"/>
          <w:lang w:val="en-US" w:eastAsia="en-US"/>
        </w:rPr>
        <w:t xml:space="preserve">taken from </w:t>
      </w:r>
      <w:r w:rsidR="00783ECA">
        <w:rPr>
          <w:b/>
          <w:bCs/>
          <w:sz w:val="20"/>
          <w:lang w:val="en-US" w:eastAsia="en-US"/>
        </w:rPr>
        <w:t xml:space="preserve">Tomenson &amp; Campbell, </w:t>
      </w:r>
      <w:r w:rsidR="001B0B0E">
        <w:rPr>
          <w:b/>
          <w:bCs/>
          <w:sz w:val="20"/>
          <w:lang w:val="en-US" w:eastAsia="en-US"/>
        </w:rPr>
        <w:t>2011)</w:t>
      </w:r>
      <w:bookmarkEnd w:id="137"/>
    </w:p>
    <w:tbl>
      <w:tblPr>
        <w:tblStyle w:val="TableGrid"/>
        <w:tblW w:w="0" w:type="auto"/>
        <w:tblLayout w:type="fixed"/>
        <w:tblLook w:val="04A0" w:firstRow="1" w:lastRow="0" w:firstColumn="1" w:lastColumn="0" w:noHBand="0" w:noVBand="1"/>
      </w:tblPr>
      <w:tblGrid>
        <w:gridCol w:w="1951"/>
        <w:gridCol w:w="2410"/>
        <w:gridCol w:w="1134"/>
        <w:gridCol w:w="936"/>
        <w:gridCol w:w="937"/>
        <w:gridCol w:w="937"/>
        <w:gridCol w:w="937"/>
      </w:tblGrid>
      <w:tr w:rsidR="002B2CFC" w:rsidRPr="002B2CFC" w14:paraId="290F4A1F" w14:textId="77777777" w:rsidTr="00441FE4">
        <w:tc>
          <w:tcPr>
            <w:tcW w:w="1951" w:type="dxa"/>
            <w:vMerge w:val="restart"/>
            <w:shd w:val="clear" w:color="auto" w:fill="BFBFBF" w:themeFill="background1" w:themeFillShade="BF"/>
            <w:vAlign w:val="center"/>
          </w:tcPr>
          <w:p w14:paraId="479CC204" w14:textId="77777777" w:rsidR="002B2CFC" w:rsidRPr="002B2CFC" w:rsidRDefault="002B2CFC" w:rsidP="002B2CFC">
            <w:pPr>
              <w:keepNext/>
              <w:keepLines/>
              <w:spacing w:before="240"/>
              <w:jc w:val="center"/>
              <w:rPr>
                <w:b/>
                <w:sz w:val="20"/>
                <w:szCs w:val="24"/>
                <w:lang w:val="en-US" w:eastAsia="en-US"/>
              </w:rPr>
            </w:pPr>
            <w:r w:rsidRPr="002B2CFC">
              <w:rPr>
                <w:b/>
                <w:sz w:val="20"/>
                <w:szCs w:val="24"/>
                <w:lang w:val="en-US" w:eastAsia="en-US"/>
              </w:rPr>
              <w:t>International Classification of Diseases-9</w:t>
            </w:r>
          </w:p>
        </w:tc>
        <w:tc>
          <w:tcPr>
            <w:tcW w:w="2410" w:type="dxa"/>
            <w:vMerge w:val="restart"/>
            <w:shd w:val="clear" w:color="auto" w:fill="BFBFBF" w:themeFill="background1" w:themeFillShade="BF"/>
            <w:vAlign w:val="center"/>
          </w:tcPr>
          <w:p w14:paraId="63CBEAE5" w14:textId="77777777" w:rsidR="002B2CFC" w:rsidRPr="002B2CFC" w:rsidRDefault="002B2CFC" w:rsidP="002B2CFC">
            <w:pPr>
              <w:keepNext/>
              <w:keepLines/>
              <w:spacing w:before="240"/>
              <w:jc w:val="center"/>
              <w:rPr>
                <w:b/>
                <w:sz w:val="20"/>
                <w:szCs w:val="24"/>
                <w:lang w:val="en-US" w:eastAsia="en-US"/>
              </w:rPr>
            </w:pPr>
            <w:r w:rsidRPr="002B2CFC">
              <w:rPr>
                <w:b/>
                <w:sz w:val="20"/>
                <w:szCs w:val="24"/>
                <w:lang w:val="en-US" w:eastAsia="en-US"/>
              </w:rPr>
              <w:t>Cause of death category</w:t>
            </w:r>
          </w:p>
        </w:tc>
        <w:tc>
          <w:tcPr>
            <w:tcW w:w="1134" w:type="dxa"/>
            <w:vMerge w:val="restart"/>
            <w:shd w:val="clear" w:color="auto" w:fill="BFBFBF" w:themeFill="background1" w:themeFillShade="BF"/>
            <w:vAlign w:val="center"/>
          </w:tcPr>
          <w:p w14:paraId="20FF2C0F" w14:textId="77777777" w:rsidR="002B2CFC" w:rsidRPr="002B2CFC" w:rsidRDefault="002B2CFC" w:rsidP="002B2CFC">
            <w:pPr>
              <w:keepNext/>
              <w:keepLines/>
              <w:spacing w:before="240"/>
              <w:jc w:val="center"/>
              <w:rPr>
                <w:b/>
                <w:sz w:val="20"/>
                <w:szCs w:val="24"/>
                <w:lang w:val="en-US" w:eastAsia="en-US"/>
              </w:rPr>
            </w:pPr>
            <w:r w:rsidRPr="002B2CFC">
              <w:rPr>
                <w:b/>
                <w:sz w:val="20"/>
                <w:szCs w:val="24"/>
                <w:lang w:val="en-US" w:eastAsia="en-US"/>
              </w:rPr>
              <w:t>Observed</w:t>
            </w:r>
          </w:p>
        </w:tc>
        <w:tc>
          <w:tcPr>
            <w:tcW w:w="1873" w:type="dxa"/>
            <w:gridSpan w:val="2"/>
            <w:shd w:val="clear" w:color="auto" w:fill="BFBFBF" w:themeFill="background1" w:themeFillShade="BF"/>
            <w:vAlign w:val="center"/>
          </w:tcPr>
          <w:p w14:paraId="7849FF42" w14:textId="77777777" w:rsidR="002B2CFC" w:rsidRPr="002B2CFC" w:rsidRDefault="002B2CFC" w:rsidP="002B2CFC">
            <w:pPr>
              <w:keepNext/>
              <w:keepLines/>
              <w:spacing w:before="240"/>
              <w:jc w:val="center"/>
              <w:rPr>
                <w:b/>
                <w:sz w:val="20"/>
                <w:szCs w:val="24"/>
                <w:lang w:val="en-US" w:eastAsia="en-US"/>
              </w:rPr>
            </w:pPr>
            <w:r w:rsidRPr="002B2CFC">
              <w:rPr>
                <w:b/>
                <w:sz w:val="20"/>
                <w:szCs w:val="24"/>
                <w:lang w:val="en-US" w:eastAsia="en-US"/>
              </w:rPr>
              <w:t>England &amp;Wales mortalities</w:t>
            </w:r>
          </w:p>
        </w:tc>
        <w:tc>
          <w:tcPr>
            <w:tcW w:w="1874" w:type="dxa"/>
            <w:gridSpan w:val="2"/>
            <w:shd w:val="clear" w:color="auto" w:fill="BFBFBF" w:themeFill="background1" w:themeFillShade="BF"/>
            <w:vAlign w:val="center"/>
          </w:tcPr>
          <w:p w14:paraId="49D26F94" w14:textId="77777777" w:rsidR="002B2CFC" w:rsidRPr="002B2CFC" w:rsidRDefault="002B2CFC" w:rsidP="002B2CFC">
            <w:pPr>
              <w:keepNext/>
              <w:keepLines/>
              <w:spacing w:before="240"/>
              <w:jc w:val="center"/>
              <w:rPr>
                <w:b/>
                <w:sz w:val="20"/>
                <w:szCs w:val="24"/>
                <w:lang w:val="en-US" w:eastAsia="en-US"/>
              </w:rPr>
            </w:pPr>
            <w:r w:rsidRPr="002B2CFC">
              <w:rPr>
                <w:b/>
                <w:sz w:val="20"/>
                <w:szCs w:val="24"/>
                <w:lang w:val="en-US" w:eastAsia="en-US"/>
              </w:rPr>
              <w:t>Local mortalities</w:t>
            </w:r>
          </w:p>
        </w:tc>
      </w:tr>
      <w:tr w:rsidR="002B2CFC" w:rsidRPr="002B2CFC" w14:paraId="0A330C63" w14:textId="77777777" w:rsidTr="00441FE4">
        <w:tc>
          <w:tcPr>
            <w:tcW w:w="1951" w:type="dxa"/>
            <w:vMerge/>
            <w:shd w:val="clear" w:color="auto" w:fill="BFBFBF" w:themeFill="background1" w:themeFillShade="BF"/>
          </w:tcPr>
          <w:p w14:paraId="4A9B5A6F" w14:textId="77777777" w:rsidR="002B2CFC" w:rsidRPr="002B2CFC" w:rsidRDefault="002B2CFC" w:rsidP="002B2CFC">
            <w:pPr>
              <w:keepNext/>
              <w:keepLines/>
              <w:jc w:val="center"/>
              <w:rPr>
                <w:b/>
                <w:sz w:val="20"/>
                <w:szCs w:val="24"/>
                <w:lang w:val="en-US" w:eastAsia="en-US"/>
              </w:rPr>
            </w:pPr>
          </w:p>
        </w:tc>
        <w:tc>
          <w:tcPr>
            <w:tcW w:w="2410" w:type="dxa"/>
            <w:vMerge/>
            <w:shd w:val="clear" w:color="auto" w:fill="BFBFBF" w:themeFill="background1" w:themeFillShade="BF"/>
            <w:vAlign w:val="center"/>
          </w:tcPr>
          <w:p w14:paraId="44E91FA1" w14:textId="77777777" w:rsidR="002B2CFC" w:rsidRPr="002B2CFC" w:rsidRDefault="002B2CFC" w:rsidP="002B2CFC">
            <w:pPr>
              <w:keepNext/>
              <w:keepLines/>
              <w:jc w:val="center"/>
              <w:rPr>
                <w:b/>
                <w:sz w:val="20"/>
                <w:szCs w:val="24"/>
                <w:lang w:val="en-US" w:eastAsia="en-US"/>
              </w:rPr>
            </w:pPr>
          </w:p>
        </w:tc>
        <w:tc>
          <w:tcPr>
            <w:tcW w:w="1134" w:type="dxa"/>
            <w:vMerge/>
            <w:shd w:val="clear" w:color="auto" w:fill="BFBFBF" w:themeFill="background1" w:themeFillShade="BF"/>
            <w:vAlign w:val="center"/>
          </w:tcPr>
          <w:p w14:paraId="3E6F2C05" w14:textId="77777777" w:rsidR="002B2CFC" w:rsidRPr="002B2CFC" w:rsidRDefault="002B2CFC" w:rsidP="002B2CFC">
            <w:pPr>
              <w:keepNext/>
              <w:keepLines/>
              <w:jc w:val="center"/>
              <w:rPr>
                <w:b/>
                <w:sz w:val="20"/>
                <w:szCs w:val="24"/>
                <w:lang w:val="en-US" w:eastAsia="en-US"/>
              </w:rPr>
            </w:pPr>
          </w:p>
        </w:tc>
        <w:tc>
          <w:tcPr>
            <w:tcW w:w="936" w:type="dxa"/>
            <w:shd w:val="clear" w:color="auto" w:fill="BFBFBF" w:themeFill="background1" w:themeFillShade="BF"/>
            <w:vAlign w:val="center"/>
          </w:tcPr>
          <w:p w14:paraId="49F88F10" w14:textId="77777777" w:rsidR="002B2CFC" w:rsidRPr="002B2CFC" w:rsidRDefault="002B2CFC" w:rsidP="002B2CFC">
            <w:pPr>
              <w:keepNext/>
              <w:keepLines/>
              <w:jc w:val="center"/>
              <w:rPr>
                <w:b/>
                <w:sz w:val="20"/>
                <w:szCs w:val="24"/>
                <w:lang w:val="en-US" w:eastAsia="en-US"/>
              </w:rPr>
            </w:pPr>
            <w:r w:rsidRPr="002B2CFC">
              <w:rPr>
                <w:b/>
                <w:sz w:val="20"/>
                <w:szCs w:val="24"/>
                <w:lang w:val="en-US" w:eastAsia="en-US"/>
              </w:rPr>
              <w:t>SMR</w:t>
            </w:r>
            <w:r w:rsidRPr="002B2CFC">
              <w:rPr>
                <w:b/>
                <w:sz w:val="20"/>
                <w:szCs w:val="24"/>
                <w:vertAlign w:val="superscript"/>
                <w:lang w:val="en-US" w:eastAsia="en-US"/>
              </w:rPr>
              <w:t>^</w:t>
            </w:r>
            <w:r w:rsidRPr="002B2CFC">
              <w:rPr>
                <w:b/>
                <w:sz w:val="20"/>
                <w:szCs w:val="24"/>
                <w:lang w:val="en-US" w:eastAsia="en-US"/>
              </w:rPr>
              <w:t xml:space="preserve"> </w:t>
            </w:r>
          </w:p>
        </w:tc>
        <w:tc>
          <w:tcPr>
            <w:tcW w:w="937" w:type="dxa"/>
            <w:shd w:val="clear" w:color="auto" w:fill="BFBFBF" w:themeFill="background1" w:themeFillShade="BF"/>
          </w:tcPr>
          <w:p w14:paraId="5F952B15" w14:textId="77777777" w:rsidR="002B2CFC" w:rsidRPr="002B2CFC" w:rsidRDefault="002B2CFC" w:rsidP="002B2CFC">
            <w:pPr>
              <w:keepNext/>
              <w:keepLines/>
              <w:jc w:val="center"/>
              <w:rPr>
                <w:b/>
                <w:sz w:val="20"/>
                <w:szCs w:val="24"/>
                <w:lang w:val="en-US" w:eastAsia="en-US"/>
              </w:rPr>
            </w:pPr>
            <w:r w:rsidRPr="002B2CFC">
              <w:rPr>
                <w:b/>
                <w:sz w:val="20"/>
                <w:szCs w:val="24"/>
                <w:lang w:val="en-US" w:eastAsia="en-US"/>
              </w:rPr>
              <w:t>(95% CI)</w:t>
            </w:r>
          </w:p>
        </w:tc>
        <w:tc>
          <w:tcPr>
            <w:tcW w:w="937" w:type="dxa"/>
            <w:shd w:val="clear" w:color="auto" w:fill="BFBFBF" w:themeFill="background1" w:themeFillShade="BF"/>
            <w:vAlign w:val="center"/>
          </w:tcPr>
          <w:p w14:paraId="78A2AF66" w14:textId="77777777" w:rsidR="002B2CFC" w:rsidRPr="002B2CFC" w:rsidRDefault="002B2CFC" w:rsidP="002B2CFC">
            <w:pPr>
              <w:keepNext/>
              <w:keepLines/>
              <w:jc w:val="center"/>
              <w:rPr>
                <w:b/>
                <w:sz w:val="20"/>
                <w:szCs w:val="24"/>
                <w:lang w:val="en-US" w:eastAsia="en-US"/>
              </w:rPr>
            </w:pPr>
            <w:r w:rsidRPr="002B2CFC">
              <w:rPr>
                <w:b/>
                <w:sz w:val="20"/>
                <w:szCs w:val="24"/>
                <w:lang w:val="en-US" w:eastAsia="en-US"/>
              </w:rPr>
              <w:t>SMR</w:t>
            </w:r>
            <w:r w:rsidRPr="002B2CFC">
              <w:rPr>
                <w:b/>
                <w:sz w:val="20"/>
                <w:szCs w:val="24"/>
                <w:vertAlign w:val="superscript"/>
                <w:lang w:val="en-US" w:eastAsia="en-US"/>
              </w:rPr>
              <w:t>^</w:t>
            </w:r>
            <w:r w:rsidRPr="002B2CFC">
              <w:rPr>
                <w:b/>
                <w:sz w:val="20"/>
                <w:szCs w:val="24"/>
                <w:lang w:val="en-US" w:eastAsia="en-US"/>
              </w:rPr>
              <w:t xml:space="preserve"> </w:t>
            </w:r>
          </w:p>
        </w:tc>
        <w:tc>
          <w:tcPr>
            <w:tcW w:w="937" w:type="dxa"/>
            <w:shd w:val="clear" w:color="auto" w:fill="BFBFBF" w:themeFill="background1" w:themeFillShade="BF"/>
          </w:tcPr>
          <w:p w14:paraId="142FD60A" w14:textId="77777777" w:rsidR="002B2CFC" w:rsidRPr="002B2CFC" w:rsidRDefault="002B2CFC" w:rsidP="002B2CFC">
            <w:pPr>
              <w:keepNext/>
              <w:keepLines/>
              <w:jc w:val="center"/>
              <w:rPr>
                <w:b/>
                <w:sz w:val="20"/>
                <w:szCs w:val="24"/>
                <w:lang w:val="en-US" w:eastAsia="en-US"/>
              </w:rPr>
            </w:pPr>
            <w:r w:rsidRPr="002B2CFC">
              <w:rPr>
                <w:b/>
                <w:sz w:val="20"/>
                <w:szCs w:val="24"/>
                <w:lang w:val="en-US" w:eastAsia="en-US"/>
              </w:rPr>
              <w:t>(95% CI)</w:t>
            </w:r>
          </w:p>
        </w:tc>
      </w:tr>
      <w:tr w:rsidR="002B2CFC" w:rsidRPr="002B2CFC" w14:paraId="2E56C572" w14:textId="77777777" w:rsidTr="00441FE4">
        <w:tc>
          <w:tcPr>
            <w:tcW w:w="1951" w:type="dxa"/>
          </w:tcPr>
          <w:p w14:paraId="636EE1C4" w14:textId="77777777" w:rsidR="002B2CFC" w:rsidRPr="002B2CFC" w:rsidRDefault="002B2CFC" w:rsidP="002B2CFC">
            <w:pPr>
              <w:keepNext/>
              <w:keepLines/>
              <w:rPr>
                <w:sz w:val="20"/>
                <w:szCs w:val="24"/>
                <w:lang w:val="en-US" w:eastAsia="en-US"/>
              </w:rPr>
            </w:pPr>
            <w:r w:rsidRPr="002B2CFC">
              <w:rPr>
                <w:sz w:val="20"/>
                <w:szCs w:val="24"/>
                <w:lang w:val="en-US" w:eastAsia="en-US"/>
              </w:rPr>
              <w:t>001-999</w:t>
            </w:r>
          </w:p>
        </w:tc>
        <w:tc>
          <w:tcPr>
            <w:tcW w:w="2410" w:type="dxa"/>
            <w:vAlign w:val="center"/>
          </w:tcPr>
          <w:p w14:paraId="2FD81810"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All causes of death</w:t>
            </w:r>
          </w:p>
        </w:tc>
        <w:tc>
          <w:tcPr>
            <w:tcW w:w="1134" w:type="dxa"/>
            <w:vAlign w:val="center"/>
          </w:tcPr>
          <w:p w14:paraId="101FDAF5"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292</w:t>
            </w:r>
          </w:p>
        </w:tc>
        <w:tc>
          <w:tcPr>
            <w:tcW w:w="936" w:type="dxa"/>
          </w:tcPr>
          <w:p w14:paraId="311FA4DF"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88* </w:t>
            </w:r>
          </w:p>
        </w:tc>
        <w:tc>
          <w:tcPr>
            <w:tcW w:w="937" w:type="dxa"/>
          </w:tcPr>
          <w:p w14:paraId="2604DDDF" w14:textId="77777777" w:rsidR="002B2CFC" w:rsidRPr="002B2CFC" w:rsidRDefault="002B2CFC" w:rsidP="002B2CFC">
            <w:pPr>
              <w:keepNext/>
              <w:keepLines/>
              <w:rPr>
                <w:sz w:val="20"/>
                <w:szCs w:val="24"/>
                <w:lang w:val="en-US" w:eastAsia="en-US"/>
              </w:rPr>
            </w:pPr>
            <w:r w:rsidRPr="002B2CFC">
              <w:rPr>
                <w:sz w:val="20"/>
                <w:szCs w:val="24"/>
                <w:lang w:val="en-US" w:eastAsia="en-US"/>
              </w:rPr>
              <w:t>(78-98)</w:t>
            </w:r>
          </w:p>
        </w:tc>
        <w:tc>
          <w:tcPr>
            <w:tcW w:w="937" w:type="dxa"/>
          </w:tcPr>
          <w:p w14:paraId="23C08C34"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76** </w:t>
            </w:r>
          </w:p>
        </w:tc>
        <w:tc>
          <w:tcPr>
            <w:tcW w:w="937" w:type="dxa"/>
          </w:tcPr>
          <w:p w14:paraId="2CCF78B7" w14:textId="77777777" w:rsidR="002B2CFC" w:rsidRPr="002B2CFC" w:rsidRDefault="002B2CFC" w:rsidP="002B2CFC">
            <w:pPr>
              <w:keepNext/>
              <w:keepLines/>
              <w:rPr>
                <w:sz w:val="20"/>
                <w:szCs w:val="24"/>
                <w:lang w:val="en-US" w:eastAsia="en-US"/>
              </w:rPr>
            </w:pPr>
            <w:r w:rsidRPr="002B2CFC">
              <w:rPr>
                <w:sz w:val="20"/>
                <w:szCs w:val="24"/>
                <w:lang w:val="en-US" w:eastAsia="en-US"/>
              </w:rPr>
              <w:t>(68-86)</w:t>
            </w:r>
          </w:p>
        </w:tc>
      </w:tr>
      <w:tr w:rsidR="002B2CFC" w:rsidRPr="002B2CFC" w14:paraId="5AD694E6" w14:textId="77777777" w:rsidTr="00441FE4">
        <w:tc>
          <w:tcPr>
            <w:tcW w:w="1951" w:type="dxa"/>
          </w:tcPr>
          <w:p w14:paraId="51E16C65" w14:textId="77777777" w:rsidR="002B2CFC" w:rsidRPr="002B2CFC" w:rsidRDefault="002B2CFC" w:rsidP="002B2CFC">
            <w:pPr>
              <w:keepNext/>
              <w:keepLines/>
              <w:rPr>
                <w:sz w:val="20"/>
                <w:szCs w:val="24"/>
                <w:lang w:val="en-US" w:eastAsia="en-US"/>
              </w:rPr>
            </w:pPr>
            <w:r w:rsidRPr="002B2CFC">
              <w:rPr>
                <w:sz w:val="20"/>
                <w:szCs w:val="24"/>
                <w:lang w:val="en-US" w:eastAsia="en-US"/>
              </w:rPr>
              <w:t>140-208</w:t>
            </w:r>
          </w:p>
        </w:tc>
        <w:tc>
          <w:tcPr>
            <w:tcW w:w="2410" w:type="dxa"/>
            <w:vAlign w:val="center"/>
          </w:tcPr>
          <w:p w14:paraId="5008518E"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Malignant neoplasms</w:t>
            </w:r>
          </w:p>
        </w:tc>
        <w:tc>
          <w:tcPr>
            <w:tcW w:w="1134" w:type="dxa"/>
            <w:vAlign w:val="center"/>
          </w:tcPr>
          <w:p w14:paraId="6A2D9FE2"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99</w:t>
            </w:r>
          </w:p>
        </w:tc>
        <w:tc>
          <w:tcPr>
            <w:tcW w:w="936" w:type="dxa"/>
          </w:tcPr>
          <w:p w14:paraId="735B7F22"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99 </w:t>
            </w:r>
          </w:p>
        </w:tc>
        <w:tc>
          <w:tcPr>
            <w:tcW w:w="937" w:type="dxa"/>
          </w:tcPr>
          <w:p w14:paraId="182939FC" w14:textId="77777777" w:rsidR="002B2CFC" w:rsidRPr="002B2CFC" w:rsidRDefault="002B2CFC" w:rsidP="002B2CFC">
            <w:pPr>
              <w:keepNext/>
              <w:keepLines/>
              <w:rPr>
                <w:sz w:val="20"/>
                <w:szCs w:val="24"/>
                <w:lang w:val="en-US" w:eastAsia="en-US"/>
              </w:rPr>
            </w:pPr>
            <w:r w:rsidRPr="002B2CFC">
              <w:rPr>
                <w:sz w:val="20"/>
                <w:szCs w:val="24"/>
                <w:lang w:val="en-US" w:eastAsia="en-US"/>
              </w:rPr>
              <w:t>(81-121)</w:t>
            </w:r>
          </w:p>
        </w:tc>
        <w:tc>
          <w:tcPr>
            <w:tcW w:w="937" w:type="dxa"/>
          </w:tcPr>
          <w:p w14:paraId="00A22B21"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85 </w:t>
            </w:r>
          </w:p>
        </w:tc>
        <w:tc>
          <w:tcPr>
            <w:tcW w:w="937" w:type="dxa"/>
          </w:tcPr>
          <w:p w14:paraId="685D3567" w14:textId="77777777" w:rsidR="002B2CFC" w:rsidRPr="002B2CFC" w:rsidRDefault="002B2CFC" w:rsidP="002B2CFC">
            <w:pPr>
              <w:keepNext/>
              <w:keepLines/>
              <w:rPr>
                <w:sz w:val="20"/>
                <w:szCs w:val="24"/>
                <w:lang w:val="en-US" w:eastAsia="en-US"/>
              </w:rPr>
            </w:pPr>
            <w:r w:rsidRPr="002B2CFC">
              <w:rPr>
                <w:sz w:val="20"/>
                <w:szCs w:val="24"/>
                <w:lang w:val="en-US" w:eastAsia="en-US"/>
              </w:rPr>
              <w:t>(69-104)</w:t>
            </w:r>
          </w:p>
        </w:tc>
      </w:tr>
      <w:tr w:rsidR="002B2CFC" w:rsidRPr="002B2CFC" w14:paraId="6A8C81BA" w14:textId="77777777" w:rsidTr="00441FE4">
        <w:tc>
          <w:tcPr>
            <w:tcW w:w="1951" w:type="dxa"/>
          </w:tcPr>
          <w:p w14:paraId="751B10BF" w14:textId="77777777" w:rsidR="002B2CFC" w:rsidRPr="002B2CFC" w:rsidRDefault="002B2CFC" w:rsidP="002B2CFC">
            <w:pPr>
              <w:keepNext/>
              <w:keepLines/>
              <w:rPr>
                <w:sz w:val="20"/>
                <w:szCs w:val="24"/>
                <w:lang w:val="en-US" w:eastAsia="en-US"/>
              </w:rPr>
            </w:pPr>
            <w:r w:rsidRPr="002B2CFC">
              <w:rPr>
                <w:sz w:val="20"/>
                <w:szCs w:val="24"/>
                <w:lang w:val="en-US" w:eastAsia="en-US"/>
              </w:rPr>
              <w:t>160-165</w:t>
            </w:r>
          </w:p>
        </w:tc>
        <w:tc>
          <w:tcPr>
            <w:tcW w:w="2410" w:type="dxa"/>
            <w:vAlign w:val="center"/>
          </w:tcPr>
          <w:p w14:paraId="2A5E5D62"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Respiratory system</w:t>
            </w:r>
          </w:p>
        </w:tc>
        <w:tc>
          <w:tcPr>
            <w:tcW w:w="1134" w:type="dxa"/>
            <w:vAlign w:val="center"/>
          </w:tcPr>
          <w:p w14:paraId="013144F5"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30</w:t>
            </w:r>
          </w:p>
        </w:tc>
        <w:tc>
          <w:tcPr>
            <w:tcW w:w="936" w:type="dxa"/>
          </w:tcPr>
          <w:p w14:paraId="5A2F2200"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91 </w:t>
            </w:r>
          </w:p>
        </w:tc>
        <w:tc>
          <w:tcPr>
            <w:tcW w:w="937" w:type="dxa"/>
          </w:tcPr>
          <w:p w14:paraId="5D384047" w14:textId="77777777" w:rsidR="002B2CFC" w:rsidRPr="002B2CFC" w:rsidRDefault="002B2CFC" w:rsidP="002B2CFC">
            <w:pPr>
              <w:keepNext/>
              <w:keepLines/>
              <w:rPr>
                <w:sz w:val="20"/>
                <w:szCs w:val="24"/>
                <w:lang w:val="en-US" w:eastAsia="en-US"/>
              </w:rPr>
            </w:pPr>
            <w:r w:rsidRPr="002B2CFC">
              <w:rPr>
                <w:sz w:val="20"/>
                <w:szCs w:val="24"/>
                <w:lang w:val="en-US" w:eastAsia="en-US"/>
              </w:rPr>
              <w:t>(62-131)</w:t>
            </w:r>
          </w:p>
        </w:tc>
        <w:tc>
          <w:tcPr>
            <w:tcW w:w="937" w:type="dxa"/>
          </w:tcPr>
          <w:p w14:paraId="5206C6C6"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72 </w:t>
            </w:r>
          </w:p>
        </w:tc>
        <w:tc>
          <w:tcPr>
            <w:tcW w:w="937" w:type="dxa"/>
          </w:tcPr>
          <w:p w14:paraId="690471BE" w14:textId="77777777" w:rsidR="002B2CFC" w:rsidRPr="002B2CFC" w:rsidRDefault="002B2CFC" w:rsidP="002B2CFC">
            <w:pPr>
              <w:keepNext/>
              <w:keepLines/>
              <w:rPr>
                <w:sz w:val="20"/>
                <w:szCs w:val="24"/>
                <w:lang w:val="en-US" w:eastAsia="en-US"/>
              </w:rPr>
            </w:pPr>
            <w:r w:rsidRPr="002B2CFC">
              <w:rPr>
                <w:sz w:val="20"/>
                <w:szCs w:val="24"/>
                <w:lang w:val="en-US" w:eastAsia="en-US"/>
              </w:rPr>
              <w:t>(49-103)</w:t>
            </w:r>
          </w:p>
        </w:tc>
      </w:tr>
      <w:tr w:rsidR="002B2CFC" w:rsidRPr="002B2CFC" w14:paraId="589D16D0" w14:textId="77777777" w:rsidTr="00441FE4">
        <w:tc>
          <w:tcPr>
            <w:tcW w:w="1951" w:type="dxa"/>
          </w:tcPr>
          <w:p w14:paraId="2B59B881" w14:textId="77777777" w:rsidR="002B2CFC" w:rsidRPr="002B2CFC" w:rsidRDefault="002B2CFC" w:rsidP="002B2CFC">
            <w:pPr>
              <w:keepNext/>
              <w:keepLines/>
              <w:rPr>
                <w:sz w:val="20"/>
                <w:szCs w:val="24"/>
                <w:lang w:val="en-US" w:eastAsia="en-US"/>
              </w:rPr>
            </w:pPr>
            <w:r w:rsidRPr="002B2CFC">
              <w:rPr>
                <w:sz w:val="20"/>
                <w:szCs w:val="24"/>
                <w:lang w:val="en-US" w:eastAsia="en-US"/>
              </w:rPr>
              <w:t>162</w:t>
            </w:r>
          </w:p>
        </w:tc>
        <w:tc>
          <w:tcPr>
            <w:tcW w:w="2410" w:type="dxa"/>
            <w:vAlign w:val="center"/>
          </w:tcPr>
          <w:p w14:paraId="2C07F0FA"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Bronchus, trachea and lung</w:t>
            </w:r>
          </w:p>
        </w:tc>
        <w:tc>
          <w:tcPr>
            <w:tcW w:w="1134" w:type="dxa"/>
            <w:vAlign w:val="center"/>
          </w:tcPr>
          <w:p w14:paraId="47B45E91"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29</w:t>
            </w:r>
          </w:p>
        </w:tc>
        <w:tc>
          <w:tcPr>
            <w:tcW w:w="936" w:type="dxa"/>
          </w:tcPr>
          <w:p w14:paraId="6D9CBFE8"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93 </w:t>
            </w:r>
          </w:p>
        </w:tc>
        <w:tc>
          <w:tcPr>
            <w:tcW w:w="937" w:type="dxa"/>
          </w:tcPr>
          <w:p w14:paraId="317B2251" w14:textId="77777777" w:rsidR="002B2CFC" w:rsidRPr="002B2CFC" w:rsidRDefault="002B2CFC" w:rsidP="002B2CFC">
            <w:pPr>
              <w:keepNext/>
              <w:keepLines/>
              <w:rPr>
                <w:sz w:val="20"/>
                <w:szCs w:val="24"/>
                <w:lang w:val="en-US" w:eastAsia="en-US"/>
              </w:rPr>
            </w:pPr>
            <w:r w:rsidRPr="002B2CFC">
              <w:rPr>
                <w:sz w:val="20"/>
                <w:szCs w:val="24"/>
                <w:lang w:val="en-US" w:eastAsia="en-US"/>
              </w:rPr>
              <w:t>(62-133)</w:t>
            </w:r>
          </w:p>
        </w:tc>
        <w:tc>
          <w:tcPr>
            <w:tcW w:w="937" w:type="dxa"/>
          </w:tcPr>
          <w:p w14:paraId="5BE03ACA"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73 </w:t>
            </w:r>
          </w:p>
        </w:tc>
        <w:tc>
          <w:tcPr>
            <w:tcW w:w="937" w:type="dxa"/>
          </w:tcPr>
          <w:p w14:paraId="443C4E85" w14:textId="77777777" w:rsidR="002B2CFC" w:rsidRPr="002B2CFC" w:rsidRDefault="002B2CFC" w:rsidP="002B2CFC">
            <w:pPr>
              <w:keepNext/>
              <w:keepLines/>
              <w:rPr>
                <w:sz w:val="20"/>
                <w:szCs w:val="24"/>
                <w:lang w:val="en-US" w:eastAsia="en-US"/>
              </w:rPr>
            </w:pPr>
            <w:r w:rsidRPr="002B2CFC">
              <w:rPr>
                <w:sz w:val="20"/>
                <w:szCs w:val="24"/>
                <w:lang w:val="en-US" w:eastAsia="en-US"/>
              </w:rPr>
              <w:t>(49-105)</w:t>
            </w:r>
          </w:p>
        </w:tc>
      </w:tr>
      <w:tr w:rsidR="002B2CFC" w:rsidRPr="002B2CFC" w14:paraId="47E63222" w14:textId="77777777" w:rsidTr="00441FE4">
        <w:tc>
          <w:tcPr>
            <w:tcW w:w="1951" w:type="dxa"/>
          </w:tcPr>
          <w:p w14:paraId="1D8102E1" w14:textId="77777777" w:rsidR="002B2CFC" w:rsidRPr="002B2CFC" w:rsidRDefault="002B2CFC" w:rsidP="002B2CFC">
            <w:pPr>
              <w:keepNext/>
              <w:keepLines/>
              <w:rPr>
                <w:sz w:val="20"/>
                <w:szCs w:val="24"/>
                <w:lang w:val="en-US" w:eastAsia="en-US"/>
              </w:rPr>
            </w:pPr>
            <w:r w:rsidRPr="002B2CFC">
              <w:rPr>
                <w:sz w:val="20"/>
                <w:szCs w:val="24"/>
                <w:lang w:val="en-US" w:eastAsia="en-US"/>
              </w:rPr>
              <w:t>320-359</w:t>
            </w:r>
          </w:p>
        </w:tc>
        <w:tc>
          <w:tcPr>
            <w:tcW w:w="2410" w:type="dxa"/>
            <w:vAlign w:val="center"/>
          </w:tcPr>
          <w:p w14:paraId="795838FE"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Neurological diseases</w:t>
            </w:r>
          </w:p>
        </w:tc>
        <w:tc>
          <w:tcPr>
            <w:tcW w:w="1134" w:type="dxa"/>
            <w:vAlign w:val="center"/>
          </w:tcPr>
          <w:p w14:paraId="488F5E83"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1</w:t>
            </w:r>
          </w:p>
        </w:tc>
        <w:tc>
          <w:tcPr>
            <w:tcW w:w="936" w:type="dxa"/>
          </w:tcPr>
          <w:p w14:paraId="3F299358"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16* </w:t>
            </w:r>
          </w:p>
        </w:tc>
        <w:tc>
          <w:tcPr>
            <w:tcW w:w="937" w:type="dxa"/>
          </w:tcPr>
          <w:p w14:paraId="390662F2" w14:textId="77777777" w:rsidR="002B2CFC" w:rsidRPr="002B2CFC" w:rsidRDefault="002B2CFC" w:rsidP="002B2CFC">
            <w:pPr>
              <w:keepNext/>
              <w:keepLines/>
              <w:rPr>
                <w:sz w:val="20"/>
                <w:szCs w:val="24"/>
                <w:lang w:val="en-US" w:eastAsia="en-US"/>
              </w:rPr>
            </w:pPr>
            <w:r w:rsidRPr="002B2CFC">
              <w:rPr>
                <w:sz w:val="20"/>
                <w:szCs w:val="24"/>
                <w:lang w:val="en-US" w:eastAsia="en-US"/>
              </w:rPr>
              <w:t>(0-88)</w:t>
            </w:r>
          </w:p>
        </w:tc>
        <w:tc>
          <w:tcPr>
            <w:tcW w:w="937" w:type="dxa"/>
          </w:tcPr>
          <w:p w14:paraId="450EBECC"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16* </w:t>
            </w:r>
          </w:p>
        </w:tc>
        <w:tc>
          <w:tcPr>
            <w:tcW w:w="937" w:type="dxa"/>
          </w:tcPr>
          <w:p w14:paraId="61BA6CA0" w14:textId="77777777" w:rsidR="002B2CFC" w:rsidRPr="002B2CFC" w:rsidRDefault="002B2CFC" w:rsidP="002B2CFC">
            <w:pPr>
              <w:keepNext/>
              <w:keepLines/>
              <w:rPr>
                <w:sz w:val="20"/>
                <w:szCs w:val="24"/>
                <w:lang w:val="en-US" w:eastAsia="en-US"/>
              </w:rPr>
            </w:pPr>
            <w:r w:rsidRPr="002B2CFC">
              <w:rPr>
                <w:sz w:val="20"/>
                <w:szCs w:val="24"/>
                <w:lang w:val="en-US" w:eastAsia="en-US"/>
              </w:rPr>
              <w:t>(0-88)</w:t>
            </w:r>
          </w:p>
        </w:tc>
      </w:tr>
      <w:tr w:rsidR="002B2CFC" w:rsidRPr="002B2CFC" w14:paraId="1E8B8A94" w14:textId="77777777" w:rsidTr="00441FE4">
        <w:tc>
          <w:tcPr>
            <w:tcW w:w="1951" w:type="dxa"/>
            <w:shd w:val="clear" w:color="auto" w:fill="D9D9D9" w:themeFill="background1" w:themeFillShade="D9"/>
          </w:tcPr>
          <w:p w14:paraId="651E0D6E" w14:textId="77777777" w:rsidR="002B2CFC" w:rsidRPr="002B2CFC" w:rsidRDefault="002B2CFC" w:rsidP="002B2CFC">
            <w:pPr>
              <w:keepNext/>
              <w:keepLines/>
              <w:rPr>
                <w:sz w:val="20"/>
                <w:szCs w:val="24"/>
                <w:lang w:val="en-US" w:eastAsia="en-US"/>
              </w:rPr>
            </w:pPr>
            <w:r w:rsidRPr="002B2CFC">
              <w:rPr>
                <w:sz w:val="20"/>
                <w:szCs w:val="24"/>
                <w:lang w:val="en-US" w:eastAsia="en-US"/>
              </w:rPr>
              <w:t>332.0</w:t>
            </w:r>
          </w:p>
        </w:tc>
        <w:tc>
          <w:tcPr>
            <w:tcW w:w="2410" w:type="dxa"/>
            <w:shd w:val="clear" w:color="auto" w:fill="D9D9D9" w:themeFill="background1" w:themeFillShade="D9"/>
            <w:vAlign w:val="center"/>
          </w:tcPr>
          <w:p w14:paraId="4CF60EF3"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Parkinson’s disease</w:t>
            </w:r>
          </w:p>
        </w:tc>
        <w:tc>
          <w:tcPr>
            <w:tcW w:w="1134" w:type="dxa"/>
            <w:shd w:val="clear" w:color="auto" w:fill="D9D9D9" w:themeFill="background1" w:themeFillShade="D9"/>
            <w:vAlign w:val="center"/>
          </w:tcPr>
          <w:p w14:paraId="16A85FE4"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1</w:t>
            </w:r>
          </w:p>
        </w:tc>
        <w:tc>
          <w:tcPr>
            <w:tcW w:w="936" w:type="dxa"/>
            <w:shd w:val="clear" w:color="auto" w:fill="D9D9D9" w:themeFill="background1" w:themeFillShade="D9"/>
          </w:tcPr>
          <w:p w14:paraId="5473589C"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55 </w:t>
            </w:r>
          </w:p>
        </w:tc>
        <w:tc>
          <w:tcPr>
            <w:tcW w:w="937" w:type="dxa"/>
            <w:shd w:val="clear" w:color="auto" w:fill="D9D9D9" w:themeFill="background1" w:themeFillShade="D9"/>
          </w:tcPr>
          <w:p w14:paraId="681B4E02" w14:textId="77777777" w:rsidR="002B2CFC" w:rsidRPr="002B2CFC" w:rsidRDefault="002B2CFC" w:rsidP="002B2CFC">
            <w:pPr>
              <w:keepNext/>
              <w:keepLines/>
              <w:rPr>
                <w:sz w:val="20"/>
                <w:szCs w:val="24"/>
                <w:lang w:val="en-US" w:eastAsia="en-US"/>
              </w:rPr>
            </w:pPr>
            <w:r w:rsidRPr="002B2CFC">
              <w:rPr>
                <w:sz w:val="20"/>
                <w:szCs w:val="24"/>
                <w:lang w:val="en-US" w:eastAsia="en-US"/>
              </w:rPr>
              <w:t>(1-309)</w:t>
            </w:r>
          </w:p>
        </w:tc>
        <w:tc>
          <w:tcPr>
            <w:tcW w:w="937" w:type="dxa"/>
            <w:shd w:val="clear" w:color="auto" w:fill="D9D9D9" w:themeFill="background1" w:themeFillShade="D9"/>
          </w:tcPr>
          <w:p w14:paraId="7A8C8DCC"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61 </w:t>
            </w:r>
          </w:p>
        </w:tc>
        <w:tc>
          <w:tcPr>
            <w:tcW w:w="937" w:type="dxa"/>
            <w:shd w:val="clear" w:color="auto" w:fill="D9D9D9" w:themeFill="background1" w:themeFillShade="D9"/>
          </w:tcPr>
          <w:p w14:paraId="7D28BA99" w14:textId="77777777" w:rsidR="002B2CFC" w:rsidRPr="002B2CFC" w:rsidRDefault="002B2CFC" w:rsidP="002B2CFC">
            <w:pPr>
              <w:keepNext/>
              <w:keepLines/>
              <w:rPr>
                <w:sz w:val="20"/>
                <w:szCs w:val="24"/>
                <w:lang w:val="en-US" w:eastAsia="en-US"/>
              </w:rPr>
            </w:pPr>
            <w:r w:rsidRPr="002B2CFC">
              <w:rPr>
                <w:sz w:val="20"/>
                <w:szCs w:val="24"/>
                <w:lang w:val="en-US" w:eastAsia="en-US"/>
              </w:rPr>
              <w:t>(2-340)</w:t>
            </w:r>
          </w:p>
        </w:tc>
      </w:tr>
      <w:tr w:rsidR="002B2CFC" w:rsidRPr="002B2CFC" w14:paraId="1AC9A9A6" w14:textId="77777777" w:rsidTr="00441FE4">
        <w:tc>
          <w:tcPr>
            <w:tcW w:w="1951" w:type="dxa"/>
            <w:shd w:val="clear" w:color="auto" w:fill="D9D9D9" w:themeFill="background1" w:themeFillShade="D9"/>
          </w:tcPr>
          <w:p w14:paraId="6A500124" w14:textId="77777777" w:rsidR="002B2CFC" w:rsidRPr="002B2CFC" w:rsidRDefault="002B2CFC" w:rsidP="002B2CFC">
            <w:pPr>
              <w:keepNext/>
              <w:keepLines/>
              <w:rPr>
                <w:sz w:val="20"/>
                <w:szCs w:val="24"/>
                <w:lang w:val="en-US" w:eastAsia="en-US"/>
              </w:rPr>
            </w:pPr>
            <w:r w:rsidRPr="002B2CFC">
              <w:rPr>
                <w:sz w:val="20"/>
                <w:szCs w:val="24"/>
                <w:lang w:val="en-US" w:eastAsia="en-US"/>
              </w:rPr>
              <w:t>332.0</w:t>
            </w:r>
          </w:p>
        </w:tc>
        <w:tc>
          <w:tcPr>
            <w:tcW w:w="2410" w:type="dxa"/>
            <w:shd w:val="clear" w:color="auto" w:fill="D9D9D9" w:themeFill="background1" w:themeFillShade="D9"/>
            <w:vAlign w:val="center"/>
          </w:tcPr>
          <w:p w14:paraId="1A48B6D2"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Parkinson’s disease (mentioned</w:t>
            </w:r>
            <w:r w:rsidRPr="002B2CFC">
              <w:rPr>
                <w:sz w:val="20"/>
                <w:szCs w:val="24"/>
                <w:vertAlign w:val="superscript"/>
                <w:lang w:val="en-US" w:eastAsia="en-US"/>
              </w:rPr>
              <w:t>#</w:t>
            </w:r>
            <w:r w:rsidRPr="002B2CFC">
              <w:rPr>
                <w:sz w:val="20"/>
                <w:szCs w:val="24"/>
                <w:lang w:val="en-US" w:eastAsia="en-US"/>
              </w:rPr>
              <w:t>)</w:t>
            </w:r>
          </w:p>
        </w:tc>
        <w:tc>
          <w:tcPr>
            <w:tcW w:w="1134" w:type="dxa"/>
            <w:shd w:val="clear" w:color="auto" w:fill="D9D9D9" w:themeFill="background1" w:themeFillShade="D9"/>
            <w:vAlign w:val="center"/>
          </w:tcPr>
          <w:p w14:paraId="729A499D"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1</w:t>
            </w:r>
          </w:p>
        </w:tc>
        <w:tc>
          <w:tcPr>
            <w:tcW w:w="936" w:type="dxa"/>
            <w:shd w:val="clear" w:color="auto" w:fill="D9D9D9" w:themeFill="background1" w:themeFillShade="D9"/>
          </w:tcPr>
          <w:p w14:paraId="2406F623"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31 </w:t>
            </w:r>
          </w:p>
        </w:tc>
        <w:tc>
          <w:tcPr>
            <w:tcW w:w="937" w:type="dxa"/>
            <w:shd w:val="clear" w:color="auto" w:fill="D9D9D9" w:themeFill="background1" w:themeFillShade="D9"/>
          </w:tcPr>
          <w:p w14:paraId="3A1D57FC" w14:textId="77777777" w:rsidR="002B2CFC" w:rsidRPr="002B2CFC" w:rsidRDefault="002B2CFC" w:rsidP="002B2CFC">
            <w:pPr>
              <w:keepNext/>
              <w:keepLines/>
              <w:rPr>
                <w:sz w:val="20"/>
                <w:szCs w:val="24"/>
                <w:lang w:val="en-US" w:eastAsia="en-US"/>
              </w:rPr>
            </w:pPr>
            <w:r w:rsidRPr="002B2CFC">
              <w:rPr>
                <w:sz w:val="20"/>
                <w:szCs w:val="24"/>
                <w:lang w:val="en-US" w:eastAsia="en-US"/>
              </w:rPr>
              <w:t>(1-171)</w:t>
            </w:r>
          </w:p>
        </w:tc>
        <w:tc>
          <w:tcPr>
            <w:tcW w:w="937" w:type="dxa"/>
            <w:shd w:val="clear" w:color="auto" w:fill="D9D9D9" w:themeFill="background1" w:themeFillShade="D9"/>
          </w:tcPr>
          <w:p w14:paraId="12C52C07"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32 </w:t>
            </w:r>
          </w:p>
        </w:tc>
        <w:tc>
          <w:tcPr>
            <w:tcW w:w="937" w:type="dxa"/>
            <w:shd w:val="clear" w:color="auto" w:fill="D9D9D9" w:themeFill="background1" w:themeFillShade="D9"/>
          </w:tcPr>
          <w:p w14:paraId="3136B4FA" w14:textId="77777777" w:rsidR="002B2CFC" w:rsidRPr="002B2CFC" w:rsidRDefault="002B2CFC" w:rsidP="002B2CFC">
            <w:pPr>
              <w:keepNext/>
              <w:keepLines/>
              <w:rPr>
                <w:sz w:val="20"/>
                <w:szCs w:val="24"/>
                <w:lang w:val="en-US" w:eastAsia="en-US"/>
              </w:rPr>
            </w:pPr>
            <w:r w:rsidRPr="002B2CFC">
              <w:rPr>
                <w:sz w:val="20"/>
                <w:szCs w:val="24"/>
                <w:lang w:val="en-US" w:eastAsia="en-US"/>
              </w:rPr>
              <w:t>(1-176)</w:t>
            </w:r>
          </w:p>
        </w:tc>
      </w:tr>
      <w:tr w:rsidR="002B2CFC" w:rsidRPr="002B2CFC" w14:paraId="3FC2C62C" w14:textId="77777777" w:rsidTr="00441FE4">
        <w:tc>
          <w:tcPr>
            <w:tcW w:w="1951" w:type="dxa"/>
          </w:tcPr>
          <w:p w14:paraId="457DFC14" w14:textId="77777777" w:rsidR="002B2CFC" w:rsidRPr="002B2CFC" w:rsidRDefault="002B2CFC" w:rsidP="002B2CFC">
            <w:pPr>
              <w:keepNext/>
              <w:keepLines/>
              <w:rPr>
                <w:sz w:val="20"/>
                <w:szCs w:val="24"/>
                <w:lang w:val="en-US" w:eastAsia="en-US"/>
              </w:rPr>
            </w:pPr>
            <w:r w:rsidRPr="002B2CFC">
              <w:rPr>
                <w:sz w:val="20"/>
                <w:szCs w:val="24"/>
                <w:lang w:val="en-US" w:eastAsia="en-US"/>
              </w:rPr>
              <w:t>390-398, 402, 404, 410-429</w:t>
            </w:r>
          </w:p>
        </w:tc>
        <w:tc>
          <w:tcPr>
            <w:tcW w:w="2410" w:type="dxa"/>
            <w:vAlign w:val="center"/>
          </w:tcPr>
          <w:p w14:paraId="0D3C5CA4"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All heart disease</w:t>
            </w:r>
          </w:p>
        </w:tc>
        <w:tc>
          <w:tcPr>
            <w:tcW w:w="1134" w:type="dxa"/>
            <w:vAlign w:val="center"/>
          </w:tcPr>
          <w:p w14:paraId="5FBABD18"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92</w:t>
            </w:r>
          </w:p>
        </w:tc>
        <w:tc>
          <w:tcPr>
            <w:tcW w:w="936" w:type="dxa"/>
          </w:tcPr>
          <w:p w14:paraId="19F5206E"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85 </w:t>
            </w:r>
          </w:p>
        </w:tc>
        <w:tc>
          <w:tcPr>
            <w:tcW w:w="937" w:type="dxa"/>
          </w:tcPr>
          <w:p w14:paraId="6BE9E636" w14:textId="77777777" w:rsidR="002B2CFC" w:rsidRPr="002B2CFC" w:rsidRDefault="002B2CFC" w:rsidP="002B2CFC">
            <w:pPr>
              <w:keepNext/>
              <w:keepLines/>
              <w:rPr>
                <w:sz w:val="20"/>
                <w:szCs w:val="24"/>
                <w:lang w:val="en-US" w:eastAsia="en-US"/>
              </w:rPr>
            </w:pPr>
            <w:r w:rsidRPr="002B2CFC">
              <w:rPr>
                <w:sz w:val="20"/>
                <w:szCs w:val="24"/>
                <w:lang w:val="en-US" w:eastAsia="en-US"/>
              </w:rPr>
              <w:t>(68-104)</w:t>
            </w:r>
          </w:p>
        </w:tc>
        <w:tc>
          <w:tcPr>
            <w:tcW w:w="937" w:type="dxa"/>
          </w:tcPr>
          <w:p w14:paraId="0731A60C"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74** </w:t>
            </w:r>
          </w:p>
        </w:tc>
        <w:tc>
          <w:tcPr>
            <w:tcW w:w="937" w:type="dxa"/>
          </w:tcPr>
          <w:p w14:paraId="16BBDABA" w14:textId="77777777" w:rsidR="002B2CFC" w:rsidRPr="002B2CFC" w:rsidRDefault="002B2CFC" w:rsidP="002B2CFC">
            <w:pPr>
              <w:keepNext/>
              <w:keepLines/>
              <w:rPr>
                <w:sz w:val="20"/>
                <w:szCs w:val="24"/>
                <w:lang w:val="en-US" w:eastAsia="en-US"/>
              </w:rPr>
            </w:pPr>
            <w:r w:rsidRPr="002B2CFC">
              <w:rPr>
                <w:sz w:val="20"/>
                <w:szCs w:val="24"/>
                <w:lang w:val="en-US" w:eastAsia="en-US"/>
              </w:rPr>
              <w:t>(60-91)</w:t>
            </w:r>
          </w:p>
        </w:tc>
      </w:tr>
      <w:tr w:rsidR="002B2CFC" w:rsidRPr="002B2CFC" w14:paraId="406847F0" w14:textId="77777777" w:rsidTr="00441FE4">
        <w:tc>
          <w:tcPr>
            <w:tcW w:w="1951" w:type="dxa"/>
          </w:tcPr>
          <w:p w14:paraId="2E394D18" w14:textId="77777777" w:rsidR="002B2CFC" w:rsidRPr="002B2CFC" w:rsidRDefault="002B2CFC" w:rsidP="002B2CFC">
            <w:pPr>
              <w:keepNext/>
              <w:keepLines/>
              <w:rPr>
                <w:sz w:val="20"/>
                <w:szCs w:val="24"/>
                <w:lang w:val="en-US" w:eastAsia="en-US"/>
              </w:rPr>
            </w:pPr>
            <w:r w:rsidRPr="002B2CFC">
              <w:rPr>
                <w:sz w:val="20"/>
                <w:szCs w:val="24"/>
                <w:lang w:val="en-US" w:eastAsia="en-US"/>
              </w:rPr>
              <w:t>430-438</w:t>
            </w:r>
          </w:p>
        </w:tc>
        <w:tc>
          <w:tcPr>
            <w:tcW w:w="2410" w:type="dxa"/>
            <w:vAlign w:val="center"/>
          </w:tcPr>
          <w:p w14:paraId="674F53A7"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Cerebrovascular disease</w:t>
            </w:r>
          </w:p>
        </w:tc>
        <w:tc>
          <w:tcPr>
            <w:tcW w:w="1134" w:type="dxa"/>
            <w:vAlign w:val="center"/>
          </w:tcPr>
          <w:p w14:paraId="694927E0"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22</w:t>
            </w:r>
          </w:p>
        </w:tc>
        <w:tc>
          <w:tcPr>
            <w:tcW w:w="936" w:type="dxa"/>
          </w:tcPr>
          <w:p w14:paraId="368BA008"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89 </w:t>
            </w:r>
          </w:p>
        </w:tc>
        <w:tc>
          <w:tcPr>
            <w:tcW w:w="937" w:type="dxa"/>
          </w:tcPr>
          <w:p w14:paraId="25871CB6" w14:textId="77777777" w:rsidR="002B2CFC" w:rsidRPr="002B2CFC" w:rsidRDefault="002B2CFC" w:rsidP="002B2CFC">
            <w:pPr>
              <w:keepNext/>
              <w:keepLines/>
              <w:rPr>
                <w:sz w:val="20"/>
                <w:szCs w:val="24"/>
                <w:lang w:val="en-US" w:eastAsia="en-US"/>
              </w:rPr>
            </w:pPr>
            <w:r w:rsidRPr="002B2CFC">
              <w:rPr>
                <w:sz w:val="20"/>
                <w:szCs w:val="24"/>
                <w:lang w:val="en-US" w:eastAsia="en-US"/>
              </w:rPr>
              <w:t>(56-135)</w:t>
            </w:r>
          </w:p>
        </w:tc>
        <w:tc>
          <w:tcPr>
            <w:tcW w:w="937" w:type="dxa"/>
          </w:tcPr>
          <w:p w14:paraId="4B6548BC"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80 </w:t>
            </w:r>
          </w:p>
        </w:tc>
        <w:tc>
          <w:tcPr>
            <w:tcW w:w="937" w:type="dxa"/>
          </w:tcPr>
          <w:p w14:paraId="07A42D3E" w14:textId="77777777" w:rsidR="002B2CFC" w:rsidRPr="002B2CFC" w:rsidRDefault="002B2CFC" w:rsidP="002B2CFC">
            <w:pPr>
              <w:keepNext/>
              <w:keepLines/>
              <w:rPr>
                <w:sz w:val="20"/>
                <w:szCs w:val="24"/>
                <w:lang w:val="en-US" w:eastAsia="en-US"/>
              </w:rPr>
            </w:pPr>
            <w:r w:rsidRPr="002B2CFC">
              <w:rPr>
                <w:sz w:val="20"/>
                <w:szCs w:val="24"/>
                <w:lang w:val="en-US" w:eastAsia="en-US"/>
              </w:rPr>
              <w:t>(50-121)</w:t>
            </w:r>
          </w:p>
        </w:tc>
      </w:tr>
      <w:tr w:rsidR="002B2CFC" w:rsidRPr="002B2CFC" w14:paraId="17210E10" w14:textId="77777777" w:rsidTr="00441FE4">
        <w:tc>
          <w:tcPr>
            <w:tcW w:w="1951" w:type="dxa"/>
          </w:tcPr>
          <w:p w14:paraId="7B9CA6AA" w14:textId="77777777" w:rsidR="002B2CFC" w:rsidRPr="002B2CFC" w:rsidRDefault="002B2CFC" w:rsidP="002B2CFC">
            <w:pPr>
              <w:keepNext/>
              <w:keepLines/>
              <w:rPr>
                <w:sz w:val="20"/>
                <w:szCs w:val="24"/>
                <w:lang w:val="en-US" w:eastAsia="en-US"/>
              </w:rPr>
            </w:pPr>
            <w:r w:rsidRPr="002B2CFC">
              <w:rPr>
                <w:sz w:val="20"/>
                <w:szCs w:val="24"/>
                <w:lang w:val="en-US" w:eastAsia="en-US"/>
              </w:rPr>
              <w:t>460-519</w:t>
            </w:r>
          </w:p>
        </w:tc>
        <w:tc>
          <w:tcPr>
            <w:tcW w:w="2410" w:type="dxa"/>
            <w:vAlign w:val="center"/>
          </w:tcPr>
          <w:p w14:paraId="43B2B7DA"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Non-malignant respiratory disease</w:t>
            </w:r>
          </w:p>
        </w:tc>
        <w:tc>
          <w:tcPr>
            <w:tcW w:w="1134" w:type="dxa"/>
            <w:vAlign w:val="center"/>
          </w:tcPr>
          <w:p w14:paraId="3A43F5D8"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28</w:t>
            </w:r>
          </w:p>
        </w:tc>
        <w:tc>
          <w:tcPr>
            <w:tcW w:w="936" w:type="dxa"/>
          </w:tcPr>
          <w:p w14:paraId="5C3B3C87"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76 </w:t>
            </w:r>
          </w:p>
        </w:tc>
        <w:tc>
          <w:tcPr>
            <w:tcW w:w="937" w:type="dxa"/>
          </w:tcPr>
          <w:p w14:paraId="678DF7CF" w14:textId="77777777" w:rsidR="002B2CFC" w:rsidRPr="002B2CFC" w:rsidRDefault="002B2CFC" w:rsidP="002B2CFC">
            <w:pPr>
              <w:keepNext/>
              <w:keepLines/>
              <w:rPr>
                <w:sz w:val="20"/>
                <w:szCs w:val="24"/>
                <w:lang w:val="en-US" w:eastAsia="en-US"/>
              </w:rPr>
            </w:pPr>
            <w:r w:rsidRPr="002B2CFC">
              <w:rPr>
                <w:sz w:val="20"/>
                <w:szCs w:val="24"/>
                <w:lang w:val="en-US" w:eastAsia="en-US"/>
              </w:rPr>
              <w:t>(50-109)</w:t>
            </w:r>
          </w:p>
        </w:tc>
        <w:tc>
          <w:tcPr>
            <w:tcW w:w="937" w:type="dxa"/>
          </w:tcPr>
          <w:p w14:paraId="4C68A833"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59** </w:t>
            </w:r>
          </w:p>
        </w:tc>
        <w:tc>
          <w:tcPr>
            <w:tcW w:w="937" w:type="dxa"/>
          </w:tcPr>
          <w:p w14:paraId="66098ADC" w14:textId="77777777" w:rsidR="002B2CFC" w:rsidRPr="002B2CFC" w:rsidRDefault="002B2CFC" w:rsidP="002B2CFC">
            <w:pPr>
              <w:keepNext/>
              <w:keepLines/>
              <w:rPr>
                <w:sz w:val="20"/>
                <w:szCs w:val="24"/>
                <w:lang w:val="en-US" w:eastAsia="en-US"/>
              </w:rPr>
            </w:pPr>
            <w:r w:rsidRPr="002B2CFC">
              <w:rPr>
                <w:sz w:val="20"/>
                <w:szCs w:val="24"/>
                <w:lang w:val="en-US" w:eastAsia="en-US"/>
              </w:rPr>
              <w:t>(39-85)</w:t>
            </w:r>
          </w:p>
        </w:tc>
      </w:tr>
      <w:tr w:rsidR="002B2CFC" w:rsidRPr="002B2CFC" w14:paraId="78E3F6EF" w14:textId="77777777" w:rsidTr="00441FE4">
        <w:tc>
          <w:tcPr>
            <w:tcW w:w="1951" w:type="dxa"/>
          </w:tcPr>
          <w:p w14:paraId="6A25441E" w14:textId="77777777" w:rsidR="002B2CFC" w:rsidRPr="002B2CFC" w:rsidRDefault="002B2CFC" w:rsidP="002B2CFC">
            <w:pPr>
              <w:keepNext/>
              <w:keepLines/>
              <w:rPr>
                <w:sz w:val="20"/>
                <w:szCs w:val="24"/>
                <w:lang w:val="en-US" w:eastAsia="en-US"/>
              </w:rPr>
            </w:pPr>
            <w:r w:rsidRPr="002B2CFC">
              <w:rPr>
                <w:sz w:val="20"/>
                <w:szCs w:val="24"/>
                <w:lang w:val="en-US" w:eastAsia="en-US"/>
              </w:rPr>
              <w:t>800-999</w:t>
            </w:r>
          </w:p>
        </w:tc>
        <w:tc>
          <w:tcPr>
            <w:tcW w:w="2410" w:type="dxa"/>
            <w:vAlign w:val="center"/>
          </w:tcPr>
          <w:p w14:paraId="32B3179A"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External causes of death</w:t>
            </w:r>
          </w:p>
        </w:tc>
        <w:tc>
          <w:tcPr>
            <w:tcW w:w="1134" w:type="dxa"/>
            <w:vAlign w:val="center"/>
          </w:tcPr>
          <w:p w14:paraId="1B9D4D95" w14:textId="77777777" w:rsidR="002B2CFC" w:rsidRPr="002B2CFC" w:rsidRDefault="002B2CFC" w:rsidP="002B2CFC">
            <w:pPr>
              <w:keepNext/>
              <w:keepLines/>
              <w:jc w:val="center"/>
              <w:rPr>
                <w:sz w:val="20"/>
                <w:szCs w:val="24"/>
                <w:lang w:val="en-US" w:eastAsia="en-US"/>
              </w:rPr>
            </w:pPr>
            <w:r w:rsidRPr="002B2CFC">
              <w:rPr>
                <w:sz w:val="20"/>
                <w:szCs w:val="24"/>
                <w:lang w:val="en-US" w:eastAsia="en-US"/>
              </w:rPr>
              <w:t>14</w:t>
            </w:r>
          </w:p>
        </w:tc>
        <w:tc>
          <w:tcPr>
            <w:tcW w:w="936" w:type="dxa"/>
          </w:tcPr>
          <w:p w14:paraId="7CB61069"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100 </w:t>
            </w:r>
          </w:p>
        </w:tc>
        <w:tc>
          <w:tcPr>
            <w:tcW w:w="937" w:type="dxa"/>
          </w:tcPr>
          <w:p w14:paraId="6FA090B1" w14:textId="77777777" w:rsidR="002B2CFC" w:rsidRPr="002B2CFC" w:rsidRDefault="002B2CFC" w:rsidP="002B2CFC">
            <w:pPr>
              <w:keepNext/>
              <w:keepLines/>
              <w:rPr>
                <w:sz w:val="20"/>
                <w:szCs w:val="24"/>
                <w:lang w:val="en-US" w:eastAsia="en-US"/>
              </w:rPr>
            </w:pPr>
            <w:r w:rsidRPr="002B2CFC">
              <w:rPr>
                <w:sz w:val="20"/>
                <w:szCs w:val="24"/>
                <w:lang w:val="en-US" w:eastAsia="en-US"/>
              </w:rPr>
              <w:t>(55-168)</w:t>
            </w:r>
          </w:p>
        </w:tc>
        <w:tc>
          <w:tcPr>
            <w:tcW w:w="937" w:type="dxa"/>
          </w:tcPr>
          <w:p w14:paraId="7DDBBC93" w14:textId="77777777" w:rsidR="002B2CFC" w:rsidRPr="002B2CFC" w:rsidRDefault="002B2CFC" w:rsidP="002B2CFC">
            <w:pPr>
              <w:keepNext/>
              <w:keepLines/>
              <w:rPr>
                <w:sz w:val="20"/>
                <w:szCs w:val="24"/>
                <w:lang w:val="en-US" w:eastAsia="en-US"/>
              </w:rPr>
            </w:pPr>
            <w:r w:rsidRPr="002B2CFC">
              <w:rPr>
                <w:sz w:val="20"/>
                <w:szCs w:val="24"/>
                <w:lang w:val="en-US" w:eastAsia="en-US"/>
              </w:rPr>
              <w:t xml:space="preserve">100 </w:t>
            </w:r>
          </w:p>
        </w:tc>
        <w:tc>
          <w:tcPr>
            <w:tcW w:w="937" w:type="dxa"/>
          </w:tcPr>
          <w:p w14:paraId="71DE515B" w14:textId="77777777" w:rsidR="002B2CFC" w:rsidRPr="002B2CFC" w:rsidRDefault="002B2CFC" w:rsidP="002B2CFC">
            <w:pPr>
              <w:keepNext/>
              <w:keepLines/>
              <w:rPr>
                <w:sz w:val="20"/>
                <w:szCs w:val="24"/>
                <w:lang w:val="en-US" w:eastAsia="en-US"/>
              </w:rPr>
            </w:pPr>
            <w:r w:rsidRPr="002B2CFC">
              <w:rPr>
                <w:sz w:val="20"/>
                <w:szCs w:val="24"/>
                <w:lang w:val="en-US" w:eastAsia="en-US"/>
              </w:rPr>
              <w:t>(55-168)</w:t>
            </w:r>
          </w:p>
        </w:tc>
      </w:tr>
    </w:tbl>
    <w:p w14:paraId="5C8517CC" w14:textId="77777777" w:rsidR="002B2CFC" w:rsidRPr="002B2CFC" w:rsidRDefault="002B2CFC" w:rsidP="002B2CFC">
      <w:pPr>
        <w:keepNext/>
        <w:keepLines/>
        <w:rPr>
          <w:szCs w:val="24"/>
          <w:lang w:val="en-US" w:eastAsia="en-US"/>
        </w:rPr>
      </w:pPr>
    </w:p>
    <w:p w14:paraId="78EED961" w14:textId="77777777" w:rsidR="002B2CFC" w:rsidRPr="002B2CFC" w:rsidRDefault="002B2CFC" w:rsidP="002B2CFC">
      <w:pPr>
        <w:keepNext/>
        <w:keepLines/>
        <w:rPr>
          <w:sz w:val="20"/>
          <w:szCs w:val="24"/>
          <w:lang w:val="en-US" w:eastAsia="en-US"/>
        </w:rPr>
      </w:pPr>
      <w:r w:rsidRPr="002B2CFC">
        <w:rPr>
          <w:sz w:val="20"/>
          <w:szCs w:val="24"/>
          <w:vertAlign w:val="superscript"/>
          <w:lang w:val="en-US" w:eastAsia="en-US"/>
        </w:rPr>
        <w:t>^</w:t>
      </w:r>
      <w:r w:rsidRPr="002B2CFC">
        <w:rPr>
          <w:sz w:val="20"/>
          <w:szCs w:val="24"/>
          <w:lang w:val="en-US" w:eastAsia="en-US"/>
        </w:rPr>
        <w:t>SMR= standardised mortality ratio. Calculated as the ratio of the observed to expected deaths (%).</w:t>
      </w:r>
    </w:p>
    <w:p w14:paraId="7E164A22" w14:textId="77777777" w:rsidR="002B2CFC" w:rsidRPr="002B2CFC" w:rsidRDefault="002B2CFC" w:rsidP="002B2CFC">
      <w:pPr>
        <w:keepNext/>
        <w:keepLines/>
        <w:rPr>
          <w:sz w:val="20"/>
          <w:szCs w:val="24"/>
          <w:lang w:val="en-US" w:eastAsia="en-US"/>
        </w:rPr>
      </w:pPr>
      <w:r w:rsidRPr="002B2CFC">
        <w:rPr>
          <w:sz w:val="20"/>
          <w:szCs w:val="24"/>
          <w:lang w:val="en-US" w:eastAsia="en-US"/>
        </w:rPr>
        <w:t>* p&lt;0.05, ** p&lt;0.01; SMR significantly different from 100.</w:t>
      </w:r>
    </w:p>
    <w:p w14:paraId="3826E9C5" w14:textId="77777777" w:rsidR="002B2CFC" w:rsidRPr="002B2CFC" w:rsidRDefault="002B2CFC" w:rsidP="002B2CFC">
      <w:pPr>
        <w:keepNext/>
        <w:keepLines/>
        <w:rPr>
          <w:sz w:val="20"/>
          <w:szCs w:val="24"/>
          <w:lang w:val="en-US" w:eastAsia="en-US"/>
        </w:rPr>
      </w:pPr>
      <w:r w:rsidRPr="002B2CFC">
        <w:rPr>
          <w:sz w:val="20"/>
          <w:szCs w:val="24"/>
          <w:vertAlign w:val="superscript"/>
          <w:lang w:val="en-US" w:eastAsia="en-US"/>
        </w:rPr>
        <w:t>#</w:t>
      </w:r>
      <w:r w:rsidRPr="002B2CFC">
        <w:rPr>
          <w:sz w:val="20"/>
          <w:szCs w:val="24"/>
          <w:lang w:val="en-US" w:eastAsia="en-US"/>
        </w:rPr>
        <w:t xml:space="preserve"> Mentioned cause of death (1993-2008); underlying cause of death (1960-1992).</w:t>
      </w:r>
    </w:p>
    <w:p w14:paraId="47E3084D" w14:textId="77777777" w:rsidR="002B2CFC" w:rsidRPr="002B2CFC" w:rsidRDefault="002B2CFC" w:rsidP="002B2CFC">
      <w:pPr>
        <w:rPr>
          <w:szCs w:val="24"/>
          <w:lang w:val="en-US" w:eastAsia="en-US"/>
        </w:rPr>
      </w:pPr>
    </w:p>
    <w:p w14:paraId="6BC254BA" w14:textId="77777777" w:rsidR="002B2CFC" w:rsidRPr="002B2CFC" w:rsidRDefault="002B2CFC" w:rsidP="009E40A8">
      <w:pPr>
        <w:rPr>
          <w:szCs w:val="24"/>
          <w:lang w:val="en-US" w:eastAsia="en-US"/>
        </w:rPr>
      </w:pPr>
      <w:r w:rsidRPr="002B2CFC">
        <w:rPr>
          <w:szCs w:val="24"/>
          <w:lang w:val="en-US" w:eastAsia="en-US"/>
        </w:rPr>
        <w:t>Mortality from all neurological diseases (1 death) was lower than the England and Wales SMR (16), and according to the study authors there were no mentions of diseases secondary to Parkinson’s disease and other movement disorders, or other neurological diseases on the death certificate of male and female employees. In fact, mortalities from all causes of death were significantly lower than expected,</w:t>
      </w:r>
      <w:r w:rsidR="001B0B0E">
        <w:rPr>
          <w:szCs w:val="24"/>
          <w:lang w:val="en-US" w:eastAsia="en-US"/>
        </w:rPr>
        <w:t xml:space="preserve"> and </w:t>
      </w:r>
      <w:r w:rsidRPr="002B2CFC">
        <w:rPr>
          <w:szCs w:val="24"/>
          <w:lang w:val="en-US" w:eastAsia="en-US"/>
        </w:rPr>
        <w:t xml:space="preserve">deaths due </w:t>
      </w:r>
      <w:r w:rsidR="001B0B0E">
        <w:rPr>
          <w:szCs w:val="24"/>
          <w:lang w:val="en-US" w:eastAsia="en-US"/>
        </w:rPr>
        <w:t xml:space="preserve">specifically </w:t>
      </w:r>
      <w:r w:rsidRPr="002B2CFC">
        <w:rPr>
          <w:szCs w:val="24"/>
          <w:lang w:val="en-US" w:eastAsia="en-US"/>
        </w:rPr>
        <w:t>to all cancers, heart disease, cerebrovascular disease and non-malignant respiratory disease were lower than expected. This was similar in comparison to local mortalities. An examination of mortality patterns for  the 320 workers who had ever held a job with high or medium exposure to paraquat (159 had died by the end of the follow-up period), showed lower mortality across most causes of death, although deaths due to malignant neoplasia was close to expected rates.</w:t>
      </w:r>
    </w:p>
    <w:p w14:paraId="19394CD9" w14:textId="77777777" w:rsidR="002B2CFC" w:rsidRPr="002B2CFC" w:rsidRDefault="002B2CFC" w:rsidP="009E40A8">
      <w:pPr>
        <w:rPr>
          <w:szCs w:val="24"/>
          <w:lang w:val="en-US" w:eastAsia="en-US"/>
        </w:rPr>
      </w:pPr>
    </w:p>
    <w:p w14:paraId="4645DC40" w14:textId="77777777" w:rsidR="002B2CFC" w:rsidRPr="002B2CFC" w:rsidRDefault="002B2CFC" w:rsidP="009E40A8">
      <w:pPr>
        <w:rPr>
          <w:szCs w:val="24"/>
          <w:lang w:val="en-US" w:eastAsia="en-US"/>
        </w:rPr>
      </w:pPr>
      <w:r w:rsidRPr="002B2CFC">
        <w:rPr>
          <w:i/>
          <w:szCs w:val="24"/>
          <w:lang w:val="en-US" w:eastAsia="en-US"/>
        </w:rPr>
        <w:t>Discussion</w:t>
      </w:r>
      <w:r w:rsidRPr="002B2CFC">
        <w:rPr>
          <w:szCs w:val="24"/>
          <w:lang w:val="en-US" w:eastAsia="en-US"/>
        </w:rPr>
        <w:t>: In this retrospective cohort study, there was no evidence of increased mortality (underlying or mentioned cause) from Parkinson’s disease in workers exposed to paraquat during its production. Only a single male worker, determined to have medium exposure levels to paraquat, had Parkinson’s disease as an underlying cause of death written on the death certificate. This was lower than the general population. In fact, almost all of the causes of death examined showed a lower than expected incidence. This may be attributed to comparing a healthy population of workers with the general population, all of whom may not be fit for work. Although there was mention of selecting the control population based on age and period, the exact details are not clear.</w:t>
      </w:r>
    </w:p>
    <w:p w14:paraId="011F5EAB" w14:textId="77777777" w:rsidR="002B2CFC" w:rsidRPr="002B2CFC" w:rsidRDefault="002B2CFC" w:rsidP="009E40A8">
      <w:pPr>
        <w:rPr>
          <w:szCs w:val="24"/>
          <w:lang w:val="en-US" w:eastAsia="en-US"/>
        </w:rPr>
      </w:pPr>
    </w:p>
    <w:p w14:paraId="2B7F6A50" w14:textId="77777777" w:rsidR="002B2CFC" w:rsidRPr="002B2CFC" w:rsidRDefault="002B2CFC" w:rsidP="009E40A8">
      <w:pPr>
        <w:rPr>
          <w:szCs w:val="24"/>
          <w:lang w:val="en-US" w:eastAsia="en-US"/>
        </w:rPr>
      </w:pPr>
      <w:r w:rsidRPr="002B2CFC">
        <w:rPr>
          <w:szCs w:val="24"/>
          <w:lang w:val="en-US" w:eastAsia="en-US"/>
        </w:rPr>
        <w:t>It was advantageous that there were periods where both static and personal monitoring of paraquat exposure levels was recorded, albeit only up until 1993. The workers in this cohort were found to be exposed to levels below the UK occupational exposure limit of 0.08 mg/m</w:t>
      </w:r>
      <w:r w:rsidRPr="002B2CFC">
        <w:rPr>
          <w:szCs w:val="24"/>
          <w:vertAlign w:val="superscript"/>
          <w:lang w:val="en-US" w:eastAsia="en-US"/>
        </w:rPr>
        <w:t>3</w:t>
      </w:r>
      <w:r w:rsidRPr="002B2CFC">
        <w:rPr>
          <w:szCs w:val="24"/>
          <w:lang w:val="en-US" w:eastAsia="en-US"/>
        </w:rPr>
        <w:t xml:space="preserve"> (8 h TWA, respirable fraction), and the authors assumed 10</w:t>
      </w:r>
      <w:r w:rsidR="00F502CD">
        <w:rPr>
          <w:szCs w:val="24"/>
          <w:lang w:val="en-US" w:eastAsia="en-US"/>
        </w:rPr>
        <w:t xml:space="preserve"> </w:t>
      </w:r>
      <w:r w:rsidRPr="002B2CFC">
        <w:rPr>
          <w:szCs w:val="24"/>
          <w:lang w:val="en-US" w:eastAsia="en-US"/>
        </w:rPr>
        <w:t>m</w:t>
      </w:r>
      <w:r w:rsidRPr="002B2CFC">
        <w:rPr>
          <w:szCs w:val="24"/>
          <w:vertAlign w:val="superscript"/>
          <w:lang w:val="en-US" w:eastAsia="en-US"/>
        </w:rPr>
        <w:t>3</w:t>
      </w:r>
      <w:r w:rsidRPr="002B2CFC">
        <w:rPr>
          <w:szCs w:val="24"/>
          <w:lang w:val="en-US" w:eastAsia="en-US"/>
        </w:rPr>
        <w:t xml:space="preserve"> of air are breathed during a shift </w:t>
      </w:r>
      <w:r w:rsidRPr="002B2CFC">
        <w:rPr>
          <w:szCs w:val="24"/>
          <w:lang w:val="en-US" w:eastAsia="en-US"/>
        </w:rPr>
        <w:lastRenderedPageBreak/>
        <w:t xml:space="preserve">which equated to around 25.8 µg PQ ion inhaled. The study authors compare this to urine levels found in farm workers who mixed, loaded and sprayed paraquat of 3.0 µg PQ/24 h (Lee </w:t>
      </w:r>
      <w:r w:rsidRPr="002B2CFC">
        <w:rPr>
          <w:i/>
          <w:szCs w:val="24"/>
          <w:lang w:val="en-US" w:eastAsia="en-US"/>
        </w:rPr>
        <w:t>et al</w:t>
      </w:r>
      <w:r w:rsidRPr="002B2CFC">
        <w:rPr>
          <w:szCs w:val="24"/>
          <w:lang w:val="en-US" w:eastAsia="en-US"/>
        </w:rPr>
        <w:t xml:space="preserve">, 2009). Although the values cannot be directly compared, it is feasible that the exposure of a paraquat production worker on a daily basis is at least comparable with that of a paraquat sprayer, in fact, probably higher as sprayers are unlikely to be performing the activity daily. It was not clear from the report how long most workers in the manufacturing plant were employed for, although there is reference to a subcohort with a minimum 3 months exposure however, no data analysis within this subcohort was reported in the study. Therefore it is difficult to ascertain if exposure was of a chronic nature. Static and personal monitoring measurements showed levels of exposure continued to fall with time. Although a full quantitative exposure assessment was not conducted, this is not particularly important considering only one worker died of Parkinson’s disease, which was much lower than expected levels. </w:t>
      </w:r>
    </w:p>
    <w:p w14:paraId="521E4EA3" w14:textId="77777777" w:rsidR="002B2CFC" w:rsidRPr="002B2CFC" w:rsidRDefault="002B2CFC" w:rsidP="009E40A8">
      <w:pPr>
        <w:rPr>
          <w:szCs w:val="24"/>
          <w:lang w:val="en-US" w:eastAsia="en-US"/>
        </w:rPr>
      </w:pPr>
    </w:p>
    <w:p w14:paraId="6FBBA4CE" w14:textId="77777777" w:rsidR="002B2CFC" w:rsidRPr="002B2CFC" w:rsidRDefault="002B2CFC" w:rsidP="009E40A8">
      <w:pPr>
        <w:rPr>
          <w:szCs w:val="24"/>
          <w:lang w:val="en-US" w:eastAsia="en-US"/>
        </w:rPr>
      </w:pPr>
      <w:r w:rsidRPr="002B2CFC">
        <w:rPr>
          <w:szCs w:val="24"/>
          <w:lang w:val="en-US" w:eastAsia="en-US"/>
        </w:rPr>
        <w:t>One of the strengths of this study is due to its retrospective nature, there is no potential for recall bias, however it does rely on worker records and death certificates, which can change in time for accuracy and content for the purpose of this study. The rates for Parkinson’s disease mentions on death certificates for example could only be calculated from 1993, and before this time had to use underlying cause of death rates. This resulted in an underestimate of the number of expected mentions of Parkinson’s disease. The study authors quoted UK studies which commented on trends in mentions of Parkinson’s on death certificates and modified the expected number of mentions from 3.3 to 3.5 (including 0.13 expected deaths before 1985), and suggest the true range is 3.6-3.7- based on approximately twice the number of mentions for the period 1985-2009 are expected for each case of Parkinson’s disease as the underlying cause of death.</w:t>
      </w:r>
    </w:p>
    <w:p w14:paraId="0CAE766A" w14:textId="77777777" w:rsidR="002B2CFC" w:rsidRPr="002B2CFC" w:rsidRDefault="002B2CFC" w:rsidP="009E40A8">
      <w:pPr>
        <w:rPr>
          <w:szCs w:val="24"/>
          <w:lang w:val="en-US" w:eastAsia="en-US"/>
        </w:rPr>
      </w:pPr>
    </w:p>
    <w:p w14:paraId="1C01727D" w14:textId="77777777" w:rsidR="002B2CFC" w:rsidRPr="002B2CFC" w:rsidRDefault="002B2CFC" w:rsidP="009E40A8">
      <w:pPr>
        <w:rPr>
          <w:szCs w:val="24"/>
          <w:lang w:val="en-US" w:eastAsia="en-US"/>
        </w:rPr>
      </w:pPr>
      <w:r w:rsidRPr="002B2CFC">
        <w:rPr>
          <w:szCs w:val="24"/>
          <w:lang w:val="en-US" w:eastAsia="en-US"/>
        </w:rPr>
        <w:t>A few workers were lost to follow-up and not all workers in the cohort were able to be assessed for Parkinson’s disease, as only death certificates were used. Another 616 males in the study were still alive at the time of the study. The study authors did not consider a morbidity study worthwhile considering the mortality study did not demonstrate an increased risk of Parkinson’s.</w:t>
      </w:r>
    </w:p>
    <w:p w14:paraId="7E91DECD" w14:textId="77777777" w:rsidR="002B2CFC" w:rsidRPr="002B2CFC" w:rsidRDefault="002B2CFC" w:rsidP="009E40A8">
      <w:pPr>
        <w:rPr>
          <w:szCs w:val="24"/>
          <w:lang w:val="en-US" w:eastAsia="en-US"/>
        </w:rPr>
      </w:pPr>
    </w:p>
    <w:p w14:paraId="3D1D63EC" w14:textId="77777777" w:rsidR="002B2CFC" w:rsidRPr="002B2CFC" w:rsidRDefault="002B2CFC" w:rsidP="009E40A8">
      <w:pPr>
        <w:rPr>
          <w:szCs w:val="24"/>
          <w:lang w:val="en-US" w:eastAsia="en-US"/>
        </w:rPr>
      </w:pPr>
      <w:r w:rsidRPr="002B2CFC">
        <w:rPr>
          <w:szCs w:val="24"/>
          <w:lang w:val="en-US" w:eastAsia="en-US"/>
        </w:rPr>
        <w:t xml:space="preserve">The original Paddle </w:t>
      </w:r>
      <w:r w:rsidRPr="002B2CFC">
        <w:rPr>
          <w:i/>
          <w:szCs w:val="24"/>
          <w:lang w:val="en-US" w:eastAsia="en-US"/>
        </w:rPr>
        <w:t>et al</w:t>
      </w:r>
      <w:r w:rsidRPr="002B2CFC">
        <w:rPr>
          <w:szCs w:val="24"/>
          <w:lang w:val="en-US" w:eastAsia="en-US"/>
        </w:rPr>
        <w:t xml:space="preserve"> study reported a modest increase in lung cancer deaths, although considered at the time to be unlikely to be occupational related. This follow-up study showed no increase in incidences of lung cancer, especially when compared to local mortalities.</w:t>
      </w:r>
    </w:p>
    <w:p w14:paraId="2B8F1B8B" w14:textId="77777777" w:rsidR="002B2CFC" w:rsidRPr="002B2CFC" w:rsidRDefault="002B2CFC" w:rsidP="009E40A8">
      <w:pPr>
        <w:rPr>
          <w:szCs w:val="24"/>
          <w:lang w:val="en-US" w:eastAsia="en-US"/>
        </w:rPr>
      </w:pPr>
    </w:p>
    <w:p w14:paraId="2C206FED" w14:textId="77777777" w:rsidR="002B2CFC" w:rsidRPr="002B2CFC" w:rsidRDefault="002B2CFC" w:rsidP="009E40A8">
      <w:pPr>
        <w:rPr>
          <w:szCs w:val="24"/>
          <w:lang w:val="en-US" w:eastAsia="en-US"/>
        </w:rPr>
      </w:pPr>
      <w:r w:rsidRPr="002B2CFC">
        <w:rPr>
          <w:i/>
          <w:szCs w:val="24"/>
          <w:lang w:val="en-US" w:eastAsia="en-US"/>
        </w:rPr>
        <w:t>Conclusion</w:t>
      </w:r>
      <w:r w:rsidRPr="002B2CFC">
        <w:rPr>
          <w:szCs w:val="24"/>
          <w:lang w:val="en-US" w:eastAsia="en-US"/>
        </w:rPr>
        <w:t>: This retrospective cohort study of workers involved in the manufacture of paraquat, showed no evidence of an increased incidence of Parkinson’s disease based on mentions of Parkinson’s on the death certificate, as compared to control populations.</w:t>
      </w:r>
    </w:p>
    <w:p w14:paraId="7372950F" w14:textId="77777777" w:rsidR="002B2CFC" w:rsidRPr="002B2CFC" w:rsidRDefault="002B2CFC" w:rsidP="009E40A8">
      <w:pPr>
        <w:rPr>
          <w:szCs w:val="24"/>
          <w:lang w:val="en-US" w:eastAsia="en-US"/>
        </w:rPr>
      </w:pPr>
    </w:p>
    <w:p w14:paraId="0DCD68F9" w14:textId="77777777" w:rsidR="002B2CFC" w:rsidRPr="002B2CFC" w:rsidRDefault="002B2CFC" w:rsidP="00F82258">
      <w:pPr>
        <w:pStyle w:val="Heading2"/>
        <w:spacing w:before="0" w:after="0"/>
        <w:rPr>
          <w:lang w:eastAsia="en-US"/>
        </w:rPr>
      </w:pPr>
      <w:bookmarkStart w:id="138" w:name="_Toc221703621"/>
      <w:bookmarkStart w:id="139" w:name="_Toc459108312"/>
      <w:r w:rsidRPr="002B2CFC">
        <w:rPr>
          <w:lang w:eastAsia="en-US"/>
        </w:rPr>
        <w:t>Poisoning Incidents</w:t>
      </w:r>
      <w:bookmarkEnd w:id="138"/>
      <w:bookmarkEnd w:id="139"/>
    </w:p>
    <w:p w14:paraId="1C40CA23" w14:textId="77777777" w:rsidR="00FA4CBC" w:rsidRDefault="00FA4CBC" w:rsidP="009E40A8">
      <w:pPr>
        <w:rPr>
          <w:szCs w:val="24"/>
          <w:lang w:val="en-US" w:eastAsia="en-US"/>
        </w:rPr>
      </w:pPr>
    </w:p>
    <w:p w14:paraId="56FB3126" w14:textId="10DE84AD" w:rsidR="00901928" w:rsidRPr="002B2CFC" w:rsidRDefault="00444041" w:rsidP="002B2CFC">
      <w:pPr>
        <w:rPr>
          <w:szCs w:val="24"/>
          <w:lang w:val="en-US" w:eastAsia="en-US"/>
        </w:rPr>
      </w:pPr>
      <w:r>
        <w:rPr>
          <w:szCs w:val="24"/>
          <w:lang w:val="en-US" w:eastAsia="en-US"/>
        </w:rPr>
        <w:t xml:space="preserve">Numerous poisoning incidents are reviewed and presented in Supplement I: </w:t>
      </w:r>
      <w:r w:rsidR="00901928">
        <w:rPr>
          <w:szCs w:val="24"/>
          <w:lang w:val="en-US" w:eastAsia="en-US"/>
        </w:rPr>
        <w:t>T</w:t>
      </w:r>
      <w:r>
        <w:rPr>
          <w:szCs w:val="24"/>
          <w:lang w:val="en-US" w:eastAsia="en-US"/>
        </w:rPr>
        <w:t>oxicology. The weight-of-evidence from these reports demonstrate accidental or deliberate oral ingestion of paraquat does not cause neurotoxicity, as do reports following  dermal exposure.</w:t>
      </w:r>
      <w:r w:rsidR="001F685E">
        <w:rPr>
          <w:szCs w:val="24"/>
          <w:lang w:val="en-US" w:eastAsia="en-US"/>
        </w:rPr>
        <w:br w:type="page"/>
      </w:r>
    </w:p>
    <w:p w14:paraId="7D996A79" w14:textId="77777777" w:rsidR="0063605E" w:rsidRDefault="002B2CFC" w:rsidP="005E54CD">
      <w:pPr>
        <w:pStyle w:val="Heading1"/>
      </w:pPr>
      <w:bookmarkStart w:id="140" w:name="_Toc459108313"/>
      <w:bookmarkStart w:id="141" w:name="_Ref278788670"/>
      <w:r w:rsidRPr="002B2CFC">
        <w:lastRenderedPageBreak/>
        <w:t>E</w:t>
      </w:r>
      <w:r w:rsidR="006302B6">
        <w:t xml:space="preserve">valuation of selected </w:t>
      </w:r>
      <w:r w:rsidR="001F6686">
        <w:t>Epidemiology studies</w:t>
      </w:r>
      <w:bookmarkEnd w:id="140"/>
      <w:r w:rsidRPr="002B2CFC">
        <w:t xml:space="preserve"> </w:t>
      </w:r>
      <w:bookmarkEnd w:id="141"/>
    </w:p>
    <w:p w14:paraId="0196A4D6" w14:textId="77777777" w:rsidR="00436573" w:rsidRPr="00AF5C6E" w:rsidRDefault="0063605E" w:rsidP="005E54CD">
      <w:pPr>
        <w:pStyle w:val="Heading2"/>
      </w:pPr>
      <w:r w:rsidRPr="00AF5C6E">
        <w:rPr>
          <w:i w:val="0"/>
        </w:rPr>
        <w:t xml:space="preserve"> </w:t>
      </w:r>
      <w:bookmarkStart w:id="142" w:name="_Toc459108314"/>
      <w:r w:rsidRPr="00AF5C6E">
        <w:rPr>
          <w:i w:val="0"/>
        </w:rPr>
        <w:t>Epidemiological studies: Methodology</w:t>
      </w:r>
      <w:bookmarkEnd w:id="142"/>
    </w:p>
    <w:p w14:paraId="0B3E6968" w14:textId="77777777" w:rsidR="002B2CFC" w:rsidRPr="00AF5C6E" w:rsidRDefault="002B2CFC">
      <w:pPr>
        <w:pStyle w:val="Heading3"/>
        <w:rPr>
          <w:i/>
        </w:rPr>
      </w:pPr>
      <w:bookmarkStart w:id="143" w:name="_Ref399855527"/>
      <w:bookmarkStart w:id="144" w:name="_Toc459108315"/>
      <w:r w:rsidRPr="00AF5C6E">
        <w:rPr>
          <w:i/>
        </w:rPr>
        <w:t>Case ascertainment</w:t>
      </w:r>
      <w:bookmarkEnd w:id="143"/>
      <w:bookmarkEnd w:id="144"/>
    </w:p>
    <w:p w14:paraId="745E6F14" w14:textId="77777777" w:rsidR="002B2CFC" w:rsidRPr="002B2CFC" w:rsidRDefault="002B2CFC" w:rsidP="002B2CFC">
      <w:pPr>
        <w:rPr>
          <w:szCs w:val="24"/>
          <w:lang w:val="en-US" w:eastAsia="en-US"/>
        </w:rPr>
      </w:pPr>
      <w:r w:rsidRPr="002B2CFC">
        <w:rPr>
          <w:szCs w:val="24"/>
          <w:lang w:val="en-US" w:eastAsia="en-US"/>
        </w:rPr>
        <w:t xml:space="preserve">The manner in which cases are selected can influence the outcome of a study. In the study by Kamel </w:t>
      </w:r>
      <w:r w:rsidRPr="002B2CFC">
        <w:rPr>
          <w:i/>
          <w:szCs w:val="24"/>
          <w:lang w:val="en-US" w:eastAsia="en-US"/>
        </w:rPr>
        <w:t>et al</w:t>
      </w:r>
      <w:r w:rsidRPr="002B2CFC">
        <w:rPr>
          <w:szCs w:val="24"/>
          <w:lang w:val="en-US" w:eastAsia="en-US"/>
        </w:rPr>
        <w:t xml:space="preserve"> (2007), prevalent cases were defined at enrolment of the cohort as those respondents who replied in the affirmative to the question “Has a doctor ever told you that you have been diagnosed with Parkinson’s disease?” This question is clear, direct and clearly defines the group which constituted the prevalent cases. However, to ascertain incidence cases, i.e., newly diagnosed over the course of the study, the question for ‘caseness’ was broadened to “Has a doctor or other health professional ever told you that you have Parkinson’s disease?” and also by self-report. This latter definition allowed more cases to be captured even if the respondents did not have a strict definition of Parkinson’s disease. The risk associated with the use of this strategy to increase case capture, was that ‘information bias’ and ‘differential recall bias’ may be introduced into the study and lead to a null finding. Case and control subjects were recruited from a very large cohort of licensed private pesticide applicators and spouses who were participating in the US Agricultural Health Study. The number of cases at enrolment was 83, with almost 80,000 control subjects. At study follow-up, there were 78 cases with almost 56,000 controls.</w:t>
      </w:r>
    </w:p>
    <w:p w14:paraId="65D855BA" w14:textId="77777777" w:rsidR="002B2CFC" w:rsidRPr="002B2CFC" w:rsidRDefault="002B2CFC" w:rsidP="002B2CFC">
      <w:pPr>
        <w:rPr>
          <w:szCs w:val="24"/>
          <w:lang w:val="en-US" w:eastAsia="en-US"/>
        </w:rPr>
      </w:pPr>
    </w:p>
    <w:p w14:paraId="375DA1C1" w14:textId="77777777" w:rsidR="002B2CFC" w:rsidRPr="002B2CFC" w:rsidRDefault="002B2CFC" w:rsidP="002B2CFC">
      <w:pPr>
        <w:rPr>
          <w:szCs w:val="24"/>
          <w:lang w:val="en-US" w:eastAsia="en-US"/>
        </w:rPr>
      </w:pPr>
      <w:r w:rsidRPr="002B2CFC">
        <w:rPr>
          <w:szCs w:val="24"/>
          <w:lang w:val="en-US" w:eastAsia="en-US"/>
        </w:rPr>
        <w:t xml:space="preserve">In the study by Costello </w:t>
      </w:r>
      <w:r w:rsidRPr="002B2CFC">
        <w:rPr>
          <w:i/>
          <w:szCs w:val="24"/>
          <w:lang w:val="en-US" w:eastAsia="en-US"/>
        </w:rPr>
        <w:t>et al</w:t>
      </w:r>
      <w:r w:rsidRPr="002B2CFC">
        <w:rPr>
          <w:szCs w:val="24"/>
          <w:lang w:val="en-US" w:eastAsia="en-US"/>
        </w:rPr>
        <w:t xml:space="preserve"> (2009), 368 cases from the Central Valley of California were recruited with the assistance of local neurologists in a case-control study. The authors concluded that prior to this study, insufficient (human) data were available to support any claim for specific pesticide to be associated with Parkinson’s disease, largely because of challenges in the assessment of pesticide exposure. To address the latter impediment, the authors developed (and validated) an exposure assessment tool which was based on a geographic information systems (GIS) which integrated data from the Californian Pesticide Use reports and land-use maps to estimate the likely historical exposure to agricultural pesticides in residential environments. </w:t>
      </w:r>
    </w:p>
    <w:p w14:paraId="1E133325" w14:textId="77777777" w:rsidR="002B2CFC" w:rsidRPr="002B2CFC" w:rsidRDefault="002B2CFC" w:rsidP="002B2CFC">
      <w:pPr>
        <w:rPr>
          <w:szCs w:val="24"/>
          <w:lang w:val="en-US" w:eastAsia="en-US"/>
        </w:rPr>
      </w:pPr>
    </w:p>
    <w:p w14:paraId="619DD799" w14:textId="77777777" w:rsidR="002B2CFC" w:rsidRPr="00AF5C6E" w:rsidRDefault="002B2CFC" w:rsidP="00AF5C6E">
      <w:pPr>
        <w:pStyle w:val="Heading3"/>
        <w:rPr>
          <w:i/>
        </w:rPr>
      </w:pPr>
      <w:bookmarkStart w:id="145" w:name="_Toc459108316"/>
      <w:r w:rsidRPr="00AF5C6E">
        <w:rPr>
          <w:i/>
        </w:rPr>
        <w:t>Ascertainment of Controls</w:t>
      </w:r>
      <w:bookmarkEnd w:id="145"/>
    </w:p>
    <w:p w14:paraId="7F64FB85" w14:textId="77777777" w:rsidR="002B2CFC" w:rsidRPr="002B2CFC" w:rsidRDefault="002B2CFC" w:rsidP="002B2CFC">
      <w:pPr>
        <w:rPr>
          <w:szCs w:val="24"/>
          <w:lang w:val="en-US" w:eastAsia="en-US"/>
        </w:rPr>
      </w:pPr>
      <w:r w:rsidRPr="002B2CFC">
        <w:rPr>
          <w:szCs w:val="24"/>
          <w:lang w:val="en-US" w:eastAsia="en-US"/>
        </w:rPr>
        <w:t xml:space="preserve">Characteristics of controls should be same as for cases in all respects but without the factor of interest, in this case, exposure to pesticides, and paraquat in particular. In the study by Kamel </w:t>
      </w:r>
      <w:r w:rsidRPr="002B2CFC">
        <w:rPr>
          <w:i/>
          <w:szCs w:val="24"/>
          <w:lang w:val="en-US" w:eastAsia="en-US"/>
        </w:rPr>
        <w:t>et al</w:t>
      </w:r>
      <w:r w:rsidRPr="002B2CFC">
        <w:rPr>
          <w:szCs w:val="24"/>
          <w:lang w:val="en-US" w:eastAsia="en-US"/>
        </w:rPr>
        <w:t xml:space="preserve"> (2007), controls were spouses who are believed to have avoided exposure to pesticides, but have lived in the same area as applicators, and lived with similar lifestyles. Yet the authors also indicate that 56% of spouses had also personally mixed or applied pesticides. Therefore, it is not clear whether these spouses were considered to be controls or cases. In the study by Costello </w:t>
      </w:r>
      <w:r w:rsidRPr="002B2CFC">
        <w:rPr>
          <w:i/>
          <w:szCs w:val="24"/>
          <w:lang w:val="en-US" w:eastAsia="en-US"/>
        </w:rPr>
        <w:t>et al</w:t>
      </w:r>
      <w:r w:rsidRPr="002B2CFC">
        <w:rPr>
          <w:szCs w:val="24"/>
          <w:lang w:val="en-US" w:eastAsia="en-US"/>
        </w:rPr>
        <w:t xml:space="preserve"> (2009), controls were aged 65 years and older and were recruited randomly from one of three counties in the study area. A total of 341 control respondents participated in the study. </w:t>
      </w:r>
    </w:p>
    <w:p w14:paraId="60120F95" w14:textId="77777777" w:rsidR="002B2CFC" w:rsidRPr="002B2CFC" w:rsidRDefault="002B2CFC" w:rsidP="002B2CFC">
      <w:pPr>
        <w:rPr>
          <w:szCs w:val="24"/>
          <w:lang w:val="en-US" w:eastAsia="en-US"/>
        </w:rPr>
      </w:pPr>
    </w:p>
    <w:p w14:paraId="2FECA11E" w14:textId="77777777" w:rsidR="002B2CFC" w:rsidRPr="00AF5C6E" w:rsidRDefault="002B2CFC" w:rsidP="00AF5C6E">
      <w:pPr>
        <w:pStyle w:val="Heading3"/>
        <w:rPr>
          <w:i/>
        </w:rPr>
      </w:pPr>
      <w:bookmarkStart w:id="146" w:name="_Toc459108317"/>
      <w:r w:rsidRPr="00AF5C6E">
        <w:rPr>
          <w:i/>
        </w:rPr>
        <w:lastRenderedPageBreak/>
        <w:t>Exposure Ascertainment</w:t>
      </w:r>
      <w:bookmarkEnd w:id="146"/>
    </w:p>
    <w:p w14:paraId="23EDDB82" w14:textId="77777777" w:rsidR="002B2CFC" w:rsidRPr="002B2CFC" w:rsidRDefault="002B2CFC" w:rsidP="002B2CFC">
      <w:pPr>
        <w:keepNext/>
        <w:keepLines/>
        <w:rPr>
          <w:szCs w:val="24"/>
          <w:lang w:val="en-US" w:eastAsia="en-US"/>
        </w:rPr>
      </w:pPr>
      <w:r w:rsidRPr="002B2CFC">
        <w:rPr>
          <w:szCs w:val="24"/>
          <w:lang w:val="en-US" w:eastAsia="en-US"/>
        </w:rPr>
        <w:t xml:space="preserve">Exposure ascertainment can be problematic in studies attempting to find an association between pesticides and adverse health outcomes. An ideal study would ascertain the exposure to pesticide chemicals using independent sources such as tags or labels worn by workers, or hours and days worked from an employer, as well as dates, since seasonality may influence exposure variations. The study by Kamel </w:t>
      </w:r>
      <w:r w:rsidRPr="002B2CFC">
        <w:rPr>
          <w:i/>
          <w:szCs w:val="24"/>
          <w:lang w:val="en-US" w:eastAsia="en-US"/>
        </w:rPr>
        <w:t>et al</w:t>
      </w:r>
      <w:r w:rsidRPr="002B2CFC">
        <w:rPr>
          <w:szCs w:val="24"/>
          <w:lang w:val="en-US" w:eastAsia="en-US"/>
        </w:rPr>
        <w:t xml:space="preserve"> (2007) relied on the self-reporting of exposure to pesticides and thus may have introduced recall bias. In addition, because respondents were selected based on screening using the prior diagnosis of Parkinson’s disease, the recall ‘capacity’ of cases to prior exposures to pesticides may be more likely to be keen or ‘primed’ and perhaps recall events with undue positive bias. </w:t>
      </w:r>
    </w:p>
    <w:p w14:paraId="770ADB5F" w14:textId="77777777" w:rsidR="002B2CFC" w:rsidRPr="002B2CFC" w:rsidRDefault="002B2CFC" w:rsidP="002B2CFC">
      <w:pPr>
        <w:rPr>
          <w:szCs w:val="24"/>
          <w:lang w:val="en-US" w:eastAsia="en-US"/>
        </w:rPr>
      </w:pPr>
    </w:p>
    <w:p w14:paraId="768EC0D9" w14:textId="77777777" w:rsidR="002B2CFC" w:rsidRPr="002B2CFC" w:rsidRDefault="002B2CFC" w:rsidP="002B2CFC">
      <w:pPr>
        <w:rPr>
          <w:szCs w:val="24"/>
          <w:lang w:val="en-US" w:eastAsia="en-US"/>
        </w:rPr>
      </w:pPr>
      <w:r w:rsidRPr="002B2CFC">
        <w:rPr>
          <w:szCs w:val="24"/>
          <w:lang w:val="en-US" w:eastAsia="en-US"/>
        </w:rPr>
        <w:t xml:space="preserve">The respondents were also asked, “As a result of using pesticides, how often have you seen a doctor or been hospitalised?” It is possible that respondents sought medical attention and at that time had no reason to suspect an association with exposure to environmental factors, and yet they were placed in the position of accepting or assuming an association on behaviours that had taken place well in the past. Similarly, the question “Have you ever had an incident or experience while using any type of pesticide which caused you high personal exposure?” allows for the insertion of positive recall bias when cases are more likely to “recall” exposure than non-cases. </w:t>
      </w:r>
    </w:p>
    <w:p w14:paraId="5D89300E" w14:textId="77777777" w:rsidR="002B2CFC" w:rsidRPr="002B2CFC" w:rsidRDefault="002B2CFC" w:rsidP="002B2CFC">
      <w:pPr>
        <w:rPr>
          <w:szCs w:val="24"/>
          <w:lang w:val="en-US" w:eastAsia="en-US"/>
        </w:rPr>
      </w:pPr>
    </w:p>
    <w:p w14:paraId="7305603A" w14:textId="77777777" w:rsidR="002B2CFC" w:rsidRPr="002B2CFC" w:rsidRDefault="002B2CFC" w:rsidP="002B2CFC">
      <w:pPr>
        <w:rPr>
          <w:szCs w:val="24"/>
          <w:lang w:val="en-US" w:eastAsia="en-US"/>
        </w:rPr>
      </w:pPr>
      <w:r w:rsidRPr="002B2CFC">
        <w:rPr>
          <w:szCs w:val="24"/>
          <w:lang w:val="en-US" w:eastAsia="en-US"/>
        </w:rPr>
        <w:t xml:space="preserve">In the study by Costello </w:t>
      </w:r>
      <w:r w:rsidRPr="002B2CFC">
        <w:rPr>
          <w:i/>
          <w:szCs w:val="24"/>
          <w:lang w:val="en-US" w:eastAsia="en-US"/>
        </w:rPr>
        <w:t>et al</w:t>
      </w:r>
      <w:r w:rsidRPr="002B2CFC">
        <w:rPr>
          <w:szCs w:val="24"/>
          <w:lang w:val="en-US" w:eastAsia="en-US"/>
        </w:rPr>
        <w:t xml:space="preserve"> (2009), cases were also recruited when the authors estimated (from the GIS system) that pesticide exposures also occurred in the residential environment adjacent to agricultural crops to produce estimates of residential ambient or bystander exposures within a set distance of subjects’ homes. Residential exposure to pesticides was calculated by the sum of exposures which occurred in a 500 m radius of the home for the relevant years of residence, normalised by the amount of pesticide applied and adjusted for the proportion of the subject’s lifetime. This approach was considered to be a more robust method of ascertaining exposure than self-report of events which featured in earlier studies.</w:t>
      </w:r>
    </w:p>
    <w:p w14:paraId="3049746D" w14:textId="77777777" w:rsidR="002B2CFC" w:rsidRPr="002B2CFC" w:rsidRDefault="002B2CFC" w:rsidP="002B2CFC">
      <w:pPr>
        <w:rPr>
          <w:szCs w:val="24"/>
          <w:lang w:val="en-US" w:eastAsia="en-US"/>
        </w:rPr>
      </w:pPr>
    </w:p>
    <w:p w14:paraId="0D044E0C" w14:textId="77777777" w:rsidR="002B2CFC" w:rsidRPr="00AF5C6E" w:rsidRDefault="002B2CFC" w:rsidP="00AF5C6E">
      <w:pPr>
        <w:pStyle w:val="Heading3"/>
        <w:rPr>
          <w:i/>
        </w:rPr>
      </w:pPr>
      <w:bookmarkStart w:id="147" w:name="_Toc459108318"/>
      <w:r w:rsidRPr="00AF5C6E">
        <w:rPr>
          <w:i/>
        </w:rPr>
        <w:t>Outcome definition</w:t>
      </w:r>
      <w:bookmarkEnd w:id="147"/>
    </w:p>
    <w:p w14:paraId="7932CAAB" w14:textId="77777777" w:rsidR="002B2CFC" w:rsidRPr="002B2CFC" w:rsidRDefault="002B2CFC" w:rsidP="002B2CFC">
      <w:pPr>
        <w:rPr>
          <w:szCs w:val="24"/>
          <w:lang w:val="en-US" w:eastAsia="en-US"/>
        </w:rPr>
      </w:pPr>
      <w:r w:rsidRPr="002B2CFC">
        <w:rPr>
          <w:szCs w:val="24"/>
          <w:lang w:val="en-US" w:eastAsia="en-US"/>
        </w:rPr>
        <w:t>The outcome definition ensures that the cases were assigned by a suitably qualified person, expert</w:t>
      </w:r>
      <w:r w:rsidR="00122DDB">
        <w:rPr>
          <w:szCs w:val="24"/>
          <w:lang w:val="en-US" w:eastAsia="en-US"/>
        </w:rPr>
        <w:t>,</w:t>
      </w:r>
      <w:r w:rsidRPr="002B2CFC">
        <w:rPr>
          <w:szCs w:val="24"/>
          <w:lang w:val="en-US" w:eastAsia="en-US"/>
        </w:rPr>
        <w:t xml:space="preserve"> or by an appropriate process. Some earlier studies used death from Parkinson’s disease as an outcome, or signs and symptoms similar to Parkinson’s disease as an outcome definition. Diagnosis of disease by a physician is considered to be the most robust indicator of this clinical endpoint. Death from the exposure-related disease, e.g., Parkinson’s disease, may not be listed as a primary cause of death on the death certificate, and may not be mentioned as a secondary or tertiary contributor to death. This situation has the potential to decrease the strength of any associations drawn following the data analysis. In the study by Kamel </w:t>
      </w:r>
      <w:r w:rsidRPr="002B2CFC">
        <w:rPr>
          <w:i/>
          <w:szCs w:val="24"/>
          <w:lang w:val="en-US" w:eastAsia="en-US"/>
        </w:rPr>
        <w:t>et al</w:t>
      </w:r>
      <w:r w:rsidRPr="002B2CFC">
        <w:rPr>
          <w:szCs w:val="24"/>
          <w:lang w:val="en-US" w:eastAsia="en-US"/>
        </w:rPr>
        <w:t xml:space="preserve"> (2007), prevalent cases were determined by a diagnosis from a doctor, and incident cases were based on information from either a doctor or a health profession</w:t>
      </w:r>
      <w:r w:rsidR="000E221D">
        <w:rPr>
          <w:szCs w:val="24"/>
          <w:lang w:val="en-US" w:eastAsia="en-US"/>
        </w:rPr>
        <w:t>al</w:t>
      </w:r>
      <w:r w:rsidR="00794F11">
        <w:rPr>
          <w:szCs w:val="24"/>
          <w:lang w:val="en-US" w:eastAsia="en-US"/>
        </w:rPr>
        <w:t>.</w:t>
      </w:r>
      <w:r w:rsidRPr="002B2CFC">
        <w:rPr>
          <w:szCs w:val="24"/>
          <w:lang w:val="en-US" w:eastAsia="en-US"/>
        </w:rPr>
        <w:t xml:space="preserve"> Other studies use death from Parkinson’s disease as an outcome, or signs and symptoms similar to Parkinson’s disease as an outcome. Death from Parkinson’s disease may not be listed as a primary cause of death on the death certificate, and may not be mentioned at all even as a secondary or tertiary contributor to death. Similarly, in the study by Costello </w:t>
      </w:r>
      <w:r w:rsidRPr="002B2CFC">
        <w:rPr>
          <w:i/>
          <w:szCs w:val="24"/>
          <w:lang w:val="en-US" w:eastAsia="en-US"/>
        </w:rPr>
        <w:t>et al</w:t>
      </w:r>
      <w:r w:rsidRPr="002B2CFC">
        <w:rPr>
          <w:szCs w:val="24"/>
          <w:lang w:val="en-US" w:eastAsia="en-US"/>
        </w:rPr>
        <w:t xml:space="preserve"> (2009), cases were confirmed to have Parkinson’s disease by neurologists providing care for these patients. However, the study does not describe how subjects were recruited from sources other than </w:t>
      </w:r>
      <w:r w:rsidRPr="002B2CFC">
        <w:rPr>
          <w:i/>
          <w:szCs w:val="24"/>
          <w:lang w:val="en-US" w:eastAsia="en-US"/>
        </w:rPr>
        <w:t>via</w:t>
      </w:r>
      <w:r w:rsidRPr="002B2CFC">
        <w:rPr>
          <w:szCs w:val="24"/>
          <w:lang w:val="en-US" w:eastAsia="en-US"/>
        </w:rPr>
        <w:t xml:space="preserve"> neurologists or health clinics (newspaper and radio announcements), were classified with Parkinson’s disease.</w:t>
      </w:r>
    </w:p>
    <w:p w14:paraId="2C95F7AF" w14:textId="77777777" w:rsidR="002B2CFC" w:rsidRPr="002B2CFC" w:rsidRDefault="002B2CFC" w:rsidP="002B2CFC">
      <w:pPr>
        <w:rPr>
          <w:szCs w:val="24"/>
          <w:lang w:val="en-US" w:eastAsia="en-US"/>
        </w:rPr>
      </w:pPr>
    </w:p>
    <w:p w14:paraId="104BCE44" w14:textId="77777777" w:rsidR="002B2CFC" w:rsidRPr="00AF5C6E" w:rsidRDefault="002B2CFC" w:rsidP="00AF5C6E">
      <w:pPr>
        <w:pStyle w:val="Heading3"/>
        <w:rPr>
          <w:i/>
        </w:rPr>
      </w:pPr>
      <w:bookmarkStart w:id="148" w:name="_Toc459108319"/>
      <w:r w:rsidRPr="00AF5C6E">
        <w:rPr>
          <w:i/>
        </w:rPr>
        <w:t>Sample size</w:t>
      </w:r>
      <w:bookmarkEnd w:id="148"/>
    </w:p>
    <w:p w14:paraId="4734CA70" w14:textId="77777777" w:rsidR="002B2CFC" w:rsidRPr="002B2CFC" w:rsidRDefault="002B2CFC" w:rsidP="002B2CFC">
      <w:pPr>
        <w:keepNext/>
        <w:keepLines/>
        <w:rPr>
          <w:szCs w:val="24"/>
          <w:lang w:val="en-US" w:eastAsia="en-US"/>
        </w:rPr>
      </w:pPr>
      <w:r w:rsidRPr="002B2CFC">
        <w:rPr>
          <w:szCs w:val="24"/>
          <w:lang w:val="en-US" w:eastAsia="en-US"/>
        </w:rPr>
        <w:t xml:space="preserve">Sample size can influence study outcomes; when sample size is large, some associations and findings may occur serendipitously – the greater the number of respondents, the greater the chance of finding an association, even if that association were spurious. Conversely, small sample size numbers tend to introduce large variances and thus detract from the statistical significance of the study. As a rule, when the outcome, or disease of interest in a study, is low in prevalence, a large sample size is required. Therefore, it is interesting to note that the study by Kamel </w:t>
      </w:r>
      <w:r w:rsidRPr="002B2CFC">
        <w:rPr>
          <w:i/>
          <w:szCs w:val="24"/>
          <w:lang w:val="en-US" w:eastAsia="en-US"/>
        </w:rPr>
        <w:t>et al</w:t>
      </w:r>
      <w:r w:rsidRPr="002B2CFC">
        <w:rPr>
          <w:szCs w:val="24"/>
          <w:lang w:val="en-US" w:eastAsia="en-US"/>
        </w:rPr>
        <w:t xml:space="preserve"> (2007) brought about statistically weak associations between pesticide exposure and a diagnosis of Parkinson’s disease. The study by Costello </w:t>
      </w:r>
      <w:r w:rsidRPr="002B2CFC">
        <w:rPr>
          <w:i/>
          <w:szCs w:val="24"/>
          <w:lang w:val="en-US" w:eastAsia="en-US"/>
        </w:rPr>
        <w:t>et al</w:t>
      </w:r>
      <w:r w:rsidRPr="002B2CFC">
        <w:rPr>
          <w:szCs w:val="24"/>
          <w:lang w:val="en-US" w:eastAsia="en-US"/>
        </w:rPr>
        <w:t xml:space="preserve"> (2009), with relatively few cases and even fewer controls, yielded robust associations of two and even four-fold risk of disease upon pesticide exposure.</w:t>
      </w:r>
    </w:p>
    <w:p w14:paraId="4F470C52" w14:textId="77777777" w:rsidR="002B2CFC" w:rsidRPr="002B2CFC" w:rsidRDefault="002B2CFC" w:rsidP="002B2CFC">
      <w:pPr>
        <w:rPr>
          <w:szCs w:val="24"/>
          <w:lang w:val="en-US" w:eastAsia="en-US"/>
        </w:rPr>
      </w:pPr>
    </w:p>
    <w:p w14:paraId="73B07343" w14:textId="77777777" w:rsidR="002B2CFC" w:rsidRPr="00AF5C6E" w:rsidRDefault="002B2CFC" w:rsidP="00AF5C6E">
      <w:pPr>
        <w:pStyle w:val="Heading3"/>
        <w:rPr>
          <w:i/>
        </w:rPr>
      </w:pPr>
      <w:bookmarkStart w:id="149" w:name="_Toc459108320"/>
      <w:r w:rsidRPr="00AF5C6E">
        <w:rPr>
          <w:i/>
        </w:rPr>
        <w:t>Study type</w:t>
      </w:r>
      <w:bookmarkEnd w:id="149"/>
    </w:p>
    <w:p w14:paraId="5342CA7F" w14:textId="77777777" w:rsidR="002B2CFC" w:rsidRPr="002B2CFC" w:rsidRDefault="002B2CFC" w:rsidP="002B2CFC">
      <w:pPr>
        <w:keepNext/>
        <w:keepLines/>
        <w:rPr>
          <w:szCs w:val="24"/>
          <w:lang w:val="en-US" w:eastAsia="en-US"/>
        </w:rPr>
      </w:pPr>
      <w:r w:rsidRPr="002B2CFC">
        <w:rPr>
          <w:szCs w:val="24"/>
          <w:lang w:val="en-US" w:eastAsia="en-US"/>
        </w:rPr>
        <w:t xml:space="preserve">A cross-sectional study and a case control study will provide information on the strength of an association between a dependent and an independent variable, and logistic regression will yield odds ratios as indicators of the strength of that association. The study by Kamel </w:t>
      </w:r>
      <w:r w:rsidRPr="002B2CFC">
        <w:rPr>
          <w:i/>
          <w:szCs w:val="24"/>
          <w:lang w:val="en-US" w:eastAsia="en-US"/>
        </w:rPr>
        <w:t>et al</w:t>
      </w:r>
      <w:r w:rsidRPr="002B2CFC">
        <w:rPr>
          <w:szCs w:val="24"/>
          <w:lang w:val="en-US" w:eastAsia="en-US"/>
        </w:rPr>
        <w:t xml:space="preserve"> (2007) was a case control study. However, when the authors reported the odds ratios were ascertained at the beginning of the study, the authors neglected to report the relative risk when reporting the incident cases, or newly developed cases of Parkinson’s disease as they emerged from the cohort or the prospective portion of the study. </w:t>
      </w:r>
    </w:p>
    <w:p w14:paraId="445F5F66" w14:textId="77777777" w:rsidR="002B2CFC" w:rsidRPr="002B2CFC" w:rsidRDefault="002B2CFC" w:rsidP="002B2CFC">
      <w:pPr>
        <w:rPr>
          <w:szCs w:val="24"/>
          <w:lang w:val="en-US" w:eastAsia="en-US"/>
        </w:rPr>
      </w:pPr>
    </w:p>
    <w:p w14:paraId="19DBB029" w14:textId="77777777" w:rsidR="002B2CFC" w:rsidRPr="002B2CFC" w:rsidRDefault="002B2CFC" w:rsidP="002B2CFC">
      <w:pPr>
        <w:rPr>
          <w:szCs w:val="24"/>
          <w:lang w:val="en-US" w:eastAsia="en-US"/>
        </w:rPr>
      </w:pPr>
      <w:r w:rsidRPr="002B2CFC">
        <w:rPr>
          <w:szCs w:val="24"/>
          <w:lang w:val="en-US" w:eastAsia="en-US"/>
        </w:rPr>
        <w:t xml:space="preserve">The authors of the Costello </w:t>
      </w:r>
      <w:r w:rsidRPr="002B2CFC">
        <w:rPr>
          <w:i/>
          <w:szCs w:val="24"/>
          <w:lang w:val="en-US" w:eastAsia="en-US"/>
        </w:rPr>
        <w:t>et al</w:t>
      </w:r>
      <w:r w:rsidRPr="002B2CFC">
        <w:rPr>
          <w:szCs w:val="24"/>
          <w:lang w:val="en-US" w:eastAsia="en-US"/>
        </w:rPr>
        <w:t xml:space="preserve"> (2009) study enrolled “368 incident Parkinson’s disease cases”. The use of the term “incident” is unfortunate as these cases would more appropriately be labelled as newly-diagnosed Parkinson’s disease cases. If they were true incident cases, their diagnosis would have emerged during an observation period of a cohort which is known to have been exposed to a variable of interest. However, this is a case-control study which indicates a relationship and shows the strength of the relationship between a known exposure and the presence of the disease of interest. </w:t>
      </w:r>
    </w:p>
    <w:p w14:paraId="0F4D89B3" w14:textId="77777777" w:rsidR="00C8798E" w:rsidRDefault="00C8798E" w:rsidP="00F82258">
      <w:pPr>
        <w:pStyle w:val="Caption"/>
        <w:keepNext/>
        <w:spacing w:after="120"/>
      </w:pPr>
      <w:r>
        <w:lastRenderedPageBreak/>
        <w:t xml:space="preserve">Table </w:t>
      </w:r>
      <w:r w:rsidR="00897462">
        <w:fldChar w:fldCharType="begin"/>
      </w:r>
      <w:r>
        <w:instrText xml:space="preserve"> SEQ Table \* ARABIC </w:instrText>
      </w:r>
      <w:r w:rsidR="00897462">
        <w:fldChar w:fldCharType="separate"/>
      </w:r>
      <w:r w:rsidR="000E54B2">
        <w:rPr>
          <w:noProof/>
        </w:rPr>
        <w:t>41</w:t>
      </w:r>
      <w:r w:rsidR="00897462">
        <w:fldChar w:fldCharType="end"/>
      </w:r>
      <w:r>
        <w:t xml:space="preserve">. </w:t>
      </w:r>
      <w:r w:rsidRPr="00AE6BDA">
        <w:t>Comparison of exposure definition</w:t>
      </w:r>
      <w:r>
        <w:t xml:space="preserve"> for two </w:t>
      </w:r>
      <w:r w:rsidR="008F1D53">
        <w:t xml:space="preserve">key </w:t>
      </w:r>
      <w:r>
        <w:t>epid</w:t>
      </w:r>
      <w:r w:rsidR="00444041">
        <w:t>e</w:t>
      </w:r>
      <w:r>
        <w:t>miology studies</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3618"/>
        <w:gridCol w:w="3618"/>
      </w:tblGrid>
      <w:tr w:rsidR="002B2CFC" w:rsidRPr="002B2CFC" w14:paraId="332420C5" w14:textId="77777777" w:rsidTr="00DE7E25">
        <w:tc>
          <w:tcPr>
            <w:tcW w:w="1697" w:type="dxa"/>
            <w:shd w:val="clear" w:color="auto" w:fill="BFBFBF" w:themeFill="background1" w:themeFillShade="BF"/>
            <w:vAlign w:val="center"/>
          </w:tcPr>
          <w:p w14:paraId="2CA84CDA" w14:textId="77777777" w:rsidR="002B2CFC" w:rsidRPr="002B2CFC" w:rsidRDefault="002B2CFC" w:rsidP="00F82258">
            <w:pPr>
              <w:keepNext/>
              <w:keepLines/>
              <w:ind w:left="57"/>
              <w:jc w:val="left"/>
              <w:rPr>
                <w:b/>
                <w:sz w:val="20"/>
                <w:lang w:val="en-US" w:eastAsia="en-US"/>
              </w:rPr>
            </w:pPr>
            <w:r w:rsidRPr="002B2CFC">
              <w:rPr>
                <w:b/>
                <w:sz w:val="20"/>
                <w:lang w:val="en-US" w:eastAsia="en-US"/>
              </w:rPr>
              <w:t>Study</w:t>
            </w:r>
          </w:p>
        </w:tc>
        <w:tc>
          <w:tcPr>
            <w:tcW w:w="3738" w:type="dxa"/>
            <w:shd w:val="clear" w:color="auto" w:fill="BFBFBF" w:themeFill="background1" w:themeFillShade="BF"/>
            <w:vAlign w:val="center"/>
          </w:tcPr>
          <w:p w14:paraId="4F992335" w14:textId="77777777" w:rsidR="002B2CFC" w:rsidRPr="002B2CFC" w:rsidRDefault="002B2CFC" w:rsidP="00F82258">
            <w:pPr>
              <w:keepNext/>
              <w:keepLines/>
              <w:ind w:left="57"/>
              <w:jc w:val="left"/>
              <w:rPr>
                <w:b/>
                <w:sz w:val="20"/>
                <w:lang w:val="en-US" w:eastAsia="en-US"/>
              </w:rPr>
            </w:pPr>
            <w:r w:rsidRPr="002B2CFC">
              <w:rPr>
                <w:b/>
                <w:sz w:val="20"/>
                <w:lang w:val="en-US" w:eastAsia="en-US"/>
              </w:rPr>
              <w:t xml:space="preserve">Kamel </w:t>
            </w:r>
            <w:r w:rsidRPr="002B2CFC">
              <w:rPr>
                <w:b/>
                <w:i/>
                <w:sz w:val="20"/>
                <w:lang w:val="en-US" w:eastAsia="en-US"/>
              </w:rPr>
              <w:t>et al</w:t>
            </w:r>
            <w:r w:rsidRPr="002B2CFC">
              <w:rPr>
                <w:b/>
                <w:sz w:val="20"/>
                <w:lang w:val="en-US" w:eastAsia="en-US"/>
              </w:rPr>
              <w:t xml:space="preserve"> (2007)</w:t>
            </w:r>
          </w:p>
        </w:tc>
        <w:tc>
          <w:tcPr>
            <w:tcW w:w="3738" w:type="dxa"/>
            <w:shd w:val="clear" w:color="auto" w:fill="BFBFBF" w:themeFill="background1" w:themeFillShade="BF"/>
            <w:vAlign w:val="center"/>
          </w:tcPr>
          <w:p w14:paraId="40E88431" w14:textId="77777777" w:rsidR="002B2CFC" w:rsidRPr="002B2CFC" w:rsidRDefault="002B2CFC" w:rsidP="00F82258">
            <w:pPr>
              <w:keepNext/>
              <w:keepLines/>
              <w:ind w:left="57"/>
              <w:jc w:val="left"/>
              <w:rPr>
                <w:b/>
                <w:sz w:val="20"/>
                <w:lang w:val="en-US" w:eastAsia="en-US"/>
              </w:rPr>
            </w:pPr>
            <w:r w:rsidRPr="002B2CFC">
              <w:rPr>
                <w:b/>
                <w:sz w:val="20"/>
                <w:lang w:val="en-US" w:eastAsia="en-US"/>
              </w:rPr>
              <w:t xml:space="preserve">Costello </w:t>
            </w:r>
            <w:r w:rsidRPr="002B2CFC">
              <w:rPr>
                <w:b/>
                <w:i/>
                <w:sz w:val="20"/>
                <w:lang w:val="en-US" w:eastAsia="en-US"/>
              </w:rPr>
              <w:t>et al</w:t>
            </w:r>
            <w:r w:rsidRPr="002B2CFC">
              <w:rPr>
                <w:b/>
                <w:sz w:val="20"/>
                <w:lang w:val="en-US" w:eastAsia="en-US"/>
              </w:rPr>
              <w:t xml:space="preserve"> (2009)</w:t>
            </w:r>
          </w:p>
        </w:tc>
      </w:tr>
      <w:tr w:rsidR="002B2CFC" w:rsidRPr="002B2CFC" w14:paraId="18FB20DD" w14:textId="77777777" w:rsidTr="00DE7E25">
        <w:tc>
          <w:tcPr>
            <w:tcW w:w="1697" w:type="dxa"/>
            <w:shd w:val="clear" w:color="auto" w:fill="auto"/>
            <w:vAlign w:val="center"/>
          </w:tcPr>
          <w:p w14:paraId="0C09FEA9" w14:textId="77777777" w:rsidR="002B2CFC" w:rsidRPr="002B2CFC" w:rsidRDefault="002B2CFC" w:rsidP="00F82258">
            <w:pPr>
              <w:keepNext/>
              <w:keepLines/>
              <w:ind w:left="57"/>
              <w:jc w:val="left"/>
              <w:rPr>
                <w:sz w:val="20"/>
                <w:lang w:val="en-US" w:eastAsia="en-US"/>
              </w:rPr>
            </w:pPr>
            <w:r w:rsidRPr="002B2CFC">
              <w:rPr>
                <w:sz w:val="20"/>
                <w:lang w:val="en-US" w:eastAsia="en-US"/>
              </w:rPr>
              <w:t>Source of data:-</w:t>
            </w:r>
          </w:p>
          <w:p w14:paraId="767B4BBE" w14:textId="77777777" w:rsidR="002B2CFC" w:rsidRPr="002B2CFC" w:rsidRDefault="002B2CFC" w:rsidP="00F82258">
            <w:pPr>
              <w:keepNext/>
              <w:keepLines/>
              <w:ind w:left="57"/>
              <w:jc w:val="left"/>
              <w:rPr>
                <w:sz w:val="20"/>
                <w:lang w:val="en-US" w:eastAsia="en-US"/>
              </w:rPr>
            </w:pPr>
            <w:r w:rsidRPr="002B2CFC">
              <w:rPr>
                <w:sz w:val="20"/>
                <w:lang w:val="en-US" w:eastAsia="en-US"/>
              </w:rPr>
              <w:t xml:space="preserve">Recall, </w:t>
            </w:r>
          </w:p>
        </w:tc>
        <w:tc>
          <w:tcPr>
            <w:tcW w:w="3738" w:type="dxa"/>
            <w:shd w:val="clear" w:color="auto" w:fill="auto"/>
            <w:vAlign w:val="center"/>
          </w:tcPr>
          <w:p w14:paraId="7315BA9F" w14:textId="77777777" w:rsidR="002B2CFC" w:rsidRPr="002B2CFC" w:rsidRDefault="002B2CFC" w:rsidP="00F82258">
            <w:pPr>
              <w:keepNext/>
              <w:keepLines/>
              <w:ind w:left="57"/>
              <w:jc w:val="left"/>
              <w:rPr>
                <w:sz w:val="20"/>
                <w:lang w:val="en-US" w:eastAsia="en-US"/>
              </w:rPr>
            </w:pPr>
            <w:r w:rsidRPr="002B2CFC">
              <w:rPr>
                <w:sz w:val="20"/>
                <w:lang w:val="en-US" w:eastAsia="en-US"/>
              </w:rPr>
              <w:t>For the US AHS cohort*, established in 1993-1997, follow-up 1999-2003.</w:t>
            </w:r>
          </w:p>
        </w:tc>
        <w:tc>
          <w:tcPr>
            <w:tcW w:w="3738" w:type="dxa"/>
            <w:shd w:val="clear" w:color="auto" w:fill="auto"/>
            <w:vAlign w:val="center"/>
          </w:tcPr>
          <w:p w14:paraId="23A556AE" w14:textId="77777777" w:rsidR="002B2CFC" w:rsidRPr="002B2CFC" w:rsidRDefault="002B2CFC" w:rsidP="00F82258">
            <w:pPr>
              <w:keepNext/>
              <w:keepLines/>
              <w:ind w:left="57"/>
              <w:jc w:val="left"/>
              <w:rPr>
                <w:sz w:val="20"/>
                <w:lang w:val="en-US" w:eastAsia="en-US"/>
              </w:rPr>
            </w:pPr>
            <w:r w:rsidRPr="002B2CFC">
              <w:rPr>
                <w:sz w:val="20"/>
                <w:lang w:val="en-US" w:eastAsia="en-US"/>
              </w:rPr>
              <w:t xml:space="preserve">Recruited disease affected; recorded residence (1974-1999); estimated exposure; and matched to land-use data for both cases and controls; 88% respondents mapped with precision. </w:t>
            </w:r>
          </w:p>
        </w:tc>
      </w:tr>
      <w:tr w:rsidR="002B2CFC" w:rsidRPr="002B2CFC" w14:paraId="2AA0B273" w14:textId="77777777" w:rsidTr="00DE7E25">
        <w:tc>
          <w:tcPr>
            <w:tcW w:w="1697" w:type="dxa"/>
            <w:shd w:val="clear" w:color="auto" w:fill="auto"/>
            <w:vAlign w:val="center"/>
          </w:tcPr>
          <w:p w14:paraId="752874FB" w14:textId="77777777" w:rsidR="002B2CFC" w:rsidRPr="002B2CFC" w:rsidRDefault="002B2CFC" w:rsidP="00F82258">
            <w:pPr>
              <w:keepNext/>
              <w:keepLines/>
              <w:ind w:left="57"/>
              <w:jc w:val="left"/>
              <w:rPr>
                <w:sz w:val="20"/>
                <w:lang w:val="en-US" w:eastAsia="en-US"/>
              </w:rPr>
            </w:pPr>
            <w:r w:rsidRPr="002B2CFC">
              <w:rPr>
                <w:sz w:val="20"/>
                <w:lang w:val="en-US" w:eastAsia="en-US"/>
              </w:rPr>
              <w:t>Pesticide use:-reporting.</w:t>
            </w:r>
          </w:p>
        </w:tc>
        <w:tc>
          <w:tcPr>
            <w:tcW w:w="3738" w:type="dxa"/>
            <w:shd w:val="clear" w:color="auto" w:fill="auto"/>
            <w:vAlign w:val="center"/>
          </w:tcPr>
          <w:p w14:paraId="2C1CB1F4" w14:textId="77777777" w:rsidR="002B2CFC" w:rsidRPr="002B2CFC" w:rsidRDefault="002B2CFC" w:rsidP="00F82258">
            <w:pPr>
              <w:keepNext/>
              <w:keepLines/>
              <w:ind w:left="57"/>
              <w:jc w:val="left"/>
              <w:rPr>
                <w:sz w:val="20"/>
                <w:lang w:val="en-US" w:eastAsia="en-US"/>
              </w:rPr>
            </w:pPr>
            <w:r w:rsidRPr="002B2CFC">
              <w:rPr>
                <w:sz w:val="20"/>
                <w:lang w:val="en-US" w:eastAsia="en-US"/>
              </w:rPr>
              <w:t>Self reporting; apparent that the only data for exposure was question 10 which asked – “During your lifetime, have you ever personally mixed or applied any pesticide?”</w:t>
            </w:r>
          </w:p>
          <w:p w14:paraId="63E39F5A" w14:textId="77777777" w:rsidR="002B2CFC" w:rsidRPr="002B2CFC" w:rsidRDefault="002B2CFC" w:rsidP="00F82258">
            <w:pPr>
              <w:keepNext/>
              <w:keepLines/>
              <w:ind w:left="57"/>
              <w:jc w:val="left"/>
              <w:rPr>
                <w:sz w:val="20"/>
                <w:lang w:val="en-US" w:eastAsia="en-US"/>
              </w:rPr>
            </w:pPr>
            <w:r w:rsidRPr="002B2CFC">
              <w:rPr>
                <w:sz w:val="20"/>
                <w:lang w:val="en-US" w:eastAsia="en-US"/>
              </w:rPr>
              <w:t xml:space="preserve">Information on events involving high personal pesticide exposure was collected by using the question: </w:t>
            </w:r>
          </w:p>
          <w:p w14:paraId="2E652500" w14:textId="77777777" w:rsidR="002B2CFC" w:rsidRPr="002B2CFC" w:rsidRDefault="002B2CFC" w:rsidP="00F82258">
            <w:pPr>
              <w:keepNext/>
              <w:keepLines/>
              <w:ind w:left="57"/>
              <w:jc w:val="left"/>
              <w:rPr>
                <w:sz w:val="20"/>
                <w:lang w:val="en-US" w:eastAsia="en-US"/>
              </w:rPr>
            </w:pPr>
            <w:r w:rsidRPr="002B2CFC">
              <w:rPr>
                <w:sz w:val="20"/>
                <w:lang w:val="en-US" w:eastAsia="en-US"/>
              </w:rPr>
              <w:t>“Have you ever had an incident or experience while using any type of pesticide which caused you unusually high personal exposure?”</w:t>
            </w:r>
          </w:p>
        </w:tc>
        <w:tc>
          <w:tcPr>
            <w:tcW w:w="3738" w:type="dxa"/>
            <w:shd w:val="clear" w:color="auto" w:fill="auto"/>
            <w:vAlign w:val="center"/>
          </w:tcPr>
          <w:p w14:paraId="79493AA7" w14:textId="77777777" w:rsidR="002B2CFC" w:rsidRPr="002B2CFC" w:rsidRDefault="002B2CFC" w:rsidP="00F82258">
            <w:pPr>
              <w:keepNext/>
              <w:keepLines/>
              <w:ind w:left="57"/>
              <w:jc w:val="left"/>
              <w:rPr>
                <w:sz w:val="20"/>
                <w:lang w:val="en-US" w:eastAsia="en-US"/>
              </w:rPr>
            </w:pPr>
            <w:r w:rsidRPr="002B2CFC">
              <w:rPr>
                <w:sz w:val="20"/>
                <w:lang w:val="en-US" w:eastAsia="en-US"/>
              </w:rPr>
              <w:t>Pesticide Use Reporting data from California Department of Pesticide Regulation: name, poundage, crop, acreage, application method, date of application.</w:t>
            </w:r>
          </w:p>
          <w:p w14:paraId="095C07B7" w14:textId="77777777" w:rsidR="002B2CFC" w:rsidRPr="002B2CFC" w:rsidRDefault="002B2CFC" w:rsidP="00F82258">
            <w:pPr>
              <w:keepNext/>
              <w:keepLines/>
              <w:ind w:left="57"/>
              <w:jc w:val="left"/>
              <w:rPr>
                <w:sz w:val="20"/>
                <w:lang w:val="en-US" w:eastAsia="en-US"/>
              </w:rPr>
            </w:pPr>
          </w:p>
        </w:tc>
      </w:tr>
      <w:tr w:rsidR="002B2CFC" w:rsidRPr="002B2CFC" w14:paraId="6FDDA03E" w14:textId="77777777" w:rsidTr="00DE7E25">
        <w:tc>
          <w:tcPr>
            <w:tcW w:w="1697" w:type="dxa"/>
            <w:shd w:val="clear" w:color="auto" w:fill="auto"/>
            <w:vAlign w:val="center"/>
          </w:tcPr>
          <w:p w14:paraId="71EABDBE" w14:textId="77777777" w:rsidR="002B2CFC" w:rsidRPr="002B2CFC" w:rsidRDefault="002B2CFC" w:rsidP="00F82258">
            <w:pPr>
              <w:keepNext/>
              <w:keepLines/>
              <w:ind w:left="57"/>
              <w:jc w:val="left"/>
              <w:rPr>
                <w:sz w:val="20"/>
                <w:lang w:val="en-US" w:eastAsia="en-US"/>
              </w:rPr>
            </w:pPr>
            <w:r w:rsidRPr="002B2CFC">
              <w:rPr>
                <w:sz w:val="20"/>
                <w:lang w:val="en-US" w:eastAsia="en-US"/>
              </w:rPr>
              <w:t>Duration data:-</w:t>
            </w:r>
          </w:p>
          <w:p w14:paraId="557E054D" w14:textId="77777777" w:rsidR="002B2CFC" w:rsidRPr="002B2CFC" w:rsidRDefault="002B2CFC" w:rsidP="00F82258">
            <w:pPr>
              <w:keepNext/>
              <w:keepLines/>
              <w:ind w:left="57"/>
              <w:jc w:val="left"/>
              <w:rPr>
                <w:sz w:val="20"/>
                <w:lang w:val="en-US" w:eastAsia="en-US"/>
              </w:rPr>
            </w:pPr>
            <w:r w:rsidRPr="002B2CFC">
              <w:rPr>
                <w:sz w:val="20"/>
                <w:lang w:val="en-US" w:eastAsia="en-US"/>
              </w:rPr>
              <w:t>useful when duration of exposure affects disease.</w:t>
            </w:r>
          </w:p>
        </w:tc>
        <w:tc>
          <w:tcPr>
            <w:tcW w:w="3738" w:type="dxa"/>
            <w:shd w:val="clear" w:color="auto" w:fill="auto"/>
            <w:vAlign w:val="center"/>
          </w:tcPr>
          <w:p w14:paraId="5E9E4EBC" w14:textId="77777777" w:rsidR="002B2CFC" w:rsidRPr="002B2CFC" w:rsidRDefault="002B2CFC" w:rsidP="00F82258">
            <w:pPr>
              <w:keepNext/>
              <w:keepLines/>
              <w:ind w:left="57"/>
              <w:jc w:val="left"/>
              <w:rPr>
                <w:sz w:val="20"/>
                <w:lang w:val="en-US" w:eastAsia="en-US"/>
              </w:rPr>
            </w:pPr>
            <w:r w:rsidRPr="002B2CFC">
              <w:rPr>
                <w:sz w:val="20"/>
                <w:lang w:val="en-US" w:eastAsia="en-US"/>
              </w:rPr>
              <w:t>Question 10b “How many days per year did respondent personally mix or apply pesticides?”</w:t>
            </w:r>
          </w:p>
          <w:p w14:paraId="7A3F747C" w14:textId="77777777" w:rsidR="002B2CFC" w:rsidRPr="002B2CFC" w:rsidRDefault="002B2CFC" w:rsidP="00F82258">
            <w:pPr>
              <w:keepNext/>
              <w:keepLines/>
              <w:ind w:left="57"/>
              <w:jc w:val="left"/>
              <w:rPr>
                <w:sz w:val="20"/>
                <w:lang w:val="en-US" w:eastAsia="en-US"/>
              </w:rPr>
            </w:pPr>
            <w:r w:rsidRPr="002B2CFC">
              <w:rPr>
                <w:sz w:val="20"/>
                <w:lang w:val="en-US" w:eastAsia="en-US"/>
              </w:rPr>
              <w:t>Question 10c “What percent of time did respondent personally mix pesticides when mixing was required?”</w:t>
            </w:r>
          </w:p>
          <w:p w14:paraId="6F64B25A" w14:textId="77777777" w:rsidR="002B2CFC" w:rsidRPr="002B2CFC" w:rsidRDefault="002B2CFC" w:rsidP="00F82258">
            <w:pPr>
              <w:keepNext/>
              <w:keepLines/>
              <w:ind w:left="57"/>
              <w:jc w:val="left"/>
              <w:rPr>
                <w:sz w:val="20"/>
                <w:lang w:val="en-US" w:eastAsia="en-US"/>
              </w:rPr>
            </w:pPr>
            <w:r w:rsidRPr="002B2CFC">
              <w:rPr>
                <w:sz w:val="20"/>
                <w:lang w:val="en-US" w:eastAsia="en-US"/>
              </w:rPr>
              <w:t>Question 10d “What percent of the application did respondent personally do?”</w:t>
            </w:r>
          </w:p>
          <w:p w14:paraId="051B29E6" w14:textId="77777777" w:rsidR="002B2CFC" w:rsidRPr="002B2CFC" w:rsidRDefault="002B2CFC" w:rsidP="00F82258">
            <w:pPr>
              <w:keepNext/>
              <w:keepLines/>
              <w:ind w:left="57"/>
              <w:jc w:val="left"/>
              <w:rPr>
                <w:sz w:val="20"/>
                <w:lang w:val="en-US" w:eastAsia="en-US"/>
              </w:rPr>
            </w:pPr>
            <w:r w:rsidRPr="002B2CFC">
              <w:rPr>
                <w:sz w:val="20"/>
                <w:lang w:val="en-US" w:eastAsia="en-US"/>
              </w:rPr>
              <w:t xml:space="preserve">Data on duration were not reported in the paper. </w:t>
            </w:r>
          </w:p>
        </w:tc>
        <w:tc>
          <w:tcPr>
            <w:tcW w:w="3738" w:type="dxa"/>
            <w:shd w:val="clear" w:color="auto" w:fill="auto"/>
            <w:vAlign w:val="center"/>
          </w:tcPr>
          <w:p w14:paraId="7E231220" w14:textId="77777777" w:rsidR="002B2CFC" w:rsidRPr="002B2CFC" w:rsidRDefault="002B2CFC" w:rsidP="00F82258">
            <w:pPr>
              <w:keepNext/>
              <w:keepLines/>
              <w:ind w:left="57"/>
              <w:jc w:val="left"/>
              <w:rPr>
                <w:sz w:val="20"/>
                <w:lang w:val="en-US" w:eastAsia="en-US"/>
              </w:rPr>
            </w:pPr>
            <w:r w:rsidRPr="002B2CFC">
              <w:rPr>
                <w:sz w:val="20"/>
                <w:lang w:val="en-US" w:eastAsia="en-US"/>
              </w:rPr>
              <w:t xml:space="preserve">Between 1974 and 1999. Data able to be partitioned into exposure windows of 1974-1989 and 1990-1999. Duration of exposure adjusted for the period the participants were in residence in the test area and matched with pesticide application events. </w:t>
            </w:r>
          </w:p>
          <w:p w14:paraId="227B50F6" w14:textId="77777777" w:rsidR="002B2CFC" w:rsidRPr="002B2CFC" w:rsidRDefault="002B2CFC" w:rsidP="00F82258">
            <w:pPr>
              <w:keepNext/>
              <w:keepLines/>
              <w:ind w:left="57"/>
              <w:jc w:val="left"/>
              <w:rPr>
                <w:sz w:val="20"/>
                <w:lang w:val="en-US" w:eastAsia="en-US"/>
              </w:rPr>
            </w:pPr>
          </w:p>
        </w:tc>
      </w:tr>
      <w:tr w:rsidR="002B2CFC" w:rsidRPr="002B2CFC" w14:paraId="0E819FE0" w14:textId="77777777" w:rsidTr="00DE7E25">
        <w:tc>
          <w:tcPr>
            <w:tcW w:w="1697" w:type="dxa"/>
            <w:shd w:val="clear" w:color="auto" w:fill="auto"/>
            <w:vAlign w:val="center"/>
          </w:tcPr>
          <w:p w14:paraId="2459512D" w14:textId="77777777" w:rsidR="002B2CFC" w:rsidRPr="002B2CFC" w:rsidRDefault="002B2CFC" w:rsidP="00F82258">
            <w:pPr>
              <w:keepNext/>
              <w:keepLines/>
              <w:ind w:left="57"/>
              <w:jc w:val="left"/>
              <w:rPr>
                <w:sz w:val="20"/>
                <w:lang w:val="en-US" w:eastAsia="en-US"/>
              </w:rPr>
            </w:pPr>
            <w:r w:rsidRPr="002B2CFC">
              <w:rPr>
                <w:sz w:val="20"/>
                <w:lang w:val="en-US" w:eastAsia="en-US"/>
              </w:rPr>
              <w:t>Proximity or Distance:- to/from site.</w:t>
            </w:r>
          </w:p>
        </w:tc>
        <w:tc>
          <w:tcPr>
            <w:tcW w:w="3738" w:type="dxa"/>
            <w:shd w:val="clear" w:color="auto" w:fill="auto"/>
            <w:vAlign w:val="center"/>
          </w:tcPr>
          <w:p w14:paraId="118BFF7F" w14:textId="77777777" w:rsidR="002B2CFC" w:rsidRPr="002B2CFC" w:rsidRDefault="002B2CFC" w:rsidP="00F82258">
            <w:pPr>
              <w:keepNext/>
              <w:keepLines/>
              <w:ind w:left="57"/>
              <w:jc w:val="left"/>
              <w:rPr>
                <w:sz w:val="20"/>
                <w:lang w:val="en-US" w:eastAsia="en-US"/>
              </w:rPr>
            </w:pPr>
            <w:r w:rsidRPr="002B2CFC">
              <w:rPr>
                <w:sz w:val="20"/>
                <w:lang w:val="en-US" w:eastAsia="en-US"/>
              </w:rPr>
              <w:t>Not addressed.</w:t>
            </w:r>
          </w:p>
        </w:tc>
        <w:tc>
          <w:tcPr>
            <w:tcW w:w="3738" w:type="dxa"/>
            <w:shd w:val="clear" w:color="auto" w:fill="auto"/>
            <w:vAlign w:val="center"/>
          </w:tcPr>
          <w:p w14:paraId="42D55DF0" w14:textId="77777777" w:rsidR="002B2CFC" w:rsidRPr="002B2CFC" w:rsidRDefault="002B2CFC" w:rsidP="00F82258">
            <w:pPr>
              <w:keepNext/>
              <w:keepLines/>
              <w:ind w:left="57"/>
              <w:jc w:val="left"/>
              <w:rPr>
                <w:sz w:val="20"/>
                <w:lang w:val="en-US" w:eastAsia="en-US"/>
              </w:rPr>
            </w:pPr>
            <w:r w:rsidRPr="002B2CFC">
              <w:rPr>
                <w:sz w:val="20"/>
                <w:lang w:val="en-US" w:eastAsia="en-US"/>
              </w:rPr>
              <w:t>The time-specific total exposure at each location by pesticide, was derived through summation of exposures over a fixed 500m radius around the home for the relevant years of residence. Pesticide application rates were averaged over specific time periods and adjusted by application rates of pesticide applied pa.</w:t>
            </w:r>
          </w:p>
        </w:tc>
      </w:tr>
      <w:tr w:rsidR="002B2CFC" w:rsidRPr="002B2CFC" w14:paraId="0E7D7E33" w14:textId="77777777" w:rsidTr="00DE7E25">
        <w:tc>
          <w:tcPr>
            <w:tcW w:w="1697" w:type="dxa"/>
            <w:shd w:val="clear" w:color="auto" w:fill="auto"/>
            <w:vAlign w:val="center"/>
          </w:tcPr>
          <w:p w14:paraId="1DDF0621" w14:textId="77777777" w:rsidR="002B2CFC" w:rsidRPr="002B2CFC" w:rsidRDefault="002B2CFC" w:rsidP="00F82258">
            <w:pPr>
              <w:keepNext/>
              <w:keepLines/>
              <w:ind w:left="57"/>
              <w:jc w:val="left"/>
              <w:rPr>
                <w:sz w:val="20"/>
                <w:lang w:val="en-US" w:eastAsia="en-US"/>
              </w:rPr>
            </w:pPr>
            <w:r w:rsidRPr="002B2CFC">
              <w:rPr>
                <w:sz w:val="20"/>
                <w:lang w:val="en-US" w:eastAsia="en-US"/>
              </w:rPr>
              <w:t>Proximity and duration</w:t>
            </w:r>
          </w:p>
        </w:tc>
        <w:tc>
          <w:tcPr>
            <w:tcW w:w="3738" w:type="dxa"/>
            <w:shd w:val="clear" w:color="auto" w:fill="auto"/>
            <w:vAlign w:val="center"/>
          </w:tcPr>
          <w:p w14:paraId="0FFAEAD8" w14:textId="77777777" w:rsidR="002B2CFC" w:rsidRPr="002B2CFC" w:rsidRDefault="002B2CFC" w:rsidP="00F82258">
            <w:pPr>
              <w:keepNext/>
              <w:keepLines/>
              <w:ind w:left="57"/>
              <w:jc w:val="left"/>
              <w:rPr>
                <w:sz w:val="20"/>
                <w:lang w:val="en-US" w:eastAsia="en-US"/>
              </w:rPr>
            </w:pPr>
            <w:r w:rsidRPr="002B2CFC">
              <w:rPr>
                <w:sz w:val="20"/>
                <w:lang w:val="en-US" w:eastAsia="en-US"/>
              </w:rPr>
              <w:t>Not reported in study.</w:t>
            </w:r>
          </w:p>
        </w:tc>
        <w:tc>
          <w:tcPr>
            <w:tcW w:w="3738" w:type="dxa"/>
            <w:shd w:val="clear" w:color="auto" w:fill="auto"/>
            <w:vAlign w:val="center"/>
          </w:tcPr>
          <w:p w14:paraId="2810258E" w14:textId="77777777" w:rsidR="002B2CFC" w:rsidRPr="002B2CFC" w:rsidRDefault="002B2CFC" w:rsidP="00F82258">
            <w:pPr>
              <w:keepNext/>
              <w:keepLines/>
              <w:ind w:left="57"/>
              <w:jc w:val="left"/>
              <w:rPr>
                <w:sz w:val="20"/>
                <w:lang w:val="en-US" w:eastAsia="en-US"/>
              </w:rPr>
            </w:pPr>
            <w:r w:rsidRPr="002B2CFC">
              <w:rPr>
                <w:sz w:val="20"/>
                <w:lang w:val="en-US" w:eastAsia="en-US"/>
              </w:rPr>
              <w:t>As above. Data geo-coded using a geographic information system.</w:t>
            </w:r>
          </w:p>
        </w:tc>
      </w:tr>
      <w:tr w:rsidR="002B2CFC" w:rsidRPr="002B2CFC" w14:paraId="39426F01" w14:textId="77777777" w:rsidTr="00DE7E25">
        <w:tc>
          <w:tcPr>
            <w:tcW w:w="1697" w:type="dxa"/>
            <w:shd w:val="clear" w:color="auto" w:fill="auto"/>
            <w:vAlign w:val="center"/>
          </w:tcPr>
          <w:p w14:paraId="7F5F142F" w14:textId="77777777" w:rsidR="002B2CFC" w:rsidRPr="002B2CFC" w:rsidRDefault="002B2CFC" w:rsidP="00F82258">
            <w:pPr>
              <w:keepNext/>
              <w:keepLines/>
              <w:ind w:left="57"/>
              <w:jc w:val="left"/>
              <w:rPr>
                <w:sz w:val="20"/>
                <w:lang w:val="en-US" w:eastAsia="en-US"/>
              </w:rPr>
            </w:pPr>
            <w:r w:rsidRPr="002B2CFC">
              <w:rPr>
                <w:sz w:val="20"/>
                <w:lang w:val="en-US" w:eastAsia="en-US"/>
              </w:rPr>
              <w:t>Wind direction</w:t>
            </w:r>
          </w:p>
        </w:tc>
        <w:tc>
          <w:tcPr>
            <w:tcW w:w="3738" w:type="dxa"/>
            <w:shd w:val="clear" w:color="auto" w:fill="auto"/>
            <w:vAlign w:val="center"/>
          </w:tcPr>
          <w:p w14:paraId="7D964EF9" w14:textId="77777777" w:rsidR="002B2CFC" w:rsidRPr="002B2CFC" w:rsidRDefault="002B2CFC" w:rsidP="00F82258">
            <w:pPr>
              <w:keepNext/>
              <w:keepLines/>
              <w:ind w:left="57"/>
              <w:jc w:val="left"/>
              <w:rPr>
                <w:sz w:val="20"/>
                <w:lang w:val="en-US" w:eastAsia="en-US"/>
              </w:rPr>
            </w:pPr>
            <w:r w:rsidRPr="002B2CFC">
              <w:rPr>
                <w:sz w:val="20"/>
                <w:lang w:val="en-US" w:eastAsia="en-US"/>
              </w:rPr>
              <w:t>Not addressed.</w:t>
            </w:r>
          </w:p>
        </w:tc>
        <w:tc>
          <w:tcPr>
            <w:tcW w:w="3738" w:type="dxa"/>
            <w:shd w:val="clear" w:color="auto" w:fill="auto"/>
            <w:vAlign w:val="center"/>
          </w:tcPr>
          <w:p w14:paraId="0A60A910" w14:textId="77777777" w:rsidR="002B2CFC" w:rsidRPr="002B2CFC" w:rsidRDefault="002B2CFC" w:rsidP="00F82258">
            <w:pPr>
              <w:keepNext/>
              <w:keepLines/>
              <w:ind w:left="57"/>
              <w:jc w:val="left"/>
              <w:rPr>
                <w:sz w:val="20"/>
                <w:lang w:val="en-US" w:eastAsia="en-US"/>
              </w:rPr>
            </w:pPr>
            <w:r w:rsidRPr="002B2CFC">
              <w:rPr>
                <w:sz w:val="20"/>
                <w:lang w:val="en-US" w:eastAsia="en-US"/>
              </w:rPr>
              <w:t>Not addressed.</w:t>
            </w:r>
          </w:p>
        </w:tc>
      </w:tr>
      <w:tr w:rsidR="002B2CFC" w:rsidRPr="002B2CFC" w14:paraId="36818FD6" w14:textId="77777777" w:rsidTr="00DE7E25">
        <w:tc>
          <w:tcPr>
            <w:tcW w:w="1697" w:type="dxa"/>
            <w:shd w:val="clear" w:color="auto" w:fill="auto"/>
            <w:vAlign w:val="center"/>
          </w:tcPr>
          <w:p w14:paraId="44A948F0" w14:textId="77777777" w:rsidR="002B2CFC" w:rsidRPr="002B2CFC" w:rsidRDefault="002B2CFC" w:rsidP="00F82258">
            <w:pPr>
              <w:keepNext/>
              <w:keepLines/>
              <w:ind w:left="57"/>
              <w:jc w:val="left"/>
              <w:rPr>
                <w:sz w:val="20"/>
                <w:lang w:val="en-US" w:eastAsia="en-US"/>
              </w:rPr>
            </w:pPr>
            <w:r w:rsidRPr="002B2CFC">
              <w:rPr>
                <w:sz w:val="20"/>
                <w:lang w:val="en-US" w:eastAsia="en-US"/>
              </w:rPr>
              <w:t>More than one source</w:t>
            </w:r>
          </w:p>
        </w:tc>
        <w:tc>
          <w:tcPr>
            <w:tcW w:w="3738" w:type="dxa"/>
            <w:shd w:val="clear" w:color="auto" w:fill="auto"/>
            <w:vAlign w:val="center"/>
          </w:tcPr>
          <w:p w14:paraId="2D5FF548" w14:textId="77777777" w:rsidR="002B2CFC" w:rsidRPr="002B2CFC" w:rsidRDefault="002B2CFC" w:rsidP="00F82258">
            <w:pPr>
              <w:keepNext/>
              <w:keepLines/>
              <w:ind w:left="57"/>
              <w:jc w:val="left"/>
              <w:rPr>
                <w:sz w:val="20"/>
                <w:lang w:val="en-US" w:eastAsia="en-US"/>
              </w:rPr>
            </w:pPr>
            <w:r w:rsidRPr="002B2CFC">
              <w:rPr>
                <w:sz w:val="20"/>
                <w:lang w:val="en-US" w:eastAsia="en-US"/>
              </w:rPr>
              <w:t>Perhaps not applicable, unless someone lived on the edge of the area and someone lived in the middle of a few areas being sprayed.</w:t>
            </w:r>
          </w:p>
        </w:tc>
        <w:tc>
          <w:tcPr>
            <w:tcW w:w="3738" w:type="dxa"/>
            <w:shd w:val="clear" w:color="auto" w:fill="auto"/>
            <w:vAlign w:val="center"/>
          </w:tcPr>
          <w:p w14:paraId="555199AE" w14:textId="77777777" w:rsidR="002B2CFC" w:rsidRPr="002B2CFC" w:rsidRDefault="002B2CFC" w:rsidP="00F82258">
            <w:pPr>
              <w:keepNext/>
              <w:keepLines/>
              <w:ind w:left="57"/>
              <w:jc w:val="left"/>
              <w:rPr>
                <w:sz w:val="20"/>
                <w:lang w:val="en-US" w:eastAsia="en-US"/>
              </w:rPr>
            </w:pPr>
            <w:r w:rsidRPr="002B2CFC">
              <w:rPr>
                <w:sz w:val="20"/>
                <w:lang w:val="en-US" w:eastAsia="en-US"/>
              </w:rPr>
              <w:t xml:space="preserve">As per Kamel </w:t>
            </w:r>
            <w:r w:rsidRPr="002B2CFC">
              <w:rPr>
                <w:i/>
                <w:sz w:val="20"/>
                <w:lang w:val="en-US" w:eastAsia="en-US"/>
              </w:rPr>
              <w:t>et al</w:t>
            </w:r>
            <w:r w:rsidRPr="002B2CFC">
              <w:rPr>
                <w:sz w:val="20"/>
                <w:lang w:val="en-US" w:eastAsia="en-US"/>
              </w:rPr>
              <w:t xml:space="preserve"> (2007).</w:t>
            </w:r>
          </w:p>
        </w:tc>
      </w:tr>
    </w:tbl>
    <w:p w14:paraId="2377E69A" w14:textId="77777777" w:rsidR="002B2CFC" w:rsidRPr="002B2CFC" w:rsidRDefault="002B2CFC" w:rsidP="00F82258">
      <w:pPr>
        <w:keepNext/>
        <w:keepLines/>
        <w:rPr>
          <w:sz w:val="20"/>
          <w:lang w:val="en-US" w:eastAsia="en-US"/>
        </w:rPr>
      </w:pPr>
      <w:r w:rsidRPr="002B2CFC">
        <w:rPr>
          <w:sz w:val="20"/>
          <w:lang w:val="en-US" w:eastAsia="en-US"/>
        </w:rPr>
        <w:t>US AHS = United States Agriculture Health Survey; * persons applying for certification to use restricted-use pesticides in Iowa or North Carolina were enrolled in the study.</w:t>
      </w:r>
    </w:p>
    <w:p w14:paraId="49D65DF6" w14:textId="77777777" w:rsidR="002B2CFC" w:rsidRPr="002B2CFC" w:rsidRDefault="002B2CFC" w:rsidP="002B2CFC">
      <w:pPr>
        <w:rPr>
          <w:szCs w:val="24"/>
          <w:lang w:val="en-US" w:eastAsia="en-US"/>
        </w:rPr>
      </w:pPr>
      <w:r w:rsidRPr="002B2CFC">
        <w:rPr>
          <w:szCs w:val="24"/>
          <w:lang w:val="en-US" w:eastAsia="en-US"/>
        </w:rPr>
        <w:br w:type="page"/>
      </w:r>
    </w:p>
    <w:p w14:paraId="3FDF932A" w14:textId="77777777" w:rsidR="00C8798E" w:rsidRDefault="00C8798E" w:rsidP="009D0D8F">
      <w:pPr>
        <w:pStyle w:val="Caption"/>
        <w:keepNext/>
        <w:spacing w:after="120"/>
      </w:pPr>
      <w:r>
        <w:lastRenderedPageBreak/>
        <w:t xml:space="preserve">Table </w:t>
      </w:r>
      <w:r w:rsidR="00897462">
        <w:fldChar w:fldCharType="begin"/>
      </w:r>
      <w:r>
        <w:instrText xml:space="preserve"> SEQ Table \* ARABIC </w:instrText>
      </w:r>
      <w:r w:rsidR="00897462">
        <w:fldChar w:fldCharType="separate"/>
      </w:r>
      <w:r w:rsidR="000E54B2">
        <w:rPr>
          <w:noProof/>
        </w:rPr>
        <w:t>42</w:t>
      </w:r>
      <w:r w:rsidR="00897462">
        <w:fldChar w:fldCharType="end"/>
      </w:r>
      <w:r>
        <w:t xml:space="preserve">. </w:t>
      </w:r>
      <w:r w:rsidRPr="00437DC6">
        <w:t>Comparison of disease definition</w:t>
      </w:r>
      <w:r>
        <w:t xml:space="preserve"> for two </w:t>
      </w:r>
      <w:r w:rsidR="008F1D53">
        <w:t xml:space="preserve">key </w:t>
      </w:r>
      <w:r>
        <w:t>epidemiology studies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3"/>
        <w:gridCol w:w="3834"/>
        <w:gridCol w:w="3835"/>
      </w:tblGrid>
      <w:tr w:rsidR="002B2CFC" w:rsidRPr="002B2CFC" w14:paraId="587BE510" w14:textId="77777777" w:rsidTr="00DE7E25">
        <w:tc>
          <w:tcPr>
            <w:tcW w:w="1573" w:type="dxa"/>
            <w:shd w:val="clear" w:color="auto" w:fill="BFBFBF" w:themeFill="background1" w:themeFillShade="BF"/>
            <w:vAlign w:val="center"/>
          </w:tcPr>
          <w:p w14:paraId="7F1D8234" w14:textId="77777777" w:rsidR="002B2CFC" w:rsidRPr="002B2CFC" w:rsidRDefault="002B2CFC" w:rsidP="00DE7E25">
            <w:pPr>
              <w:keepNext/>
              <w:keepLines/>
              <w:jc w:val="left"/>
              <w:rPr>
                <w:b/>
                <w:sz w:val="20"/>
                <w:lang w:val="en-US" w:eastAsia="en-US"/>
              </w:rPr>
            </w:pPr>
            <w:r w:rsidRPr="002B2CFC">
              <w:rPr>
                <w:b/>
                <w:sz w:val="20"/>
                <w:lang w:val="en-US" w:eastAsia="en-US"/>
              </w:rPr>
              <w:t>Study</w:t>
            </w:r>
          </w:p>
        </w:tc>
        <w:tc>
          <w:tcPr>
            <w:tcW w:w="3834" w:type="dxa"/>
            <w:shd w:val="clear" w:color="auto" w:fill="BFBFBF" w:themeFill="background1" w:themeFillShade="BF"/>
            <w:vAlign w:val="center"/>
          </w:tcPr>
          <w:p w14:paraId="2A18FDD4" w14:textId="77777777" w:rsidR="002B2CFC" w:rsidRPr="002B2CFC" w:rsidRDefault="002B2CFC" w:rsidP="00DE7E25">
            <w:pPr>
              <w:keepNext/>
              <w:keepLines/>
              <w:jc w:val="left"/>
              <w:rPr>
                <w:b/>
                <w:sz w:val="20"/>
                <w:lang w:val="en-US" w:eastAsia="en-US"/>
              </w:rPr>
            </w:pPr>
            <w:r w:rsidRPr="002B2CFC">
              <w:rPr>
                <w:b/>
                <w:sz w:val="20"/>
                <w:lang w:val="en-US" w:eastAsia="en-US"/>
              </w:rPr>
              <w:t xml:space="preserve">Kamel </w:t>
            </w:r>
            <w:r w:rsidRPr="002B2CFC">
              <w:rPr>
                <w:b/>
                <w:i/>
                <w:sz w:val="20"/>
                <w:lang w:val="en-US" w:eastAsia="en-US"/>
              </w:rPr>
              <w:t>et al</w:t>
            </w:r>
            <w:r w:rsidRPr="002B2CFC">
              <w:rPr>
                <w:b/>
                <w:sz w:val="20"/>
                <w:lang w:val="en-US" w:eastAsia="en-US"/>
              </w:rPr>
              <w:t xml:space="preserve"> (2007)</w:t>
            </w:r>
          </w:p>
        </w:tc>
        <w:tc>
          <w:tcPr>
            <w:tcW w:w="3835" w:type="dxa"/>
            <w:shd w:val="clear" w:color="auto" w:fill="BFBFBF" w:themeFill="background1" w:themeFillShade="BF"/>
            <w:vAlign w:val="center"/>
          </w:tcPr>
          <w:p w14:paraId="1BCE6816" w14:textId="77777777" w:rsidR="002B2CFC" w:rsidRPr="002B2CFC" w:rsidRDefault="002B2CFC" w:rsidP="00DE7E25">
            <w:pPr>
              <w:keepNext/>
              <w:keepLines/>
              <w:jc w:val="left"/>
              <w:rPr>
                <w:b/>
                <w:sz w:val="20"/>
                <w:lang w:val="en-US" w:eastAsia="en-US"/>
              </w:rPr>
            </w:pPr>
            <w:r w:rsidRPr="002B2CFC">
              <w:rPr>
                <w:b/>
                <w:sz w:val="20"/>
                <w:lang w:val="en-US" w:eastAsia="en-US"/>
              </w:rPr>
              <w:t xml:space="preserve">Costello </w:t>
            </w:r>
            <w:r w:rsidRPr="002B2CFC">
              <w:rPr>
                <w:b/>
                <w:i/>
                <w:sz w:val="20"/>
                <w:lang w:val="en-US" w:eastAsia="en-US"/>
              </w:rPr>
              <w:t>et al</w:t>
            </w:r>
            <w:r w:rsidRPr="002B2CFC">
              <w:rPr>
                <w:b/>
                <w:sz w:val="20"/>
                <w:lang w:val="en-US" w:eastAsia="en-US"/>
              </w:rPr>
              <w:t xml:space="preserve"> (2009)</w:t>
            </w:r>
          </w:p>
        </w:tc>
      </w:tr>
      <w:tr w:rsidR="002B2CFC" w:rsidRPr="002B2CFC" w14:paraId="52465F62" w14:textId="77777777" w:rsidTr="00DE7E25">
        <w:tc>
          <w:tcPr>
            <w:tcW w:w="1573" w:type="dxa"/>
            <w:vAlign w:val="center"/>
          </w:tcPr>
          <w:p w14:paraId="240F852F" w14:textId="77777777" w:rsidR="002B2CFC" w:rsidRPr="002B2CFC" w:rsidRDefault="002B2CFC" w:rsidP="00DE7E25">
            <w:pPr>
              <w:keepNext/>
              <w:keepLines/>
              <w:jc w:val="left"/>
              <w:rPr>
                <w:sz w:val="20"/>
                <w:lang w:val="en-US" w:eastAsia="en-US"/>
              </w:rPr>
            </w:pPr>
            <w:r w:rsidRPr="002B2CFC">
              <w:rPr>
                <w:sz w:val="20"/>
                <w:lang w:val="en-US" w:eastAsia="en-US"/>
              </w:rPr>
              <w:t>Disease measured consistently:-</w:t>
            </w:r>
          </w:p>
        </w:tc>
        <w:tc>
          <w:tcPr>
            <w:tcW w:w="3834" w:type="dxa"/>
            <w:vAlign w:val="center"/>
          </w:tcPr>
          <w:p w14:paraId="027524E9" w14:textId="77777777" w:rsidR="002B2CFC" w:rsidRPr="002B2CFC" w:rsidRDefault="002B2CFC" w:rsidP="00DE7E25">
            <w:pPr>
              <w:keepNext/>
              <w:keepLines/>
              <w:jc w:val="left"/>
              <w:rPr>
                <w:sz w:val="20"/>
                <w:lang w:val="en-US" w:eastAsia="en-US"/>
              </w:rPr>
            </w:pPr>
            <w:r w:rsidRPr="002B2CFC">
              <w:rPr>
                <w:sz w:val="20"/>
                <w:lang w:val="en-US" w:eastAsia="en-US"/>
              </w:rPr>
              <w:t>Prevalent Parkinson’s disease was ascertained by:</w:t>
            </w:r>
          </w:p>
          <w:p w14:paraId="6315A109" w14:textId="77777777" w:rsidR="002B2CFC" w:rsidRPr="002B2CFC" w:rsidRDefault="002B2CFC" w:rsidP="00DE7E25">
            <w:pPr>
              <w:keepNext/>
              <w:keepLines/>
              <w:jc w:val="left"/>
              <w:rPr>
                <w:sz w:val="20"/>
                <w:lang w:val="en-US" w:eastAsia="en-US"/>
              </w:rPr>
            </w:pPr>
            <w:r w:rsidRPr="002B2CFC">
              <w:rPr>
                <w:sz w:val="20"/>
                <w:lang w:val="en-US" w:eastAsia="en-US"/>
              </w:rPr>
              <w:t>“Has a doctor ever told you that you have Parkinson’s disease?”</w:t>
            </w:r>
          </w:p>
          <w:p w14:paraId="4FCFBE6C" w14:textId="77777777" w:rsidR="002B2CFC" w:rsidRPr="002B2CFC" w:rsidRDefault="002B2CFC" w:rsidP="00DE7E25">
            <w:pPr>
              <w:keepNext/>
              <w:keepLines/>
              <w:jc w:val="left"/>
              <w:rPr>
                <w:sz w:val="20"/>
                <w:lang w:val="en-US" w:eastAsia="en-US"/>
              </w:rPr>
            </w:pPr>
          </w:p>
          <w:p w14:paraId="6FC91225" w14:textId="77777777" w:rsidR="002B2CFC" w:rsidRPr="002B2CFC" w:rsidRDefault="002B2CFC" w:rsidP="00DE7E25">
            <w:pPr>
              <w:keepNext/>
              <w:keepLines/>
              <w:jc w:val="left"/>
              <w:rPr>
                <w:sz w:val="20"/>
                <w:lang w:val="en-US" w:eastAsia="en-US"/>
              </w:rPr>
            </w:pPr>
            <w:r w:rsidRPr="002B2CFC">
              <w:rPr>
                <w:sz w:val="20"/>
                <w:lang w:val="en-US" w:eastAsia="en-US"/>
              </w:rPr>
              <w:t xml:space="preserve">Note: report indicates that &gt;99% of applicators* and 56% of spouses had personally mixed or applied pesticides. Therefore more than half of the control cohort had been occupationally exposed to pesticides. </w:t>
            </w:r>
          </w:p>
        </w:tc>
        <w:tc>
          <w:tcPr>
            <w:tcW w:w="3835" w:type="dxa"/>
            <w:vAlign w:val="center"/>
          </w:tcPr>
          <w:p w14:paraId="0FC9F846" w14:textId="77777777" w:rsidR="002B2CFC" w:rsidRPr="002B2CFC" w:rsidRDefault="002B2CFC" w:rsidP="00DE7E25">
            <w:pPr>
              <w:keepNext/>
              <w:keepLines/>
              <w:jc w:val="left"/>
              <w:rPr>
                <w:sz w:val="20"/>
                <w:lang w:val="en-US" w:eastAsia="en-US"/>
              </w:rPr>
            </w:pPr>
            <w:r w:rsidRPr="002B2CFC">
              <w:rPr>
                <w:sz w:val="20"/>
                <w:lang w:val="en-US" w:eastAsia="en-US"/>
              </w:rPr>
              <w:t>Yes – all cases were receiving care from neurologists.</w:t>
            </w:r>
          </w:p>
        </w:tc>
      </w:tr>
      <w:tr w:rsidR="002B2CFC" w:rsidRPr="002B2CFC" w14:paraId="274141DC" w14:textId="77777777" w:rsidTr="00DE7E25">
        <w:tc>
          <w:tcPr>
            <w:tcW w:w="1573" w:type="dxa"/>
            <w:vAlign w:val="center"/>
          </w:tcPr>
          <w:p w14:paraId="70C61727" w14:textId="77777777" w:rsidR="002B2CFC" w:rsidRPr="002B2CFC" w:rsidRDefault="002B2CFC" w:rsidP="00DE7E25">
            <w:pPr>
              <w:keepNext/>
              <w:keepLines/>
              <w:jc w:val="left"/>
              <w:rPr>
                <w:sz w:val="20"/>
                <w:lang w:val="en-US" w:eastAsia="en-US"/>
              </w:rPr>
            </w:pPr>
            <w:r w:rsidRPr="002B2CFC">
              <w:rPr>
                <w:sz w:val="20"/>
                <w:lang w:val="en-US" w:eastAsia="en-US"/>
              </w:rPr>
              <w:t>Did the researchers, health assessors, respondents know of the purpose of the study association?</w:t>
            </w:r>
          </w:p>
        </w:tc>
        <w:tc>
          <w:tcPr>
            <w:tcW w:w="3834" w:type="dxa"/>
            <w:vAlign w:val="center"/>
          </w:tcPr>
          <w:p w14:paraId="7A732A3A" w14:textId="77777777" w:rsidR="002B2CFC" w:rsidRPr="002B2CFC" w:rsidRDefault="002B2CFC" w:rsidP="00DE7E25">
            <w:pPr>
              <w:keepNext/>
              <w:keepLines/>
              <w:jc w:val="left"/>
              <w:rPr>
                <w:sz w:val="20"/>
                <w:lang w:val="en-US" w:eastAsia="en-US"/>
              </w:rPr>
            </w:pPr>
            <w:r w:rsidRPr="002B2CFC">
              <w:rPr>
                <w:sz w:val="20"/>
                <w:lang w:val="en-US" w:eastAsia="en-US"/>
              </w:rPr>
              <w:t>At enrolment, the study was explained to potential participants. Consent and willingness to participate in the study was indicated by the return of questionnaires.</w:t>
            </w:r>
          </w:p>
          <w:p w14:paraId="2F27E50A" w14:textId="77777777" w:rsidR="002B2CFC" w:rsidRPr="002B2CFC" w:rsidRDefault="002B2CFC" w:rsidP="00DE7E25">
            <w:pPr>
              <w:keepNext/>
              <w:keepLines/>
              <w:jc w:val="left"/>
              <w:rPr>
                <w:sz w:val="20"/>
                <w:lang w:val="en-US" w:eastAsia="en-US"/>
              </w:rPr>
            </w:pPr>
          </w:p>
          <w:p w14:paraId="288A6EC0" w14:textId="77777777" w:rsidR="002B2CFC" w:rsidRPr="002B2CFC" w:rsidRDefault="002B2CFC" w:rsidP="00DE7E25">
            <w:pPr>
              <w:keepNext/>
              <w:keepLines/>
              <w:jc w:val="left"/>
              <w:rPr>
                <w:sz w:val="20"/>
                <w:lang w:val="en-US" w:eastAsia="en-US"/>
              </w:rPr>
            </w:pPr>
            <w:r w:rsidRPr="002B2CFC">
              <w:rPr>
                <w:sz w:val="20"/>
                <w:lang w:val="en-US" w:eastAsia="en-US"/>
              </w:rPr>
              <w:t>At enrolment, cohort members were asked: “Has a doctor ever told you that you have been diagnosed with Parkinson’s disease?”</w:t>
            </w:r>
          </w:p>
          <w:p w14:paraId="61C7857A" w14:textId="77777777" w:rsidR="002B2CFC" w:rsidRPr="002B2CFC" w:rsidRDefault="002B2CFC" w:rsidP="00DE7E25">
            <w:pPr>
              <w:keepNext/>
              <w:keepLines/>
              <w:jc w:val="left"/>
              <w:rPr>
                <w:sz w:val="20"/>
                <w:lang w:val="en-US" w:eastAsia="en-US"/>
              </w:rPr>
            </w:pPr>
          </w:p>
          <w:p w14:paraId="3E588F55" w14:textId="77777777" w:rsidR="002B2CFC" w:rsidRPr="002B2CFC" w:rsidRDefault="002B2CFC" w:rsidP="00DE7E25">
            <w:pPr>
              <w:keepNext/>
              <w:keepLines/>
              <w:jc w:val="left"/>
              <w:rPr>
                <w:sz w:val="20"/>
                <w:lang w:val="en-US" w:eastAsia="en-US"/>
              </w:rPr>
            </w:pPr>
            <w:r w:rsidRPr="002B2CFC">
              <w:rPr>
                <w:sz w:val="20"/>
                <w:lang w:val="en-US" w:eastAsia="en-US"/>
              </w:rPr>
              <w:t>Information on pesticide-related medical attention was collected from applicators by the question:</w:t>
            </w:r>
          </w:p>
          <w:p w14:paraId="667F8CF0" w14:textId="77777777" w:rsidR="002B2CFC" w:rsidRPr="002B2CFC" w:rsidRDefault="002B2CFC" w:rsidP="00DE7E25">
            <w:pPr>
              <w:keepNext/>
              <w:keepLines/>
              <w:jc w:val="left"/>
              <w:rPr>
                <w:sz w:val="20"/>
                <w:lang w:val="en-US" w:eastAsia="en-US"/>
              </w:rPr>
            </w:pPr>
            <w:r w:rsidRPr="002B2CFC">
              <w:rPr>
                <w:sz w:val="20"/>
                <w:lang w:val="en-US" w:eastAsia="en-US"/>
              </w:rPr>
              <w:t>“As a result of using pesticides, how often have you seen a doctor or been hospitalised?”</w:t>
            </w:r>
          </w:p>
          <w:p w14:paraId="464EC3F4" w14:textId="77777777" w:rsidR="002B2CFC" w:rsidRPr="002B2CFC" w:rsidRDefault="002B2CFC" w:rsidP="00DE7E25">
            <w:pPr>
              <w:keepNext/>
              <w:keepLines/>
              <w:jc w:val="left"/>
              <w:rPr>
                <w:sz w:val="20"/>
                <w:lang w:val="en-US" w:eastAsia="en-US"/>
              </w:rPr>
            </w:pPr>
          </w:p>
        </w:tc>
        <w:tc>
          <w:tcPr>
            <w:tcW w:w="3835" w:type="dxa"/>
            <w:vAlign w:val="center"/>
          </w:tcPr>
          <w:p w14:paraId="56C04FA4" w14:textId="77777777" w:rsidR="002B2CFC" w:rsidRPr="002B2CFC" w:rsidRDefault="002B2CFC" w:rsidP="00DE7E25">
            <w:pPr>
              <w:keepNext/>
              <w:keepLines/>
              <w:jc w:val="left"/>
              <w:rPr>
                <w:sz w:val="20"/>
                <w:lang w:val="en-US" w:eastAsia="en-US"/>
              </w:rPr>
            </w:pPr>
            <w:r w:rsidRPr="002B2CFC">
              <w:rPr>
                <w:sz w:val="20"/>
                <w:lang w:val="en-US" w:eastAsia="en-US"/>
              </w:rPr>
              <w:t xml:space="preserve">Doctors/neurologists who were providing care were involved in the nomination/recruitment of cases to the study from 1998 to 2007. Collaboration was also solicited from Health Management Organisations, medical clinics and the VA, disease support groups, local newspapers and radio stations. </w:t>
            </w:r>
          </w:p>
          <w:p w14:paraId="2ABC24EA" w14:textId="77777777" w:rsidR="002B2CFC" w:rsidRPr="002B2CFC" w:rsidRDefault="002B2CFC" w:rsidP="00DE7E25">
            <w:pPr>
              <w:keepNext/>
              <w:keepLines/>
              <w:jc w:val="left"/>
              <w:rPr>
                <w:sz w:val="20"/>
                <w:lang w:val="en-US" w:eastAsia="en-US"/>
              </w:rPr>
            </w:pPr>
          </w:p>
          <w:p w14:paraId="0EE0F2C9" w14:textId="77777777" w:rsidR="002B2CFC" w:rsidRPr="002B2CFC" w:rsidRDefault="002B2CFC" w:rsidP="00DE7E25">
            <w:pPr>
              <w:keepNext/>
              <w:keepLines/>
              <w:jc w:val="left"/>
              <w:rPr>
                <w:sz w:val="20"/>
                <w:lang w:val="en-US" w:eastAsia="en-US"/>
              </w:rPr>
            </w:pPr>
            <w:r w:rsidRPr="002B2CFC">
              <w:rPr>
                <w:sz w:val="20"/>
                <w:lang w:val="en-US" w:eastAsia="en-US"/>
              </w:rPr>
              <w:t xml:space="preserve">It </w:t>
            </w:r>
            <w:r w:rsidR="00794F11" w:rsidRPr="002B2CFC">
              <w:rPr>
                <w:sz w:val="20"/>
                <w:lang w:val="en-US" w:eastAsia="en-US"/>
              </w:rPr>
              <w:t>cannot</w:t>
            </w:r>
            <w:r w:rsidRPr="002B2CFC">
              <w:rPr>
                <w:sz w:val="20"/>
                <w:lang w:val="en-US" w:eastAsia="en-US"/>
              </w:rPr>
              <w:t xml:space="preserve"> be excluded that some respondents were aware of the hypothesis of the study and therefore more motivated to participate. This may have introduced positive bias.</w:t>
            </w:r>
          </w:p>
          <w:p w14:paraId="66CED153" w14:textId="77777777" w:rsidR="002B2CFC" w:rsidRPr="002B2CFC" w:rsidRDefault="002B2CFC" w:rsidP="00DE7E25">
            <w:pPr>
              <w:keepNext/>
              <w:keepLines/>
              <w:jc w:val="left"/>
              <w:rPr>
                <w:sz w:val="20"/>
                <w:lang w:val="en-US" w:eastAsia="en-US"/>
              </w:rPr>
            </w:pPr>
          </w:p>
        </w:tc>
      </w:tr>
      <w:tr w:rsidR="002B2CFC" w:rsidRPr="002B2CFC" w14:paraId="51669298" w14:textId="77777777" w:rsidTr="00DE7E25">
        <w:tc>
          <w:tcPr>
            <w:tcW w:w="1573" w:type="dxa"/>
            <w:vAlign w:val="center"/>
          </w:tcPr>
          <w:p w14:paraId="0D884D32" w14:textId="77777777" w:rsidR="002B2CFC" w:rsidRPr="002B2CFC" w:rsidRDefault="002B2CFC" w:rsidP="00DE7E25">
            <w:pPr>
              <w:keepNext/>
              <w:keepLines/>
              <w:jc w:val="left"/>
              <w:rPr>
                <w:sz w:val="20"/>
                <w:lang w:val="en-US" w:eastAsia="en-US"/>
              </w:rPr>
            </w:pPr>
            <w:r w:rsidRPr="002B2CFC">
              <w:rPr>
                <w:sz w:val="20"/>
                <w:lang w:val="en-US" w:eastAsia="en-US"/>
              </w:rPr>
              <w:t>Data sources differ between purpose collected, surveillance, registers.</w:t>
            </w:r>
          </w:p>
          <w:p w14:paraId="41063A73" w14:textId="77777777" w:rsidR="002B2CFC" w:rsidRPr="002B2CFC" w:rsidRDefault="002B2CFC" w:rsidP="00DE7E25">
            <w:pPr>
              <w:keepNext/>
              <w:keepLines/>
              <w:jc w:val="left"/>
              <w:rPr>
                <w:sz w:val="20"/>
                <w:lang w:val="en-US" w:eastAsia="en-US"/>
              </w:rPr>
            </w:pPr>
          </w:p>
          <w:p w14:paraId="26FD2BF7" w14:textId="77777777" w:rsidR="002B2CFC" w:rsidRPr="002B2CFC" w:rsidRDefault="002B2CFC" w:rsidP="00DE7E25">
            <w:pPr>
              <w:keepNext/>
              <w:keepLines/>
              <w:jc w:val="left"/>
              <w:rPr>
                <w:sz w:val="20"/>
                <w:lang w:val="en-US" w:eastAsia="en-US"/>
              </w:rPr>
            </w:pPr>
            <w:r w:rsidRPr="002B2CFC">
              <w:rPr>
                <w:sz w:val="20"/>
                <w:lang w:val="en-US" w:eastAsia="en-US"/>
              </w:rPr>
              <w:t>Blind to H</w:t>
            </w:r>
            <w:r w:rsidRPr="002B2CFC">
              <w:rPr>
                <w:sz w:val="20"/>
                <w:vertAlign w:val="subscript"/>
                <w:lang w:val="en-US" w:eastAsia="en-US"/>
              </w:rPr>
              <w:t>o</w:t>
            </w:r>
            <w:r w:rsidRPr="002B2CFC">
              <w:rPr>
                <w:sz w:val="20"/>
                <w:lang w:val="en-US" w:eastAsia="en-US"/>
              </w:rPr>
              <w:t xml:space="preserve"> ?</w:t>
            </w:r>
          </w:p>
          <w:p w14:paraId="598C6291" w14:textId="77777777" w:rsidR="002B2CFC" w:rsidRPr="002B2CFC" w:rsidRDefault="002B2CFC" w:rsidP="00DE7E25">
            <w:pPr>
              <w:keepNext/>
              <w:keepLines/>
              <w:jc w:val="left"/>
              <w:rPr>
                <w:sz w:val="20"/>
                <w:lang w:val="en-US" w:eastAsia="en-US"/>
              </w:rPr>
            </w:pPr>
          </w:p>
        </w:tc>
        <w:tc>
          <w:tcPr>
            <w:tcW w:w="3834" w:type="dxa"/>
            <w:vAlign w:val="center"/>
          </w:tcPr>
          <w:p w14:paraId="79AE4B95" w14:textId="77777777" w:rsidR="002B2CFC" w:rsidRPr="002B2CFC" w:rsidRDefault="002B2CFC" w:rsidP="00DE7E25">
            <w:pPr>
              <w:keepNext/>
              <w:keepLines/>
              <w:jc w:val="left"/>
              <w:rPr>
                <w:sz w:val="20"/>
                <w:lang w:val="en-US" w:eastAsia="en-US"/>
              </w:rPr>
            </w:pPr>
            <w:r w:rsidRPr="002B2CFC">
              <w:rPr>
                <w:sz w:val="20"/>
                <w:lang w:val="en-US" w:eastAsia="en-US"/>
              </w:rPr>
              <w:t xml:space="preserve">The US AHS collected the data “to investigate environmental factors, occupation and diet and their effects on an individual’s health” </w:t>
            </w:r>
          </w:p>
          <w:p w14:paraId="2E969D73" w14:textId="77777777" w:rsidR="002B2CFC" w:rsidRPr="002B2CFC" w:rsidRDefault="002B2CFC" w:rsidP="00DE7E25">
            <w:pPr>
              <w:keepNext/>
              <w:keepLines/>
              <w:jc w:val="left"/>
              <w:rPr>
                <w:sz w:val="20"/>
                <w:lang w:val="fr-FR" w:eastAsia="en-US"/>
              </w:rPr>
            </w:pPr>
            <w:r w:rsidRPr="002B2CFC">
              <w:rPr>
                <w:sz w:val="20"/>
                <w:lang w:val="fr-FR" w:eastAsia="en-US"/>
              </w:rPr>
              <w:t xml:space="preserve">(Enrollment Questionnaire, see : </w:t>
            </w:r>
            <w:hyperlink r:id="rId14" w:history="1">
              <w:r w:rsidRPr="002B2CFC">
                <w:rPr>
                  <w:color w:val="0000CC"/>
                  <w:sz w:val="20"/>
                  <w:u w:val="single"/>
                  <w:lang w:val="fr-FR" w:eastAsia="en-US"/>
                </w:rPr>
                <w:t>www.aghealth.nci.nih.gov/qnaires/enrol_pr.html</w:t>
              </w:r>
            </w:hyperlink>
            <w:r w:rsidRPr="002B2CFC">
              <w:rPr>
                <w:sz w:val="20"/>
                <w:lang w:val="fr-FR" w:eastAsia="en-US"/>
              </w:rPr>
              <w:t xml:space="preserve">). </w:t>
            </w:r>
          </w:p>
        </w:tc>
        <w:tc>
          <w:tcPr>
            <w:tcW w:w="3835" w:type="dxa"/>
            <w:vAlign w:val="center"/>
          </w:tcPr>
          <w:p w14:paraId="6323043D" w14:textId="77777777" w:rsidR="002B2CFC" w:rsidRPr="002B2CFC" w:rsidRDefault="002B2CFC" w:rsidP="00DE7E25">
            <w:pPr>
              <w:keepNext/>
              <w:keepLines/>
              <w:jc w:val="left"/>
              <w:rPr>
                <w:sz w:val="20"/>
                <w:lang w:val="fr-FR" w:eastAsia="en-US"/>
              </w:rPr>
            </w:pPr>
            <w:r w:rsidRPr="002B2CFC">
              <w:rPr>
                <w:sz w:val="20"/>
                <w:lang w:val="fr-FR" w:eastAsia="en-US"/>
              </w:rPr>
              <w:t>Used California Pesticide Use Reporting (PUR) Data.</w:t>
            </w:r>
          </w:p>
        </w:tc>
      </w:tr>
      <w:tr w:rsidR="002B2CFC" w:rsidRPr="002B2CFC" w14:paraId="50235636" w14:textId="77777777" w:rsidTr="00DE7E25">
        <w:tc>
          <w:tcPr>
            <w:tcW w:w="1573" w:type="dxa"/>
            <w:vAlign w:val="center"/>
          </w:tcPr>
          <w:p w14:paraId="6712A36A" w14:textId="77777777" w:rsidR="002B2CFC" w:rsidRPr="002B2CFC" w:rsidRDefault="002B2CFC" w:rsidP="00DE7E25">
            <w:pPr>
              <w:keepNext/>
              <w:keepLines/>
              <w:jc w:val="left"/>
              <w:rPr>
                <w:sz w:val="20"/>
                <w:lang w:val="en-US" w:eastAsia="en-US"/>
              </w:rPr>
            </w:pPr>
            <w:r w:rsidRPr="002B2CFC">
              <w:rPr>
                <w:sz w:val="20"/>
                <w:lang w:val="en-US" w:eastAsia="en-US"/>
              </w:rPr>
              <w:t>Health measurement free of bias, e.g. enzyme sand chromosomes</w:t>
            </w:r>
          </w:p>
        </w:tc>
        <w:tc>
          <w:tcPr>
            <w:tcW w:w="3834" w:type="dxa"/>
            <w:vAlign w:val="center"/>
          </w:tcPr>
          <w:p w14:paraId="5113FD50" w14:textId="77777777" w:rsidR="002B2CFC" w:rsidRPr="002B2CFC" w:rsidRDefault="002B2CFC" w:rsidP="00DE7E25">
            <w:pPr>
              <w:keepNext/>
              <w:keepLines/>
              <w:jc w:val="left"/>
              <w:rPr>
                <w:sz w:val="20"/>
                <w:lang w:val="en-US" w:eastAsia="en-US"/>
              </w:rPr>
            </w:pPr>
            <w:r w:rsidRPr="002B2CFC">
              <w:rPr>
                <w:sz w:val="20"/>
                <w:lang w:val="en-US" w:eastAsia="en-US"/>
              </w:rPr>
              <w:t>Some self report, for incident cases.</w:t>
            </w:r>
          </w:p>
        </w:tc>
        <w:tc>
          <w:tcPr>
            <w:tcW w:w="3835" w:type="dxa"/>
            <w:vAlign w:val="center"/>
          </w:tcPr>
          <w:p w14:paraId="06E9BDCF" w14:textId="77777777" w:rsidR="002B2CFC" w:rsidRPr="002B2CFC" w:rsidRDefault="002B2CFC" w:rsidP="00DE7E25">
            <w:pPr>
              <w:keepNext/>
              <w:keepLines/>
              <w:jc w:val="left"/>
              <w:rPr>
                <w:sz w:val="20"/>
                <w:lang w:val="en-US" w:eastAsia="en-US"/>
              </w:rPr>
            </w:pPr>
            <w:r w:rsidRPr="002B2CFC">
              <w:rPr>
                <w:sz w:val="20"/>
                <w:lang w:val="en-US" w:eastAsia="en-US"/>
              </w:rPr>
              <w:t>Health professional diagnosis.</w:t>
            </w:r>
          </w:p>
        </w:tc>
      </w:tr>
      <w:tr w:rsidR="002B2CFC" w:rsidRPr="002B2CFC" w14:paraId="1782F07C" w14:textId="77777777" w:rsidTr="00DE7E25">
        <w:tc>
          <w:tcPr>
            <w:tcW w:w="1573" w:type="dxa"/>
            <w:vAlign w:val="center"/>
          </w:tcPr>
          <w:p w14:paraId="76AF2F4E" w14:textId="77777777" w:rsidR="002B2CFC" w:rsidRPr="002B2CFC" w:rsidRDefault="002B2CFC" w:rsidP="00DE7E25">
            <w:pPr>
              <w:keepNext/>
              <w:keepLines/>
              <w:jc w:val="left"/>
              <w:rPr>
                <w:sz w:val="20"/>
                <w:lang w:val="en-US" w:eastAsia="en-US"/>
              </w:rPr>
            </w:pPr>
            <w:r w:rsidRPr="002B2CFC">
              <w:rPr>
                <w:sz w:val="20"/>
                <w:lang w:val="en-US" w:eastAsia="en-US"/>
              </w:rPr>
              <w:t xml:space="preserve">Source of data: </w:t>
            </w:r>
          </w:p>
        </w:tc>
        <w:tc>
          <w:tcPr>
            <w:tcW w:w="3834" w:type="dxa"/>
            <w:vAlign w:val="center"/>
          </w:tcPr>
          <w:p w14:paraId="39B6AD6F" w14:textId="77777777" w:rsidR="002B2CFC" w:rsidRPr="002B2CFC" w:rsidRDefault="002B2CFC" w:rsidP="00DE7E25">
            <w:pPr>
              <w:keepNext/>
              <w:keepLines/>
              <w:jc w:val="left"/>
              <w:rPr>
                <w:sz w:val="20"/>
                <w:lang w:val="en-US" w:eastAsia="en-US"/>
              </w:rPr>
            </w:pPr>
            <w:r w:rsidRPr="002B2CFC">
              <w:rPr>
                <w:sz w:val="20"/>
                <w:lang w:val="en-US" w:eastAsia="en-US"/>
              </w:rPr>
              <w:t>Questionnaire/patient recall.</w:t>
            </w:r>
          </w:p>
        </w:tc>
        <w:tc>
          <w:tcPr>
            <w:tcW w:w="3835" w:type="dxa"/>
            <w:vAlign w:val="center"/>
          </w:tcPr>
          <w:p w14:paraId="30285CF5" w14:textId="77777777" w:rsidR="002B2CFC" w:rsidRPr="002B2CFC" w:rsidRDefault="002B2CFC" w:rsidP="00DE7E25">
            <w:pPr>
              <w:keepNext/>
              <w:keepLines/>
              <w:jc w:val="left"/>
              <w:rPr>
                <w:sz w:val="20"/>
                <w:lang w:val="en-US" w:eastAsia="en-US"/>
              </w:rPr>
            </w:pPr>
            <w:r w:rsidRPr="002B2CFC">
              <w:rPr>
                <w:sz w:val="20"/>
                <w:lang w:val="en-US" w:eastAsia="en-US"/>
              </w:rPr>
              <w:t>Medical specialist referral to the study, patient recall</w:t>
            </w:r>
          </w:p>
        </w:tc>
      </w:tr>
    </w:tbl>
    <w:p w14:paraId="1550717B" w14:textId="77777777" w:rsidR="002B2CFC" w:rsidRPr="002B2CFC" w:rsidRDefault="002B2CFC" w:rsidP="002B2CFC">
      <w:pPr>
        <w:keepNext/>
        <w:keepLines/>
        <w:rPr>
          <w:sz w:val="20"/>
          <w:lang w:val="en-US" w:eastAsia="en-US"/>
        </w:rPr>
      </w:pPr>
      <w:r w:rsidRPr="002B2CFC">
        <w:rPr>
          <w:sz w:val="20"/>
          <w:lang w:val="en-US" w:eastAsia="en-US"/>
        </w:rPr>
        <w:t>US AHS = United States Agriculture Health Survey; * persons applying for certification to use restricted-use pesticides in Iowa or North Carolina were enrolled in the study; VA = Veterans Associations</w:t>
      </w:r>
    </w:p>
    <w:p w14:paraId="4A1E4A82" w14:textId="77777777" w:rsidR="002B2CFC" w:rsidRPr="002B2CFC" w:rsidRDefault="002B2CFC" w:rsidP="002B2CFC">
      <w:pPr>
        <w:rPr>
          <w:sz w:val="20"/>
          <w:lang w:val="en-US" w:eastAsia="en-US"/>
        </w:rPr>
      </w:pPr>
      <w:r w:rsidRPr="002B2CFC">
        <w:rPr>
          <w:sz w:val="20"/>
          <w:lang w:val="en-US" w:eastAsia="en-US"/>
        </w:rPr>
        <w:br w:type="page"/>
      </w:r>
    </w:p>
    <w:p w14:paraId="071D3A5E" w14:textId="77777777" w:rsidR="002B2CFC" w:rsidRPr="00AF5C6E" w:rsidRDefault="002A7CE4" w:rsidP="00AF5C6E">
      <w:pPr>
        <w:pStyle w:val="Heading2"/>
        <w:rPr>
          <w:i w:val="0"/>
        </w:rPr>
      </w:pPr>
      <w:r w:rsidRPr="00AF5C6E">
        <w:rPr>
          <w:i w:val="0"/>
        </w:rPr>
        <w:lastRenderedPageBreak/>
        <w:t xml:space="preserve"> </w:t>
      </w:r>
      <w:bookmarkStart w:id="150" w:name="_Toc459108321"/>
      <w:r w:rsidR="002B2CFC" w:rsidRPr="00AF5C6E">
        <w:rPr>
          <w:i w:val="0"/>
        </w:rPr>
        <w:t>Epidemiology studies: Results</w:t>
      </w:r>
      <w:bookmarkEnd w:id="150"/>
    </w:p>
    <w:p w14:paraId="0754D329" w14:textId="77777777" w:rsidR="002B2CFC" w:rsidRPr="0063605E" w:rsidRDefault="002B2CFC" w:rsidP="00FC749B">
      <w:pPr>
        <w:pStyle w:val="Heading3"/>
        <w:rPr>
          <w:i/>
        </w:rPr>
      </w:pPr>
      <w:bookmarkStart w:id="151" w:name="_Toc459108322"/>
      <w:r w:rsidRPr="0063605E">
        <w:rPr>
          <w:i/>
        </w:rPr>
        <w:t>Demographic Variables and Lifestyle</w:t>
      </w:r>
      <w:bookmarkEnd w:id="151"/>
    </w:p>
    <w:p w14:paraId="5C358969" w14:textId="151FF430" w:rsidR="002B2CFC" w:rsidRPr="002B2CFC" w:rsidRDefault="002B2CFC" w:rsidP="002B2CFC">
      <w:pPr>
        <w:rPr>
          <w:szCs w:val="24"/>
          <w:lang w:val="en-US" w:eastAsia="en-US"/>
        </w:rPr>
      </w:pPr>
      <w:r w:rsidRPr="002B2CFC">
        <w:rPr>
          <w:szCs w:val="24"/>
          <w:lang w:val="en-US" w:eastAsia="en-US"/>
        </w:rPr>
        <w:t xml:space="preserve">The study abstract of Kamel </w:t>
      </w:r>
      <w:r w:rsidRPr="002B2CFC">
        <w:rPr>
          <w:i/>
          <w:szCs w:val="24"/>
          <w:lang w:val="en-US" w:eastAsia="en-US"/>
        </w:rPr>
        <w:t>et al</w:t>
      </w:r>
      <w:r w:rsidRPr="002B2CFC">
        <w:rPr>
          <w:szCs w:val="24"/>
          <w:lang w:val="en-US" w:eastAsia="en-US"/>
        </w:rPr>
        <w:t xml:space="preserve"> (2007) stated that incident Parkinson’s disease (newly diagnosed cases) was associated with cumulative days of pesticide use at enrolment for the highest quartile versus the lowest quartile , with an OR of 2.3 (95% CI</w:t>
      </w:r>
      <w:r w:rsidR="00C31A63">
        <w:rPr>
          <w:szCs w:val="24"/>
          <w:lang w:val="en-US" w:eastAsia="en-US"/>
        </w:rPr>
        <w:t>=1.2,4.5)</w:t>
      </w:r>
      <w:r w:rsidRPr="002B2CFC">
        <w:rPr>
          <w:szCs w:val="24"/>
          <w:lang w:val="en-US" w:eastAsia="en-US"/>
        </w:rPr>
        <w:t>. The abstract also claimed that incident disease was associated with personally applying pesticides more than half the time (</w:t>
      </w:r>
      <w:r w:rsidR="00C31A63">
        <w:rPr>
          <w:szCs w:val="24"/>
          <w:lang w:val="en-US" w:eastAsia="en-US"/>
        </w:rPr>
        <w:t>OR=1.9; 95% CI=0.7, 4.7</w:t>
      </w:r>
      <w:r w:rsidRPr="002B2CFC">
        <w:rPr>
          <w:szCs w:val="24"/>
          <w:lang w:val="en-US" w:eastAsia="en-US"/>
        </w:rPr>
        <w:t xml:space="preserve">) and some specific pesticides (OR ≥1.4) for pendimethalin, but the 95% CI=0.8 and 2.6, indicate that the relationship between pesticide use and Parkinson’s disease was not statistically significant. Prevalent Parkinson’s disease was not found to be associated with overall pesticide use. </w:t>
      </w:r>
    </w:p>
    <w:p w14:paraId="0CE55FDB" w14:textId="77777777" w:rsidR="002B2CFC" w:rsidRPr="002B2CFC" w:rsidRDefault="002B2CFC" w:rsidP="002B2CFC">
      <w:pPr>
        <w:rPr>
          <w:szCs w:val="24"/>
          <w:lang w:val="en-US" w:eastAsia="en-US"/>
        </w:rPr>
      </w:pPr>
    </w:p>
    <w:p w14:paraId="569B1ED0" w14:textId="77777777" w:rsidR="002B2CFC" w:rsidRPr="002B2CFC" w:rsidRDefault="002B2CFC" w:rsidP="002B2CFC">
      <w:pPr>
        <w:rPr>
          <w:szCs w:val="24"/>
          <w:lang w:val="en-US" w:eastAsia="en-US"/>
        </w:rPr>
      </w:pPr>
      <w:r w:rsidRPr="002B2CFC">
        <w:rPr>
          <w:szCs w:val="24"/>
          <w:lang w:val="en-US" w:eastAsia="en-US"/>
        </w:rPr>
        <w:t xml:space="preserve">The study by Kamel </w:t>
      </w:r>
      <w:r w:rsidRPr="002B2CFC">
        <w:rPr>
          <w:i/>
          <w:szCs w:val="24"/>
          <w:lang w:val="en-US" w:eastAsia="en-US"/>
        </w:rPr>
        <w:t>et al</w:t>
      </w:r>
      <w:r w:rsidRPr="002B2CFC">
        <w:rPr>
          <w:szCs w:val="24"/>
          <w:lang w:val="en-US" w:eastAsia="en-US"/>
        </w:rPr>
        <w:t xml:space="preserve"> (2007) suggested that both prevalent and incident cases were associated with older age at enrolment with the relationship being stronger for prevalent cases. Incident disease was reported to be associated with greater age at follow-up. For both prevalent and incident cases, the risk of having a diagnosis of Parkinson’s disease was lower in North Carolina, lower for spouses and higher for non-Caucasians. However, the results were not statistically significant. Enrolment data indicated that prevalent disease was inversely related to both former and current cigarette smoking, but incident disease showed no association with former or current smoking. The Kamel </w:t>
      </w:r>
      <w:r w:rsidRPr="002B2CFC">
        <w:rPr>
          <w:i/>
          <w:szCs w:val="24"/>
          <w:lang w:val="en-US" w:eastAsia="en-US"/>
        </w:rPr>
        <w:t>et al</w:t>
      </w:r>
      <w:r w:rsidR="00120920">
        <w:rPr>
          <w:szCs w:val="24"/>
          <w:lang w:val="en-US" w:eastAsia="en-US"/>
        </w:rPr>
        <w:t xml:space="preserve"> </w:t>
      </w:r>
      <w:r w:rsidRPr="002B2CFC">
        <w:rPr>
          <w:szCs w:val="24"/>
          <w:lang w:val="en-US" w:eastAsia="en-US"/>
        </w:rPr>
        <w:t xml:space="preserve">(2007) study indicated that having more than a high school education conferred a lower risk of disease among prevalent cases, however, the manner in which education </w:t>
      </w:r>
      <w:r w:rsidR="00794F11" w:rsidRPr="002B2CFC">
        <w:rPr>
          <w:szCs w:val="24"/>
          <w:lang w:val="en-US" w:eastAsia="en-US"/>
        </w:rPr>
        <w:t>conferred</w:t>
      </w:r>
      <w:r w:rsidRPr="002B2CFC">
        <w:rPr>
          <w:szCs w:val="24"/>
          <w:lang w:val="en-US" w:eastAsia="en-US"/>
        </w:rPr>
        <w:t xml:space="preserve"> the effect, was not explored. </w:t>
      </w:r>
    </w:p>
    <w:p w14:paraId="17F9EBA1" w14:textId="77777777" w:rsidR="002B2CFC" w:rsidRPr="002B2CFC" w:rsidRDefault="002B2CFC" w:rsidP="002B2CFC">
      <w:pPr>
        <w:rPr>
          <w:szCs w:val="24"/>
          <w:lang w:val="en-US" w:eastAsia="en-US"/>
        </w:rPr>
      </w:pPr>
    </w:p>
    <w:p w14:paraId="69D13FB3" w14:textId="77777777" w:rsidR="002B2CFC" w:rsidRPr="002B2CFC" w:rsidRDefault="002B2CFC" w:rsidP="002B2CFC">
      <w:pPr>
        <w:rPr>
          <w:szCs w:val="24"/>
          <w:lang w:val="en-US" w:eastAsia="en-US"/>
        </w:rPr>
      </w:pPr>
      <w:r w:rsidRPr="002B2CFC">
        <w:rPr>
          <w:szCs w:val="24"/>
          <w:lang w:val="en-US" w:eastAsia="en-US"/>
        </w:rPr>
        <w:t xml:space="preserve">The study by Costello </w:t>
      </w:r>
      <w:r w:rsidRPr="002B2CFC">
        <w:rPr>
          <w:i/>
          <w:szCs w:val="24"/>
          <w:lang w:val="en-US" w:eastAsia="en-US"/>
        </w:rPr>
        <w:t>et al</w:t>
      </w:r>
      <w:r w:rsidRPr="002B2CFC">
        <w:rPr>
          <w:szCs w:val="24"/>
          <w:lang w:val="en-US" w:eastAsia="en-US"/>
        </w:rPr>
        <w:t xml:space="preserve"> (2009) found a positive association between being likely to be exposed to pesticides through occupational use and Parkinson’s disease (OR=1.52, CI=1.08, 2.14) and that an education of twelve years or more conferred a protective effect on the individual (OR=0.54, CI=0.37, 0.77). There was also an inverse relationship between Parkinson’s disease and being a former smoker (OR=0.70, CI=0.52, 0.96) and being a current smoker (OR=0.48, CI=0.27, 0.86). There was also an inverse relationship for Parkinson’s disease and subjects who smoked more heavily. These latter findings are intriguing as most studies indicate that smoking acerbates health status but in this study smoking had an inverse relationship. </w:t>
      </w:r>
    </w:p>
    <w:p w14:paraId="1B85A96B" w14:textId="77777777" w:rsidR="002B2CFC" w:rsidRPr="002B2CFC" w:rsidRDefault="002B2CFC" w:rsidP="002B2CFC">
      <w:pPr>
        <w:rPr>
          <w:szCs w:val="24"/>
          <w:lang w:val="en-US" w:eastAsia="en-US"/>
        </w:rPr>
      </w:pPr>
    </w:p>
    <w:p w14:paraId="71C13D38" w14:textId="77777777" w:rsidR="002B2CFC" w:rsidRPr="002B2CFC" w:rsidRDefault="002B2CFC" w:rsidP="002B2CFC">
      <w:pPr>
        <w:rPr>
          <w:szCs w:val="24"/>
          <w:lang w:val="en-US" w:eastAsia="en-US"/>
        </w:rPr>
      </w:pPr>
      <w:r w:rsidRPr="002B2CFC">
        <w:rPr>
          <w:szCs w:val="24"/>
          <w:lang w:val="en-US" w:eastAsia="en-US"/>
        </w:rPr>
        <w:t xml:space="preserve">The analysis also found that there was a positive relationship between Parkinson’s disease and exposure to both paraquat and maneb from the earlier years of observation, 1974-1989, and 1974-1999, but not for later years of 1990-1999. The basis for this </w:t>
      </w:r>
      <w:r w:rsidR="00794F11" w:rsidRPr="002B2CFC">
        <w:rPr>
          <w:szCs w:val="24"/>
          <w:lang w:val="en-US" w:eastAsia="en-US"/>
        </w:rPr>
        <w:t>cannot</w:t>
      </w:r>
      <w:r w:rsidRPr="002B2CFC">
        <w:rPr>
          <w:szCs w:val="24"/>
          <w:lang w:val="en-US" w:eastAsia="en-US"/>
        </w:rPr>
        <w:t xml:space="preserve"> be discerned from the data available. However, upon speculation if the same ‘protective effect’ of education which was observed by Kamel </w:t>
      </w:r>
      <w:r w:rsidRPr="002B2CFC">
        <w:rPr>
          <w:i/>
          <w:szCs w:val="24"/>
          <w:lang w:val="en-US" w:eastAsia="en-US"/>
        </w:rPr>
        <w:t>et al,</w:t>
      </w:r>
      <w:r w:rsidRPr="002B2CFC">
        <w:rPr>
          <w:szCs w:val="24"/>
          <w:lang w:val="en-US" w:eastAsia="en-US"/>
        </w:rPr>
        <w:t xml:space="preserve"> (2007) was also present in the cohort surveyed by Costello </w:t>
      </w:r>
      <w:r w:rsidRPr="002B2CFC">
        <w:rPr>
          <w:i/>
          <w:szCs w:val="24"/>
          <w:lang w:val="en-US" w:eastAsia="en-US"/>
        </w:rPr>
        <w:t>et al,</w:t>
      </w:r>
      <w:r w:rsidRPr="002B2CFC">
        <w:rPr>
          <w:szCs w:val="24"/>
          <w:lang w:val="en-US" w:eastAsia="en-US"/>
        </w:rPr>
        <w:t xml:space="preserve"> (2009), then later users of pesticides may have been more cognisant of the risks of paraquat toxicity and were more </w:t>
      </w:r>
      <w:r w:rsidR="00794F11" w:rsidRPr="002B2CFC">
        <w:rPr>
          <w:szCs w:val="24"/>
          <w:lang w:val="en-US" w:eastAsia="en-US"/>
        </w:rPr>
        <w:t>attentive</w:t>
      </w:r>
      <w:r w:rsidRPr="002B2CFC">
        <w:rPr>
          <w:szCs w:val="24"/>
          <w:lang w:val="en-US" w:eastAsia="en-US"/>
        </w:rPr>
        <w:t xml:space="preserve"> to the requirements of protective clothing or followed improved OH&amp;S precautions. There are no data available to indicate whether this trend continues to the present, from which it might be considered that occupational exposures to paraquat which occurred in 2000-2010 might lead to an even lower association with Parkinson’s disease when analysed using the same definitions. </w:t>
      </w:r>
    </w:p>
    <w:p w14:paraId="1D5674E6" w14:textId="77777777" w:rsidR="002B2CFC" w:rsidRPr="002B2CFC" w:rsidRDefault="002B2CFC" w:rsidP="002B2CFC">
      <w:pPr>
        <w:rPr>
          <w:szCs w:val="24"/>
          <w:lang w:val="en-US" w:eastAsia="en-US"/>
        </w:rPr>
      </w:pPr>
    </w:p>
    <w:p w14:paraId="18CF503B" w14:textId="77777777" w:rsidR="002B2CFC" w:rsidRPr="00E40DFE" w:rsidRDefault="002B2CFC" w:rsidP="00FC749B">
      <w:pPr>
        <w:pStyle w:val="Heading3"/>
        <w:rPr>
          <w:i/>
        </w:rPr>
      </w:pPr>
      <w:bookmarkStart w:id="152" w:name="_Toc459108323"/>
      <w:r w:rsidRPr="00E40DFE">
        <w:rPr>
          <w:i/>
        </w:rPr>
        <w:lastRenderedPageBreak/>
        <w:t>Symptoms of Parkinson’s Disease</w:t>
      </w:r>
      <w:bookmarkEnd w:id="152"/>
    </w:p>
    <w:p w14:paraId="6445B582" w14:textId="77777777" w:rsidR="002B2CFC" w:rsidRPr="002B2CFC" w:rsidRDefault="002B2CFC" w:rsidP="002B2CFC">
      <w:pPr>
        <w:rPr>
          <w:szCs w:val="24"/>
          <w:lang w:val="en-US" w:eastAsia="en-US"/>
        </w:rPr>
      </w:pPr>
      <w:r w:rsidRPr="002B2CFC">
        <w:rPr>
          <w:szCs w:val="24"/>
          <w:lang w:val="en-US" w:eastAsia="en-US"/>
        </w:rPr>
        <w:t xml:space="preserve">The study by Kamel </w:t>
      </w:r>
      <w:r w:rsidRPr="002B2CFC">
        <w:rPr>
          <w:i/>
          <w:szCs w:val="24"/>
          <w:lang w:val="en-US" w:eastAsia="en-US"/>
        </w:rPr>
        <w:t>et al</w:t>
      </w:r>
      <w:r w:rsidRPr="002B2CFC">
        <w:rPr>
          <w:szCs w:val="24"/>
          <w:lang w:val="en-US" w:eastAsia="en-US"/>
        </w:rPr>
        <w:t xml:space="preserve"> (2007) indicated that at enrolment, all listed symptoms of Parkinson’s disease were statistically associated with prevalent cases, but only shaking or trembling of hands was statistically significant in its association with incident cases. This may be related to the definition of being diagnosed with Parkinson’s disease as at enrolment, prevalent cases were required to report a diagnosis from a doctor, but incident cases with unknown status at enrolment, could respond that they had been told they had Parkinson’s disease by a doctor or a health professional, and thus possibly introducing error into the definition of Parkinson’s disease and ‘caseness’. In the Costello (2009) study, cases were recruited from </w:t>
      </w:r>
      <w:r w:rsidR="00794F11" w:rsidRPr="002B2CFC">
        <w:rPr>
          <w:szCs w:val="24"/>
          <w:lang w:val="en-US" w:eastAsia="en-US"/>
        </w:rPr>
        <w:t>practicing</w:t>
      </w:r>
      <w:r w:rsidRPr="002B2CFC">
        <w:rPr>
          <w:szCs w:val="24"/>
          <w:lang w:val="en-US" w:eastAsia="en-US"/>
        </w:rPr>
        <w:t xml:space="preserve"> local neurologists who were providing care for the respondents, as well as from local clinics, newspapers and radio stations. Assessment of disease status of the latter recruits, especially those recruited through newspapers or radio stations, was not clear although the number of participants recruited by these pathways was not large.</w:t>
      </w:r>
    </w:p>
    <w:p w14:paraId="61512067" w14:textId="77777777" w:rsidR="002B2CFC" w:rsidRPr="002B2CFC" w:rsidRDefault="002B2CFC" w:rsidP="002B2CFC">
      <w:pPr>
        <w:rPr>
          <w:szCs w:val="24"/>
          <w:lang w:val="en-US" w:eastAsia="en-US"/>
        </w:rPr>
      </w:pPr>
    </w:p>
    <w:p w14:paraId="00550A01" w14:textId="77777777" w:rsidR="002B2CFC" w:rsidRPr="00E40DFE" w:rsidRDefault="002B2CFC" w:rsidP="00FC749B">
      <w:pPr>
        <w:pStyle w:val="Heading3"/>
        <w:rPr>
          <w:i/>
        </w:rPr>
      </w:pPr>
      <w:bookmarkStart w:id="153" w:name="_Toc459108324"/>
      <w:r w:rsidRPr="00E40DFE">
        <w:rPr>
          <w:i/>
        </w:rPr>
        <w:t>All possible exposure to pesticides</w:t>
      </w:r>
      <w:bookmarkEnd w:id="153"/>
    </w:p>
    <w:p w14:paraId="596D8222" w14:textId="77777777" w:rsidR="002B2CFC" w:rsidRPr="002B2CFC" w:rsidRDefault="002B2CFC" w:rsidP="002B2CFC">
      <w:pPr>
        <w:rPr>
          <w:szCs w:val="24"/>
          <w:lang w:val="en-US" w:eastAsia="en-US"/>
        </w:rPr>
      </w:pPr>
      <w:r w:rsidRPr="002B2CFC">
        <w:rPr>
          <w:szCs w:val="24"/>
          <w:lang w:val="en-US" w:eastAsia="en-US"/>
        </w:rPr>
        <w:t xml:space="preserve">In the study by Kamel </w:t>
      </w:r>
      <w:r w:rsidRPr="002B2CFC">
        <w:rPr>
          <w:i/>
          <w:szCs w:val="24"/>
          <w:lang w:val="en-US" w:eastAsia="en-US"/>
        </w:rPr>
        <w:t>et al</w:t>
      </w:r>
      <w:r w:rsidRPr="002B2CFC">
        <w:rPr>
          <w:szCs w:val="24"/>
          <w:lang w:val="en-US" w:eastAsia="en-US"/>
        </w:rPr>
        <w:t xml:space="preserve"> (2007),</w:t>
      </w:r>
      <w:r w:rsidR="00A4015A">
        <w:rPr>
          <w:szCs w:val="24"/>
          <w:lang w:val="en-US" w:eastAsia="en-US"/>
        </w:rPr>
        <w:t xml:space="preserve"> </w:t>
      </w:r>
      <w:r w:rsidR="00251F8D">
        <w:rPr>
          <w:szCs w:val="24"/>
          <w:lang w:val="en-US" w:eastAsia="en-US"/>
        </w:rPr>
        <w:t xml:space="preserve">it was </w:t>
      </w:r>
      <w:r w:rsidR="00FF2579">
        <w:rPr>
          <w:szCs w:val="24"/>
          <w:lang w:val="en-US" w:eastAsia="en-US"/>
        </w:rPr>
        <w:t>i</w:t>
      </w:r>
      <w:r w:rsidRPr="002B2CFC">
        <w:rPr>
          <w:szCs w:val="24"/>
          <w:lang w:val="en-US" w:eastAsia="en-US"/>
        </w:rPr>
        <w:t xml:space="preserve">ndicated that when all the possible exposures to pesticides were considered, only the association between incident Parkinson’s disease and a cumulative lifetime use of pesticides of 397 days or more </w:t>
      </w:r>
      <w:r w:rsidR="00251F8D">
        <w:rPr>
          <w:szCs w:val="24"/>
          <w:lang w:val="en-US" w:eastAsia="en-US"/>
        </w:rPr>
        <w:t>was</w:t>
      </w:r>
      <w:r w:rsidR="00251F8D" w:rsidRPr="002B2CFC">
        <w:rPr>
          <w:szCs w:val="24"/>
          <w:lang w:val="en-US" w:eastAsia="en-US"/>
        </w:rPr>
        <w:t xml:space="preserve"> </w:t>
      </w:r>
      <w:r w:rsidRPr="002B2CFC">
        <w:rPr>
          <w:szCs w:val="24"/>
          <w:lang w:val="en-US" w:eastAsia="en-US"/>
        </w:rPr>
        <w:t xml:space="preserve">statistical significance. </w:t>
      </w:r>
    </w:p>
    <w:p w14:paraId="59262DEA" w14:textId="77777777" w:rsidR="002B2CFC" w:rsidRPr="002B2CFC" w:rsidRDefault="002B2CFC" w:rsidP="002B2CFC">
      <w:pPr>
        <w:rPr>
          <w:szCs w:val="24"/>
          <w:lang w:val="en-US" w:eastAsia="en-US"/>
        </w:rPr>
      </w:pPr>
    </w:p>
    <w:p w14:paraId="28BC50E3" w14:textId="77777777" w:rsidR="002B2CFC" w:rsidRPr="002B2CFC" w:rsidRDefault="002B2CFC" w:rsidP="002B2CFC">
      <w:pPr>
        <w:rPr>
          <w:szCs w:val="24"/>
          <w:lang w:val="en-US" w:eastAsia="en-US"/>
        </w:rPr>
      </w:pPr>
      <w:r w:rsidRPr="002B2CFC">
        <w:rPr>
          <w:szCs w:val="24"/>
          <w:lang w:val="en-US" w:eastAsia="en-US"/>
        </w:rPr>
        <w:t xml:space="preserve">The study by Costello </w:t>
      </w:r>
      <w:r w:rsidRPr="002B2CFC">
        <w:rPr>
          <w:i/>
          <w:szCs w:val="24"/>
          <w:lang w:val="en-US" w:eastAsia="en-US"/>
        </w:rPr>
        <w:t>et al</w:t>
      </w:r>
      <w:r w:rsidRPr="002B2CFC">
        <w:rPr>
          <w:szCs w:val="24"/>
          <w:lang w:val="en-US" w:eastAsia="en-US"/>
        </w:rPr>
        <w:t xml:space="preserve"> (2009) estimated exposure to pesticides in the residential environment from applications to agricultural crops using a GIS-based system which combined pesticide-use data and land use data. The time-specific total exposure at each location, by pesticide, was derived by summing exposure over a fixed 500m radius around the home for the relevant years of residence. The application rate of pesticide per annum was summed for each residential buffer and weighted by the proportion of treated acreage in each buffer and weighted by the proportion of treated acreage in each buffer. The authors believed that this resulted in pesticide application rates that could be averaged over specific calendar periods of each subject’s lifetime.</w:t>
      </w:r>
    </w:p>
    <w:p w14:paraId="5B77D700" w14:textId="77777777" w:rsidR="002B2CFC" w:rsidRPr="002B2CFC" w:rsidRDefault="002B2CFC" w:rsidP="002B2CFC">
      <w:pPr>
        <w:rPr>
          <w:szCs w:val="24"/>
          <w:lang w:val="en-US" w:eastAsia="en-US"/>
        </w:rPr>
      </w:pPr>
    </w:p>
    <w:p w14:paraId="1F80003B" w14:textId="77777777" w:rsidR="002B2CFC" w:rsidRPr="00E40DFE" w:rsidRDefault="002B2CFC" w:rsidP="00FC749B">
      <w:pPr>
        <w:pStyle w:val="Heading3"/>
        <w:rPr>
          <w:i/>
        </w:rPr>
      </w:pPr>
      <w:bookmarkStart w:id="154" w:name="_Toc459108325"/>
      <w:r w:rsidRPr="00E40DFE">
        <w:rPr>
          <w:i/>
        </w:rPr>
        <w:t>Exposure to specific chemicals</w:t>
      </w:r>
      <w:bookmarkEnd w:id="154"/>
    </w:p>
    <w:p w14:paraId="0C959A20" w14:textId="77777777" w:rsidR="002B2CFC" w:rsidRPr="002B2CFC" w:rsidRDefault="002B2CFC" w:rsidP="002B2CFC">
      <w:pPr>
        <w:keepNext/>
        <w:keepLines/>
        <w:rPr>
          <w:szCs w:val="24"/>
          <w:lang w:val="en-US" w:eastAsia="en-US"/>
        </w:rPr>
      </w:pPr>
      <w:r w:rsidRPr="002B2CFC">
        <w:rPr>
          <w:szCs w:val="24"/>
          <w:lang w:val="en-US" w:eastAsia="en-US"/>
        </w:rPr>
        <w:t xml:space="preserve">In the study by Kamel </w:t>
      </w:r>
      <w:r w:rsidRPr="002B2CFC">
        <w:rPr>
          <w:i/>
          <w:szCs w:val="24"/>
          <w:lang w:val="en-US" w:eastAsia="en-US"/>
        </w:rPr>
        <w:t>et al</w:t>
      </w:r>
      <w:r w:rsidRPr="002B2CFC">
        <w:rPr>
          <w:szCs w:val="24"/>
          <w:lang w:val="en-US" w:eastAsia="en-US"/>
        </w:rPr>
        <w:t xml:space="preserve"> (2007), the odds ratios were reported to be elevated for prevalent Parkinson’s disease cases for the herbicides pendimethalin, paraquat, and cyanazine, and the fumigants carbon disulphide/carbon tetrachloride and ethylene dibromide. Odds ratios for incident Parkinson’s disease associated with exposure to dicamba, trifuralin, 2,4,5-trichlorophenoxyacetic acid, butylate, lindane, phorate, chlorothanolil, benomyl and methyl bromide were not statistically significant. </w:t>
      </w:r>
      <w:r w:rsidR="00251F8D">
        <w:rPr>
          <w:szCs w:val="24"/>
          <w:lang w:val="en-US" w:eastAsia="en-US"/>
        </w:rPr>
        <w:t>The only statistically significant association found was for cyanazine.</w:t>
      </w:r>
    </w:p>
    <w:p w14:paraId="62466410" w14:textId="77777777" w:rsidR="002B2CFC" w:rsidRPr="002B2CFC" w:rsidRDefault="002B2CFC" w:rsidP="002B2CFC">
      <w:pPr>
        <w:rPr>
          <w:szCs w:val="24"/>
          <w:lang w:val="en-US" w:eastAsia="en-US"/>
        </w:rPr>
      </w:pPr>
    </w:p>
    <w:p w14:paraId="41799A9F" w14:textId="77777777" w:rsidR="002B2CFC" w:rsidRPr="002B2CFC" w:rsidRDefault="002B2CFC" w:rsidP="002B2CFC">
      <w:pPr>
        <w:rPr>
          <w:szCs w:val="24"/>
          <w:lang w:val="en-US" w:eastAsia="en-US"/>
        </w:rPr>
      </w:pPr>
      <w:r w:rsidRPr="002B2CFC">
        <w:rPr>
          <w:szCs w:val="24"/>
          <w:lang w:val="en-US" w:eastAsia="en-US"/>
        </w:rPr>
        <w:t xml:space="preserve">Costello </w:t>
      </w:r>
      <w:r w:rsidRPr="002B2CFC">
        <w:rPr>
          <w:i/>
          <w:szCs w:val="24"/>
          <w:lang w:val="en-US" w:eastAsia="en-US"/>
        </w:rPr>
        <w:t>et al</w:t>
      </w:r>
      <w:r w:rsidRPr="002B2CFC">
        <w:rPr>
          <w:szCs w:val="24"/>
          <w:lang w:val="en-US" w:eastAsia="en-US"/>
        </w:rPr>
        <w:t xml:space="preserve"> (2009) used a GIS model which allowed the estimation of the likely dosage of active ingredients. The authors also acknowledged that these quantities were not comparable across all pesticides and exposure could not be estimated with any degree of accuracy for individual pesticides. The study also lacked statistical power to perform extensive analysis when the sample cohort was comprised of only three cases exposed to maneb alone with one control case. </w:t>
      </w:r>
    </w:p>
    <w:p w14:paraId="712D934F" w14:textId="77777777" w:rsidR="002B2CFC" w:rsidRPr="002B2CFC" w:rsidRDefault="002B2CFC" w:rsidP="002B2CFC">
      <w:pPr>
        <w:rPr>
          <w:szCs w:val="24"/>
          <w:lang w:val="en-US" w:eastAsia="en-US"/>
        </w:rPr>
      </w:pPr>
    </w:p>
    <w:p w14:paraId="7C793DD3" w14:textId="77777777" w:rsidR="002B2CFC" w:rsidRPr="00E40DFE" w:rsidRDefault="002B2CFC" w:rsidP="00FC749B">
      <w:pPr>
        <w:pStyle w:val="Heading2"/>
        <w:rPr>
          <w:i w:val="0"/>
          <w:lang w:eastAsia="en-US"/>
        </w:rPr>
      </w:pPr>
      <w:bookmarkStart w:id="155" w:name="_Toc459108326"/>
      <w:r w:rsidRPr="00E40DFE">
        <w:rPr>
          <w:i w:val="0"/>
          <w:lang w:eastAsia="en-US"/>
        </w:rPr>
        <w:lastRenderedPageBreak/>
        <w:t>Epidemiology studies: Discussion</w:t>
      </w:r>
      <w:bookmarkEnd w:id="155"/>
    </w:p>
    <w:p w14:paraId="5245B8DE" w14:textId="77777777" w:rsidR="002B2CFC" w:rsidRPr="002B2CFC" w:rsidRDefault="002B2CFC" w:rsidP="002B2CFC">
      <w:pPr>
        <w:rPr>
          <w:szCs w:val="24"/>
          <w:lang w:val="en-US" w:eastAsia="en-US"/>
        </w:rPr>
      </w:pPr>
      <w:r w:rsidRPr="002B2CFC">
        <w:rPr>
          <w:szCs w:val="24"/>
          <w:lang w:val="en-US" w:eastAsia="en-US"/>
        </w:rPr>
        <w:t xml:space="preserve">Understanding the </w:t>
      </w:r>
      <w:r w:rsidR="004F072B">
        <w:rPr>
          <w:szCs w:val="24"/>
          <w:lang w:val="en-US" w:eastAsia="en-US"/>
        </w:rPr>
        <w:t>association between environmental hazards</w:t>
      </w:r>
      <w:r w:rsidRPr="002B2CFC">
        <w:rPr>
          <w:szCs w:val="24"/>
          <w:lang w:val="en-US" w:eastAsia="en-US"/>
        </w:rPr>
        <w:t xml:space="preserve"> </w:t>
      </w:r>
      <w:r w:rsidR="004F072B">
        <w:rPr>
          <w:szCs w:val="24"/>
          <w:lang w:val="en-US" w:eastAsia="en-US"/>
        </w:rPr>
        <w:t xml:space="preserve"> and disease</w:t>
      </w:r>
      <w:r w:rsidRPr="002B2CFC">
        <w:rPr>
          <w:szCs w:val="24"/>
          <w:lang w:val="en-US" w:eastAsia="en-US"/>
        </w:rPr>
        <w:t xml:space="preserve"> is important for preventive measures. In terms of epidemiological analysis, the first task is to determine whether there is a difference in health status between people with different exposures to environmental hazards. Most disease measurements are subject to some level of observer variation in diagnosis, assessment or reporting. The important question is whether disease is being measured consistently in exposed and unexposed people, or whether for any reason exposure status may affect the likelihood that people of equal health status being diagnosed as having the disease or not. </w:t>
      </w:r>
    </w:p>
    <w:p w14:paraId="57D2082B" w14:textId="77777777" w:rsidR="002B2CFC" w:rsidRPr="002B2CFC" w:rsidRDefault="002B2CFC" w:rsidP="002B2CFC">
      <w:pPr>
        <w:rPr>
          <w:szCs w:val="24"/>
          <w:lang w:val="en-US" w:eastAsia="en-US"/>
        </w:rPr>
      </w:pPr>
    </w:p>
    <w:p w14:paraId="2F904C90" w14:textId="77777777" w:rsidR="002B2CFC" w:rsidRPr="002B2CFC" w:rsidRDefault="002B2CFC" w:rsidP="002B2CFC">
      <w:pPr>
        <w:rPr>
          <w:szCs w:val="24"/>
          <w:lang w:val="en-US" w:eastAsia="en-US"/>
        </w:rPr>
      </w:pPr>
      <w:r w:rsidRPr="002B2CFC">
        <w:rPr>
          <w:szCs w:val="24"/>
          <w:lang w:val="en-US" w:eastAsia="en-US"/>
        </w:rPr>
        <w:t xml:space="preserve">The authors Kamel </w:t>
      </w:r>
      <w:r w:rsidRPr="002B2CFC">
        <w:rPr>
          <w:i/>
          <w:szCs w:val="24"/>
          <w:lang w:val="en-US" w:eastAsia="en-US"/>
        </w:rPr>
        <w:t>et al</w:t>
      </w:r>
      <w:r w:rsidRPr="002B2CFC">
        <w:rPr>
          <w:szCs w:val="24"/>
          <w:lang w:val="en-US" w:eastAsia="en-US"/>
        </w:rPr>
        <w:t xml:space="preserve"> (2007) relied on self-reporting by respondents in their questionnaire. The authors used only question 10 which asked “During your lifetime, have you ever personally mixed or applied any pesticide?” allowing for the possibility of recall bias. The authors also reported that more than 99% of applicators and 56% of spouses had personally mixed or applied pesticides. Therefore, it may be that more than half of the control cohort had been occupationally exposed to pesticides if these spouses were enrolled as controls. The paper does not clarify this point. In contrast, Costello </w:t>
      </w:r>
      <w:r w:rsidRPr="002B2CFC">
        <w:rPr>
          <w:i/>
          <w:szCs w:val="24"/>
          <w:lang w:val="en-US" w:eastAsia="en-US"/>
        </w:rPr>
        <w:t>et al</w:t>
      </w:r>
      <w:r w:rsidRPr="002B2CFC">
        <w:rPr>
          <w:szCs w:val="24"/>
          <w:lang w:val="en-US" w:eastAsia="en-US"/>
        </w:rPr>
        <w:t xml:space="preserve"> (2009) estimated exposure of cases and controls using Pesticide Use reporting (PUR) data from the California Department of Pesticide regulation, matching land use data for both cases and control, and noting the name of the pesticide, crop, application rates, application method and date of application. </w:t>
      </w:r>
    </w:p>
    <w:p w14:paraId="4DD5FC37" w14:textId="77777777" w:rsidR="002B2CFC" w:rsidRPr="002B2CFC" w:rsidRDefault="002B2CFC" w:rsidP="002B2CFC">
      <w:pPr>
        <w:rPr>
          <w:szCs w:val="24"/>
          <w:lang w:val="en-US" w:eastAsia="en-US"/>
        </w:rPr>
      </w:pPr>
    </w:p>
    <w:p w14:paraId="2539A3E5" w14:textId="77777777" w:rsidR="002B2CFC" w:rsidRPr="002B2CFC" w:rsidRDefault="002B2CFC" w:rsidP="002B2CFC">
      <w:pPr>
        <w:rPr>
          <w:szCs w:val="24"/>
          <w:lang w:val="en-US" w:eastAsia="en-US"/>
        </w:rPr>
      </w:pPr>
      <w:r w:rsidRPr="002B2CFC">
        <w:rPr>
          <w:szCs w:val="24"/>
          <w:lang w:val="en-US" w:eastAsia="en-US"/>
        </w:rPr>
        <w:t xml:space="preserve">Additional bias in the assessment of the results may be attributable if, as appears to be the case, either the researcher, health assessor or the respondent, knew that a disease was being investigated and may be related to a certain exposure at the time when the health assessment was made. For example, the authors of a study may send a questionnaire to all members of a community to study the impact of an environmental hazard on health. If the questionnaire concerned health assessments on the more “subjective” end of the spectrum, for example, a headache and feelings of nausea, people who perceive themselves to have been exposed, may be more likely to report those symptoms. Further, people who are concerned by the possible effects of the exposure on their health may be more likely to return the questionnaire or phone call, compared to other potential participants, particularly if the respondent felt that their health had been impaired (Dolk, 2002). </w:t>
      </w:r>
    </w:p>
    <w:p w14:paraId="2F5160D5" w14:textId="77777777" w:rsidR="002B2CFC" w:rsidRPr="002B2CFC" w:rsidRDefault="002B2CFC" w:rsidP="002B2CFC">
      <w:pPr>
        <w:rPr>
          <w:szCs w:val="24"/>
          <w:lang w:val="en-US" w:eastAsia="en-US"/>
        </w:rPr>
      </w:pPr>
    </w:p>
    <w:p w14:paraId="5FFCA0A5" w14:textId="77777777" w:rsidR="002B2CFC" w:rsidRPr="002B2CFC" w:rsidRDefault="002B2CFC" w:rsidP="002B2CFC">
      <w:pPr>
        <w:rPr>
          <w:szCs w:val="24"/>
          <w:lang w:val="en-US" w:eastAsia="en-US"/>
        </w:rPr>
      </w:pPr>
      <w:r w:rsidRPr="002B2CFC">
        <w:rPr>
          <w:szCs w:val="24"/>
          <w:lang w:val="en-US" w:eastAsia="en-US"/>
        </w:rPr>
        <w:t xml:space="preserve">Information on events involving high personal pesticide exposure was collected in the Kamel </w:t>
      </w:r>
      <w:r w:rsidRPr="002B2CFC">
        <w:rPr>
          <w:i/>
          <w:szCs w:val="24"/>
          <w:lang w:val="en-US" w:eastAsia="en-US"/>
        </w:rPr>
        <w:t>et al</w:t>
      </w:r>
      <w:r w:rsidRPr="002B2CFC">
        <w:rPr>
          <w:szCs w:val="24"/>
          <w:lang w:val="en-US" w:eastAsia="en-US"/>
        </w:rPr>
        <w:t xml:space="preserve"> (2007) study by posing the question:  “Have you ever had an incident or experience while using any type of pesticide which caused you unusually high personal exposure?” A question like this is likely to indicate to the respondent that their career activities may have medical consequences, and this would alert them to recall more acutely any exposure to pesticides and introduce another source of bias into the study. Incident cases were asked “has a doctor or a health professional told you (that) you have Parkinson’s Disease?”, where a ‘health professional’ was not defined or explained. However, it is assumed that the authors did not accept a diagnosis from an unrelated medial specialist.</w:t>
      </w:r>
    </w:p>
    <w:p w14:paraId="79ABCEE7" w14:textId="77777777" w:rsidR="002B2CFC" w:rsidRPr="002B2CFC" w:rsidRDefault="002B2CFC" w:rsidP="002B2CFC">
      <w:pPr>
        <w:rPr>
          <w:szCs w:val="24"/>
          <w:lang w:val="en-US" w:eastAsia="en-US"/>
        </w:rPr>
      </w:pPr>
    </w:p>
    <w:p w14:paraId="4F2D6283" w14:textId="77777777" w:rsidR="002B2CFC" w:rsidRPr="002B2CFC" w:rsidRDefault="002B2CFC" w:rsidP="002B2CFC">
      <w:pPr>
        <w:rPr>
          <w:szCs w:val="24"/>
          <w:lang w:val="en-US" w:eastAsia="en-US"/>
        </w:rPr>
      </w:pPr>
      <w:r w:rsidRPr="002B2CFC">
        <w:rPr>
          <w:szCs w:val="24"/>
          <w:lang w:val="en-US" w:eastAsia="en-US"/>
        </w:rPr>
        <w:t>Health conditions such as cancer and congenital anomalies are generally considered to be in the less subjective part of the spectrum. However, the manner in which information is gathered is still critic</w:t>
      </w:r>
      <w:r w:rsidRPr="002B2CFC">
        <w:rPr>
          <w:i/>
          <w:szCs w:val="24"/>
          <w:lang w:val="en-US" w:eastAsia="en-US"/>
        </w:rPr>
        <w:t>al</w:t>
      </w:r>
      <w:r w:rsidRPr="002B2CFC">
        <w:rPr>
          <w:szCs w:val="24"/>
          <w:lang w:val="en-US" w:eastAsia="en-US"/>
        </w:rPr>
        <w:t xml:space="preserve"> For example, in a survey a toxic hazard and ascertaining cases of cancer or congenital anomalies in the population, if the authors compared the rate of disease to a disease </w:t>
      </w:r>
      <w:r w:rsidRPr="002B2CFC">
        <w:rPr>
          <w:szCs w:val="24"/>
          <w:lang w:val="en-US" w:eastAsia="en-US"/>
        </w:rPr>
        <w:lastRenderedPageBreak/>
        <w:t xml:space="preserve">rate in data which was routinely collected in health statistic data bases, they may find a different rate in the community close to the toxic hazard due to differences in the completeness of case finding, or inclusion or exclusion criteria. Therefore, it is important that studies use the same data base or data source to measure disease in both exposed and unexposed populations. Studies based on disease registers, where cases are ascertained blind to the study hypothesis, have an advantage in this regard. The study by Kamel </w:t>
      </w:r>
      <w:r w:rsidRPr="002B2CFC">
        <w:rPr>
          <w:i/>
          <w:szCs w:val="24"/>
          <w:lang w:val="en-US" w:eastAsia="en-US"/>
        </w:rPr>
        <w:t xml:space="preserve">et al </w:t>
      </w:r>
      <w:r w:rsidRPr="002B2CFC">
        <w:rPr>
          <w:szCs w:val="24"/>
          <w:lang w:val="en-US" w:eastAsia="en-US"/>
        </w:rPr>
        <w:t xml:space="preserve">(2007) used data from the US AHS study, where exposure was self-reported, and thus was open to bias whereas Costello </w:t>
      </w:r>
      <w:r w:rsidRPr="002B2CFC">
        <w:rPr>
          <w:i/>
          <w:szCs w:val="24"/>
          <w:lang w:val="en-US" w:eastAsia="en-US"/>
        </w:rPr>
        <w:t>et al</w:t>
      </w:r>
      <w:r w:rsidRPr="002B2CFC">
        <w:rPr>
          <w:szCs w:val="24"/>
          <w:lang w:val="en-US" w:eastAsia="en-US"/>
        </w:rPr>
        <w:t xml:space="preserve"> (2009) used data from the Pesticide Use Reporting data from the California Department of Pesticide Regulation.</w:t>
      </w:r>
    </w:p>
    <w:p w14:paraId="1B291954" w14:textId="77777777" w:rsidR="002B2CFC" w:rsidRPr="002B2CFC" w:rsidRDefault="002B2CFC" w:rsidP="002B2CFC">
      <w:pPr>
        <w:rPr>
          <w:szCs w:val="24"/>
          <w:lang w:val="en-US" w:eastAsia="en-US"/>
        </w:rPr>
      </w:pPr>
    </w:p>
    <w:p w14:paraId="12BD67E9" w14:textId="77777777" w:rsidR="002B2CFC" w:rsidRPr="002B2CFC" w:rsidRDefault="002B2CFC" w:rsidP="002B2CFC">
      <w:pPr>
        <w:rPr>
          <w:szCs w:val="24"/>
          <w:lang w:val="en-US" w:eastAsia="en-US"/>
        </w:rPr>
      </w:pPr>
      <w:r w:rsidRPr="002B2CFC">
        <w:rPr>
          <w:szCs w:val="24"/>
          <w:lang w:val="en-US" w:eastAsia="en-US"/>
        </w:rPr>
        <w:t xml:space="preserve">Studies which measure exposure to a toxin or environmental hazard, in terms of a residence within a large area which contains the exposure factor, are in a weaker position to express an association between hazard and disease (Dolk, 2002). Such studies are improved when duration of exposure can be measured. Longer duration of exposure is generally considered to increase the risk of disease and thus respondents with the disease can be classified as to duration of exposure to determine if or to what extent duration of exposure may have affected disease outcome. </w:t>
      </w:r>
      <w:r w:rsidRPr="002B2CFC">
        <w:rPr>
          <w:szCs w:val="24"/>
          <w:lang w:val="it-IT" w:eastAsia="en-US"/>
        </w:rPr>
        <w:t xml:space="preserve">These aspects were key elements in the Costello </w:t>
      </w:r>
      <w:r w:rsidRPr="002B2CFC">
        <w:rPr>
          <w:i/>
          <w:szCs w:val="24"/>
          <w:lang w:val="it-IT" w:eastAsia="en-US"/>
        </w:rPr>
        <w:t>et al</w:t>
      </w:r>
      <w:r w:rsidRPr="002B2CFC">
        <w:rPr>
          <w:szCs w:val="24"/>
          <w:lang w:val="it-IT" w:eastAsia="en-US"/>
        </w:rPr>
        <w:t xml:space="preserve"> </w:t>
      </w:r>
      <w:r w:rsidRPr="002B2CFC">
        <w:rPr>
          <w:szCs w:val="24"/>
          <w:lang w:val="en-US" w:eastAsia="en-US"/>
        </w:rPr>
        <w:t xml:space="preserve">(2009) paper, where time-specific total exposure at each location and by pesticide, were derived through summing the exposures over a fixed 500 m radius around the home for the years of residence. Pesticide application rates were averaged over specific time periods and adjusted by application rates of pesticide applied per annum. In contrast, Kamel </w:t>
      </w:r>
      <w:r w:rsidRPr="002B2CFC">
        <w:rPr>
          <w:i/>
          <w:szCs w:val="24"/>
          <w:lang w:val="en-US" w:eastAsia="en-US"/>
        </w:rPr>
        <w:t>et al</w:t>
      </w:r>
      <w:r w:rsidRPr="002B2CFC">
        <w:rPr>
          <w:szCs w:val="24"/>
          <w:lang w:val="en-US" w:eastAsia="en-US"/>
        </w:rPr>
        <w:t xml:space="preserve"> (2007) used questions about duration spent mixing or applying pesticides such as: “What percent of time did respondent personally mix pesticides when mixing was required?” and “What percent of the application did the respondent personally do?” The results of those questions on duration were not reported in the paper. </w:t>
      </w:r>
    </w:p>
    <w:p w14:paraId="0748188F" w14:textId="77777777" w:rsidR="002B2CFC" w:rsidRPr="002B2CFC" w:rsidRDefault="002B2CFC" w:rsidP="002B2CFC">
      <w:pPr>
        <w:rPr>
          <w:szCs w:val="24"/>
          <w:lang w:val="en-US" w:eastAsia="en-US"/>
        </w:rPr>
      </w:pPr>
    </w:p>
    <w:p w14:paraId="73E2E14A" w14:textId="77777777" w:rsidR="002B2CFC" w:rsidRPr="002B2CFC" w:rsidRDefault="002B2CFC" w:rsidP="002B2CFC">
      <w:pPr>
        <w:rPr>
          <w:szCs w:val="24"/>
          <w:lang w:val="en-US" w:eastAsia="en-US"/>
        </w:rPr>
      </w:pPr>
      <w:r w:rsidRPr="002B2CFC">
        <w:rPr>
          <w:szCs w:val="24"/>
          <w:lang w:val="en-US" w:eastAsia="en-US"/>
        </w:rPr>
        <w:t xml:space="preserve">Studies based on distance of residence to a potential chemical hazard are often less expensive to conduct for a given sample size, as they can often use routinely collected data. When using only the distance to residence parameter, there are many causes of misclassification of relative degree of true exposure. These include the fact that exposure is not likely to radiate evenly in all directions from the hazard source, that people vary in their lifestyles and resulting probability of exposure (e.g., Do they stay home or work elsewhere? Do they engage in recreational activities near or far from the hazard source? Do they garden? In addition, people often move house between exposure events and disease diagnosis, and thus some of those classified as “exposed” may not have lived in the area at the relevant time and </w:t>
      </w:r>
      <w:r w:rsidRPr="002B2CFC">
        <w:rPr>
          <w:i/>
          <w:szCs w:val="24"/>
          <w:lang w:val="en-US" w:eastAsia="en-US"/>
        </w:rPr>
        <w:t>vice versa</w:t>
      </w:r>
      <w:r w:rsidRPr="002B2CFC">
        <w:rPr>
          <w:szCs w:val="24"/>
          <w:lang w:val="en-US" w:eastAsia="en-US"/>
        </w:rPr>
        <w:t xml:space="preserve">. The methodology of Costello </w:t>
      </w:r>
      <w:r w:rsidRPr="002B2CFC">
        <w:rPr>
          <w:i/>
          <w:szCs w:val="24"/>
          <w:lang w:val="en-US" w:eastAsia="en-US"/>
        </w:rPr>
        <w:t>et al</w:t>
      </w:r>
      <w:r w:rsidRPr="002B2CFC">
        <w:rPr>
          <w:szCs w:val="24"/>
          <w:lang w:val="en-US" w:eastAsia="en-US"/>
        </w:rPr>
        <w:t xml:space="preserve"> (2009) measured exposure within 500 m of the respondent’s residence and appear to take th</w:t>
      </w:r>
      <w:r w:rsidR="0063781A">
        <w:rPr>
          <w:szCs w:val="24"/>
          <w:lang w:val="en-US" w:eastAsia="en-US"/>
        </w:rPr>
        <w:t>ese</w:t>
      </w:r>
      <w:r w:rsidRPr="002B2CFC">
        <w:rPr>
          <w:szCs w:val="24"/>
          <w:lang w:val="en-US" w:eastAsia="en-US"/>
        </w:rPr>
        <w:t xml:space="preserve"> issues into account, however, did not justify why the distance of 500 m was selected (compared to 750 m or 1 km) or how it may have affected the associations which were drawn from the data. </w:t>
      </w:r>
    </w:p>
    <w:p w14:paraId="61E9CEB0" w14:textId="77777777" w:rsidR="002B2CFC" w:rsidRPr="002B2CFC" w:rsidRDefault="002B2CFC" w:rsidP="002B2CFC">
      <w:pPr>
        <w:rPr>
          <w:b/>
          <w:szCs w:val="24"/>
          <w:lang w:val="en-US" w:eastAsia="en-US"/>
        </w:rPr>
      </w:pPr>
    </w:p>
    <w:p w14:paraId="61AB2B0C" w14:textId="77777777" w:rsidR="002B2CFC" w:rsidRPr="002B2CFC" w:rsidRDefault="002B2CFC" w:rsidP="002B2CFC">
      <w:pPr>
        <w:rPr>
          <w:szCs w:val="24"/>
          <w:lang w:val="en-US" w:eastAsia="en-US"/>
        </w:rPr>
      </w:pPr>
      <w:r w:rsidRPr="002B2CFC">
        <w:rPr>
          <w:szCs w:val="24"/>
          <w:lang w:val="en-US" w:eastAsia="en-US"/>
        </w:rPr>
        <w:t xml:space="preserve">Predominant wind direction is a commonly quoted objection to studies using distance of residence as a surrogate of exposure. It is reasonable to anticipate that those who reside in the path of prevailing winds from agricultural areas would be exposed to more pesticides than those who reside further from the hazard source and that the “circle of exposure” should be replaced by a more elliptical shape or directional ellipse. Another problem in exposure classification is the situation of people living near more than one chemical source, e.g., living by farmlands would likely confer greater exposure compared to residing on the boundary of the treated areas. To be able to incorporate these issues when analysing retrospective or prospective survey data, </w:t>
      </w:r>
      <w:r w:rsidRPr="002B2CFC">
        <w:rPr>
          <w:szCs w:val="24"/>
          <w:lang w:val="en-US" w:eastAsia="en-US"/>
        </w:rPr>
        <w:lastRenderedPageBreak/>
        <w:t>more exposure assessment research is needed. The recent establishment of the APVMA Operating Principles in Relation to Spray Drift Risk policy (July 2008) will lead to a greater understanding of the exposure to bystanders from pesticide spraying operations and therefore, in future epidemiological surveys, provide improved robustness of exposure (further details can be found at www.apvma.gov.au).</w:t>
      </w:r>
    </w:p>
    <w:p w14:paraId="7E9F67E3" w14:textId="77777777" w:rsidR="002B2CFC" w:rsidRPr="002B2CFC" w:rsidRDefault="002B2CFC" w:rsidP="002B2CFC">
      <w:pPr>
        <w:rPr>
          <w:szCs w:val="24"/>
          <w:lang w:val="en-US" w:eastAsia="en-US"/>
        </w:rPr>
      </w:pPr>
    </w:p>
    <w:p w14:paraId="44616B52" w14:textId="77777777" w:rsidR="002B2CFC" w:rsidRPr="002B2CFC" w:rsidRDefault="002B2CFC" w:rsidP="002B2CFC">
      <w:pPr>
        <w:rPr>
          <w:szCs w:val="24"/>
          <w:lang w:val="en-US" w:eastAsia="en-US"/>
        </w:rPr>
      </w:pPr>
      <w:r w:rsidRPr="002B2CFC">
        <w:rPr>
          <w:szCs w:val="24"/>
          <w:lang w:val="en-US" w:eastAsia="en-US"/>
        </w:rPr>
        <w:t xml:space="preserve">Misclassification or poor classification of exposure is often cited as a reason to disregard the results of studies which find evidence of an excess of disease near a toxic site. However, misclassification of exposure has been found to generally lead to an underestimate of exposure. Therefore, if an association has been made then it is likely to be attributable to a higher exposure than when originally classified. Exposure to the hazardous substance was well-defined in the study by Costello </w:t>
      </w:r>
      <w:r w:rsidRPr="002B2CFC">
        <w:rPr>
          <w:i/>
          <w:szCs w:val="24"/>
          <w:lang w:val="en-US" w:eastAsia="en-US"/>
        </w:rPr>
        <w:t>et al</w:t>
      </w:r>
      <w:r w:rsidRPr="002B2CFC">
        <w:rPr>
          <w:szCs w:val="24"/>
          <w:lang w:val="en-US" w:eastAsia="en-US"/>
        </w:rPr>
        <w:t xml:space="preserve"> (2009) which may have contributed to the more robust associations between pesticide use and a diagnosis of Parkinson’s disease. Measures of exposure in the paper by Kamel </w:t>
      </w:r>
      <w:r w:rsidRPr="002B2CFC">
        <w:rPr>
          <w:i/>
          <w:szCs w:val="24"/>
          <w:lang w:val="en-US" w:eastAsia="en-US"/>
        </w:rPr>
        <w:t>et al</w:t>
      </w:r>
      <w:r w:rsidRPr="002B2CFC">
        <w:rPr>
          <w:szCs w:val="24"/>
          <w:lang w:val="en-US" w:eastAsia="en-US"/>
        </w:rPr>
        <w:t xml:space="preserve"> (2007) were less stringent and may have contributed to the findings of weaker associations. </w:t>
      </w:r>
    </w:p>
    <w:p w14:paraId="685F0C5E" w14:textId="77777777" w:rsidR="002B2CFC" w:rsidRPr="002B2CFC" w:rsidRDefault="002B2CFC" w:rsidP="002B2CFC">
      <w:pPr>
        <w:rPr>
          <w:szCs w:val="24"/>
          <w:lang w:val="en-US" w:eastAsia="en-US"/>
        </w:rPr>
      </w:pPr>
    </w:p>
    <w:p w14:paraId="216A5B5A" w14:textId="77777777" w:rsidR="002B2CFC" w:rsidRPr="002B2CFC" w:rsidRDefault="002B2CFC" w:rsidP="002B2CFC">
      <w:pPr>
        <w:rPr>
          <w:szCs w:val="24"/>
          <w:lang w:eastAsia="en-US"/>
        </w:rPr>
      </w:pPr>
      <w:r w:rsidRPr="002B2CFC">
        <w:rPr>
          <w:szCs w:val="24"/>
          <w:lang w:val="en-US" w:eastAsia="en-US"/>
        </w:rPr>
        <w:t xml:space="preserve">The two studies under discussion show not only different results regarding the association between pesticide use and a diagnosis of Parkinson’s disease, but also the use of different methodologies. A similar association was also reported by Ascherio </w:t>
      </w:r>
      <w:r w:rsidRPr="002B2CFC">
        <w:rPr>
          <w:i/>
          <w:szCs w:val="24"/>
          <w:lang w:val="en-US" w:eastAsia="en-US"/>
        </w:rPr>
        <w:t>et al</w:t>
      </w:r>
      <w:r w:rsidRPr="002B2CFC">
        <w:rPr>
          <w:szCs w:val="24"/>
          <w:lang w:val="en-US" w:eastAsia="en-US"/>
        </w:rPr>
        <w:t xml:space="preserve"> (2007) between chemical exposure and the presence of Parkinson’s disease. To more fully appreciate these associations, a literature review, or full desktop examination of these, and other studies on paraquat/pesticides and Parkinson’s disease, could be conducted to outline the differences in case ascertainment, exposure methodology and outcome ascertainment and then examine the strengths of association under different circumstances. Such a study may identify the conditions under which the most robust findings are reported and could indicate if the trend (in association) is reproducible and if the trend is moving. While individual studies might show different results, in an overarching analysis, it is the preponderance of evidence which should guide decision-making in questions of health. </w:t>
      </w:r>
      <w:r w:rsidRPr="002B2CFC">
        <w:rPr>
          <w:szCs w:val="24"/>
          <w:lang w:eastAsia="en-US"/>
        </w:rPr>
        <w:t xml:space="preserve">The above findings, particularly the study by Costello </w:t>
      </w:r>
      <w:r w:rsidRPr="002B2CFC">
        <w:rPr>
          <w:i/>
          <w:color w:val="303030"/>
          <w:szCs w:val="24"/>
          <w:lang w:eastAsia="en-US"/>
        </w:rPr>
        <w:t>et al</w:t>
      </w:r>
      <w:r w:rsidRPr="002B2CFC">
        <w:rPr>
          <w:szCs w:val="24"/>
          <w:lang w:eastAsia="en-US"/>
        </w:rPr>
        <w:t xml:space="preserve"> (2009), lend weight to the suggestion that there is a positive association between adverse health effects and exposure to pesticides (i.e., paraquat and maneb), but presently, the strength of that association does not extend to exposure to paraquat alone. </w:t>
      </w:r>
    </w:p>
    <w:p w14:paraId="083F4013" w14:textId="77777777" w:rsidR="002B2CFC" w:rsidRPr="002B2CFC" w:rsidRDefault="002B2CFC" w:rsidP="002B2CFC">
      <w:pPr>
        <w:rPr>
          <w:szCs w:val="24"/>
          <w:lang w:val="en-US" w:eastAsia="en-US"/>
        </w:rPr>
      </w:pPr>
    </w:p>
    <w:p w14:paraId="7D89CB1A" w14:textId="77777777" w:rsidR="002B2CFC" w:rsidRPr="002B2CFC" w:rsidRDefault="002B2CFC" w:rsidP="002B2CFC">
      <w:pPr>
        <w:rPr>
          <w:szCs w:val="24"/>
          <w:lang w:val="en-US" w:eastAsia="en-US"/>
        </w:rPr>
      </w:pPr>
      <w:r w:rsidRPr="002B2CFC">
        <w:rPr>
          <w:szCs w:val="24"/>
          <w:lang w:val="en-US" w:eastAsia="en-US"/>
        </w:rPr>
        <w:t xml:space="preserve">An interesting trend which may be developing was the observation by Costello </w:t>
      </w:r>
      <w:r w:rsidRPr="002B2CFC">
        <w:rPr>
          <w:i/>
          <w:szCs w:val="24"/>
          <w:lang w:val="en-US" w:eastAsia="en-US"/>
        </w:rPr>
        <w:t>et al</w:t>
      </w:r>
      <w:r w:rsidRPr="002B2CFC">
        <w:rPr>
          <w:szCs w:val="24"/>
          <w:lang w:val="en-US" w:eastAsia="en-US"/>
        </w:rPr>
        <w:t xml:space="preserve"> (2009) that recent occupational exposure (1990-1999) to paraquat and maneb had a lower association with prevalent Parkinson’s disease cases when compared to occupational exposure from 1974-1989. While data are not available for the next decade (2000-2009), if this trend continues to decline in coming years through decreased exposure (and can be validated by appropriate epidemiology analysis), then the relatively higher risk of developing Parkinson’s disease from exposures during the earlier period (i.e., 1974-1989) could be interpreted as being consistent with paraquat having the theoretical capacity of a contributory role in this disease in some individuals. However, it is unknown why those individuals were apparently susceptible to paraquat at the time of exposure and whether or not the actions of paraquat were to accelerate existing subclinical disease or initiated new disease. </w:t>
      </w:r>
    </w:p>
    <w:p w14:paraId="2A41991C" w14:textId="77777777" w:rsidR="002B2CFC" w:rsidRPr="002B2CFC" w:rsidRDefault="002B2CFC" w:rsidP="002B2CFC">
      <w:pPr>
        <w:rPr>
          <w:szCs w:val="24"/>
          <w:lang w:val="en-US" w:eastAsia="en-US"/>
        </w:rPr>
      </w:pPr>
    </w:p>
    <w:p w14:paraId="319B99F8" w14:textId="77777777" w:rsidR="002B2CFC" w:rsidRPr="002B2CFC" w:rsidRDefault="002B2CFC" w:rsidP="002B2CFC">
      <w:pPr>
        <w:rPr>
          <w:szCs w:val="24"/>
          <w:lang w:val="en-US" w:eastAsia="en-US"/>
        </w:rPr>
      </w:pPr>
      <w:r w:rsidRPr="002B2CFC">
        <w:rPr>
          <w:szCs w:val="24"/>
          <w:lang w:val="en-US" w:eastAsia="en-US"/>
        </w:rPr>
        <w:t xml:space="preserve">Clinically, Parkinson’s disease is characterised by a variety of clinical signs and symptoms which are usually progressive in nature with initial presentation as indeterminant or idiopathic disease before full diagnosis. The observation that the association in 1990-1999 was weaker, may align with decreased exposure through greater regulatory controls in the USA. A </w:t>
      </w:r>
      <w:r w:rsidRPr="002B2CFC">
        <w:rPr>
          <w:szCs w:val="24"/>
          <w:lang w:val="en-US" w:eastAsia="en-US"/>
        </w:rPr>
        <w:lastRenderedPageBreak/>
        <w:t xml:space="preserve">theoretical possibility may exist that the current exposure (i.e., in 2010) to paraquat in the Central Valley of California, as surveyed by Costello </w:t>
      </w:r>
      <w:r w:rsidRPr="002B2CFC">
        <w:rPr>
          <w:i/>
          <w:szCs w:val="24"/>
          <w:lang w:val="en-US" w:eastAsia="en-US"/>
        </w:rPr>
        <w:t>et al</w:t>
      </w:r>
      <w:r w:rsidRPr="002B2CFC">
        <w:rPr>
          <w:szCs w:val="24"/>
          <w:lang w:val="en-US" w:eastAsia="en-US"/>
        </w:rPr>
        <w:t xml:space="preserve"> (2009), may be insufficient to affect existing subclinical Parkinsonian-like disease or initiate neuronal injury in those susceptible individuals from the potential incident Parkinson’s disease cohort. </w:t>
      </w:r>
    </w:p>
    <w:p w14:paraId="396E8DEB" w14:textId="77777777" w:rsidR="002B2CFC" w:rsidRPr="002B2CFC" w:rsidRDefault="002B2CFC" w:rsidP="002B2CFC">
      <w:pPr>
        <w:rPr>
          <w:szCs w:val="24"/>
          <w:lang w:eastAsia="en-US"/>
        </w:rPr>
      </w:pPr>
    </w:p>
    <w:p w14:paraId="38FBE276" w14:textId="1E3C7C81" w:rsidR="002B2CFC" w:rsidRPr="002B2CFC" w:rsidRDefault="002B2CFC" w:rsidP="002B2CFC">
      <w:pPr>
        <w:rPr>
          <w:szCs w:val="24"/>
          <w:lang w:eastAsia="en-US"/>
        </w:rPr>
      </w:pPr>
      <w:r w:rsidRPr="002B2CFC">
        <w:rPr>
          <w:szCs w:val="24"/>
          <w:lang w:eastAsia="en-US"/>
        </w:rPr>
        <w:t>References quoted in the epidemiology evaluation have been listed separately in Section</w:t>
      </w:r>
      <w:r w:rsidR="002A7CE4">
        <w:rPr>
          <w:szCs w:val="24"/>
          <w:lang w:eastAsia="en-US"/>
        </w:rPr>
        <w:t xml:space="preserve"> </w:t>
      </w:r>
      <w:r w:rsidR="00644D11">
        <w:rPr>
          <w:szCs w:val="24"/>
          <w:lang w:eastAsia="en-US"/>
        </w:rPr>
        <w:t>12.2</w:t>
      </w:r>
      <w:r w:rsidRPr="002B2CFC">
        <w:rPr>
          <w:szCs w:val="24"/>
          <w:lang w:eastAsia="en-US"/>
        </w:rPr>
        <w:t xml:space="preserve">. </w:t>
      </w:r>
      <w:r w:rsidR="001F685E">
        <w:rPr>
          <w:szCs w:val="24"/>
          <w:lang w:eastAsia="en-US"/>
        </w:rPr>
        <w:br w:type="page"/>
      </w:r>
    </w:p>
    <w:p w14:paraId="322BA794" w14:textId="77777777" w:rsidR="002B2CFC" w:rsidRPr="002B2CFC" w:rsidRDefault="002B2CFC" w:rsidP="00AA1EA2">
      <w:pPr>
        <w:pStyle w:val="Heading1"/>
        <w:jc w:val="left"/>
      </w:pPr>
      <w:bookmarkStart w:id="156" w:name="_Toc459108327"/>
      <w:r w:rsidRPr="002B2CFC">
        <w:lastRenderedPageBreak/>
        <w:t>References</w:t>
      </w:r>
      <w:bookmarkEnd w:id="156"/>
    </w:p>
    <w:p w14:paraId="4FC8A305" w14:textId="77777777" w:rsidR="002B2CFC" w:rsidRPr="002B2CFC" w:rsidRDefault="002B2CFC" w:rsidP="00FC749B">
      <w:pPr>
        <w:pStyle w:val="Heading2"/>
        <w:rPr>
          <w:lang w:eastAsia="en-US"/>
        </w:rPr>
      </w:pPr>
      <w:bookmarkStart w:id="157" w:name="_Toc459108328"/>
      <w:r w:rsidRPr="002B2CFC">
        <w:rPr>
          <w:lang w:eastAsia="en-US"/>
        </w:rPr>
        <w:t>Main report</w:t>
      </w:r>
      <w:bookmarkEnd w:id="157"/>
    </w:p>
    <w:p w14:paraId="5F22D0E1" w14:textId="77777777" w:rsidR="002B2CFC" w:rsidRPr="002B2CFC" w:rsidDel="00072FD7" w:rsidRDefault="00CD3593" w:rsidP="002B2CFC">
      <w:pPr>
        <w:rPr>
          <w:szCs w:val="24"/>
          <w:lang w:eastAsia="en-US"/>
        </w:rPr>
      </w:pPr>
      <w:r w:rsidRPr="002B2CFC" w:rsidDel="00072FD7">
        <w:rPr>
          <w:szCs w:val="24"/>
          <w:lang w:eastAsia="en-US"/>
        </w:rPr>
        <w:t>Ame</w:t>
      </w:r>
      <w:r>
        <w:rPr>
          <w:szCs w:val="24"/>
          <w:lang w:eastAsia="en-US"/>
        </w:rPr>
        <w:t>n</w:t>
      </w:r>
      <w:r w:rsidRPr="002B2CFC" w:rsidDel="00072FD7">
        <w:rPr>
          <w:szCs w:val="24"/>
          <w:lang w:eastAsia="en-US"/>
        </w:rPr>
        <w:t xml:space="preserve">o </w:t>
      </w:r>
      <w:r w:rsidR="002B2CFC" w:rsidRPr="002B2CFC" w:rsidDel="00072FD7">
        <w:rPr>
          <w:szCs w:val="24"/>
          <w:lang w:eastAsia="en-US"/>
        </w:rPr>
        <w:t xml:space="preserve">K, Fuke C, Shirakawa Y, Ogura, S, Ameno S, Kiriu T, Kinoshita H &amp; Ijiri I (1994) Different distribution of paraquat and diquat in human poisoning cases after ingestion of a combined herbicide. </w:t>
      </w:r>
      <w:r w:rsidR="002B2CFC" w:rsidRPr="00F502CD" w:rsidDel="00072FD7">
        <w:rPr>
          <w:i/>
          <w:szCs w:val="24"/>
          <w:lang w:eastAsia="en-US"/>
        </w:rPr>
        <w:t>Arch. Toxicol.</w:t>
      </w:r>
      <w:r w:rsidR="002B2CFC" w:rsidRPr="002B2CFC" w:rsidDel="00072FD7">
        <w:rPr>
          <w:szCs w:val="24"/>
          <w:lang w:eastAsia="en-US"/>
        </w:rPr>
        <w:t xml:space="preserve"> </w:t>
      </w:r>
      <w:r w:rsidR="002B2CFC" w:rsidRPr="00F502CD" w:rsidDel="00072FD7">
        <w:rPr>
          <w:b/>
          <w:szCs w:val="24"/>
          <w:lang w:eastAsia="en-US"/>
        </w:rPr>
        <w:t>68</w:t>
      </w:r>
      <w:r w:rsidR="002B2CFC" w:rsidRPr="002B2CFC" w:rsidDel="00072FD7">
        <w:rPr>
          <w:szCs w:val="24"/>
          <w:lang w:eastAsia="en-US"/>
        </w:rPr>
        <w:t>:134-137.</w:t>
      </w:r>
    </w:p>
    <w:p w14:paraId="55B42E50" w14:textId="77777777" w:rsidR="002B2CFC" w:rsidRPr="002B2CFC" w:rsidDel="00072FD7" w:rsidRDefault="002B2CFC" w:rsidP="002B2CFC">
      <w:pPr>
        <w:rPr>
          <w:szCs w:val="24"/>
          <w:lang w:eastAsia="en-US"/>
        </w:rPr>
      </w:pPr>
    </w:p>
    <w:p w14:paraId="7C61A673" w14:textId="77777777" w:rsidR="002B2CFC" w:rsidRPr="002B2CFC" w:rsidDel="00072FD7" w:rsidRDefault="002B2CFC" w:rsidP="002B2CFC">
      <w:pPr>
        <w:rPr>
          <w:szCs w:val="24"/>
          <w:lang w:eastAsia="en-US"/>
        </w:rPr>
      </w:pPr>
      <w:r w:rsidRPr="002B2CFC" w:rsidDel="00072FD7">
        <w:rPr>
          <w:szCs w:val="24"/>
          <w:lang w:eastAsia="en-US"/>
        </w:rPr>
        <w:t xml:space="preserve">Bagetta G, Corasaniti MT, Iannone M, Nistico G &amp; Stephenson JD (1992) Production of limbic motor seizures and brain damage by systemic and intracerebral injections of paraquat in rats. </w:t>
      </w:r>
      <w:r w:rsidRPr="00F502CD" w:rsidDel="00072FD7">
        <w:rPr>
          <w:i/>
          <w:szCs w:val="24"/>
          <w:lang w:eastAsia="en-US"/>
        </w:rPr>
        <w:t>Pharmacol. Toxicol.</w:t>
      </w:r>
      <w:r w:rsidRPr="002B2CFC" w:rsidDel="00072FD7">
        <w:rPr>
          <w:szCs w:val="24"/>
          <w:lang w:eastAsia="en-US"/>
        </w:rPr>
        <w:t xml:space="preserve"> </w:t>
      </w:r>
      <w:r w:rsidRPr="00F502CD" w:rsidDel="00072FD7">
        <w:rPr>
          <w:b/>
          <w:szCs w:val="24"/>
          <w:lang w:eastAsia="en-US"/>
        </w:rPr>
        <w:t>71</w:t>
      </w:r>
      <w:r w:rsidRPr="002B2CFC" w:rsidDel="00072FD7">
        <w:rPr>
          <w:szCs w:val="24"/>
          <w:lang w:eastAsia="en-US"/>
        </w:rPr>
        <w:t>: 443-448.</w:t>
      </w:r>
    </w:p>
    <w:p w14:paraId="493B7F7D" w14:textId="77777777" w:rsidR="002B2CFC" w:rsidRPr="002B2CFC" w:rsidDel="00072FD7" w:rsidRDefault="002B2CFC" w:rsidP="002B2CFC">
      <w:pPr>
        <w:rPr>
          <w:szCs w:val="24"/>
          <w:lang w:eastAsia="en-US"/>
        </w:rPr>
      </w:pPr>
    </w:p>
    <w:p w14:paraId="0A96C60A" w14:textId="77777777" w:rsidR="002B2CFC" w:rsidRPr="005F7ACC" w:rsidDel="00072FD7" w:rsidRDefault="002B2CFC" w:rsidP="002B2CFC">
      <w:pPr>
        <w:rPr>
          <w:color w:val="000000"/>
          <w:szCs w:val="24"/>
          <w:lang w:val="en-US" w:eastAsia="en-US"/>
        </w:rPr>
      </w:pPr>
      <w:r w:rsidRPr="005F7ACC" w:rsidDel="00072FD7">
        <w:rPr>
          <w:color w:val="000000"/>
          <w:szCs w:val="24"/>
          <w:lang w:val="en-US" w:eastAsia="en-US"/>
        </w:rPr>
        <w:t xml:space="preserve">Barbeau A, Roy M, Bernier G, Campanella G &amp; Paris S (1987) Ecogenetics of Parkinson’s disease: Prevalence and environmental aspects in rural areas. </w:t>
      </w:r>
      <w:r w:rsidRPr="00F502CD" w:rsidDel="00072FD7">
        <w:rPr>
          <w:i/>
          <w:color w:val="000000"/>
          <w:szCs w:val="24"/>
          <w:lang w:val="en-US" w:eastAsia="en-US"/>
        </w:rPr>
        <w:t>Can. J. Neurol. Sci</w:t>
      </w:r>
      <w:r w:rsidRPr="005F7ACC" w:rsidDel="00072FD7">
        <w:rPr>
          <w:color w:val="000000"/>
          <w:szCs w:val="24"/>
          <w:lang w:val="en-US" w:eastAsia="en-US"/>
        </w:rPr>
        <w:t xml:space="preserve">. </w:t>
      </w:r>
      <w:r w:rsidRPr="00F502CD" w:rsidDel="00072FD7">
        <w:rPr>
          <w:b/>
          <w:color w:val="000000"/>
          <w:szCs w:val="24"/>
          <w:lang w:val="en-US" w:eastAsia="en-US"/>
        </w:rPr>
        <w:t>14</w:t>
      </w:r>
      <w:r w:rsidRPr="005F7ACC" w:rsidDel="00072FD7">
        <w:rPr>
          <w:color w:val="000000"/>
          <w:szCs w:val="24"/>
          <w:lang w:val="en-US" w:eastAsia="en-US"/>
        </w:rPr>
        <w:t>: 36-41.</w:t>
      </w:r>
    </w:p>
    <w:p w14:paraId="55382920" w14:textId="77777777" w:rsidR="002B2CFC" w:rsidRPr="005F7ACC" w:rsidDel="00072FD7" w:rsidRDefault="002B2CFC" w:rsidP="002B2CFC">
      <w:pPr>
        <w:rPr>
          <w:szCs w:val="24"/>
          <w:lang w:eastAsia="en-US"/>
        </w:rPr>
      </w:pPr>
    </w:p>
    <w:p w14:paraId="668E9301" w14:textId="77777777" w:rsidR="002B2CFC" w:rsidRPr="005F7ACC" w:rsidDel="00072FD7" w:rsidRDefault="002B2CFC" w:rsidP="002B2CFC">
      <w:pPr>
        <w:tabs>
          <w:tab w:val="num" w:pos="1440"/>
        </w:tabs>
        <w:rPr>
          <w:szCs w:val="24"/>
          <w:lang w:eastAsia="en-US"/>
        </w:rPr>
      </w:pPr>
      <w:r w:rsidRPr="005F7ACC" w:rsidDel="00072FD7">
        <w:rPr>
          <w:szCs w:val="24"/>
          <w:lang w:eastAsia="en-US"/>
        </w:rPr>
        <w:t xml:space="preserve">Bartlett RM, Holden JE, Nickles RJ, Dhanabalan M, Barbee DL, Barnhart TE, Christian BT &amp; DeJesus OT (2009) Paraquat is excluded by the blood brain barrier in rhesus macaque: An </w:t>
      </w:r>
      <w:r w:rsidRPr="005F7ACC" w:rsidDel="00072FD7">
        <w:rPr>
          <w:i/>
          <w:szCs w:val="24"/>
          <w:lang w:eastAsia="en-US"/>
        </w:rPr>
        <w:t>in vivo</w:t>
      </w:r>
      <w:r w:rsidRPr="005F7ACC" w:rsidDel="00072FD7">
        <w:rPr>
          <w:szCs w:val="24"/>
          <w:lang w:eastAsia="en-US"/>
        </w:rPr>
        <w:t xml:space="preserve"> pet study. </w:t>
      </w:r>
      <w:r w:rsidRPr="00F502CD" w:rsidDel="00072FD7">
        <w:rPr>
          <w:i/>
          <w:szCs w:val="24"/>
          <w:lang w:eastAsia="en-US"/>
        </w:rPr>
        <w:t>Brain Res.</w:t>
      </w:r>
      <w:r w:rsidRPr="005F7ACC" w:rsidDel="00072FD7">
        <w:rPr>
          <w:szCs w:val="24"/>
          <w:lang w:eastAsia="en-US"/>
        </w:rPr>
        <w:t xml:space="preserve"> </w:t>
      </w:r>
      <w:r w:rsidRPr="00F502CD" w:rsidDel="00072FD7">
        <w:rPr>
          <w:b/>
          <w:szCs w:val="24"/>
          <w:lang w:eastAsia="en-US"/>
        </w:rPr>
        <w:t>1259</w:t>
      </w:r>
      <w:r w:rsidRPr="005F7ACC" w:rsidDel="00072FD7">
        <w:rPr>
          <w:szCs w:val="24"/>
          <w:lang w:eastAsia="en-US"/>
        </w:rPr>
        <w:t>:74-79.</w:t>
      </w:r>
    </w:p>
    <w:p w14:paraId="06AA7A2A" w14:textId="77777777" w:rsidR="002B2CFC" w:rsidRPr="00DE382C" w:rsidDel="00072FD7" w:rsidRDefault="002B2CFC" w:rsidP="002B2CFC">
      <w:pPr>
        <w:tabs>
          <w:tab w:val="num" w:pos="1440"/>
        </w:tabs>
        <w:rPr>
          <w:szCs w:val="24"/>
          <w:highlight w:val="cyan"/>
          <w:lang w:eastAsia="en-US"/>
        </w:rPr>
      </w:pPr>
    </w:p>
    <w:p w14:paraId="551D46D8" w14:textId="77777777" w:rsidR="002B2CFC" w:rsidRPr="00136301" w:rsidDel="00072FD7" w:rsidRDefault="002B2CFC" w:rsidP="002B2CFC">
      <w:pPr>
        <w:keepNext/>
        <w:keepLines/>
        <w:spacing w:before="120" w:after="120"/>
        <w:rPr>
          <w:szCs w:val="24"/>
          <w:lang w:val="en-US"/>
        </w:rPr>
      </w:pPr>
      <w:r w:rsidRPr="005F7ACC" w:rsidDel="00072FD7">
        <w:rPr>
          <w:szCs w:val="24"/>
          <w:lang w:val="en-US"/>
        </w:rPr>
        <w:t>Beck MJ (2012a) A multi-time and multi-dose pathology study using paraquat dichloride in mice. Study No./Report No. WIL-639093. Task No.: TK0053121. Unpublished, Report date: January 10, 2012</w:t>
      </w:r>
      <w:r w:rsidR="00644D11">
        <w:rPr>
          <w:szCs w:val="24"/>
          <w:lang w:val="en-US"/>
        </w:rPr>
        <w:t>.</w:t>
      </w:r>
    </w:p>
    <w:p w14:paraId="5F339F0A" w14:textId="77777777" w:rsidR="002B2CFC" w:rsidRPr="005F7ACC" w:rsidDel="00072FD7" w:rsidRDefault="002B2CFC" w:rsidP="002B2CFC">
      <w:pPr>
        <w:spacing w:before="120" w:after="120"/>
        <w:ind w:left="720"/>
        <w:rPr>
          <w:i/>
          <w:szCs w:val="24"/>
          <w:lang w:val="en-US"/>
        </w:rPr>
      </w:pPr>
      <w:r w:rsidRPr="005F7ACC" w:rsidDel="00072FD7">
        <w:rPr>
          <w:szCs w:val="24"/>
          <w:lang w:val="en-US"/>
        </w:rPr>
        <w:t xml:space="preserve">Butt MT (2011) Pathology report from: </w:t>
      </w:r>
      <w:r w:rsidRPr="005F7ACC" w:rsidDel="00072FD7">
        <w:rPr>
          <w:i/>
          <w:szCs w:val="24"/>
          <w:lang w:val="en-US"/>
        </w:rPr>
        <w:t>a multi-time and multi-dose pathology study using paraquat dichloride in mice.</w:t>
      </w:r>
      <w:r w:rsidRPr="005F7ACC" w:rsidDel="00072FD7">
        <w:rPr>
          <w:szCs w:val="24"/>
          <w:lang w:val="en-US"/>
        </w:rPr>
        <w:t xml:space="preserve"> Study No./Report No. WIL-639093. Task No.: TK0053121. Unpublished, December 8, 2011</w:t>
      </w:r>
    </w:p>
    <w:p w14:paraId="5A6922EA" w14:textId="77777777" w:rsidR="002B2CFC" w:rsidRPr="005F7ACC" w:rsidDel="00072FD7" w:rsidRDefault="002B2CFC" w:rsidP="002B2CFC">
      <w:pPr>
        <w:spacing w:before="120" w:after="120"/>
        <w:ind w:firstLine="720"/>
        <w:rPr>
          <w:szCs w:val="24"/>
          <w:u w:val="single"/>
          <w:lang w:val="en-US"/>
        </w:rPr>
      </w:pPr>
      <w:r w:rsidRPr="005F7ACC" w:rsidDel="00072FD7">
        <w:rPr>
          <w:szCs w:val="24"/>
          <w:u w:val="single"/>
          <w:lang w:val="en-US"/>
        </w:rPr>
        <w:t>Analysis of dosing formulations:</w:t>
      </w:r>
    </w:p>
    <w:p w14:paraId="0E6D5483" w14:textId="77777777" w:rsidR="002B2CFC" w:rsidRPr="005F7ACC" w:rsidDel="00072FD7" w:rsidRDefault="002B2CFC" w:rsidP="002B2CFC">
      <w:pPr>
        <w:spacing w:before="120" w:after="120"/>
        <w:ind w:left="720"/>
        <w:rPr>
          <w:szCs w:val="24"/>
          <w:lang w:val="en-US"/>
        </w:rPr>
      </w:pPr>
      <w:r w:rsidRPr="005F7ACC" w:rsidDel="00072FD7">
        <w:rPr>
          <w:szCs w:val="24"/>
          <w:lang w:val="en-US"/>
        </w:rPr>
        <w:t xml:space="preserve">Beck MJ (2012b) </w:t>
      </w:r>
      <w:r w:rsidRPr="005F7ACC" w:rsidDel="00072FD7">
        <w:rPr>
          <w:i/>
          <w:szCs w:val="24"/>
          <w:lang w:val="en-US"/>
        </w:rPr>
        <w:t>A multi-time and multi-dose pathology study using paraquat dichloride in mice.</w:t>
      </w:r>
      <w:r w:rsidRPr="005F7ACC" w:rsidDel="00072FD7">
        <w:rPr>
          <w:szCs w:val="24"/>
          <w:lang w:val="en-US"/>
        </w:rPr>
        <w:t xml:space="preserve"> Analyses of dosing formulations. Supplemental report. Study No./Report No. WIL-639093. Task No.: TK0053121. Unpublished, Report date: January 10, 2012</w:t>
      </w:r>
    </w:p>
    <w:p w14:paraId="134FCF7A" w14:textId="77777777" w:rsidR="002B2CFC" w:rsidRPr="005F7ACC" w:rsidDel="00072FD7" w:rsidRDefault="002B2CFC" w:rsidP="002B2CFC">
      <w:pPr>
        <w:tabs>
          <w:tab w:val="num" w:pos="1440"/>
        </w:tabs>
        <w:rPr>
          <w:szCs w:val="24"/>
          <w:lang w:eastAsia="en-US"/>
        </w:rPr>
      </w:pPr>
    </w:p>
    <w:p w14:paraId="77D74366" w14:textId="77777777" w:rsidR="002B2CFC" w:rsidRPr="005F7ACC" w:rsidDel="00072FD7" w:rsidRDefault="002B2CFC" w:rsidP="002B2CFC">
      <w:pPr>
        <w:keepNext/>
        <w:keepLines/>
        <w:rPr>
          <w:szCs w:val="24"/>
          <w:lang w:val="en-US" w:eastAsia="en-US"/>
        </w:rPr>
      </w:pPr>
      <w:r w:rsidRPr="005F7ACC" w:rsidDel="00072FD7">
        <w:rPr>
          <w:szCs w:val="24"/>
          <w:lang w:val="en-US" w:eastAsia="en-US"/>
        </w:rPr>
        <w:t>Beck MJ (2012c) A dose range-finding and method comparison stereology study using paraquat dichloride and MPTP in mice. Study No./Report No.: WIL-639092. EPL No.: 140-120. RTI No.: 0212823.004. Task No.: TK0053122. Unpublished, Report date: June 29, 2012</w:t>
      </w:r>
    </w:p>
    <w:p w14:paraId="18419638" w14:textId="77777777" w:rsidR="002B2CFC" w:rsidRPr="005F7ACC" w:rsidDel="00072FD7" w:rsidRDefault="002B2CFC" w:rsidP="002B2CFC">
      <w:pPr>
        <w:rPr>
          <w:szCs w:val="24"/>
          <w:lang w:val="en-US" w:eastAsia="en-US"/>
        </w:rPr>
      </w:pPr>
      <w:r w:rsidRPr="005F7ACC" w:rsidDel="00072FD7">
        <w:rPr>
          <w:szCs w:val="24"/>
          <w:lang w:val="en-US" w:eastAsia="en-US"/>
        </w:rPr>
        <w:t>Other references included in Beck (2012c):</w:t>
      </w:r>
    </w:p>
    <w:p w14:paraId="272CA70E" w14:textId="77777777" w:rsidR="002B2CFC" w:rsidRPr="005F7ACC" w:rsidDel="00072FD7" w:rsidRDefault="002B2CFC" w:rsidP="002B2CFC">
      <w:pPr>
        <w:ind w:firstLine="720"/>
        <w:rPr>
          <w:szCs w:val="24"/>
          <w:u w:val="single"/>
          <w:lang w:val="en-US" w:eastAsia="en-US"/>
        </w:rPr>
      </w:pPr>
      <w:r w:rsidRPr="005F7ACC" w:rsidDel="00072FD7">
        <w:rPr>
          <w:szCs w:val="24"/>
          <w:u w:val="single"/>
          <w:lang w:val="en-US" w:eastAsia="en-US"/>
        </w:rPr>
        <w:t>Analysis of dosing formulations:</w:t>
      </w:r>
    </w:p>
    <w:p w14:paraId="77118D37" w14:textId="77777777" w:rsidR="002B2CFC" w:rsidRPr="005F7ACC" w:rsidDel="00072FD7" w:rsidRDefault="002B2CFC" w:rsidP="002B2CFC">
      <w:pPr>
        <w:ind w:left="720"/>
        <w:rPr>
          <w:szCs w:val="24"/>
          <w:lang w:val="en-US" w:eastAsia="en-US"/>
        </w:rPr>
      </w:pPr>
      <w:r w:rsidRPr="005F7ACC" w:rsidDel="00072FD7">
        <w:rPr>
          <w:szCs w:val="24"/>
          <w:lang w:val="en-US" w:eastAsia="en-US"/>
        </w:rPr>
        <w:t xml:space="preserve">Beck MJ (2012d) </w:t>
      </w:r>
      <w:r w:rsidRPr="005F7ACC" w:rsidDel="00072FD7">
        <w:rPr>
          <w:i/>
          <w:szCs w:val="24"/>
          <w:lang w:val="en-US" w:eastAsia="en-US"/>
        </w:rPr>
        <w:t>A dose range-finding and method comparison stereology study using paraquat and MPTP in mice</w:t>
      </w:r>
      <w:r w:rsidRPr="005F7ACC" w:rsidDel="00072FD7">
        <w:rPr>
          <w:szCs w:val="24"/>
          <w:lang w:val="en-US" w:eastAsia="en-US"/>
        </w:rPr>
        <w:t xml:space="preserve"> (WIL Study No. 639092)): Analyses of dosing formulations. Supplemental report. Unpublished, Report date: May 17, 2012</w:t>
      </w:r>
    </w:p>
    <w:p w14:paraId="77635B9B" w14:textId="77777777" w:rsidR="002B2CFC" w:rsidRPr="005F7ACC" w:rsidDel="00072FD7" w:rsidRDefault="002B2CFC" w:rsidP="002B2CFC">
      <w:pPr>
        <w:rPr>
          <w:szCs w:val="24"/>
          <w:lang w:val="en-US" w:eastAsia="en-US"/>
        </w:rPr>
      </w:pPr>
    </w:p>
    <w:p w14:paraId="39BE476A" w14:textId="77777777" w:rsidR="002B2CFC" w:rsidRPr="005F7ACC" w:rsidDel="00072FD7" w:rsidRDefault="002B2CFC" w:rsidP="002B2CFC">
      <w:pPr>
        <w:ind w:firstLine="720"/>
        <w:rPr>
          <w:szCs w:val="24"/>
          <w:u w:val="single"/>
          <w:lang w:val="en-US" w:eastAsia="en-US"/>
        </w:rPr>
      </w:pPr>
      <w:r w:rsidRPr="005F7ACC" w:rsidDel="00072FD7">
        <w:rPr>
          <w:szCs w:val="24"/>
          <w:u w:val="single"/>
          <w:lang w:val="en-US" w:eastAsia="en-US"/>
        </w:rPr>
        <w:t>Neurochemistry:</w:t>
      </w:r>
    </w:p>
    <w:p w14:paraId="53C67BF5" w14:textId="77777777" w:rsidR="002B2CFC" w:rsidRPr="005F7ACC" w:rsidDel="00072FD7" w:rsidRDefault="002B2CFC" w:rsidP="002B2CFC">
      <w:pPr>
        <w:ind w:left="720"/>
        <w:rPr>
          <w:szCs w:val="24"/>
          <w:lang w:val="en-US" w:eastAsia="en-US"/>
        </w:rPr>
      </w:pPr>
      <w:r w:rsidRPr="005F7ACC" w:rsidDel="00072FD7">
        <w:rPr>
          <w:szCs w:val="24"/>
          <w:lang w:val="en-US" w:eastAsia="en-US"/>
        </w:rPr>
        <w:t xml:space="preserve">Matthews JM (2011) Determination of dopamine, dopamine metabolites, and serotonin in mouse striatal brain tissues (performed in support of: </w:t>
      </w:r>
      <w:r w:rsidRPr="005F7ACC" w:rsidDel="00072FD7">
        <w:rPr>
          <w:i/>
          <w:szCs w:val="24"/>
          <w:lang w:val="en-US" w:eastAsia="en-US"/>
        </w:rPr>
        <w:t>A dose range-finding and method comparison stereology study using paraquat and MPTP in mice</w:t>
      </w:r>
      <w:r w:rsidRPr="005F7ACC" w:rsidDel="00072FD7">
        <w:rPr>
          <w:szCs w:val="24"/>
          <w:lang w:val="en-US" w:eastAsia="en-US"/>
        </w:rPr>
        <w:t xml:space="preserve"> (WIL Study No. 639092)). RTI Report No.: 0121823.004. Unpublished, Report date: April 8, 2011</w:t>
      </w:r>
    </w:p>
    <w:p w14:paraId="008E46AA" w14:textId="77777777" w:rsidR="002B2CFC" w:rsidRPr="005F7ACC" w:rsidDel="00072FD7" w:rsidRDefault="002B2CFC" w:rsidP="002B2CFC">
      <w:pPr>
        <w:ind w:left="720"/>
        <w:rPr>
          <w:szCs w:val="24"/>
          <w:lang w:val="en-US" w:eastAsia="en-US"/>
        </w:rPr>
      </w:pPr>
    </w:p>
    <w:p w14:paraId="6D39A75F" w14:textId="77777777" w:rsidR="002B2CFC" w:rsidRPr="005F7ACC" w:rsidDel="00072FD7" w:rsidRDefault="002B2CFC" w:rsidP="002B2CFC">
      <w:pPr>
        <w:ind w:firstLine="720"/>
        <w:rPr>
          <w:szCs w:val="24"/>
          <w:u w:val="single"/>
          <w:lang w:val="en-US" w:eastAsia="en-US"/>
        </w:rPr>
      </w:pPr>
      <w:r w:rsidRPr="005F7ACC" w:rsidDel="00072FD7">
        <w:rPr>
          <w:szCs w:val="24"/>
          <w:u w:val="single"/>
          <w:lang w:val="en-US" w:eastAsia="en-US"/>
        </w:rPr>
        <w:lastRenderedPageBreak/>
        <w:t>Stereology:</w:t>
      </w:r>
    </w:p>
    <w:p w14:paraId="57D6C985" w14:textId="77777777" w:rsidR="002B2CFC" w:rsidRPr="005F7ACC" w:rsidDel="00072FD7" w:rsidRDefault="002B2CFC" w:rsidP="002B2CFC">
      <w:pPr>
        <w:ind w:left="720"/>
        <w:rPr>
          <w:szCs w:val="24"/>
          <w:lang w:val="en-US" w:eastAsia="en-US"/>
        </w:rPr>
      </w:pPr>
      <w:r w:rsidRPr="005F7ACC" w:rsidDel="00072FD7">
        <w:rPr>
          <w:szCs w:val="24"/>
          <w:lang w:val="en-US" w:eastAsia="en-US"/>
        </w:rPr>
        <w:t>Wolf JC (2012) Pathology report:</w:t>
      </w:r>
      <w:r w:rsidRPr="005F7ACC" w:rsidDel="00072FD7">
        <w:rPr>
          <w:i/>
          <w:szCs w:val="24"/>
          <w:lang w:val="en-US" w:eastAsia="en-US"/>
        </w:rPr>
        <w:t xml:space="preserve"> A dose range-finding and method comparison stereology study using paraquat and MPTP in mice</w:t>
      </w:r>
      <w:r w:rsidRPr="005F7ACC" w:rsidDel="00072FD7">
        <w:rPr>
          <w:szCs w:val="24"/>
          <w:lang w:val="en-US" w:eastAsia="en-US"/>
        </w:rPr>
        <w:t xml:space="preserve"> (WIL Study No. 639092)). EPL Project No.: 140-120. Unpublished, Report date: May 17, 2012</w:t>
      </w:r>
    </w:p>
    <w:p w14:paraId="65FDC8CF" w14:textId="77777777" w:rsidR="002B2CFC" w:rsidRPr="005F7ACC" w:rsidDel="00072FD7" w:rsidRDefault="002B2CFC" w:rsidP="002B2CFC">
      <w:pPr>
        <w:ind w:left="720"/>
        <w:rPr>
          <w:szCs w:val="24"/>
          <w:lang w:val="en-US" w:eastAsia="en-US"/>
        </w:rPr>
      </w:pPr>
    </w:p>
    <w:p w14:paraId="540D90B4" w14:textId="77777777" w:rsidR="002B2CFC" w:rsidRPr="005F7ACC" w:rsidDel="00072FD7" w:rsidRDefault="002B2CFC" w:rsidP="002B2CFC">
      <w:pPr>
        <w:ind w:left="720"/>
        <w:rPr>
          <w:szCs w:val="24"/>
          <w:lang w:val="en-US" w:eastAsia="en-US"/>
        </w:rPr>
      </w:pPr>
      <w:r w:rsidRPr="005F7ACC" w:rsidDel="00072FD7">
        <w:rPr>
          <w:szCs w:val="24"/>
          <w:lang w:val="en-US" w:eastAsia="en-US"/>
        </w:rPr>
        <w:t xml:space="preserve">Sielken RJ (2012) Statistics report on </w:t>
      </w:r>
      <w:r w:rsidRPr="005F7ACC" w:rsidDel="00072FD7">
        <w:rPr>
          <w:i/>
          <w:szCs w:val="24"/>
          <w:lang w:val="en-US" w:eastAsia="en-US"/>
        </w:rPr>
        <w:t>a dose range-finding and method comparison stereology study using paraquat and MPTP in mice</w:t>
      </w:r>
      <w:r w:rsidRPr="005F7ACC" w:rsidDel="00072FD7">
        <w:rPr>
          <w:szCs w:val="24"/>
          <w:lang w:val="en-US" w:eastAsia="en-US"/>
        </w:rPr>
        <w:t>. WIL Study No.: WIL-639092. Unpublished, Report date: May 15, 2012</w:t>
      </w:r>
    </w:p>
    <w:p w14:paraId="27752BA0" w14:textId="77777777" w:rsidR="002B2CFC" w:rsidRPr="005F7ACC" w:rsidDel="00072FD7" w:rsidRDefault="002B2CFC" w:rsidP="002B2CFC">
      <w:pPr>
        <w:ind w:left="720"/>
        <w:rPr>
          <w:szCs w:val="24"/>
          <w:lang w:val="en-US" w:eastAsia="en-US"/>
        </w:rPr>
      </w:pPr>
      <w:r w:rsidRPr="005F7ACC" w:rsidDel="00072FD7">
        <w:rPr>
          <w:szCs w:val="24"/>
          <w:lang w:val="en-US" w:eastAsia="en-US"/>
        </w:rPr>
        <w:t xml:space="preserve">(Statistical analysis of the stereology </w:t>
      </w:r>
      <w:r w:rsidRPr="005F7ACC" w:rsidDel="00072FD7">
        <w:rPr>
          <w:i/>
          <w:szCs w:val="24"/>
          <w:lang w:val="en-US" w:eastAsia="en-US"/>
        </w:rPr>
        <w:t>in situ</w:t>
      </w:r>
      <w:r w:rsidRPr="005F7ACC" w:rsidDel="00072FD7">
        <w:rPr>
          <w:szCs w:val="24"/>
          <w:lang w:val="en-US" w:eastAsia="en-US"/>
        </w:rPr>
        <w:t xml:space="preserve"> perfusion fixation data only)</w:t>
      </w:r>
    </w:p>
    <w:p w14:paraId="5517519F" w14:textId="77777777" w:rsidR="002B2CFC" w:rsidRPr="005F7ACC" w:rsidDel="00072FD7" w:rsidRDefault="002B2CFC" w:rsidP="002B2CFC">
      <w:pPr>
        <w:tabs>
          <w:tab w:val="num" w:pos="1440"/>
        </w:tabs>
        <w:rPr>
          <w:szCs w:val="24"/>
          <w:lang w:eastAsia="en-US"/>
        </w:rPr>
      </w:pPr>
    </w:p>
    <w:p w14:paraId="7AA318F3" w14:textId="77777777" w:rsidR="002B2CFC" w:rsidRPr="005F7ACC" w:rsidDel="00072FD7" w:rsidRDefault="002B2CFC" w:rsidP="002B2CFC">
      <w:pPr>
        <w:keepNext/>
        <w:keepLines/>
        <w:rPr>
          <w:szCs w:val="24"/>
          <w:lang w:val="en-US" w:eastAsia="en-US"/>
        </w:rPr>
      </w:pPr>
      <w:r w:rsidRPr="005F7ACC" w:rsidDel="00072FD7">
        <w:rPr>
          <w:szCs w:val="24"/>
          <w:lang w:val="en-US" w:eastAsia="en-US"/>
        </w:rPr>
        <w:t>Beck MJ (2013) Subchronic (91-day) dietary study to assess the effects of paraquat dichloride on dopaminergic neurons in C57BL/6J mice. Study No./Report No.: WIL-639158. Task No.: TK0000969. Unpublished, Report date: January 24, 2013.</w:t>
      </w:r>
    </w:p>
    <w:p w14:paraId="5E011A76" w14:textId="77777777" w:rsidR="002B2CFC" w:rsidRPr="005F7ACC" w:rsidDel="00072FD7" w:rsidRDefault="002B2CFC" w:rsidP="002B2CFC">
      <w:pPr>
        <w:tabs>
          <w:tab w:val="num" w:pos="1440"/>
        </w:tabs>
        <w:rPr>
          <w:szCs w:val="24"/>
          <w:lang w:eastAsia="en-US"/>
        </w:rPr>
      </w:pPr>
    </w:p>
    <w:p w14:paraId="6B610831" w14:textId="77777777" w:rsidR="002B2CFC" w:rsidRPr="005F7ACC" w:rsidDel="00072FD7" w:rsidRDefault="002B2CFC" w:rsidP="002B2CFC">
      <w:pPr>
        <w:tabs>
          <w:tab w:val="num" w:pos="1440"/>
        </w:tabs>
        <w:rPr>
          <w:szCs w:val="24"/>
          <w:lang w:eastAsia="en-US"/>
        </w:rPr>
      </w:pPr>
      <w:r w:rsidRPr="005F7ACC" w:rsidDel="00072FD7">
        <w:rPr>
          <w:szCs w:val="24"/>
          <w:lang w:eastAsia="en-US"/>
        </w:rPr>
        <w:t>(Other references included in Beck (2013):</w:t>
      </w:r>
    </w:p>
    <w:p w14:paraId="04842C27" w14:textId="77777777" w:rsidR="002B2CFC" w:rsidRPr="005F7ACC" w:rsidDel="00072FD7" w:rsidRDefault="002B2CFC" w:rsidP="002B2CFC">
      <w:pPr>
        <w:keepNext/>
        <w:keepLines/>
        <w:ind w:left="720"/>
        <w:rPr>
          <w:szCs w:val="24"/>
          <w:lang w:val="en-US" w:eastAsia="en-US"/>
        </w:rPr>
      </w:pPr>
    </w:p>
    <w:p w14:paraId="5D9E7A74" w14:textId="77777777" w:rsidR="002B2CFC" w:rsidRPr="005F7ACC" w:rsidDel="00072FD7" w:rsidRDefault="002B2CFC" w:rsidP="002B2CFC">
      <w:pPr>
        <w:ind w:firstLine="720"/>
        <w:rPr>
          <w:szCs w:val="24"/>
          <w:u w:val="single"/>
          <w:lang w:val="en-US" w:eastAsia="en-US"/>
        </w:rPr>
      </w:pPr>
      <w:r w:rsidRPr="005F7ACC" w:rsidDel="00072FD7">
        <w:rPr>
          <w:szCs w:val="24"/>
          <w:u w:val="single"/>
          <w:lang w:val="en-US" w:eastAsia="en-US"/>
        </w:rPr>
        <w:t>Analysis of dosing formulations:</w:t>
      </w:r>
    </w:p>
    <w:p w14:paraId="23CCAD60" w14:textId="77777777" w:rsidR="002B2CFC" w:rsidRPr="005F7ACC" w:rsidDel="00072FD7" w:rsidRDefault="002B2CFC" w:rsidP="002B2CFC">
      <w:pPr>
        <w:keepNext/>
        <w:keepLines/>
        <w:ind w:left="720"/>
        <w:rPr>
          <w:szCs w:val="24"/>
          <w:lang w:val="en-US" w:eastAsia="en-US"/>
        </w:rPr>
      </w:pPr>
      <w:r w:rsidRPr="005F7ACC" w:rsidDel="00072FD7">
        <w:rPr>
          <w:szCs w:val="24"/>
          <w:lang w:val="en-US" w:eastAsia="en-US"/>
        </w:rPr>
        <w:t xml:space="preserve">Beck MJ (2012e) Analytical chemistry report: </w:t>
      </w:r>
      <w:r w:rsidRPr="005F7ACC" w:rsidDel="00072FD7">
        <w:rPr>
          <w:i/>
          <w:szCs w:val="24"/>
          <w:lang w:val="en-US" w:eastAsia="en-US"/>
        </w:rPr>
        <w:t>Subchronic (91-day) dietary study to assess the effects of paraquat dichloride on dopaminergic neurons in C57BL/6J mice</w:t>
      </w:r>
      <w:r w:rsidRPr="005F7ACC" w:rsidDel="00072FD7">
        <w:rPr>
          <w:szCs w:val="24"/>
          <w:lang w:val="en-US" w:eastAsia="en-US"/>
        </w:rPr>
        <w:t>-supplemental report. Study No./Report No.: WIL-639158. Task No.: TK0000969. Unpublished, Report date: April 16, 2012.</w:t>
      </w:r>
    </w:p>
    <w:p w14:paraId="7E2411AA" w14:textId="77777777" w:rsidR="002B2CFC" w:rsidRPr="005F7ACC" w:rsidDel="00072FD7" w:rsidRDefault="002B2CFC" w:rsidP="002B2CFC">
      <w:pPr>
        <w:rPr>
          <w:szCs w:val="24"/>
          <w:lang w:val="en-US" w:eastAsia="en-US"/>
        </w:rPr>
      </w:pPr>
    </w:p>
    <w:p w14:paraId="48C6A623" w14:textId="77777777" w:rsidR="002B2CFC" w:rsidRPr="005F7ACC" w:rsidDel="00072FD7" w:rsidRDefault="002B2CFC" w:rsidP="002B2CFC">
      <w:pPr>
        <w:ind w:firstLine="720"/>
        <w:rPr>
          <w:szCs w:val="24"/>
          <w:u w:val="single"/>
          <w:lang w:val="en-US" w:eastAsia="en-US"/>
        </w:rPr>
      </w:pPr>
      <w:r w:rsidRPr="005F7ACC" w:rsidDel="00072FD7">
        <w:rPr>
          <w:szCs w:val="24"/>
          <w:u w:val="single"/>
          <w:lang w:val="en-US" w:eastAsia="en-US"/>
        </w:rPr>
        <w:t>Stereology:</w:t>
      </w:r>
    </w:p>
    <w:p w14:paraId="07E05E77" w14:textId="77777777" w:rsidR="002B2CFC" w:rsidRPr="005F7ACC" w:rsidDel="00072FD7" w:rsidRDefault="002B2CFC" w:rsidP="002B2CFC">
      <w:pPr>
        <w:keepNext/>
        <w:keepLines/>
        <w:ind w:left="720"/>
        <w:rPr>
          <w:szCs w:val="24"/>
          <w:lang w:val="en-US" w:eastAsia="en-US"/>
        </w:rPr>
      </w:pPr>
      <w:r w:rsidRPr="005F7ACC" w:rsidDel="00072FD7">
        <w:rPr>
          <w:szCs w:val="24"/>
          <w:lang w:val="en-US" w:eastAsia="en-US"/>
        </w:rPr>
        <w:t xml:space="preserve">Wolf JC (2013) Final stereology report: </w:t>
      </w:r>
      <w:r w:rsidRPr="005F7ACC" w:rsidDel="00072FD7">
        <w:rPr>
          <w:i/>
          <w:szCs w:val="24"/>
          <w:lang w:val="en-US" w:eastAsia="en-US"/>
        </w:rPr>
        <w:t>Subchronic (91-day) dietary study to assess the effects of paraquat dichloride on dopaminergic neurons in C57BL/6J mice</w:t>
      </w:r>
      <w:r w:rsidRPr="005F7ACC" w:rsidDel="00072FD7">
        <w:rPr>
          <w:szCs w:val="24"/>
          <w:lang w:val="en-US" w:eastAsia="en-US"/>
        </w:rPr>
        <w:t>. Study No.: WIL-639158. EPL Reference No.: 140-123. Unpublished, Report date: January 17, 2013.</w:t>
      </w:r>
    </w:p>
    <w:p w14:paraId="4594B53A" w14:textId="77777777" w:rsidR="002B2CFC" w:rsidRPr="005F7ACC" w:rsidDel="00072FD7" w:rsidRDefault="002B2CFC" w:rsidP="002B2CFC">
      <w:pPr>
        <w:keepNext/>
        <w:keepLines/>
        <w:ind w:left="720"/>
        <w:rPr>
          <w:szCs w:val="24"/>
          <w:lang w:val="en-US" w:eastAsia="en-US"/>
        </w:rPr>
      </w:pPr>
      <w:r w:rsidRPr="005F7ACC" w:rsidDel="00072FD7">
        <w:rPr>
          <w:szCs w:val="24"/>
          <w:lang w:val="en-US" w:eastAsia="en-US"/>
        </w:rPr>
        <w:t>Seilken RL (2013) Statistics report on a stereology study using paraquat and MPTP in male and female mice. WIL Study  No.: WIL-639158. Syngenta Task No.: TK53122. Unpublished. Report date: January 7, 2013.</w:t>
      </w:r>
    </w:p>
    <w:p w14:paraId="74F93C2C" w14:textId="77777777" w:rsidR="002B2CFC" w:rsidRPr="005F7ACC" w:rsidDel="00072FD7" w:rsidRDefault="002B2CFC" w:rsidP="002B2CFC">
      <w:pPr>
        <w:rPr>
          <w:szCs w:val="24"/>
          <w:lang w:val="en-US" w:eastAsia="en-US"/>
        </w:rPr>
      </w:pPr>
    </w:p>
    <w:p w14:paraId="1886567A" w14:textId="77777777" w:rsidR="002B2CFC" w:rsidRPr="005F7ACC" w:rsidDel="00072FD7" w:rsidRDefault="002B2CFC" w:rsidP="002B2CFC">
      <w:pPr>
        <w:ind w:firstLine="720"/>
        <w:rPr>
          <w:szCs w:val="24"/>
          <w:u w:val="single"/>
          <w:lang w:val="en-US" w:eastAsia="en-US"/>
        </w:rPr>
      </w:pPr>
      <w:r w:rsidRPr="005F7ACC" w:rsidDel="00072FD7">
        <w:rPr>
          <w:szCs w:val="24"/>
          <w:u w:val="single"/>
          <w:lang w:val="en-US" w:eastAsia="en-US"/>
        </w:rPr>
        <w:t>Pathology:</w:t>
      </w:r>
    </w:p>
    <w:p w14:paraId="74B04EC6" w14:textId="77777777" w:rsidR="002B2CFC" w:rsidRPr="005F7ACC" w:rsidDel="00072FD7" w:rsidRDefault="002B2CFC" w:rsidP="002B2CFC">
      <w:pPr>
        <w:keepNext/>
        <w:keepLines/>
        <w:ind w:left="720"/>
        <w:rPr>
          <w:szCs w:val="24"/>
          <w:lang w:val="en-US" w:eastAsia="en-US"/>
        </w:rPr>
      </w:pPr>
      <w:r w:rsidRPr="005F7ACC" w:rsidDel="00072FD7">
        <w:rPr>
          <w:szCs w:val="24"/>
          <w:lang w:val="en-US" w:eastAsia="en-US"/>
        </w:rPr>
        <w:t xml:space="preserve">Butt MT (2012) Final pathology report: </w:t>
      </w:r>
      <w:r w:rsidRPr="005F7ACC" w:rsidDel="00072FD7">
        <w:rPr>
          <w:i/>
          <w:szCs w:val="24"/>
          <w:lang w:val="en-US" w:eastAsia="en-US"/>
        </w:rPr>
        <w:t>Subchronic (91-day) dietary study to assess the effects of paraquat dichloride on dopaminergic neurons in C57BL/6J mice</w:t>
      </w:r>
      <w:r w:rsidRPr="005F7ACC" w:rsidDel="00072FD7">
        <w:rPr>
          <w:szCs w:val="24"/>
          <w:lang w:val="en-US" w:eastAsia="en-US"/>
        </w:rPr>
        <w:t>. Testing Facility Study Reference No.: WIL-639158. Sponsor Study Reference No.: TK0000969. Unpublished, Report date: November 27, 2012.</w:t>
      </w:r>
    </w:p>
    <w:p w14:paraId="2ACAF492" w14:textId="77777777" w:rsidR="002B2CFC" w:rsidRPr="005F7ACC" w:rsidDel="00072FD7" w:rsidRDefault="002B2CFC" w:rsidP="002B2CFC">
      <w:pPr>
        <w:rPr>
          <w:rFonts w:eastAsia="Calibri"/>
          <w:szCs w:val="24"/>
          <w:lang w:val="en-US" w:eastAsia="en-US"/>
        </w:rPr>
      </w:pPr>
    </w:p>
    <w:p w14:paraId="47155B95" w14:textId="77777777" w:rsidR="002B2CFC" w:rsidRPr="005F7ACC" w:rsidDel="00072FD7" w:rsidRDefault="002B2CFC" w:rsidP="002B2CFC">
      <w:pPr>
        <w:ind w:firstLine="720"/>
        <w:rPr>
          <w:szCs w:val="24"/>
          <w:lang w:val="en-US" w:eastAsia="en-US"/>
        </w:rPr>
      </w:pPr>
      <w:r w:rsidRPr="005F7ACC" w:rsidDel="00072FD7">
        <w:rPr>
          <w:rFonts w:eastAsia="Calibri"/>
          <w:szCs w:val="24"/>
          <w:u w:val="single"/>
          <w:lang w:val="en-US" w:eastAsia="en-US"/>
        </w:rPr>
        <w:t>Neurochemistry:</w:t>
      </w:r>
    </w:p>
    <w:p w14:paraId="1967351A" w14:textId="77777777" w:rsidR="002B2CFC" w:rsidRPr="005F7ACC" w:rsidDel="00072FD7" w:rsidRDefault="002B2CFC" w:rsidP="002B2CFC">
      <w:pPr>
        <w:ind w:left="720"/>
        <w:rPr>
          <w:szCs w:val="24"/>
          <w:lang w:val="en-US" w:eastAsia="en-US"/>
        </w:rPr>
      </w:pPr>
      <w:r w:rsidRPr="005F7ACC" w:rsidDel="00072FD7">
        <w:rPr>
          <w:szCs w:val="24"/>
          <w:lang w:val="en-US" w:eastAsia="en-US"/>
        </w:rPr>
        <w:t xml:space="preserve">Matthews JM (2012) Determination of dopamine, dopamine metabolites, and serotonin in mouse striatal brain tissues. Performed in support of </w:t>
      </w:r>
      <w:r w:rsidRPr="005F7ACC" w:rsidDel="00072FD7">
        <w:rPr>
          <w:i/>
          <w:szCs w:val="24"/>
          <w:lang w:val="en-US" w:eastAsia="en-US"/>
        </w:rPr>
        <w:t xml:space="preserve">Subchronic (91-day) dietary study to assess the effects of paraquat dichloride on dopaminergic neurons in C57BL/6J mice. </w:t>
      </w:r>
      <w:r w:rsidRPr="005F7ACC" w:rsidDel="00072FD7">
        <w:rPr>
          <w:szCs w:val="24"/>
          <w:lang w:val="en-US" w:eastAsia="en-US"/>
        </w:rPr>
        <w:t>Study No./Report No.: WIL-639158. Syngenta Task No.: TK0000969. RTI Report No.: 0212823.008. Unpublished, Report date: December 3, 2012.)</w:t>
      </w:r>
    </w:p>
    <w:p w14:paraId="276CF559" w14:textId="77777777" w:rsidR="002B2CFC" w:rsidRPr="00136301" w:rsidDel="00072FD7" w:rsidRDefault="002B2CFC" w:rsidP="002B2CFC">
      <w:pPr>
        <w:tabs>
          <w:tab w:val="num" w:pos="1440"/>
        </w:tabs>
        <w:rPr>
          <w:szCs w:val="24"/>
          <w:highlight w:val="cyan"/>
          <w:lang w:eastAsia="en-US"/>
        </w:rPr>
      </w:pPr>
    </w:p>
    <w:p w14:paraId="1A0D1513" w14:textId="77777777" w:rsidR="002B2CFC" w:rsidRPr="00136301" w:rsidDel="00072FD7" w:rsidRDefault="002B2CFC" w:rsidP="002B2CFC">
      <w:pPr>
        <w:rPr>
          <w:color w:val="000000"/>
          <w:szCs w:val="24"/>
          <w:highlight w:val="cyan"/>
          <w:lang w:val="en-US" w:eastAsia="en-US"/>
        </w:rPr>
      </w:pPr>
    </w:p>
    <w:p w14:paraId="02EE4728" w14:textId="77777777" w:rsidR="002B2CFC" w:rsidRPr="005F7ACC" w:rsidRDefault="002B2CFC" w:rsidP="002B2CFC">
      <w:pPr>
        <w:rPr>
          <w:color w:val="000000"/>
          <w:szCs w:val="24"/>
          <w:lang w:val="en-US" w:eastAsia="en-US"/>
        </w:rPr>
      </w:pPr>
      <w:r w:rsidRPr="005F7ACC" w:rsidDel="00072FD7">
        <w:rPr>
          <w:color w:val="000000"/>
          <w:szCs w:val="24"/>
          <w:lang w:val="en-US" w:eastAsia="en-US"/>
        </w:rPr>
        <w:t xml:space="preserve">Bismuth C, Garnier R, Baud FJ, Muszynski J &amp; Keyes C (1990) Paraquat poisoning, An overview of the current status. </w:t>
      </w:r>
      <w:r w:rsidRPr="00F502CD" w:rsidDel="00072FD7">
        <w:rPr>
          <w:i/>
          <w:color w:val="000000"/>
          <w:szCs w:val="24"/>
          <w:lang w:val="en-US" w:eastAsia="en-US"/>
        </w:rPr>
        <w:t>Drug Safety</w:t>
      </w:r>
      <w:r w:rsidRPr="005F7ACC" w:rsidDel="00072FD7">
        <w:rPr>
          <w:color w:val="000000"/>
          <w:szCs w:val="24"/>
          <w:lang w:val="en-US" w:eastAsia="en-US"/>
        </w:rPr>
        <w:t xml:space="preserve"> </w:t>
      </w:r>
      <w:r w:rsidRPr="00F502CD" w:rsidDel="00072FD7">
        <w:rPr>
          <w:b/>
          <w:color w:val="000000"/>
          <w:szCs w:val="24"/>
          <w:lang w:val="en-US" w:eastAsia="en-US"/>
        </w:rPr>
        <w:t>5</w:t>
      </w:r>
      <w:r w:rsidRPr="005F7ACC" w:rsidDel="00072FD7">
        <w:rPr>
          <w:color w:val="000000"/>
          <w:szCs w:val="24"/>
          <w:lang w:val="en-US" w:eastAsia="en-US"/>
        </w:rPr>
        <w:t>:243-251.</w:t>
      </w:r>
    </w:p>
    <w:p w14:paraId="0A2C876D" w14:textId="77777777" w:rsidR="00D132E6" w:rsidRPr="00136301" w:rsidDel="00072FD7" w:rsidRDefault="00D132E6" w:rsidP="002B2CFC">
      <w:pPr>
        <w:rPr>
          <w:color w:val="000000"/>
          <w:szCs w:val="24"/>
          <w:highlight w:val="cyan"/>
          <w:lang w:val="en-US" w:eastAsia="en-US"/>
        </w:rPr>
      </w:pPr>
    </w:p>
    <w:p w14:paraId="6954156C" w14:textId="77777777" w:rsidR="00D132E6" w:rsidRPr="00C81203" w:rsidRDefault="00D132E6" w:rsidP="00D132E6">
      <w:pPr>
        <w:pStyle w:val="BodyText"/>
        <w:rPr>
          <w:b w:val="0"/>
          <w:i w:val="0"/>
          <w:color w:val="000000"/>
          <w:szCs w:val="24"/>
          <w:lang w:val="en-US" w:eastAsia="en-US"/>
        </w:rPr>
      </w:pPr>
      <w:r w:rsidRPr="00C81203">
        <w:rPr>
          <w:b w:val="0"/>
          <w:i w:val="0"/>
          <w:color w:val="000000"/>
          <w:szCs w:val="24"/>
          <w:lang w:val="en-US" w:eastAsia="en-US"/>
        </w:rPr>
        <w:lastRenderedPageBreak/>
        <w:t xml:space="preserve">Brammer, A (2006) Paraquat technical: Acute neurotoxicity study in rats. Report No: AR7536-REG; Study No: AR7536; Task No. T000344-05. Syngenta Central Toxicology Laboratory, Alderley Park, Macclesfield, Cheshire, UK. Study initiation 22 Dec, 2005, Study commencement: 3 Jan, 2006; Study termination: 6 April, 2006; Report date 8 June, 2006. </w:t>
      </w:r>
    </w:p>
    <w:p w14:paraId="59C6C33D" w14:textId="77777777" w:rsidR="002B2CFC" w:rsidRPr="00136301" w:rsidDel="00072FD7" w:rsidRDefault="002B2CFC" w:rsidP="002B2CFC">
      <w:pPr>
        <w:tabs>
          <w:tab w:val="num" w:pos="1440"/>
        </w:tabs>
        <w:rPr>
          <w:color w:val="000000"/>
          <w:szCs w:val="24"/>
          <w:highlight w:val="cyan"/>
          <w:lang w:val="en-US" w:eastAsia="en-US"/>
        </w:rPr>
      </w:pPr>
    </w:p>
    <w:p w14:paraId="393CE51C" w14:textId="77777777" w:rsidR="002B2CFC" w:rsidRPr="005C45B3" w:rsidDel="00072FD7" w:rsidRDefault="002B2CFC" w:rsidP="002B2CFC">
      <w:pPr>
        <w:tabs>
          <w:tab w:val="num" w:pos="1440"/>
        </w:tabs>
        <w:rPr>
          <w:iCs/>
          <w:szCs w:val="24"/>
          <w:lang w:eastAsia="en-US"/>
        </w:rPr>
      </w:pPr>
      <w:r w:rsidRPr="005C45B3" w:rsidDel="00072FD7">
        <w:rPr>
          <w:szCs w:val="24"/>
          <w:lang w:eastAsia="en-US"/>
        </w:rPr>
        <w:t xml:space="preserve">Brooks AI, Chadwick CA, Gelbard HA, Cory-Slechta DA &amp; Federoff HJ (1999) </w:t>
      </w:r>
      <w:r w:rsidRPr="005C45B3" w:rsidDel="00072FD7">
        <w:rPr>
          <w:iCs/>
          <w:szCs w:val="24"/>
          <w:lang w:eastAsia="en-US"/>
        </w:rPr>
        <w:t xml:space="preserve">Paraquat elicited neurobehavioral syndrome caused by dopaminergic neuron loss. </w:t>
      </w:r>
      <w:r w:rsidRPr="00F502CD" w:rsidDel="00072FD7">
        <w:rPr>
          <w:i/>
          <w:iCs/>
          <w:szCs w:val="24"/>
          <w:lang w:eastAsia="en-US"/>
        </w:rPr>
        <w:t>Brain Res.</w:t>
      </w:r>
      <w:r w:rsidRPr="005C45B3" w:rsidDel="00072FD7">
        <w:rPr>
          <w:iCs/>
          <w:szCs w:val="24"/>
          <w:lang w:eastAsia="en-US"/>
        </w:rPr>
        <w:t xml:space="preserve"> </w:t>
      </w:r>
      <w:r w:rsidRPr="00F502CD" w:rsidDel="00072FD7">
        <w:rPr>
          <w:b/>
          <w:iCs/>
          <w:szCs w:val="24"/>
          <w:lang w:eastAsia="en-US"/>
        </w:rPr>
        <w:t>823</w:t>
      </w:r>
      <w:r w:rsidRPr="005C45B3" w:rsidDel="00072FD7">
        <w:rPr>
          <w:iCs/>
          <w:szCs w:val="24"/>
          <w:lang w:eastAsia="en-US"/>
        </w:rPr>
        <w:t>:1-10.</w:t>
      </w:r>
    </w:p>
    <w:p w14:paraId="702E36DD" w14:textId="77777777" w:rsidR="002B2CFC" w:rsidRPr="00136301" w:rsidDel="00072FD7" w:rsidRDefault="002B2CFC" w:rsidP="002B2CFC">
      <w:pPr>
        <w:rPr>
          <w:szCs w:val="24"/>
          <w:highlight w:val="cyan"/>
          <w:lang w:eastAsia="en-US"/>
        </w:rPr>
      </w:pPr>
    </w:p>
    <w:p w14:paraId="37FBB85E" w14:textId="77777777" w:rsidR="002B2CFC" w:rsidRPr="00FE6941" w:rsidDel="00072FD7" w:rsidRDefault="002B2CFC" w:rsidP="002B2CFC">
      <w:pPr>
        <w:rPr>
          <w:szCs w:val="24"/>
          <w:lang w:eastAsia="en-US"/>
        </w:rPr>
      </w:pPr>
      <w:r w:rsidRPr="00FE6941" w:rsidDel="00072FD7">
        <w:rPr>
          <w:color w:val="000000"/>
          <w:szCs w:val="24"/>
          <w:lang w:eastAsia="en-US"/>
        </w:rPr>
        <w:t xml:space="preserve">Burns RS, Chiueh CC, Markey SP, Ebert MH, Jacobowitz DM &amp; Kopin IJ (1983) </w:t>
      </w:r>
      <w:r w:rsidRPr="00FE6941" w:rsidDel="00072FD7">
        <w:rPr>
          <w:bCs/>
          <w:color w:val="000000"/>
          <w:szCs w:val="24"/>
          <w:lang w:eastAsia="en-US"/>
        </w:rPr>
        <w:t xml:space="preserve">A primate model of parkinsonism: selective destruction of dopaminergic neurons in the pars compacta of the substantia nigra by N-methyl-4-phenyl-1,2,3,6-tetrahydropyridine. </w:t>
      </w:r>
      <w:r w:rsidRPr="00F502CD" w:rsidDel="00072FD7">
        <w:rPr>
          <w:i/>
          <w:iCs/>
          <w:color w:val="000000"/>
          <w:szCs w:val="24"/>
          <w:lang w:eastAsia="en-US"/>
        </w:rPr>
        <w:t>PNAS(USA</w:t>
      </w:r>
      <w:r w:rsidRPr="00FE6941" w:rsidDel="00072FD7">
        <w:rPr>
          <w:iCs/>
          <w:color w:val="000000"/>
          <w:szCs w:val="24"/>
          <w:lang w:eastAsia="en-US"/>
        </w:rPr>
        <w:t xml:space="preserve">) </w:t>
      </w:r>
      <w:r w:rsidRPr="00F502CD" w:rsidDel="00072FD7">
        <w:rPr>
          <w:b/>
          <w:iCs/>
          <w:color w:val="000000"/>
          <w:szCs w:val="24"/>
          <w:lang w:eastAsia="en-US"/>
        </w:rPr>
        <w:t>80</w:t>
      </w:r>
      <w:r w:rsidRPr="00FE6941" w:rsidDel="00072FD7">
        <w:rPr>
          <w:iCs/>
          <w:color w:val="000000"/>
          <w:szCs w:val="24"/>
          <w:lang w:eastAsia="en-US"/>
        </w:rPr>
        <w:t>:4546-4550.</w:t>
      </w:r>
    </w:p>
    <w:p w14:paraId="4EDCC032" w14:textId="77777777" w:rsidR="002B2CFC" w:rsidRPr="00136301" w:rsidDel="00072FD7" w:rsidRDefault="002B2CFC" w:rsidP="002B2CFC">
      <w:pPr>
        <w:rPr>
          <w:szCs w:val="24"/>
          <w:highlight w:val="cyan"/>
          <w:lang w:eastAsia="en-US"/>
        </w:rPr>
      </w:pPr>
    </w:p>
    <w:p w14:paraId="05C61409" w14:textId="77777777" w:rsidR="002B2CFC" w:rsidRPr="00FE6941" w:rsidDel="00072FD7" w:rsidRDefault="002B2CFC" w:rsidP="002B2CFC">
      <w:pPr>
        <w:rPr>
          <w:color w:val="000000"/>
          <w:szCs w:val="24"/>
          <w:lang w:val="en-US" w:eastAsia="en-US"/>
        </w:rPr>
      </w:pPr>
      <w:r w:rsidRPr="00FE6941" w:rsidDel="00072FD7">
        <w:rPr>
          <w:color w:val="000000"/>
          <w:szCs w:val="24"/>
          <w:lang w:val="en-US" w:eastAsia="en-US"/>
        </w:rPr>
        <w:t xml:space="preserve">Bus JS &amp; Gibson JE (1984) Paraquat: Model for oxidant initiated toxicity. </w:t>
      </w:r>
      <w:r w:rsidRPr="00F502CD" w:rsidDel="00072FD7">
        <w:rPr>
          <w:i/>
          <w:color w:val="000000"/>
          <w:szCs w:val="24"/>
          <w:lang w:val="en-US" w:eastAsia="en-US"/>
        </w:rPr>
        <w:t>Environ Health Perspect</w:t>
      </w:r>
      <w:r w:rsidRPr="00FE6941" w:rsidDel="00072FD7">
        <w:rPr>
          <w:color w:val="000000"/>
          <w:szCs w:val="24"/>
          <w:lang w:val="en-US" w:eastAsia="en-US"/>
        </w:rPr>
        <w:t xml:space="preserve"> </w:t>
      </w:r>
      <w:r w:rsidRPr="00FE6941" w:rsidDel="00072FD7">
        <w:rPr>
          <w:b/>
          <w:color w:val="000000"/>
          <w:szCs w:val="24"/>
          <w:lang w:val="en-US" w:eastAsia="en-US"/>
        </w:rPr>
        <w:t>55</w:t>
      </w:r>
      <w:r w:rsidRPr="00FE6941" w:rsidDel="00072FD7">
        <w:rPr>
          <w:color w:val="000000"/>
          <w:szCs w:val="24"/>
          <w:lang w:val="en-US" w:eastAsia="en-US"/>
        </w:rPr>
        <w:t>: 37-46.</w:t>
      </w:r>
    </w:p>
    <w:p w14:paraId="1AFB56E4" w14:textId="77777777" w:rsidR="002B2CFC" w:rsidRPr="00136301" w:rsidDel="00072FD7" w:rsidRDefault="002B2CFC" w:rsidP="002B2CFC">
      <w:pPr>
        <w:rPr>
          <w:szCs w:val="24"/>
          <w:highlight w:val="cyan"/>
          <w:lang w:eastAsia="en-US"/>
        </w:rPr>
      </w:pPr>
    </w:p>
    <w:p w14:paraId="37413674" w14:textId="73AF88A4" w:rsidR="002B2CFC" w:rsidRDefault="002B2CFC" w:rsidP="002B2CFC">
      <w:pPr>
        <w:rPr>
          <w:color w:val="000000"/>
          <w:szCs w:val="24"/>
          <w:lang w:val="en-US" w:eastAsia="en-US"/>
        </w:rPr>
      </w:pPr>
      <w:r w:rsidRPr="00FE6941" w:rsidDel="00072FD7">
        <w:rPr>
          <w:color w:val="000000"/>
          <w:szCs w:val="24"/>
          <w:lang w:val="en-US" w:eastAsia="en-US"/>
        </w:rPr>
        <w:t xml:space="preserve">Bus JS, Preache MM, Cagen SC, Posner HS, Elliason BC, Sharp BW &amp; Gibson JE (1975) </w:t>
      </w:r>
      <w:r w:rsidR="00260059">
        <w:rPr>
          <w:color w:val="000000"/>
          <w:szCs w:val="24"/>
          <w:lang w:val="en-US" w:eastAsia="en-US"/>
        </w:rPr>
        <w:t>Fetal</w:t>
      </w:r>
      <w:r w:rsidRPr="00FE6941" w:rsidDel="00072FD7">
        <w:rPr>
          <w:color w:val="000000"/>
          <w:szCs w:val="24"/>
          <w:lang w:val="en-US" w:eastAsia="en-US"/>
        </w:rPr>
        <w:t xml:space="preserve"> toxicity and distribution of paraquat and diquat in mice and rats. </w:t>
      </w:r>
      <w:r w:rsidRPr="00F502CD" w:rsidDel="00072FD7">
        <w:rPr>
          <w:i/>
          <w:color w:val="000000"/>
          <w:szCs w:val="24"/>
          <w:lang w:val="en-US" w:eastAsia="en-US"/>
        </w:rPr>
        <w:t>Toxicol. Appl. Pharmacol.</w:t>
      </w:r>
      <w:r w:rsidRPr="00FE6941" w:rsidDel="00072FD7">
        <w:rPr>
          <w:color w:val="000000"/>
          <w:szCs w:val="24"/>
          <w:lang w:val="en-US" w:eastAsia="en-US"/>
        </w:rPr>
        <w:t xml:space="preserve"> </w:t>
      </w:r>
      <w:r w:rsidRPr="00F502CD" w:rsidDel="00072FD7">
        <w:rPr>
          <w:b/>
          <w:color w:val="000000"/>
          <w:szCs w:val="24"/>
          <w:lang w:val="en-US" w:eastAsia="en-US"/>
        </w:rPr>
        <w:t>33</w:t>
      </w:r>
      <w:r w:rsidRPr="00FE6941" w:rsidDel="00072FD7">
        <w:rPr>
          <w:color w:val="000000"/>
          <w:szCs w:val="24"/>
          <w:lang w:val="en-US" w:eastAsia="en-US"/>
        </w:rPr>
        <w:t>:450-460.</w:t>
      </w:r>
    </w:p>
    <w:p w14:paraId="5BD2E0DF" w14:textId="77777777" w:rsidR="00C52954" w:rsidRDefault="00C52954" w:rsidP="002B2CFC">
      <w:pPr>
        <w:rPr>
          <w:color w:val="000000"/>
          <w:szCs w:val="24"/>
          <w:lang w:val="en-US" w:eastAsia="en-US"/>
        </w:rPr>
      </w:pPr>
    </w:p>
    <w:p w14:paraId="4409B7F5" w14:textId="77777777" w:rsidR="00C52954" w:rsidRPr="00136301" w:rsidRDefault="00C52954" w:rsidP="00C52954">
      <w:pPr>
        <w:rPr>
          <w:color w:val="000000"/>
        </w:rPr>
      </w:pPr>
      <w:r w:rsidRPr="00136301">
        <w:rPr>
          <w:color w:val="000000"/>
        </w:rPr>
        <w:t xml:space="preserve">Cameron HA, Hazle TG &amp; McKay RDG (1998) Regulation of neurogenesis by growth factors and neurotransmitters. </w:t>
      </w:r>
      <w:r w:rsidRPr="00F502CD">
        <w:rPr>
          <w:i/>
          <w:color w:val="000000"/>
        </w:rPr>
        <w:t>J Neurobiol</w:t>
      </w:r>
      <w:r w:rsidRPr="00136301">
        <w:rPr>
          <w:color w:val="000000"/>
        </w:rPr>
        <w:t xml:space="preserve"> </w:t>
      </w:r>
      <w:r w:rsidRPr="00F502CD">
        <w:rPr>
          <w:b/>
          <w:color w:val="000000"/>
        </w:rPr>
        <w:t>36</w:t>
      </w:r>
      <w:r w:rsidRPr="00136301">
        <w:rPr>
          <w:color w:val="000000"/>
        </w:rPr>
        <w:t>:287-306.</w:t>
      </w:r>
    </w:p>
    <w:p w14:paraId="43E30FE4" w14:textId="77777777" w:rsidR="002B2CFC" w:rsidRPr="00136301" w:rsidDel="00072FD7" w:rsidRDefault="002B2CFC" w:rsidP="002B2CFC">
      <w:pPr>
        <w:tabs>
          <w:tab w:val="num" w:pos="1440"/>
        </w:tabs>
        <w:rPr>
          <w:szCs w:val="24"/>
          <w:highlight w:val="cyan"/>
          <w:lang w:eastAsia="en-US"/>
        </w:rPr>
      </w:pPr>
    </w:p>
    <w:p w14:paraId="78E56827" w14:textId="77777777" w:rsidR="002B2CFC" w:rsidRPr="00FE6941" w:rsidDel="00072FD7" w:rsidRDefault="002B2CFC" w:rsidP="002B2CFC">
      <w:pPr>
        <w:rPr>
          <w:szCs w:val="24"/>
          <w:lang w:eastAsia="en-US"/>
        </w:rPr>
      </w:pPr>
      <w:r w:rsidRPr="00FE6941" w:rsidDel="00072FD7">
        <w:rPr>
          <w:szCs w:val="24"/>
          <w:lang w:eastAsia="en-US"/>
        </w:rPr>
        <w:t xml:space="preserve">Castello PR, Drechsel DA &amp; Patel M (2007) Mitochondria are a major source of paraquat-induced reactive oxygen species production in the brain. </w:t>
      </w:r>
      <w:r w:rsidRPr="00F502CD" w:rsidDel="00072FD7">
        <w:rPr>
          <w:i/>
          <w:szCs w:val="24"/>
          <w:lang w:eastAsia="en-US"/>
        </w:rPr>
        <w:t>J. Biol. Chem</w:t>
      </w:r>
      <w:r w:rsidRPr="00FE6941" w:rsidDel="00072FD7">
        <w:rPr>
          <w:szCs w:val="24"/>
          <w:lang w:eastAsia="en-US"/>
        </w:rPr>
        <w:t xml:space="preserve">. </w:t>
      </w:r>
      <w:r w:rsidRPr="00F502CD" w:rsidDel="00072FD7">
        <w:rPr>
          <w:b/>
          <w:szCs w:val="24"/>
          <w:lang w:eastAsia="en-US"/>
        </w:rPr>
        <w:t>282</w:t>
      </w:r>
      <w:r w:rsidRPr="00FE6941" w:rsidDel="00072FD7">
        <w:rPr>
          <w:szCs w:val="24"/>
          <w:lang w:eastAsia="en-US"/>
        </w:rPr>
        <w:t>:14186-93.</w:t>
      </w:r>
    </w:p>
    <w:p w14:paraId="13D9A791" w14:textId="77777777" w:rsidR="002B2CFC" w:rsidRPr="00136301" w:rsidDel="00072FD7" w:rsidRDefault="002B2CFC" w:rsidP="002B2CFC">
      <w:pPr>
        <w:rPr>
          <w:szCs w:val="24"/>
          <w:highlight w:val="cyan"/>
          <w:lang w:eastAsia="en-US"/>
        </w:rPr>
      </w:pPr>
    </w:p>
    <w:p w14:paraId="1FFE21D8" w14:textId="77777777" w:rsidR="002B2CFC" w:rsidRPr="00FE6941" w:rsidDel="00072FD7" w:rsidRDefault="002B2CFC" w:rsidP="002B2CFC">
      <w:pPr>
        <w:rPr>
          <w:szCs w:val="24"/>
          <w:lang w:val="en-US" w:eastAsia="en-US"/>
        </w:rPr>
      </w:pPr>
      <w:r w:rsidRPr="00FE6941" w:rsidDel="00072FD7">
        <w:rPr>
          <w:szCs w:val="24"/>
          <w:lang w:val="en-US" w:eastAsia="en-US"/>
        </w:rPr>
        <w:t xml:space="preserve">Chivers S (2006) Paraquat: Subchronic neurotoxicity study in the rat. Report No: PR1322-REG; Unpublished report. Syngenta Central Toxicology Laboratory, Alderley Park, Macclesfield, Cheshire, UK. </w:t>
      </w:r>
    </w:p>
    <w:p w14:paraId="73652FD6" w14:textId="77777777" w:rsidR="002B2CFC" w:rsidRPr="00136301" w:rsidDel="00072FD7" w:rsidRDefault="002B2CFC" w:rsidP="002B2CFC">
      <w:pPr>
        <w:rPr>
          <w:szCs w:val="24"/>
          <w:highlight w:val="cyan"/>
          <w:lang w:eastAsia="en-US"/>
        </w:rPr>
      </w:pPr>
    </w:p>
    <w:p w14:paraId="0BE912D1" w14:textId="77777777" w:rsidR="002B2CFC" w:rsidRPr="00FE6941" w:rsidDel="00072FD7" w:rsidRDefault="002B2CFC" w:rsidP="002B2CFC">
      <w:pPr>
        <w:rPr>
          <w:szCs w:val="24"/>
          <w:lang w:eastAsia="en-US"/>
        </w:rPr>
      </w:pPr>
      <w:r w:rsidRPr="00FE6941" w:rsidDel="00072FD7">
        <w:rPr>
          <w:szCs w:val="24"/>
          <w:lang w:eastAsia="en-US"/>
        </w:rPr>
        <w:t>Choi W-S, Kruse SE, Palmiter RD &amp; Xia Z (2008) Mitochondrial complex I inhibition is not required for dopaminergic neuron death induced by rotenone, MPP</w:t>
      </w:r>
      <w:r w:rsidRPr="00FE6941" w:rsidDel="00072FD7">
        <w:rPr>
          <w:szCs w:val="24"/>
          <w:vertAlign w:val="superscript"/>
          <w:lang w:eastAsia="en-US"/>
        </w:rPr>
        <w:t>+</w:t>
      </w:r>
      <w:r w:rsidRPr="00FE6941" w:rsidDel="00072FD7">
        <w:rPr>
          <w:szCs w:val="24"/>
          <w:lang w:eastAsia="en-US"/>
        </w:rPr>
        <w:t xml:space="preserve">, or paraquat. </w:t>
      </w:r>
      <w:r w:rsidRPr="00E84F6E" w:rsidDel="00072FD7">
        <w:rPr>
          <w:i/>
          <w:szCs w:val="24"/>
          <w:lang w:eastAsia="en-US"/>
        </w:rPr>
        <w:t>PNAS(USA)</w:t>
      </w:r>
      <w:r w:rsidRPr="00FE6941" w:rsidDel="00072FD7">
        <w:rPr>
          <w:szCs w:val="24"/>
          <w:lang w:eastAsia="en-US"/>
        </w:rPr>
        <w:t xml:space="preserve"> </w:t>
      </w:r>
      <w:r w:rsidRPr="00E84F6E" w:rsidDel="00072FD7">
        <w:rPr>
          <w:b/>
          <w:szCs w:val="24"/>
          <w:lang w:eastAsia="en-US"/>
        </w:rPr>
        <w:t>105</w:t>
      </w:r>
      <w:r w:rsidRPr="00FE6941" w:rsidDel="00072FD7">
        <w:rPr>
          <w:szCs w:val="24"/>
          <w:lang w:eastAsia="en-US"/>
        </w:rPr>
        <w:t>:15136-15141.</w:t>
      </w:r>
    </w:p>
    <w:p w14:paraId="078388F6" w14:textId="77777777" w:rsidR="002B2CFC" w:rsidRPr="00136301" w:rsidDel="00072FD7" w:rsidRDefault="002B2CFC" w:rsidP="002B2CFC">
      <w:pPr>
        <w:rPr>
          <w:szCs w:val="24"/>
          <w:highlight w:val="cyan"/>
          <w:lang w:eastAsia="en-US"/>
        </w:rPr>
      </w:pPr>
    </w:p>
    <w:p w14:paraId="5C29FF36" w14:textId="77777777" w:rsidR="002B2CFC" w:rsidRPr="00FE6941" w:rsidDel="00072FD7" w:rsidRDefault="002B2CFC" w:rsidP="002B2CFC">
      <w:pPr>
        <w:rPr>
          <w:szCs w:val="24"/>
          <w:lang w:eastAsia="en-US"/>
        </w:rPr>
      </w:pPr>
      <w:r w:rsidRPr="00FE6941" w:rsidDel="00072FD7">
        <w:rPr>
          <w:szCs w:val="24"/>
          <w:lang w:eastAsia="en-US"/>
        </w:rPr>
        <w:t xml:space="preserve">Cicchetti F, Lapointe N, Roberge-Tremblay A, Saint-Pierre M, Jimenez L, Ficke BW &amp; Gross RE (2005) Systemic exposure to paraquat and maneb models early Parkinson’s disease in young adult rats. </w:t>
      </w:r>
      <w:r w:rsidRPr="00E84F6E" w:rsidDel="00072FD7">
        <w:rPr>
          <w:i/>
          <w:szCs w:val="24"/>
          <w:lang w:eastAsia="en-US"/>
        </w:rPr>
        <w:t>Neurobiol. Dis</w:t>
      </w:r>
      <w:r w:rsidRPr="00FE6941" w:rsidDel="00072FD7">
        <w:rPr>
          <w:szCs w:val="24"/>
          <w:lang w:eastAsia="en-US"/>
        </w:rPr>
        <w:t xml:space="preserve">. </w:t>
      </w:r>
      <w:r w:rsidRPr="00E84F6E" w:rsidDel="00072FD7">
        <w:rPr>
          <w:b/>
          <w:szCs w:val="24"/>
          <w:lang w:eastAsia="en-US"/>
        </w:rPr>
        <w:t>20</w:t>
      </w:r>
      <w:r w:rsidRPr="00FE6941" w:rsidDel="00072FD7">
        <w:rPr>
          <w:szCs w:val="24"/>
          <w:lang w:eastAsia="en-US"/>
        </w:rPr>
        <w:t>(2):360-71.</w:t>
      </w:r>
    </w:p>
    <w:p w14:paraId="52309D26" w14:textId="77777777" w:rsidR="002B2CFC" w:rsidRPr="00136301" w:rsidDel="00072FD7" w:rsidRDefault="002B2CFC" w:rsidP="002B2CFC">
      <w:pPr>
        <w:rPr>
          <w:szCs w:val="24"/>
          <w:highlight w:val="cyan"/>
          <w:lang w:eastAsia="en-US"/>
        </w:rPr>
      </w:pPr>
    </w:p>
    <w:p w14:paraId="2E098F2D" w14:textId="77777777" w:rsidR="002B2CFC" w:rsidRDefault="002B2CFC" w:rsidP="002B2CFC">
      <w:pPr>
        <w:rPr>
          <w:szCs w:val="24"/>
          <w:lang w:eastAsia="en-US"/>
        </w:rPr>
      </w:pPr>
      <w:r w:rsidRPr="00FE6941" w:rsidDel="00072FD7">
        <w:rPr>
          <w:szCs w:val="24"/>
          <w:lang w:eastAsia="en-US"/>
        </w:rPr>
        <w:t xml:space="preserve">Cole NB (2008) Metal catalysed oxidation of alpha-synuclein – a role for oligomerisation in pathology? </w:t>
      </w:r>
      <w:r w:rsidRPr="00E84F6E" w:rsidDel="00072FD7">
        <w:rPr>
          <w:i/>
          <w:szCs w:val="24"/>
          <w:lang w:eastAsia="en-US"/>
        </w:rPr>
        <w:t>Curr. Alzheimer Res</w:t>
      </w:r>
      <w:r w:rsidRPr="00FE6941" w:rsidDel="00072FD7">
        <w:rPr>
          <w:szCs w:val="24"/>
          <w:lang w:eastAsia="en-US"/>
        </w:rPr>
        <w:t xml:space="preserve">. </w:t>
      </w:r>
      <w:r w:rsidRPr="00E84F6E" w:rsidDel="00072FD7">
        <w:rPr>
          <w:b/>
          <w:szCs w:val="24"/>
          <w:lang w:eastAsia="en-US"/>
        </w:rPr>
        <w:t>5</w:t>
      </w:r>
      <w:r w:rsidRPr="00FE6941" w:rsidDel="00072FD7">
        <w:rPr>
          <w:szCs w:val="24"/>
          <w:lang w:eastAsia="en-US"/>
        </w:rPr>
        <w:t>:599-606.</w:t>
      </w:r>
    </w:p>
    <w:p w14:paraId="3FC6790E" w14:textId="77777777" w:rsidR="00D52533" w:rsidRDefault="00D52533" w:rsidP="002B2CFC">
      <w:pPr>
        <w:rPr>
          <w:szCs w:val="24"/>
          <w:lang w:eastAsia="en-US"/>
        </w:rPr>
      </w:pPr>
    </w:p>
    <w:p w14:paraId="3C1EE168" w14:textId="77777777" w:rsidR="00D52533" w:rsidRPr="00FE6941" w:rsidDel="00072FD7" w:rsidRDefault="00D52533" w:rsidP="002B2CFC">
      <w:pPr>
        <w:rPr>
          <w:szCs w:val="24"/>
          <w:lang w:eastAsia="en-US"/>
        </w:rPr>
      </w:pPr>
      <w:r w:rsidRPr="00136301">
        <w:rPr>
          <w:color w:val="000000"/>
        </w:rPr>
        <w:t xml:space="preserve">Corasaniti MT, Strongoli MC &amp; Nistico G (1990) Determination of paraquat in rat brain using ion-pair solid-phase high performance liquid chromatography with ultraviolet detection. </w:t>
      </w:r>
      <w:r w:rsidRPr="00E84F6E">
        <w:rPr>
          <w:i/>
          <w:color w:val="000000"/>
        </w:rPr>
        <w:t>J Chromatog Biomed Appl</w:t>
      </w:r>
      <w:r w:rsidRPr="00136301">
        <w:rPr>
          <w:color w:val="000000"/>
        </w:rPr>
        <w:t xml:space="preserve"> </w:t>
      </w:r>
      <w:r w:rsidRPr="00E84F6E">
        <w:rPr>
          <w:b/>
          <w:color w:val="000000"/>
        </w:rPr>
        <w:t>527</w:t>
      </w:r>
      <w:r w:rsidRPr="00136301">
        <w:rPr>
          <w:color w:val="000000"/>
        </w:rPr>
        <w:t>: 189-195.</w:t>
      </w:r>
    </w:p>
    <w:p w14:paraId="07BA2C06" w14:textId="77777777" w:rsidR="002B2CFC" w:rsidRPr="00136301" w:rsidDel="00072FD7" w:rsidRDefault="002B2CFC" w:rsidP="002B2CFC">
      <w:pPr>
        <w:rPr>
          <w:szCs w:val="24"/>
          <w:highlight w:val="cyan"/>
          <w:lang w:eastAsia="en-US"/>
        </w:rPr>
      </w:pPr>
    </w:p>
    <w:p w14:paraId="0C37A279" w14:textId="77777777" w:rsidR="002B2CFC" w:rsidRPr="00FE6941" w:rsidDel="00072FD7" w:rsidRDefault="002B2CFC" w:rsidP="002B2CFC">
      <w:pPr>
        <w:spacing w:after="240"/>
      </w:pPr>
      <w:r w:rsidRPr="00FE6941" w:rsidDel="00072FD7">
        <w:t xml:space="preserve">Corasaniti MT, Defilippo R, Rodinò P, Nappi G &amp; Nisticò G (1991) Evidence that paraquat is able to cross the blood-brain barrier to a different extent in rats of various age. </w:t>
      </w:r>
      <w:r w:rsidRPr="00E84F6E" w:rsidDel="00072FD7">
        <w:rPr>
          <w:i/>
        </w:rPr>
        <w:t>Funct. Neurol.</w:t>
      </w:r>
      <w:r w:rsidRPr="00FE6941" w:rsidDel="00072FD7">
        <w:t xml:space="preserve"> </w:t>
      </w:r>
      <w:r w:rsidRPr="00E84F6E" w:rsidDel="00072FD7">
        <w:rPr>
          <w:b/>
        </w:rPr>
        <w:t>6</w:t>
      </w:r>
      <w:r w:rsidRPr="00FE6941" w:rsidDel="00072FD7">
        <w:t>:385-391.</w:t>
      </w:r>
    </w:p>
    <w:p w14:paraId="4D60A996" w14:textId="77777777" w:rsidR="002B2CFC" w:rsidRPr="00FE6941" w:rsidDel="00072FD7" w:rsidRDefault="002B2CFC" w:rsidP="002B2CFC">
      <w:pPr>
        <w:rPr>
          <w:iCs/>
          <w:szCs w:val="24"/>
          <w:lang w:eastAsia="en-US"/>
        </w:rPr>
      </w:pPr>
      <w:r w:rsidRPr="00FE6941" w:rsidDel="00072FD7">
        <w:rPr>
          <w:szCs w:val="24"/>
          <w:lang w:eastAsia="en-US"/>
        </w:rPr>
        <w:lastRenderedPageBreak/>
        <w:t>Corasaniti MT, Bagetta G, Rodino P, Gratteri S, Nistico G (1992)</w:t>
      </w:r>
      <w:r w:rsidRPr="00FE6941" w:rsidDel="00072FD7">
        <w:rPr>
          <w:i/>
          <w:iCs/>
          <w:szCs w:val="24"/>
          <w:lang w:eastAsia="en-US"/>
        </w:rPr>
        <w:t xml:space="preserve">. </w:t>
      </w:r>
      <w:r w:rsidRPr="00FE6941" w:rsidDel="00072FD7">
        <w:rPr>
          <w:iCs/>
          <w:szCs w:val="24"/>
          <w:lang w:eastAsia="en-US"/>
        </w:rPr>
        <w:t xml:space="preserve">Neurotoxic effects induced by intracerebral and systemic injection of paraquat in rats. </w:t>
      </w:r>
      <w:r w:rsidRPr="00E84F6E" w:rsidDel="00072FD7">
        <w:rPr>
          <w:i/>
          <w:iCs/>
          <w:szCs w:val="24"/>
          <w:lang w:eastAsia="en-US"/>
        </w:rPr>
        <w:t>Hum. Exp. Toxicol</w:t>
      </w:r>
      <w:r w:rsidRPr="00FE6941" w:rsidDel="00072FD7">
        <w:rPr>
          <w:iCs/>
          <w:szCs w:val="24"/>
          <w:lang w:eastAsia="en-US"/>
        </w:rPr>
        <w:t xml:space="preserve">. </w:t>
      </w:r>
      <w:r w:rsidRPr="00E84F6E" w:rsidDel="00072FD7">
        <w:rPr>
          <w:b/>
          <w:iCs/>
          <w:szCs w:val="24"/>
          <w:lang w:eastAsia="en-US"/>
        </w:rPr>
        <w:t>11</w:t>
      </w:r>
      <w:r w:rsidRPr="00FE6941" w:rsidDel="00072FD7">
        <w:rPr>
          <w:iCs/>
          <w:szCs w:val="24"/>
          <w:lang w:eastAsia="en-US"/>
        </w:rPr>
        <w:t>:535-539.</w:t>
      </w:r>
    </w:p>
    <w:p w14:paraId="1056D116" w14:textId="77777777" w:rsidR="002B2CFC" w:rsidRPr="00136301" w:rsidDel="00072FD7" w:rsidRDefault="002B2CFC" w:rsidP="002B2CFC">
      <w:pPr>
        <w:rPr>
          <w:szCs w:val="24"/>
          <w:highlight w:val="cyan"/>
          <w:lang w:eastAsia="en-US"/>
        </w:rPr>
      </w:pPr>
    </w:p>
    <w:p w14:paraId="6D9FFA8D" w14:textId="77777777" w:rsidR="002B2CFC" w:rsidRPr="00FE6941" w:rsidDel="00072FD7" w:rsidRDefault="002B2CFC" w:rsidP="002B2CFC">
      <w:pPr>
        <w:rPr>
          <w:szCs w:val="24"/>
          <w:lang w:eastAsia="en-US"/>
        </w:rPr>
      </w:pPr>
      <w:r w:rsidRPr="00FE6941" w:rsidDel="00072FD7">
        <w:rPr>
          <w:szCs w:val="24"/>
          <w:lang w:eastAsia="en-US"/>
        </w:rPr>
        <w:t xml:space="preserve">Costello S, Cockburn M, Bronstein J, Zhang X and Ritz B (2009) Parkinson’s disease in residential exposure to maneb and paraquat from agricultural applications in the central valley of California. </w:t>
      </w:r>
      <w:r w:rsidRPr="00E84F6E" w:rsidDel="00072FD7">
        <w:rPr>
          <w:i/>
          <w:szCs w:val="24"/>
          <w:lang w:eastAsia="en-US"/>
        </w:rPr>
        <w:t>Am. J. Epidemiol.</w:t>
      </w:r>
      <w:r w:rsidRPr="00FE6941" w:rsidDel="00072FD7">
        <w:rPr>
          <w:szCs w:val="24"/>
          <w:lang w:eastAsia="en-US"/>
        </w:rPr>
        <w:t xml:space="preserve"> </w:t>
      </w:r>
      <w:r w:rsidRPr="00E84F6E" w:rsidDel="00072FD7">
        <w:rPr>
          <w:b/>
          <w:szCs w:val="24"/>
          <w:lang w:eastAsia="en-US"/>
        </w:rPr>
        <w:t>169</w:t>
      </w:r>
      <w:r w:rsidRPr="00FE6941" w:rsidDel="00072FD7">
        <w:rPr>
          <w:szCs w:val="24"/>
          <w:lang w:eastAsia="en-US"/>
        </w:rPr>
        <w:t>:919-926.</w:t>
      </w:r>
    </w:p>
    <w:p w14:paraId="2D5BF0F4" w14:textId="77777777" w:rsidR="002B2CFC" w:rsidRPr="00FE6941" w:rsidDel="00072FD7" w:rsidRDefault="002B2CFC" w:rsidP="002B2CFC">
      <w:pPr>
        <w:rPr>
          <w:szCs w:val="24"/>
          <w:lang w:eastAsia="en-US"/>
        </w:rPr>
      </w:pPr>
    </w:p>
    <w:p w14:paraId="3B3792B0" w14:textId="77777777" w:rsidR="002B2CFC" w:rsidRPr="00FE6941" w:rsidDel="00072FD7" w:rsidRDefault="002B2CFC" w:rsidP="002B2CFC">
      <w:pPr>
        <w:rPr>
          <w:szCs w:val="24"/>
          <w:lang w:eastAsia="en-US"/>
        </w:rPr>
      </w:pPr>
      <w:r w:rsidRPr="00FE6941" w:rsidDel="00072FD7">
        <w:rPr>
          <w:szCs w:val="24"/>
          <w:lang w:eastAsia="en-US"/>
        </w:rPr>
        <w:t>Davis GC, Williams AC, Markey SP, Ebert MH, Caine ED, Reichert CM &amp; Kopin IJ (1979) Chronic parkinsonism secondary to intravenous injection of meperidine analogues</w:t>
      </w:r>
      <w:r w:rsidRPr="00E84F6E" w:rsidDel="00072FD7">
        <w:rPr>
          <w:i/>
          <w:szCs w:val="24"/>
          <w:lang w:eastAsia="en-US"/>
        </w:rPr>
        <w:t>. Psych. Res.</w:t>
      </w:r>
      <w:r w:rsidRPr="00FE6941" w:rsidDel="00072FD7">
        <w:rPr>
          <w:szCs w:val="24"/>
          <w:lang w:eastAsia="en-US"/>
        </w:rPr>
        <w:t xml:space="preserve"> </w:t>
      </w:r>
      <w:r w:rsidRPr="00E84F6E" w:rsidDel="00072FD7">
        <w:rPr>
          <w:b/>
          <w:szCs w:val="24"/>
          <w:lang w:eastAsia="en-US"/>
        </w:rPr>
        <w:t>1</w:t>
      </w:r>
      <w:r w:rsidRPr="00FE6941" w:rsidDel="00072FD7">
        <w:rPr>
          <w:szCs w:val="24"/>
          <w:lang w:eastAsia="en-US"/>
        </w:rPr>
        <w:t xml:space="preserve">:249-254. </w:t>
      </w:r>
    </w:p>
    <w:p w14:paraId="5E033FCE" w14:textId="77777777" w:rsidR="002B2CFC" w:rsidRPr="00136301" w:rsidDel="00072FD7" w:rsidRDefault="002B2CFC" w:rsidP="002B2CFC">
      <w:pPr>
        <w:rPr>
          <w:szCs w:val="24"/>
          <w:highlight w:val="cyan"/>
          <w:lang w:eastAsia="en-US"/>
        </w:rPr>
      </w:pPr>
    </w:p>
    <w:p w14:paraId="3DB3A1D2" w14:textId="77777777" w:rsidR="002B2CFC" w:rsidRDefault="002B2CFC" w:rsidP="002B2CFC">
      <w:pPr>
        <w:rPr>
          <w:szCs w:val="24"/>
          <w:lang w:eastAsia="en-US"/>
        </w:rPr>
      </w:pPr>
      <w:r w:rsidRPr="00FE6941" w:rsidDel="00072FD7">
        <w:rPr>
          <w:szCs w:val="24"/>
          <w:lang w:eastAsia="en-US"/>
        </w:rPr>
        <w:t>Endo T, Hara S, Kano S &amp; Kuriiwa F (1988) Effects of a paraquat-containing herbicide, Gramoxone</w:t>
      </w:r>
      <w:r w:rsidRPr="00FE6941" w:rsidDel="00072FD7">
        <w:rPr>
          <w:szCs w:val="24"/>
          <w:lang w:eastAsia="en-US"/>
        </w:rPr>
        <w:sym w:font="Symbol" w:char="F0D2"/>
      </w:r>
      <w:r w:rsidRPr="00FE6941" w:rsidDel="00072FD7">
        <w:rPr>
          <w:szCs w:val="24"/>
          <w:lang w:eastAsia="en-US"/>
        </w:rPr>
        <w:t xml:space="preserve"> on the central monoamines and acetylcholine in mice. </w:t>
      </w:r>
      <w:r w:rsidRPr="00E84F6E" w:rsidDel="00072FD7">
        <w:rPr>
          <w:i/>
          <w:szCs w:val="24"/>
          <w:lang w:eastAsia="en-US"/>
        </w:rPr>
        <w:t xml:space="preserve">Res. Commun. Psychol. Psych. Behav. </w:t>
      </w:r>
      <w:r w:rsidRPr="00E84F6E" w:rsidDel="00072FD7">
        <w:rPr>
          <w:b/>
          <w:szCs w:val="24"/>
          <w:lang w:eastAsia="en-US"/>
        </w:rPr>
        <w:t>13</w:t>
      </w:r>
      <w:r w:rsidRPr="00FE6941" w:rsidDel="00072FD7">
        <w:rPr>
          <w:szCs w:val="24"/>
          <w:lang w:eastAsia="en-US"/>
        </w:rPr>
        <w:t>(4): 261-270.</w:t>
      </w:r>
    </w:p>
    <w:p w14:paraId="2F53C2EB" w14:textId="77777777" w:rsidR="00B7462F" w:rsidRDefault="00B7462F" w:rsidP="002B2CFC">
      <w:pPr>
        <w:rPr>
          <w:szCs w:val="24"/>
          <w:lang w:eastAsia="en-US"/>
        </w:rPr>
      </w:pPr>
    </w:p>
    <w:p w14:paraId="3B696BBE" w14:textId="77777777" w:rsidR="00B7462F" w:rsidRPr="00136301" w:rsidRDefault="00B7462F" w:rsidP="00B7462F">
      <w:pPr>
        <w:rPr>
          <w:color w:val="000000"/>
        </w:rPr>
      </w:pPr>
      <w:r w:rsidRPr="00136301">
        <w:rPr>
          <w:color w:val="000000"/>
        </w:rPr>
        <w:t xml:space="preserve">Eriksson P, Archer T &amp; Fredriksson A (1990) Altered behaviour in adult mice exposed to a single low oral dose of DDT and its fatty acid conjugates as neonates. </w:t>
      </w:r>
      <w:r w:rsidRPr="00E84F6E">
        <w:rPr>
          <w:i/>
          <w:color w:val="000000"/>
        </w:rPr>
        <w:t>Brain Res</w:t>
      </w:r>
      <w:r w:rsidRPr="00136301">
        <w:rPr>
          <w:color w:val="000000"/>
        </w:rPr>
        <w:t xml:space="preserve"> </w:t>
      </w:r>
      <w:r w:rsidRPr="00E84F6E">
        <w:rPr>
          <w:b/>
          <w:color w:val="000000"/>
        </w:rPr>
        <w:t>514</w:t>
      </w:r>
      <w:r w:rsidRPr="00136301">
        <w:rPr>
          <w:color w:val="000000"/>
        </w:rPr>
        <w:t>: 141-142.</w:t>
      </w:r>
    </w:p>
    <w:p w14:paraId="56571E9B" w14:textId="77777777" w:rsidR="00B7462F" w:rsidRPr="00136301" w:rsidRDefault="00B7462F" w:rsidP="00B7462F">
      <w:pPr>
        <w:rPr>
          <w:color w:val="000000"/>
        </w:rPr>
      </w:pPr>
    </w:p>
    <w:p w14:paraId="673DFE31" w14:textId="77777777" w:rsidR="00B7462F" w:rsidRPr="00136301" w:rsidRDefault="00B7462F" w:rsidP="00B7462F">
      <w:pPr>
        <w:rPr>
          <w:color w:val="000000"/>
        </w:rPr>
      </w:pPr>
      <w:r w:rsidRPr="00136301">
        <w:rPr>
          <w:color w:val="000000"/>
        </w:rPr>
        <w:t xml:space="preserve">Eriksson P, Lundkvist U &amp; Fredriksson A (1991a) Neonatal exposure to 3,3’,4,4’-tetrachlorobiphenyl – changes in cholinergic muscarinic receptor and behaviour variables. </w:t>
      </w:r>
      <w:r w:rsidRPr="00E84F6E">
        <w:rPr>
          <w:i/>
          <w:color w:val="000000"/>
        </w:rPr>
        <w:t>Toxicol</w:t>
      </w:r>
      <w:r w:rsidRPr="00136301">
        <w:rPr>
          <w:color w:val="000000"/>
        </w:rPr>
        <w:t xml:space="preserve"> </w:t>
      </w:r>
      <w:r w:rsidRPr="00E84F6E">
        <w:rPr>
          <w:b/>
          <w:color w:val="000000"/>
        </w:rPr>
        <w:t>69</w:t>
      </w:r>
      <w:r w:rsidRPr="00136301">
        <w:rPr>
          <w:color w:val="000000"/>
        </w:rPr>
        <w:t>: 27-34.</w:t>
      </w:r>
    </w:p>
    <w:p w14:paraId="504D8E7E" w14:textId="77777777" w:rsidR="00B7462F" w:rsidRPr="00136301" w:rsidRDefault="00B7462F" w:rsidP="00B7462F">
      <w:pPr>
        <w:rPr>
          <w:color w:val="000000"/>
        </w:rPr>
      </w:pPr>
    </w:p>
    <w:p w14:paraId="4A6058CE" w14:textId="77777777" w:rsidR="00B7462F" w:rsidRPr="00136301" w:rsidRDefault="00B7462F" w:rsidP="00B7462F">
      <w:pPr>
        <w:rPr>
          <w:color w:val="000000"/>
        </w:rPr>
      </w:pPr>
      <w:r w:rsidRPr="00136301">
        <w:rPr>
          <w:color w:val="000000"/>
        </w:rPr>
        <w:t xml:space="preserve">Eriksson P, Nilsson-Håkansson L, Nordberg A, Aspberg A &amp; Fredriksson A (1991b) Neonatal exposure to DDT and its fatty acid conjugate – effects on cholinergic and behavioural variables in the adult mouse. </w:t>
      </w:r>
      <w:r w:rsidRPr="00E84F6E">
        <w:rPr>
          <w:i/>
          <w:color w:val="000000"/>
        </w:rPr>
        <w:t>Neurotoxicol</w:t>
      </w:r>
      <w:r w:rsidRPr="00136301">
        <w:rPr>
          <w:color w:val="000000"/>
        </w:rPr>
        <w:t xml:space="preserve"> </w:t>
      </w:r>
      <w:r w:rsidRPr="00E84F6E">
        <w:rPr>
          <w:b/>
          <w:color w:val="000000"/>
        </w:rPr>
        <w:t>11</w:t>
      </w:r>
      <w:r w:rsidRPr="00136301">
        <w:rPr>
          <w:color w:val="000000"/>
        </w:rPr>
        <w:t>: 345-354.</w:t>
      </w:r>
    </w:p>
    <w:p w14:paraId="6D3BB94A" w14:textId="77777777" w:rsidR="00B7462F" w:rsidRPr="00136301" w:rsidRDefault="00B7462F" w:rsidP="00B7462F">
      <w:pPr>
        <w:rPr>
          <w:color w:val="000000"/>
        </w:rPr>
      </w:pPr>
    </w:p>
    <w:p w14:paraId="27403FA6" w14:textId="77777777" w:rsidR="00B7462F" w:rsidRPr="00136301" w:rsidRDefault="00B7462F" w:rsidP="00B7462F">
      <w:pPr>
        <w:rPr>
          <w:color w:val="000000"/>
        </w:rPr>
      </w:pPr>
      <w:r w:rsidRPr="00136301">
        <w:rPr>
          <w:color w:val="000000"/>
        </w:rPr>
        <w:t xml:space="preserve">Eriksson P, Ahlbom J &amp; Fredriksson A (1992) Exposure to DDT during a defined period in neonatal life induces permanent changes in brain muscarinic receptors and behaviour in adult mice. </w:t>
      </w:r>
      <w:r w:rsidRPr="00E84F6E">
        <w:rPr>
          <w:i/>
          <w:color w:val="000000"/>
        </w:rPr>
        <w:t>Brain Res</w:t>
      </w:r>
      <w:r w:rsidRPr="00136301">
        <w:rPr>
          <w:color w:val="000000"/>
        </w:rPr>
        <w:t xml:space="preserve"> </w:t>
      </w:r>
      <w:r w:rsidRPr="00E84F6E">
        <w:rPr>
          <w:b/>
          <w:color w:val="000000"/>
        </w:rPr>
        <w:t>582</w:t>
      </w:r>
      <w:r w:rsidRPr="00136301">
        <w:rPr>
          <w:color w:val="000000"/>
        </w:rPr>
        <w:t>: 277-281.</w:t>
      </w:r>
    </w:p>
    <w:p w14:paraId="66D68F34" w14:textId="77777777" w:rsidR="00B7462F" w:rsidRPr="00FE6941" w:rsidDel="00072FD7" w:rsidRDefault="00B7462F" w:rsidP="002B2CFC">
      <w:pPr>
        <w:rPr>
          <w:szCs w:val="24"/>
          <w:lang w:eastAsia="en-US"/>
        </w:rPr>
      </w:pPr>
    </w:p>
    <w:p w14:paraId="5040BE2B" w14:textId="77777777" w:rsidR="002B2CFC" w:rsidRPr="00136301" w:rsidDel="00072FD7" w:rsidRDefault="00B7462F" w:rsidP="002B2CFC">
      <w:pPr>
        <w:rPr>
          <w:szCs w:val="24"/>
          <w:highlight w:val="cyan"/>
          <w:lang w:eastAsia="en-US"/>
        </w:rPr>
      </w:pPr>
      <w:r w:rsidRPr="00285094" w:rsidDel="00072FD7">
        <w:rPr>
          <w:szCs w:val="24"/>
          <w:lang w:eastAsia="en-US"/>
        </w:rPr>
        <w:t xml:space="preserve">Faucheux BA, Martin ME, Beaumont C, Hauw JJ, Agid Y &amp; Hirsch EC (2003) Neuromelanin assiciated redox-active iron is increased in the substantia nigra of patients with parkinson’s disease. </w:t>
      </w:r>
      <w:r w:rsidRPr="00E84F6E" w:rsidDel="00072FD7">
        <w:rPr>
          <w:i/>
          <w:szCs w:val="24"/>
          <w:lang w:eastAsia="en-US"/>
        </w:rPr>
        <w:t>J. Neurochem</w:t>
      </w:r>
      <w:r w:rsidRPr="00285094" w:rsidDel="00072FD7">
        <w:rPr>
          <w:szCs w:val="24"/>
          <w:lang w:eastAsia="en-US"/>
        </w:rPr>
        <w:t xml:space="preserve">. </w:t>
      </w:r>
      <w:r w:rsidRPr="00E84F6E" w:rsidDel="00072FD7">
        <w:rPr>
          <w:b/>
          <w:szCs w:val="24"/>
          <w:lang w:eastAsia="en-US"/>
        </w:rPr>
        <w:t>86</w:t>
      </w:r>
      <w:r w:rsidRPr="00285094" w:rsidDel="00072FD7">
        <w:rPr>
          <w:szCs w:val="24"/>
          <w:lang w:eastAsia="en-US"/>
        </w:rPr>
        <w:t>:1142-8.</w:t>
      </w:r>
    </w:p>
    <w:p w14:paraId="5ECC5042" w14:textId="77777777" w:rsidR="00B7462F" w:rsidRDefault="00B7462F" w:rsidP="002B2CFC">
      <w:pPr>
        <w:rPr>
          <w:szCs w:val="24"/>
          <w:lang w:eastAsia="en-US"/>
        </w:rPr>
      </w:pPr>
    </w:p>
    <w:p w14:paraId="5F2FEF9B" w14:textId="77777777" w:rsidR="002B2CFC" w:rsidRPr="00136301" w:rsidDel="00072FD7" w:rsidRDefault="002B2CFC" w:rsidP="002B2CFC">
      <w:pPr>
        <w:rPr>
          <w:szCs w:val="24"/>
          <w:highlight w:val="cyan"/>
          <w:lang w:eastAsia="en-US"/>
        </w:rPr>
      </w:pPr>
      <w:r w:rsidRPr="00FE6941" w:rsidDel="00072FD7">
        <w:rPr>
          <w:szCs w:val="24"/>
          <w:lang w:eastAsia="en-US"/>
        </w:rPr>
        <w:t xml:space="preserve">Fedorow H, Tribl F, Halliday G, Gerlach M, Riederer P &amp; Double K (2005). Neuromelanin in human dopamine neurons: Comparison with peripheral melanins and relevance to Parkinson’s disease. </w:t>
      </w:r>
      <w:r w:rsidRPr="00E84F6E" w:rsidDel="00072FD7">
        <w:rPr>
          <w:i/>
          <w:szCs w:val="24"/>
          <w:lang w:eastAsia="en-US"/>
        </w:rPr>
        <w:t>Prog. Neurobiol</w:t>
      </w:r>
      <w:r w:rsidRPr="00FE6941" w:rsidDel="00072FD7">
        <w:rPr>
          <w:szCs w:val="24"/>
          <w:lang w:eastAsia="en-US"/>
        </w:rPr>
        <w:t xml:space="preserve">. </w:t>
      </w:r>
      <w:r w:rsidRPr="00E84F6E" w:rsidDel="00072FD7">
        <w:rPr>
          <w:b/>
          <w:szCs w:val="24"/>
          <w:lang w:eastAsia="en-US"/>
        </w:rPr>
        <w:t>75</w:t>
      </w:r>
      <w:r w:rsidRPr="00FE6941" w:rsidDel="00072FD7">
        <w:rPr>
          <w:szCs w:val="24"/>
          <w:lang w:eastAsia="en-US"/>
        </w:rPr>
        <w:t>:109-124.</w:t>
      </w:r>
    </w:p>
    <w:p w14:paraId="4D080245" w14:textId="77777777" w:rsidR="002B2CFC" w:rsidRPr="00136301" w:rsidDel="00072FD7" w:rsidRDefault="002B2CFC" w:rsidP="002B2CFC">
      <w:pPr>
        <w:rPr>
          <w:szCs w:val="24"/>
          <w:highlight w:val="cyan"/>
          <w:lang w:eastAsia="en-US"/>
        </w:rPr>
      </w:pPr>
    </w:p>
    <w:p w14:paraId="474BFFA9" w14:textId="77777777" w:rsidR="002B2CFC" w:rsidRDefault="002B2CFC" w:rsidP="002B2CFC">
      <w:pPr>
        <w:rPr>
          <w:szCs w:val="24"/>
          <w:lang w:eastAsia="en-US"/>
        </w:rPr>
      </w:pPr>
      <w:r w:rsidRPr="00285094" w:rsidDel="00072FD7">
        <w:rPr>
          <w:szCs w:val="24"/>
          <w:lang w:eastAsia="en-US"/>
        </w:rPr>
        <w:t>Fei Q, McCormack AL, Di Monte DA &amp; Ethell DW (2008)</w:t>
      </w:r>
      <w:r w:rsidRPr="00285094" w:rsidDel="00072FD7">
        <w:rPr>
          <w:szCs w:val="24"/>
          <w:u w:val="single"/>
          <w:lang w:eastAsia="en-US"/>
        </w:rPr>
        <w:t xml:space="preserve"> </w:t>
      </w:r>
      <w:r w:rsidRPr="00285094" w:rsidDel="00072FD7">
        <w:rPr>
          <w:szCs w:val="24"/>
          <w:lang w:eastAsia="en-US"/>
        </w:rPr>
        <w:t xml:space="preserve">Paraquat neurotoxicity is mediated by a Bak-dependent mechanism. </w:t>
      </w:r>
      <w:r w:rsidRPr="00E84F6E" w:rsidDel="00072FD7">
        <w:rPr>
          <w:i/>
          <w:szCs w:val="24"/>
          <w:lang w:eastAsia="en-US"/>
        </w:rPr>
        <w:t>J. Biol. Chem</w:t>
      </w:r>
      <w:r w:rsidRPr="00285094" w:rsidDel="00072FD7">
        <w:rPr>
          <w:szCs w:val="24"/>
          <w:lang w:eastAsia="en-US"/>
        </w:rPr>
        <w:t xml:space="preserve">. </w:t>
      </w:r>
      <w:r w:rsidRPr="00E84F6E" w:rsidDel="00072FD7">
        <w:rPr>
          <w:b/>
          <w:szCs w:val="24"/>
          <w:lang w:eastAsia="en-US"/>
        </w:rPr>
        <w:t>283</w:t>
      </w:r>
      <w:r w:rsidRPr="00285094" w:rsidDel="00072FD7">
        <w:rPr>
          <w:szCs w:val="24"/>
          <w:lang w:eastAsia="en-US"/>
        </w:rPr>
        <w:t>:3357-64.</w:t>
      </w:r>
    </w:p>
    <w:p w14:paraId="499BD421" w14:textId="77777777" w:rsidR="00B7462F" w:rsidRDefault="00B7462F" w:rsidP="002B2CFC">
      <w:pPr>
        <w:rPr>
          <w:szCs w:val="24"/>
          <w:lang w:eastAsia="en-US"/>
        </w:rPr>
      </w:pPr>
    </w:p>
    <w:p w14:paraId="7A25D8BE" w14:textId="77777777" w:rsidR="00B7462F" w:rsidRPr="00285094" w:rsidDel="00072FD7" w:rsidRDefault="00B7462F" w:rsidP="0084215F">
      <w:pPr>
        <w:rPr>
          <w:szCs w:val="24"/>
          <w:lang w:eastAsia="en-US"/>
        </w:rPr>
      </w:pPr>
      <w:r w:rsidRPr="00136301">
        <w:rPr>
          <w:color w:val="000000"/>
        </w:rPr>
        <w:t xml:space="preserve">Ferguson SA (1996) Neuroanatomical and functional alterations resulting from early postnatal cerebellar insults in rodents. </w:t>
      </w:r>
      <w:r w:rsidRPr="00E84F6E">
        <w:rPr>
          <w:i/>
          <w:color w:val="000000"/>
        </w:rPr>
        <w:t>Pharmacol Biochem Behav</w:t>
      </w:r>
      <w:r w:rsidRPr="00136301">
        <w:rPr>
          <w:color w:val="000000"/>
        </w:rPr>
        <w:t xml:space="preserve"> </w:t>
      </w:r>
      <w:r w:rsidRPr="00E84F6E">
        <w:rPr>
          <w:b/>
          <w:color w:val="000000"/>
        </w:rPr>
        <w:t>55</w:t>
      </w:r>
      <w:r w:rsidRPr="00136301">
        <w:rPr>
          <w:color w:val="000000"/>
        </w:rPr>
        <w:t>:663-671.</w:t>
      </w:r>
    </w:p>
    <w:p w14:paraId="18F8DA4D" w14:textId="77777777" w:rsidR="002B2CFC" w:rsidRPr="00E84F6E" w:rsidDel="00072FD7" w:rsidRDefault="002B2CFC" w:rsidP="002B2CFC">
      <w:pPr>
        <w:rPr>
          <w:b/>
          <w:szCs w:val="24"/>
          <w:highlight w:val="cyan"/>
          <w:lang w:val="en-US" w:eastAsia="en-US"/>
        </w:rPr>
      </w:pPr>
    </w:p>
    <w:p w14:paraId="1DDB7765" w14:textId="77777777" w:rsidR="002B2CFC" w:rsidRPr="00285094" w:rsidDel="00072FD7" w:rsidRDefault="002B2CFC" w:rsidP="002B2CFC">
      <w:pPr>
        <w:rPr>
          <w:szCs w:val="24"/>
          <w:lang w:val="en-US" w:eastAsia="en-US"/>
        </w:rPr>
      </w:pPr>
      <w:r w:rsidRPr="00285094" w:rsidDel="00072FD7">
        <w:rPr>
          <w:szCs w:val="24"/>
          <w:lang w:val="en-US" w:eastAsia="en-US"/>
        </w:rPr>
        <w:t xml:space="preserve">Forno LS (1996) Neuropathology of Parkinson’s disease. </w:t>
      </w:r>
      <w:r w:rsidRPr="00E84F6E" w:rsidDel="00072FD7">
        <w:rPr>
          <w:i/>
          <w:szCs w:val="24"/>
          <w:lang w:val="en-US" w:eastAsia="en-US"/>
        </w:rPr>
        <w:t xml:space="preserve">J. Neuropathol. Exp. Neurol. </w:t>
      </w:r>
      <w:r w:rsidRPr="00E84F6E" w:rsidDel="00072FD7">
        <w:rPr>
          <w:b/>
          <w:i/>
          <w:szCs w:val="24"/>
          <w:lang w:val="en-US" w:eastAsia="en-US"/>
        </w:rPr>
        <w:t>55</w:t>
      </w:r>
      <w:r w:rsidRPr="00E84F6E" w:rsidDel="00072FD7">
        <w:rPr>
          <w:i/>
          <w:szCs w:val="24"/>
          <w:lang w:val="en-US" w:eastAsia="en-US"/>
        </w:rPr>
        <w:t>:259-272</w:t>
      </w:r>
      <w:r w:rsidRPr="00285094" w:rsidDel="00072FD7">
        <w:rPr>
          <w:szCs w:val="24"/>
          <w:lang w:val="en-US" w:eastAsia="en-US"/>
        </w:rPr>
        <w:t xml:space="preserve">. (Cited by Yang </w:t>
      </w:r>
      <w:r w:rsidRPr="00285094" w:rsidDel="00072FD7">
        <w:rPr>
          <w:i/>
          <w:szCs w:val="24"/>
          <w:lang w:val="en-US" w:eastAsia="en-US"/>
        </w:rPr>
        <w:t>et al</w:t>
      </w:r>
      <w:r w:rsidRPr="00285094" w:rsidDel="00072FD7">
        <w:rPr>
          <w:szCs w:val="24"/>
          <w:lang w:val="en-US" w:eastAsia="en-US"/>
        </w:rPr>
        <w:t>, 2007).</w:t>
      </w:r>
    </w:p>
    <w:p w14:paraId="078012BF" w14:textId="77777777" w:rsidR="002B2CFC" w:rsidRPr="00136301" w:rsidDel="00072FD7" w:rsidRDefault="002B2CFC" w:rsidP="002B2CFC">
      <w:pPr>
        <w:rPr>
          <w:szCs w:val="24"/>
          <w:highlight w:val="cyan"/>
          <w:lang w:eastAsia="en-US"/>
        </w:rPr>
      </w:pPr>
    </w:p>
    <w:p w14:paraId="575BCD93" w14:textId="77777777" w:rsidR="002B2CFC" w:rsidRDefault="002B2CFC" w:rsidP="002B2CFC">
      <w:pPr>
        <w:rPr>
          <w:szCs w:val="24"/>
          <w:lang w:eastAsia="en-US"/>
        </w:rPr>
      </w:pPr>
      <w:r w:rsidRPr="00285094" w:rsidDel="00072FD7">
        <w:rPr>
          <w:szCs w:val="24"/>
          <w:lang w:eastAsia="en-US"/>
        </w:rPr>
        <w:lastRenderedPageBreak/>
        <w:t xml:space="preserve">Fredriksson A, Fredriksson M &amp; Eriksson P (1993) Neonatal exposure to paraquat or MPTP induces permanent changes in striatum dopamine and behaviour in adult mice. </w:t>
      </w:r>
      <w:r w:rsidRPr="00E84F6E" w:rsidDel="00072FD7">
        <w:rPr>
          <w:i/>
          <w:szCs w:val="24"/>
          <w:lang w:eastAsia="en-US"/>
        </w:rPr>
        <w:t>Toxicol. Appl. Pharmacol.</w:t>
      </w:r>
      <w:r w:rsidRPr="00285094" w:rsidDel="00072FD7">
        <w:rPr>
          <w:szCs w:val="24"/>
          <w:lang w:eastAsia="en-US"/>
        </w:rPr>
        <w:t xml:space="preserve"> </w:t>
      </w:r>
      <w:r w:rsidRPr="00E84F6E" w:rsidDel="00072FD7">
        <w:rPr>
          <w:b/>
          <w:szCs w:val="24"/>
          <w:lang w:eastAsia="en-US"/>
        </w:rPr>
        <w:t>122</w:t>
      </w:r>
      <w:r w:rsidRPr="00285094" w:rsidDel="00072FD7">
        <w:rPr>
          <w:szCs w:val="24"/>
          <w:lang w:eastAsia="en-US"/>
        </w:rPr>
        <w:t>: 258-264.</w:t>
      </w:r>
    </w:p>
    <w:p w14:paraId="77EA7656" w14:textId="77777777" w:rsidR="00B7462F" w:rsidRDefault="00B7462F" w:rsidP="002B2CFC">
      <w:pPr>
        <w:rPr>
          <w:szCs w:val="24"/>
          <w:lang w:eastAsia="en-US"/>
        </w:rPr>
      </w:pPr>
    </w:p>
    <w:p w14:paraId="78CABDB2" w14:textId="77777777" w:rsidR="00B7462F" w:rsidRPr="00285094" w:rsidDel="00072FD7" w:rsidRDefault="00B7462F" w:rsidP="0084215F">
      <w:pPr>
        <w:rPr>
          <w:szCs w:val="24"/>
          <w:lang w:eastAsia="en-US"/>
        </w:rPr>
      </w:pPr>
      <w:r w:rsidRPr="00136301">
        <w:rPr>
          <w:color w:val="000000"/>
        </w:rPr>
        <w:t>Glowinski J &amp; Iversen LL (1966) Regional studies of catecholamines in rat brain-I. The disposition of [</w:t>
      </w:r>
      <w:r w:rsidRPr="00136301">
        <w:rPr>
          <w:color w:val="000000"/>
          <w:vertAlign w:val="superscript"/>
        </w:rPr>
        <w:t>3</w:t>
      </w:r>
      <w:r w:rsidRPr="00136301">
        <w:rPr>
          <w:color w:val="000000"/>
        </w:rPr>
        <w:t>H]norepinephrine, [</w:t>
      </w:r>
      <w:r w:rsidRPr="00136301">
        <w:rPr>
          <w:color w:val="000000"/>
          <w:vertAlign w:val="superscript"/>
        </w:rPr>
        <w:t>3</w:t>
      </w:r>
      <w:r w:rsidRPr="00136301">
        <w:rPr>
          <w:color w:val="000000"/>
        </w:rPr>
        <w:t>H]dopamine, [</w:t>
      </w:r>
      <w:r w:rsidRPr="00136301">
        <w:rPr>
          <w:color w:val="000000"/>
          <w:vertAlign w:val="superscript"/>
        </w:rPr>
        <w:t>3</w:t>
      </w:r>
      <w:r w:rsidRPr="00136301">
        <w:rPr>
          <w:color w:val="000000"/>
        </w:rPr>
        <w:t>H]DOPA in various regions of the brain</w:t>
      </w:r>
      <w:r w:rsidRPr="00E84F6E">
        <w:rPr>
          <w:i/>
          <w:color w:val="000000"/>
        </w:rPr>
        <w:t>. J Neurochem</w:t>
      </w:r>
      <w:r w:rsidRPr="00136301">
        <w:rPr>
          <w:color w:val="000000"/>
        </w:rPr>
        <w:t xml:space="preserve"> </w:t>
      </w:r>
      <w:r w:rsidRPr="00E84F6E">
        <w:rPr>
          <w:b/>
          <w:color w:val="000000"/>
        </w:rPr>
        <w:t>13</w:t>
      </w:r>
      <w:r w:rsidRPr="00136301">
        <w:rPr>
          <w:color w:val="000000"/>
        </w:rPr>
        <w:t>: 655-669.</w:t>
      </w:r>
    </w:p>
    <w:p w14:paraId="14DC4AA1" w14:textId="77777777" w:rsidR="002B2CFC" w:rsidRPr="00136301" w:rsidDel="00072FD7" w:rsidRDefault="002B2CFC" w:rsidP="002B2CFC">
      <w:pPr>
        <w:rPr>
          <w:szCs w:val="24"/>
          <w:highlight w:val="cyan"/>
          <w:lang w:eastAsia="en-US"/>
        </w:rPr>
      </w:pPr>
    </w:p>
    <w:p w14:paraId="6227CACB" w14:textId="77777777" w:rsidR="002B2CFC" w:rsidRPr="00285094" w:rsidDel="00072FD7" w:rsidRDefault="002B2CFC" w:rsidP="002B2CFC">
      <w:pPr>
        <w:rPr>
          <w:szCs w:val="24"/>
          <w:lang w:eastAsia="en-US"/>
        </w:rPr>
      </w:pPr>
      <w:r w:rsidRPr="00285094" w:rsidDel="00072FD7">
        <w:rPr>
          <w:szCs w:val="24"/>
          <w:lang w:eastAsia="en-US"/>
        </w:rPr>
        <w:t xml:space="preserve">Hara S, Iwata N, Kuriiwa F, Kano S, Kawaguchi N &amp; Endo T (1993) Involvement of opioid receptors in shaking behaviour induced by paraquat in rats. </w:t>
      </w:r>
      <w:r w:rsidRPr="00E84F6E" w:rsidDel="00072FD7">
        <w:rPr>
          <w:i/>
          <w:szCs w:val="24"/>
          <w:lang w:eastAsia="en-US"/>
        </w:rPr>
        <w:t>Pharmacol. Toxicol</w:t>
      </w:r>
      <w:r w:rsidRPr="00285094" w:rsidDel="00072FD7">
        <w:rPr>
          <w:szCs w:val="24"/>
          <w:lang w:eastAsia="en-US"/>
        </w:rPr>
        <w:t xml:space="preserve">. </w:t>
      </w:r>
      <w:r w:rsidRPr="00E84F6E" w:rsidDel="00072FD7">
        <w:rPr>
          <w:b/>
          <w:szCs w:val="24"/>
          <w:lang w:eastAsia="en-US"/>
        </w:rPr>
        <w:t>73</w:t>
      </w:r>
      <w:r w:rsidRPr="00285094" w:rsidDel="00072FD7">
        <w:rPr>
          <w:szCs w:val="24"/>
          <w:lang w:eastAsia="en-US"/>
        </w:rPr>
        <w:t>: 146-149.</w:t>
      </w:r>
    </w:p>
    <w:p w14:paraId="2B9BB274" w14:textId="77777777" w:rsidR="002B2CFC" w:rsidRPr="00136301" w:rsidDel="00072FD7" w:rsidRDefault="002B2CFC" w:rsidP="002B2CFC">
      <w:pPr>
        <w:rPr>
          <w:color w:val="000000"/>
          <w:szCs w:val="24"/>
          <w:highlight w:val="cyan"/>
          <w:lang w:val="en-US" w:eastAsia="en-US"/>
        </w:rPr>
      </w:pPr>
    </w:p>
    <w:p w14:paraId="0F19C46A" w14:textId="77777777" w:rsidR="002B2CFC" w:rsidRPr="00285094" w:rsidDel="00072FD7" w:rsidRDefault="002B2CFC" w:rsidP="002B2CFC">
      <w:pPr>
        <w:rPr>
          <w:color w:val="000000"/>
          <w:szCs w:val="24"/>
          <w:lang w:val="en-US" w:eastAsia="en-US"/>
        </w:rPr>
      </w:pPr>
      <w:r w:rsidRPr="00285094" w:rsidDel="00072FD7">
        <w:rPr>
          <w:color w:val="000000"/>
          <w:szCs w:val="24"/>
          <w:lang w:val="en-US" w:eastAsia="en-US"/>
        </w:rPr>
        <w:t xml:space="preserve">Hertzman C, Wiens M, Bowering D, Snow B &amp; Caine D (1990) Parkinson's disease: a case-control study of occupational and environmental risk factors. </w:t>
      </w:r>
      <w:r w:rsidRPr="00E84F6E" w:rsidDel="00072FD7">
        <w:rPr>
          <w:i/>
          <w:color w:val="000000"/>
          <w:szCs w:val="24"/>
          <w:lang w:val="en-US" w:eastAsia="en-US"/>
        </w:rPr>
        <w:t>Am. J. Ind. Med.</w:t>
      </w:r>
      <w:r w:rsidRPr="00285094" w:rsidDel="00072FD7">
        <w:rPr>
          <w:color w:val="000000"/>
          <w:szCs w:val="24"/>
          <w:lang w:val="en-US" w:eastAsia="en-US"/>
        </w:rPr>
        <w:t xml:space="preserve"> </w:t>
      </w:r>
      <w:r w:rsidRPr="00E84F6E" w:rsidDel="00072FD7">
        <w:rPr>
          <w:b/>
          <w:color w:val="000000"/>
          <w:szCs w:val="24"/>
          <w:lang w:val="en-US" w:eastAsia="en-US"/>
        </w:rPr>
        <w:t>17</w:t>
      </w:r>
      <w:r w:rsidRPr="00285094" w:rsidDel="00072FD7">
        <w:rPr>
          <w:color w:val="000000"/>
          <w:szCs w:val="24"/>
          <w:lang w:val="en-US" w:eastAsia="en-US"/>
        </w:rPr>
        <w:t>(3):349-355.</w:t>
      </w:r>
    </w:p>
    <w:p w14:paraId="6A90D9CB" w14:textId="77777777" w:rsidR="002B2CFC" w:rsidRPr="00136301" w:rsidDel="00072FD7" w:rsidRDefault="002B2CFC" w:rsidP="002B2CFC">
      <w:pPr>
        <w:rPr>
          <w:color w:val="000000"/>
          <w:szCs w:val="24"/>
          <w:highlight w:val="cyan"/>
          <w:lang w:val="en-US" w:eastAsia="en-US"/>
        </w:rPr>
      </w:pPr>
    </w:p>
    <w:p w14:paraId="52001EEE" w14:textId="77777777" w:rsidR="002B2CFC" w:rsidRDefault="002B2CFC" w:rsidP="002B2CFC">
      <w:pPr>
        <w:rPr>
          <w:color w:val="000000"/>
          <w:szCs w:val="24"/>
          <w:lang w:val="en-US" w:eastAsia="en-US"/>
        </w:rPr>
      </w:pPr>
      <w:r w:rsidRPr="00285094" w:rsidDel="00072FD7">
        <w:rPr>
          <w:color w:val="000000"/>
          <w:szCs w:val="24"/>
          <w:lang w:val="en-US" w:eastAsia="en-US"/>
        </w:rPr>
        <w:t xml:space="preserve">Honoré, P, Hanston Ph, Fauville JPh, Peeters A &amp; Mahieu P (1994) Paraquat poisoning, ‘State of the Art’. </w:t>
      </w:r>
      <w:r w:rsidRPr="00E84F6E" w:rsidDel="00072FD7">
        <w:rPr>
          <w:i/>
          <w:color w:val="000000"/>
          <w:szCs w:val="24"/>
          <w:lang w:val="en-US" w:eastAsia="en-US"/>
        </w:rPr>
        <w:t>Acta Clinica Belgica</w:t>
      </w:r>
      <w:r w:rsidRPr="00285094" w:rsidDel="00072FD7">
        <w:rPr>
          <w:color w:val="000000"/>
          <w:szCs w:val="24"/>
          <w:lang w:val="en-US" w:eastAsia="en-US"/>
        </w:rPr>
        <w:t xml:space="preserve"> </w:t>
      </w:r>
      <w:r w:rsidRPr="00E84F6E" w:rsidDel="00072FD7">
        <w:rPr>
          <w:b/>
          <w:color w:val="000000"/>
          <w:szCs w:val="24"/>
          <w:lang w:val="en-US" w:eastAsia="en-US"/>
        </w:rPr>
        <w:t>49</w:t>
      </w:r>
      <w:r w:rsidRPr="00A817ED" w:rsidDel="00072FD7">
        <w:rPr>
          <w:color w:val="000000"/>
          <w:szCs w:val="24"/>
          <w:lang w:val="en-US" w:eastAsia="en-US"/>
        </w:rPr>
        <w:t>(</w:t>
      </w:r>
      <w:r w:rsidRPr="00285094" w:rsidDel="00072FD7">
        <w:rPr>
          <w:color w:val="000000"/>
          <w:szCs w:val="24"/>
          <w:lang w:val="en-US" w:eastAsia="en-US"/>
        </w:rPr>
        <w:t>5): 220-228.</w:t>
      </w:r>
    </w:p>
    <w:p w14:paraId="69AF76A9" w14:textId="77777777" w:rsidR="00901928" w:rsidRPr="00136301" w:rsidRDefault="00901928" w:rsidP="002B2CFC">
      <w:pPr>
        <w:rPr>
          <w:color w:val="000000"/>
          <w:szCs w:val="24"/>
          <w:highlight w:val="cyan"/>
          <w:lang w:val="en-US" w:eastAsia="en-US"/>
        </w:rPr>
      </w:pPr>
    </w:p>
    <w:p w14:paraId="0B68284F" w14:textId="77777777" w:rsidR="00DC0FA1" w:rsidRPr="00136301" w:rsidRDefault="00DC0FA1" w:rsidP="00DC0FA1">
      <w:pPr>
        <w:rPr>
          <w:color w:val="000000"/>
        </w:rPr>
      </w:pPr>
      <w:r w:rsidRPr="00136301">
        <w:rPr>
          <w:color w:val="000000"/>
        </w:rPr>
        <w:t xml:space="preserve">Hughes JT (1988) Brain damage due to paraquat poisoning: A fatal case with neuropathological examination of the brain. </w:t>
      </w:r>
      <w:r w:rsidRPr="00E84F6E">
        <w:rPr>
          <w:i/>
          <w:color w:val="000000"/>
        </w:rPr>
        <w:t>Neurotoxicol</w:t>
      </w:r>
      <w:r w:rsidRPr="00136301">
        <w:rPr>
          <w:color w:val="000000"/>
        </w:rPr>
        <w:t xml:space="preserve"> </w:t>
      </w:r>
      <w:r w:rsidRPr="00E84F6E">
        <w:rPr>
          <w:b/>
          <w:color w:val="000000"/>
        </w:rPr>
        <w:t>9</w:t>
      </w:r>
      <w:r w:rsidRPr="00136301">
        <w:rPr>
          <w:color w:val="000000"/>
        </w:rPr>
        <w:t>(2): 243-248.</w:t>
      </w:r>
    </w:p>
    <w:p w14:paraId="35DF1C4B" w14:textId="77777777" w:rsidR="00DC0FA1" w:rsidRPr="00136301" w:rsidDel="00072FD7" w:rsidRDefault="00DC0FA1" w:rsidP="002B2CFC">
      <w:pPr>
        <w:rPr>
          <w:szCs w:val="24"/>
          <w:highlight w:val="cyan"/>
          <w:lang w:eastAsia="en-US"/>
        </w:rPr>
      </w:pPr>
    </w:p>
    <w:p w14:paraId="4B4D288F" w14:textId="77777777" w:rsidR="002B2CFC" w:rsidRPr="00136301" w:rsidRDefault="000002B0" w:rsidP="002B2CFC">
      <w:pPr>
        <w:rPr>
          <w:iCs/>
          <w:szCs w:val="24"/>
          <w:lang w:eastAsia="en-US"/>
        </w:rPr>
      </w:pPr>
      <w:r w:rsidRPr="00136301">
        <w:rPr>
          <w:iCs/>
          <w:szCs w:val="24"/>
          <w:lang w:eastAsia="en-US"/>
        </w:rPr>
        <w:t xml:space="preserve">JMPR (2003) </w:t>
      </w:r>
      <w:r w:rsidR="002D4EC0" w:rsidRPr="00136301">
        <w:rPr>
          <w:iCs/>
          <w:szCs w:val="24"/>
          <w:lang w:eastAsia="en-US"/>
        </w:rPr>
        <w:t xml:space="preserve">Pesticide residues in food- Joint FAO/WHO Meeting on Pesticide Residues: </w:t>
      </w:r>
      <w:r w:rsidRPr="00136301">
        <w:rPr>
          <w:iCs/>
          <w:szCs w:val="24"/>
          <w:lang w:eastAsia="en-US"/>
        </w:rPr>
        <w:t>Paraquat</w:t>
      </w:r>
      <w:r w:rsidR="002D4EC0" w:rsidRPr="00136301">
        <w:rPr>
          <w:iCs/>
          <w:szCs w:val="24"/>
          <w:lang w:eastAsia="en-US"/>
        </w:rPr>
        <w:t>.</w:t>
      </w:r>
    </w:p>
    <w:p w14:paraId="6A19E271" w14:textId="77777777" w:rsidR="002D4EC0" w:rsidRPr="00136301" w:rsidDel="00072FD7" w:rsidRDefault="002D4EC0" w:rsidP="002B2CFC">
      <w:pPr>
        <w:rPr>
          <w:iCs/>
          <w:szCs w:val="24"/>
          <w:highlight w:val="cyan"/>
          <w:lang w:eastAsia="en-US"/>
        </w:rPr>
      </w:pPr>
    </w:p>
    <w:p w14:paraId="7E1109D9" w14:textId="77777777" w:rsidR="002B2CFC" w:rsidRDefault="002B2CFC" w:rsidP="002B2CFC">
      <w:pPr>
        <w:rPr>
          <w:szCs w:val="24"/>
          <w:lang w:val="en-US" w:eastAsia="en-US"/>
        </w:rPr>
      </w:pPr>
      <w:r w:rsidRPr="00285094" w:rsidDel="00072FD7">
        <w:rPr>
          <w:szCs w:val="24"/>
          <w:lang w:val="en-US" w:eastAsia="en-US"/>
        </w:rPr>
        <w:t xml:space="preserve">Kamel F, Tanner CM, Umbach DM, Hoppin JA, Blair A, Comyns K, Goldman SM, Korell M, Langston JW, Ross GW, Sandler DP (2007). </w:t>
      </w:r>
      <w:r w:rsidR="00285094">
        <w:rPr>
          <w:szCs w:val="24"/>
          <w:lang w:val="en-US" w:eastAsia="en-US"/>
        </w:rPr>
        <w:t xml:space="preserve">Pesticide exposure and self-reported Parkinson’s disease in the agricultural health study. </w:t>
      </w:r>
      <w:r w:rsidRPr="00E84F6E" w:rsidDel="00072FD7">
        <w:rPr>
          <w:i/>
          <w:szCs w:val="24"/>
          <w:lang w:val="en-US" w:eastAsia="en-US"/>
        </w:rPr>
        <w:t>Am. J. Epidemiol.</w:t>
      </w:r>
      <w:r w:rsidRPr="00285094" w:rsidDel="00072FD7">
        <w:rPr>
          <w:szCs w:val="24"/>
          <w:lang w:val="en-US" w:eastAsia="en-US"/>
        </w:rPr>
        <w:t xml:space="preserve"> </w:t>
      </w:r>
      <w:r w:rsidRPr="00E84F6E" w:rsidDel="00072FD7">
        <w:rPr>
          <w:b/>
          <w:szCs w:val="24"/>
          <w:lang w:val="en-US" w:eastAsia="en-US"/>
        </w:rPr>
        <w:t>165</w:t>
      </w:r>
      <w:r w:rsidRPr="00285094" w:rsidDel="00072FD7">
        <w:rPr>
          <w:szCs w:val="24"/>
          <w:lang w:val="en-US" w:eastAsia="en-US"/>
        </w:rPr>
        <w:t>:364-374.</w:t>
      </w:r>
    </w:p>
    <w:p w14:paraId="6EB3D33F" w14:textId="77777777" w:rsidR="00E84F6E" w:rsidRDefault="00E84F6E" w:rsidP="002B2CFC">
      <w:pPr>
        <w:rPr>
          <w:iCs/>
          <w:szCs w:val="24"/>
          <w:lang w:eastAsia="en-US"/>
        </w:rPr>
      </w:pPr>
    </w:p>
    <w:p w14:paraId="03BC1D30" w14:textId="77777777" w:rsidR="00B7462F" w:rsidRPr="00136301" w:rsidRDefault="00B7462F" w:rsidP="00B7462F">
      <w:pPr>
        <w:rPr>
          <w:color w:val="000000"/>
        </w:rPr>
      </w:pPr>
      <w:r w:rsidRPr="00136301">
        <w:rPr>
          <w:color w:val="000000"/>
        </w:rPr>
        <w:t xml:space="preserve">Koenig H, Goldstone AD &amp; Lu CY (1983) Blood brain barrier breakdown in brain edema following cold injury is mediated by microvascular polyamines. </w:t>
      </w:r>
      <w:r w:rsidRPr="00E84F6E">
        <w:rPr>
          <w:i/>
          <w:color w:val="000000"/>
        </w:rPr>
        <w:t>Biochem Biophys Res Commun.</w:t>
      </w:r>
      <w:r w:rsidRPr="00136301">
        <w:rPr>
          <w:color w:val="000000"/>
        </w:rPr>
        <w:t xml:space="preserve"> </w:t>
      </w:r>
      <w:r w:rsidRPr="00E84F6E">
        <w:rPr>
          <w:b/>
          <w:color w:val="000000"/>
        </w:rPr>
        <w:t>116</w:t>
      </w:r>
      <w:r w:rsidRPr="00136301">
        <w:rPr>
          <w:color w:val="000000"/>
        </w:rPr>
        <w:t>: 1039-1048.</w:t>
      </w:r>
    </w:p>
    <w:p w14:paraId="62B8734E" w14:textId="77777777" w:rsidR="00B7462F" w:rsidRPr="00136301" w:rsidDel="00072FD7" w:rsidRDefault="00B7462F" w:rsidP="002B2CFC">
      <w:pPr>
        <w:rPr>
          <w:iCs/>
          <w:szCs w:val="24"/>
          <w:highlight w:val="cyan"/>
          <w:lang w:eastAsia="en-US"/>
        </w:rPr>
      </w:pPr>
    </w:p>
    <w:p w14:paraId="592C725E" w14:textId="77777777" w:rsidR="002B2CFC" w:rsidRPr="00456D68" w:rsidDel="00072FD7" w:rsidRDefault="002B2CFC" w:rsidP="002B2CFC">
      <w:pPr>
        <w:rPr>
          <w:szCs w:val="24"/>
          <w:lang w:val="en-US" w:eastAsia="en-US"/>
        </w:rPr>
      </w:pPr>
      <w:r w:rsidRPr="00456D68" w:rsidDel="00072FD7">
        <w:rPr>
          <w:szCs w:val="24"/>
          <w:lang w:eastAsia="en-US"/>
        </w:rPr>
        <w:t xml:space="preserve">Kuter K, Smiałowska M, Wierońska J, Zieba B, Wardas J, Pietraszek M, Nowak P, Biedka I, Roczniak W, Konieczny J, Wolfarth S &amp; Ossowska K (2007) Toxic influence of subchronic paraquat administration on dopaminergic neurons in rats. </w:t>
      </w:r>
      <w:r w:rsidRPr="00E84F6E" w:rsidDel="00072FD7">
        <w:rPr>
          <w:i/>
          <w:szCs w:val="24"/>
          <w:lang w:eastAsia="en-US"/>
        </w:rPr>
        <w:t>Brain Res</w:t>
      </w:r>
      <w:r w:rsidRPr="00456D68" w:rsidDel="00072FD7">
        <w:rPr>
          <w:szCs w:val="24"/>
          <w:lang w:eastAsia="en-US"/>
        </w:rPr>
        <w:t xml:space="preserve">. </w:t>
      </w:r>
      <w:r w:rsidRPr="00E84F6E" w:rsidDel="00072FD7">
        <w:rPr>
          <w:b/>
          <w:szCs w:val="24"/>
          <w:lang w:eastAsia="en-US"/>
        </w:rPr>
        <w:t>25</w:t>
      </w:r>
      <w:r w:rsidRPr="00456D68" w:rsidDel="00072FD7">
        <w:rPr>
          <w:szCs w:val="24"/>
          <w:lang w:eastAsia="en-US"/>
        </w:rPr>
        <w:t xml:space="preserve">;1155:196-207. </w:t>
      </w:r>
    </w:p>
    <w:p w14:paraId="192C63BB" w14:textId="77777777" w:rsidR="002B2CFC" w:rsidRPr="00136301" w:rsidDel="00072FD7" w:rsidRDefault="002B2CFC" w:rsidP="002B2CFC">
      <w:pPr>
        <w:rPr>
          <w:szCs w:val="24"/>
          <w:highlight w:val="cyan"/>
          <w:lang w:eastAsia="en-US"/>
        </w:rPr>
      </w:pPr>
    </w:p>
    <w:p w14:paraId="56FABFC5" w14:textId="77777777" w:rsidR="002B2CFC" w:rsidRPr="00456D68" w:rsidDel="00072FD7" w:rsidRDefault="002B2CFC" w:rsidP="002B2CFC">
      <w:pPr>
        <w:rPr>
          <w:szCs w:val="24"/>
          <w:lang w:eastAsia="en-US"/>
        </w:rPr>
      </w:pPr>
      <w:r w:rsidRPr="00A25122" w:rsidDel="00072FD7">
        <w:rPr>
          <w:szCs w:val="24"/>
          <w:lang w:eastAsia="en-US"/>
        </w:rPr>
        <w:t xml:space="preserve">Lang AE &amp; Lozano AM (1998) Parkinson’s disease. Second of two parts. </w:t>
      </w:r>
      <w:r w:rsidRPr="00E84F6E" w:rsidDel="00072FD7">
        <w:rPr>
          <w:i/>
          <w:szCs w:val="24"/>
          <w:lang w:eastAsia="en-US"/>
        </w:rPr>
        <w:t>N. Engl. J. Med</w:t>
      </w:r>
      <w:r w:rsidRPr="00A25122" w:rsidDel="00072FD7">
        <w:rPr>
          <w:szCs w:val="24"/>
          <w:lang w:eastAsia="en-US"/>
        </w:rPr>
        <w:t xml:space="preserve">. </w:t>
      </w:r>
      <w:r w:rsidRPr="00E84F6E" w:rsidDel="00072FD7">
        <w:rPr>
          <w:b/>
          <w:szCs w:val="24"/>
          <w:lang w:eastAsia="en-US"/>
        </w:rPr>
        <w:t>339</w:t>
      </w:r>
      <w:r w:rsidRPr="00A25122" w:rsidDel="00072FD7">
        <w:rPr>
          <w:szCs w:val="24"/>
          <w:lang w:eastAsia="en-US"/>
        </w:rPr>
        <w:t xml:space="preserve">:1130-1143. (Cited by Yang </w:t>
      </w:r>
      <w:r w:rsidRPr="00A25122" w:rsidDel="00072FD7">
        <w:rPr>
          <w:i/>
          <w:szCs w:val="24"/>
          <w:lang w:eastAsia="en-US"/>
        </w:rPr>
        <w:t>et al</w:t>
      </w:r>
      <w:r w:rsidR="00120920" w:rsidRPr="00A25122">
        <w:rPr>
          <w:szCs w:val="24"/>
          <w:lang w:eastAsia="en-US"/>
        </w:rPr>
        <w:t>,</w:t>
      </w:r>
      <w:r w:rsidRPr="00A25122" w:rsidDel="00072FD7">
        <w:rPr>
          <w:szCs w:val="24"/>
          <w:lang w:eastAsia="en-US"/>
        </w:rPr>
        <w:t xml:space="preserve"> 2007).</w:t>
      </w:r>
    </w:p>
    <w:p w14:paraId="6C9BC34D" w14:textId="77777777" w:rsidR="002B2CFC" w:rsidRPr="00136301" w:rsidDel="00072FD7" w:rsidRDefault="002B2CFC" w:rsidP="002B2CFC">
      <w:pPr>
        <w:rPr>
          <w:szCs w:val="24"/>
          <w:highlight w:val="cyan"/>
          <w:lang w:eastAsia="en-US"/>
        </w:rPr>
      </w:pPr>
    </w:p>
    <w:p w14:paraId="2EA05FE7" w14:textId="77777777" w:rsidR="002B2CFC" w:rsidRPr="00456D68" w:rsidDel="00072FD7" w:rsidRDefault="002B2CFC" w:rsidP="002B2CFC">
      <w:pPr>
        <w:rPr>
          <w:szCs w:val="24"/>
          <w:lang w:eastAsia="en-US"/>
        </w:rPr>
      </w:pPr>
      <w:r w:rsidRPr="00456D68" w:rsidDel="00072FD7">
        <w:rPr>
          <w:szCs w:val="24"/>
          <w:lang w:eastAsia="en-US"/>
        </w:rPr>
        <w:t xml:space="preserve">Langston JW (1996) The etiology of Parkinson’s disease with emphasis on the MPTP story. </w:t>
      </w:r>
      <w:r w:rsidRPr="00E84F6E" w:rsidDel="00072FD7">
        <w:rPr>
          <w:i/>
          <w:szCs w:val="24"/>
          <w:lang w:eastAsia="en-US"/>
        </w:rPr>
        <w:t>Neurol</w:t>
      </w:r>
      <w:r w:rsidRPr="00456D68" w:rsidDel="00072FD7">
        <w:rPr>
          <w:szCs w:val="24"/>
          <w:lang w:eastAsia="en-US"/>
        </w:rPr>
        <w:t xml:space="preserve">., </w:t>
      </w:r>
      <w:r w:rsidRPr="00E84F6E" w:rsidDel="00072FD7">
        <w:rPr>
          <w:b/>
          <w:szCs w:val="24"/>
          <w:lang w:eastAsia="en-US"/>
        </w:rPr>
        <w:t>47</w:t>
      </w:r>
      <w:r w:rsidRPr="00456D68" w:rsidDel="00072FD7">
        <w:rPr>
          <w:szCs w:val="24"/>
          <w:lang w:eastAsia="en-US"/>
        </w:rPr>
        <w:t>:S153-S160. (Cited in Uversky 2004)</w:t>
      </w:r>
    </w:p>
    <w:p w14:paraId="598BEF5E" w14:textId="77777777" w:rsidR="002B2CFC" w:rsidRPr="00136301" w:rsidDel="00072FD7" w:rsidRDefault="002B2CFC" w:rsidP="002B2CFC">
      <w:pPr>
        <w:rPr>
          <w:szCs w:val="24"/>
          <w:highlight w:val="cyan"/>
          <w:lang w:eastAsia="en-US"/>
        </w:rPr>
      </w:pPr>
    </w:p>
    <w:p w14:paraId="686AC9CE" w14:textId="77777777" w:rsidR="002B2CFC" w:rsidRPr="00456D68" w:rsidDel="00072FD7" w:rsidRDefault="002B2CFC" w:rsidP="002B2CFC">
      <w:pPr>
        <w:rPr>
          <w:szCs w:val="24"/>
          <w:lang w:eastAsia="en-US"/>
        </w:rPr>
      </w:pPr>
      <w:r w:rsidRPr="00456D68" w:rsidDel="00072FD7">
        <w:rPr>
          <w:szCs w:val="24"/>
          <w:lang w:eastAsia="en-US"/>
        </w:rPr>
        <w:t xml:space="preserve">Langston JW &amp; Ballard PA (1983) Parkinson’s disease in a chemist working with 1-methyl-4-phenyl-1,2,5,6-tetrahydropyridone. </w:t>
      </w:r>
      <w:r w:rsidRPr="00E84F6E" w:rsidDel="00072FD7">
        <w:rPr>
          <w:i/>
          <w:szCs w:val="24"/>
          <w:lang w:eastAsia="en-US"/>
        </w:rPr>
        <w:t>N. Engl. J. Med.</w:t>
      </w:r>
      <w:r w:rsidRPr="00456D68" w:rsidDel="00072FD7">
        <w:rPr>
          <w:szCs w:val="24"/>
          <w:lang w:eastAsia="en-US"/>
        </w:rPr>
        <w:t xml:space="preserve"> </w:t>
      </w:r>
      <w:r w:rsidRPr="00E84F6E" w:rsidDel="00072FD7">
        <w:rPr>
          <w:b/>
          <w:szCs w:val="24"/>
          <w:lang w:eastAsia="en-US"/>
        </w:rPr>
        <w:t>309</w:t>
      </w:r>
      <w:r w:rsidRPr="00456D68" w:rsidDel="00072FD7">
        <w:rPr>
          <w:szCs w:val="24"/>
          <w:lang w:eastAsia="en-US"/>
        </w:rPr>
        <w:t xml:space="preserve">:310. </w:t>
      </w:r>
    </w:p>
    <w:p w14:paraId="63CCC9D0" w14:textId="77777777" w:rsidR="002B2CFC" w:rsidRPr="00136301" w:rsidDel="00072FD7" w:rsidRDefault="002B2CFC" w:rsidP="002B2CFC">
      <w:pPr>
        <w:rPr>
          <w:szCs w:val="24"/>
          <w:highlight w:val="cyan"/>
          <w:lang w:eastAsia="en-US"/>
        </w:rPr>
      </w:pPr>
    </w:p>
    <w:p w14:paraId="42671292" w14:textId="77777777" w:rsidR="002B2CFC" w:rsidRPr="00456D68" w:rsidDel="00072FD7" w:rsidRDefault="002B2CFC" w:rsidP="002B2CFC">
      <w:pPr>
        <w:rPr>
          <w:szCs w:val="24"/>
          <w:lang w:eastAsia="en-US"/>
        </w:rPr>
      </w:pPr>
      <w:r w:rsidRPr="00456D68" w:rsidDel="00072FD7">
        <w:rPr>
          <w:szCs w:val="24"/>
          <w:lang w:eastAsia="en-US"/>
        </w:rPr>
        <w:t xml:space="preserve">Langston JW, Ballard P, Tetrud JW &amp; Irwin I (1983) Chronic parkinsonism in humans due to a product of meperidine-analog synthesis. </w:t>
      </w:r>
      <w:r w:rsidRPr="00E84F6E" w:rsidDel="00072FD7">
        <w:rPr>
          <w:i/>
          <w:szCs w:val="24"/>
          <w:lang w:eastAsia="en-US"/>
        </w:rPr>
        <w:t>Science</w:t>
      </w:r>
      <w:r w:rsidRPr="00456D68" w:rsidDel="00072FD7">
        <w:rPr>
          <w:szCs w:val="24"/>
          <w:lang w:eastAsia="en-US"/>
        </w:rPr>
        <w:t xml:space="preserve"> </w:t>
      </w:r>
      <w:r w:rsidRPr="00E84F6E" w:rsidDel="00072FD7">
        <w:rPr>
          <w:b/>
          <w:szCs w:val="24"/>
          <w:lang w:eastAsia="en-US"/>
        </w:rPr>
        <w:t>219</w:t>
      </w:r>
      <w:r w:rsidRPr="00456D68" w:rsidDel="00072FD7">
        <w:rPr>
          <w:szCs w:val="24"/>
          <w:lang w:eastAsia="en-US"/>
        </w:rPr>
        <w:t xml:space="preserve">:979-980. </w:t>
      </w:r>
    </w:p>
    <w:p w14:paraId="074034FF" w14:textId="77777777" w:rsidR="002B2CFC" w:rsidRPr="00136301" w:rsidDel="00072FD7" w:rsidRDefault="002B2CFC" w:rsidP="002B2CFC">
      <w:pPr>
        <w:rPr>
          <w:szCs w:val="24"/>
          <w:highlight w:val="cyan"/>
          <w:lang w:eastAsia="en-US"/>
        </w:rPr>
      </w:pPr>
    </w:p>
    <w:p w14:paraId="453DD8D4" w14:textId="77777777" w:rsidR="002B2CFC" w:rsidRPr="00456D68" w:rsidRDefault="002B2CFC" w:rsidP="002B2CFC">
      <w:pPr>
        <w:rPr>
          <w:szCs w:val="24"/>
          <w:lang w:val="en-US" w:eastAsia="en-US"/>
        </w:rPr>
      </w:pPr>
      <w:r w:rsidRPr="00456D68">
        <w:rPr>
          <w:szCs w:val="24"/>
          <w:lang w:val="en-US" w:eastAsia="en-US"/>
        </w:rPr>
        <w:lastRenderedPageBreak/>
        <w:t xml:space="preserve">Lee K, Park EK, Stoecklin-Marois M, </w:t>
      </w:r>
      <w:r w:rsidRPr="00456D68">
        <w:rPr>
          <w:i/>
          <w:szCs w:val="24"/>
          <w:lang w:val="en-US" w:eastAsia="en-US"/>
        </w:rPr>
        <w:t>et al</w:t>
      </w:r>
      <w:r w:rsidRPr="00456D68">
        <w:rPr>
          <w:szCs w:val="24"/>
          <w:lang w:val="en-US" w:eastAsia="en-US"/>
        </w:rPr>
        <w:t xml:space="preserve"> (2009) Occupational paraquat exposure of agricultural workers in large Costa Rican farms. </w:t>
      </w:r>
      <w:r w:rsidRPr="00E84F6E">
        <w:rPr>
          <w:i/>
          <w:szCs w:val="24"/>
          <w:lang w:val="en-US" w:eastAsia="en-US"/>
        </w:rPr>
        <w:t>Int Arch Occup Environ Health.</w:t>
      </w:r>
      <w:r w:rsidRPr="00456D68">
        <w:rPr>
          <w:szCs w:val="24"/>
          <w:lang w:val="en-US" w:eastAsia="en-US"/>
        </w:rPr>
        <w:t xml:space="preserve"> 2009;</w:t>
      </w:r>
      <w:r w:rsidRPr="00E84F6E">
        <w:rPr>
          <w:b/>
          <w:szCs w:val="24"/>
          <w:lang w:val="en-US" w:eastAsia="en-US"/>
        </w:rPr>
        <w:t>82</w:t>
      </w:r>
      <w:r w:rsidRPr="00456D68">
        <w:rPr>
          <w:szCs w:val="24"/>
          <w:lang w:val="en-US" w:eastAsia="en-US"/>
        </w:rPr>
        <w:t xml:space="preserve">:455-62 (cited in Tomenson </w:t>
      </w:r>
      <w:r w:rsidRPr="00456D68">
        <w:rPr>
          <w:i/>
          <w:szCs w:val="24"/>
          <w:lang w:val="en-US" w:eastAsia="en-US"/>
        </w:rPr>
        <w:t>et al</w:t>
      </w:r>
      <w:r w:rsidRPr="00456D68">
        <w:rPr>
          <w:szCs w:val="24"/>
          <w:lang w:val="en-US" w:eastAsia="en-US"/>
        </w:rPr>
        <w:t>, 2011).</w:t>
      </w:r>
    </w:p>
    <w:p w14:paraId="70B40DB6" w14:textId="77777777" w:rsidR="002B2CFC" w:rsidRPr="00136301" w:rsidDel="00072FD7" w:rsidRDefault="002B2CFC" w:rsidP="002B2CFC">
      <w:pPr>
        <w:rPr>
          <w:szCs w:val="24"/>
          <w:highlight w:val="cyan"/>
          <w:lang w:eastAsia="en-US"/>
        </w:rPr>
      </w:pPr>
    </w:p>
    <w:p w14:paraId="467EF102" w14:textId="77777777" w:rsidR="002B2CFC" w:rsidRPr="00391498" w:rsidDel="00072FD7" w:rsidRDefault="002B2CFC" w:rsidP="002B2CFC">
      <w:pPr>
        <w:rPr>
          <w:color w:val="000000"/>
          <w:szCs w:val="24"/>
          <w:lang w:val="en-US" w:eastAsia="en-US"/>
        </w:rPr>
      </w:pPr>
      <w:r w:rsidRPr="00391498" w:rsidDel="00072FD7">
        <w:rPr>
          <w:color w:val="000000"/>
          <w:szCs w:val="24"/>
          <w:lang w:val="en-US" w:eastAsia="en-US"/>
        </w:rPr>
        <w:t xml:space="preserve">Li AA, Mink PJ, McIntosh LJ, Teta MJ &amp; Finley B (2005) Evaluation of epidemiologic and animal data associating pesticides with Parkinson’s disease. </w:t>
      </w:r>
      <w:r w:rsidRPr="00E84F6E" w:rsidDel="00072FD7">
        <w:rPr>
          <w:i/>
          <w:color w:val="000000"/>
          <w:szCs w:val="24"/>
          <w:lang w:val="en-US" w:eastAsia="en-US"/>
        </w:rPr>
        <w:t>J. Occup. Environ. Med.</w:t>
      </w:r>
      <w:r w:rsidRPr="00391498" w:rsidDel="00072FD7">
        <w:rPr>
          <w:color w:val="000000"/>
          <w:szCs w:val="24"/>
          <w:lang w:val="en-US" w:eastAsia="en-US"/>
        </w:rPr>
        <w:t xml:space="preserve"> </w:t>
      </w:r>
      <w:r w:rsidRPr="00E84F6E" w:rsidDel="00072FD7">
        <w:rPr>
          <w:b/>
          <w:color w:val="000000"/>
          <w:szCs w:val="24"/>
          <w:lang w:val="en-US" w:eastAsia="en-US"/>
        </w:rPr>
        <w:t>47</w:t>
      </w:r>
      <w:r w:rsidRPr="00391498" w:rsidDel="00072FD7">
        <w:rPr>
          <w:color w:val="000000"/>
          <w:szCs w:val="24"/>
          <w:lang w:val="en-US" w:eastAsia="en-US"/>
        </w:rPr>
        <w:t xml:space="preserve">:1059-1087. </w:t>
      </w:r>
    </w:p>
    <w:p w14:paraId="0EF0B72A" w14:textId="77777777" w:rsidR="002B2CFC" w:rsidRPr="00136301" w:rsidDel="00072FD7" w:rsidRDefault="002B2CFC" w:rsidP="002B2CFC">
      <w:pPr>
        <w:rPr>
          <w:szCs w:val="24"/>
          <w:highlight w:val="cyan"/>
          <w:lang w:eastAsia="en-US"/>
        </w:rPr>
      </w:pPr>
    </w:p>
    <w:p w14:paraId="43AF8D24" w14:textId="77777777" w:rsidR="002B2CFC" w:rsidRPr="00391498" w:rsidDel="00072FD7" w:rsidRDefault="002B2CFC" w:rsidP="002B2CFC">
      <w:pPr>
        <w:rPr>
          <w:szCs w:val="24"/>
          <w:lang w:eastAsia="en-US"/>
        </w:rPr>
      </w:pPr>
      <w:r w:rsidRPr="00391498" w:rsidDel="00072FD7">
        <w:rPr>
          <w:szCs w:val="24"/>
          <w:lang w:eastAsia="en-US"/>
        </w:rPr>
        <w:t>Lindquist NG, Larsson BS &amp; Lynden-Sokolowski A (1988) Autoradiography of [</w:t>
      </w:r>
      <w:r w:rsidRPr="00391498" w:rsidDel="00072FD7">
        <w:rPr>
          <w:szCs w:val="24"/>
          <w:vertAlign w:val="superscript"/>
          <w:lang w:eastAsia="en-US"/>
        </w:rPr>
        <w:t>14</w:t>
      </w:r>
      <w:r w:rsidRPr="00391498" w:rsidDel="00072FD7">
        <w:rPr>
          <w:szCs w:val="24"/>
          <w:lang w:eastAsia="en-US"/>
        </w:rPr>
        <w:t>C]paraquat or [</w:t>
      </w:r>
      <w:r w:rsidRPr="00391498" w:rsidDel="00072FD7">
        <w:rPr>
          <w:szCs w:val="24"/>
          <w:vertAlign w:val="superscript"/>
          <w:lang w:eastAsia="en-US"/>
        </w:rPr>
        <w:t>14</w:t>
      </w:r>
      <w:r w:rsidRPr="00391498" w:rsidDel="00072FD7">
        <w:rPr>
          <w:szCs w:val="24"/>
          <w:lang w:eastAsia="en-US"/>
        </w:rPr>
        <w:t xml:space="preserve">C]diquat in frogs and mice: accumulation in neuromelanin. </w:t>
      </w:r>
      <w:r w:rsidRPr="00E84F6E" w:rsidDel="00072FD7">
        <w:rPr>
          <w:i/>
          <w:szCs w:val="24"/>
          <w:lang w:eastAsia="en-US"/>
        </w:rPr>
        <w:t>Neurosci.</w:t>
      </w:r>
      <w:r w:rsidRPr="00391498" w:rsidDel="00072FD7">
        <w:rPr>
          <w:szCs w:val="24"/>
          <w:lang w:eastAsia="en-US"/>
        </w:rPr>
        <w:t xml:space="preserve"> </w:t>
      </w:r>
      <w:r w:rsidRPr="00E84F6E" w:rsidDel="00072FD7">
        <w:rPr>
          <w:i/>
          <w:szCs w:val="24"/>
          <w:lang w:eastAsia="en-US"/>
        </w:rPr>
        <w:t>Letts</w:t>
      </w:r>
      <w:r w:rsidRPr="00391498" w:rsidDel="00072FD7">
        <w:rPr>
          <w:szCs w:val="24"/>
          <w:lang w:eastAsia="en-US"/>
        </w:rPr>
        <w:t xml:space="preserve">. </w:t>
      </w:r>
      <w:r w:rsidRPr="00E84F6E" w:rsidDel="00072FD7">
        <w:rPr>
          <w:b/>
          <w:szCs w:val="24"/>
          <w:lang w:eastAsia="en-US"/>
        </w:rPr>
        <w:t>93</w:t>
      </w:r>
      <w:r w:rsidRPr="00391498" w:rsidDel="00072FD7">
        <w:rPr>
          <w:szCs w:val="24"/>
          <w:lang w:eastAsia="en-US"/>
        </w:rPr>
        <w:t>:1-6.</w:t>
      </w:r>
    </w:p>
    <w:p w14:paraId="40C67179" w14:textId="77777777" w:rsidR="002B2CFC" w:rsidRPr="00136301" w:rsidDel="00072FD7" w:rsidRDefault="002B2CFC" w:rsidP="002B2CFC">
      <w:pPr>
        <w:rPr>
          <w:szCs w:val="24"/>
          <w:highlight w:val="cyan"/>
          <w:lang w:eastAsia="en-US"/>
        </w:rPr>
      </w:pPr>
    </w:p>
    <w:p w14:paraId="17FC0F2B" w14:textId="77777777" w:rsidR="002B2CFC" w:rsidRPr="00391498" w:rsidDel="00072FD7" w:rsidRDefault="002B2CFC" w:rsidP="002B2CFC">
      <w:pPr>
        <w:rPr>
          <w:iCs/>
          <w:szCs w:val="24"/>
          <w:lang w:eastAsia="en-US"/>
        </w:rPr>
      </w:pPr>
      <w:r w:rsidRPr="00391498" w:rsidDel="00072FD7">
        <w:rPr>
          <w:szCs w:val="24"/>
          <w:lang w:eastAsia="en-US"/>
        </w:rPr>
        <w:t>Liou HH, Chen RC, Tsai YF, Chen WP, Chang YC, &amp; Tsai MC (1996)</w:t>
      </w:r>
      <w:r w:rsidRPr="00391498" w:rsidDel="00072FD7">
        <w:rPr>
          <w:i/>
          <w:iCs/>
          <w:szCs w:val="24"/>
          <w:lang w:eastAsia="en-US"/>
        </w:rPr>
        <w:t xml:space="preserve"> </w:t>
      </w:r>
      <w:r w:rsidRPr="00391498" w:rsidDel="00072FD7">
        <w:rPr>
          <w:iCs/>
          <w:szCs w:val="24"/>
          <w:lang w:eastAsia="en-US"/>
        </w:rPr>
        <w:t xml:space="preserve">Effects of paraquat on the substantia nigra of the wistar rats: Neurochemical, histological, and behavioral studies. </w:t>
      </w:r>
      <w:r w:rsidRPr="00E84F6E" w:rsidDel="00072FD7">
        <w:rPr>
          <w:i/>
          <w:iCs/>
          <w:szCs w:val="24"/>
          <w:lang w:eastAsia="en-US"/>
        </w:rPr>
        <w:t>Toxicol. Appl. Pharmacol</w:t>
      </w:r>
      <w:r w:rsidRPr="00391498" w:rsidDel="00072FD7">
        <w:rPr>
          <w:iCs/>
          <w:szCs w:val="24"/>
          <w:lang w:eastAsia="en-US"/>
        </w:rPr>
        <w:t xml:space="preserve">., </w:t>
      </w:r>
      <w:r w:rsidRPr="00E84F6E" w:rsidDel="00072FD7">
        <w:rPr>
          <w:b/>
          <w:iCs/>
          <w:szCs w:val="24"/>
          <w:lang w:eastAsia="en-US"/>
        </w:rPr>
        <w:t>137</w:t>
      </w:r>
      <w:r w:rsidRPr="00391498" w:rsidDel="00072FD7">
        <w:rPr>
          <w:iCs/>
          <w:szCs w:val="24"/>
          <w:lang w:eastAsia="en-US"/>
        </w:rPr>
        <w:t>:34-41.</w:t>
      </w:r>
    </w:p>
    <w:p w14:paraId="3BDEA0CA" w14:textId="77777777" w:rsidR="002B2CFC" w:rsidRPr="00391498" w:rsidDel="00072FD7" w:rsidRDefault="002B2CFC" w:rsidP="002B2CFC">
      <w:pPr>
        <w:rPr>
          <w:iCs/>
          <w:szCs w:val="24"/>
          <w:lang w:eastAsia="en-US"/>
        </w:rPr>
      </w:pPr>
    </w:p>
    <w:p w14:paraId="66CB39C0" w14:textId="77777777" w:rsidR="002B2CFC" w:rsidRDefault="002B2CFC" w:rsidP="002B2CFC">
      <w:pPr>
        <w:rPr>
          <w:color w:val="000000"/>
          <w:szCs w:val="24"/>
          <w:lang w:val="en-US" w:eastAsia="en-US"/>
        </w:rPr>
      </w:pPr>
      <w:r w:rsidRPr="00391498" w:rsidDel="00072FD7">
        <w:rPr>
          <w:color w:val="000000"/>
          <w:szCs w:val="24"/>
          <w:lang w:val="en-US" w:eastAsia="en-US"/>
        </w:rPr>
        <w:t xml:space="preserve">Liou HH, Tsai MC, Chen CJ, Jeng JS, Chang YC, Chen SY &amp; Chen RC (1997) Environmental risk factors and Parkinson’s disease: a case-control study in Taiwan. </w:t>
      </w:r>
      <w:r w:rsidRPr="00221E98" w:rsidDel="00072FD7">
        <w:rPr>
          <w:i/>
          <w:color w:val="000000"/>
          <w:szCs w:val="24"/>
          <w:lang w:val="en-US" w:eastAsia="en-US"/>
        </w:rPr>
        <w:t>Neurol</w:t>
      </w:r>
      <w:r w:rsidRPr="00391498" w:rsidDel="00072FD7">
        <w:rPr>
          <w:color w:val="000000"/>
          <w:szCs w:val="24"/>
          <w:lang w:val="en-US" w:eastAsia="en-US"/>
        </w:rPr>
        <w:t xml:space="preserve">. </w:t>
      </w:r>
      <w:r w:rsidRPr="00221E98" w:rsidDel="00072FD7">
        <w:rPr>
          <w:b/>
          <w:color w:val="000000"/>
          <w:szCs w:val="24"/>
          <w:lang w:val="en-US" w:eastAsia="en-US"/>
        </w:rPr>
        <w:t>48</w:t>
      </w:r>
      <w:r w:rsidRPr="00391498" w:rsidDel="00072FD7">
        <w:rPr>
          <w:color w:val="000000"/>
          <w:szCs w:val="24"/>
          <w:lang w:val="en-US" w:eastAsia="en-US"/>
        </w:rPr>
        <w:t>:1583-1588.</w:t>
      </w:r>
    </w:p>
    <w:p w14:paraId="1D7368D2" w14:textId="77777777" w:rsidR="00221E98" w:rsidRPr="00136301" w:rsidDel="00072FD7" w:rsidRDefault="00221E98" w:rsidP="002B2CFC">
      <w:pPr>
        <w:rPr>
          <w:color w:val="000000"/>
          <w:szCs w:val="24"/>
          <w:highlight w:val="cyan"/>
          <w:lang w:eastAsia="en-US"/>
        </w:rPr>
      </w:pPr>
    </w:p>
    <w:p w14:paraId="6F89139B" w14:textId="77777777" w:rsidR="002B2CFC" w:rsidRDefault="002B2CFC" w:rsidP="002B2CFC">
      <w:pPr>
        <w:rPr>
          <w:color w:val="000000"/>
          <w:szCs w:val="24"/>
          <w:lang w:val="en-US" w:eastAsia="en-US"/>
        </w:rPr>
      </w:pPr>
      <w:r w:rsidRPr="00391498" w:rsidDel="00072FD7">
        <w:rPr>
          <w:color w:val="000000"/>
          <w:szCs w:val="24"/>
          <w:lang w:val="en-US" w:eastAsia="en-US"/>
        </w:rPr>
        <w:t xml:space="preserve">McCormack AL, Atienza JG, Johnston LC, Andersen JK, Vu S &amp; Di Monte DA (2005) Role of oxidative stress in paraquat-induced dopaminergic cell degeneration. </w:t>
      </w:r>
      <w:r w:rsidRPr="00221E98" w:rsidDel="00072FD7">
        <w:rPr>
          <w:i/>
          <w:color w:val="000000"/>
          <w:szCs w:val="24"/>
          <w:lang w:val="en-US" w:eastAsia="en-US"/>
        </w:rPr>
        <w:t>J. Neurochem</w:t>
      </w:r>
      <w:r w:rsidRPr="00391498" w:rsidDel="00072FD7">
        <w:rPr>
          <w:color w:val="000000"/>
          <w:szCs w:val="24"/>
          <w:lang w:val="en-US" w:eastAsia="en-US"/>
        </w:rPr>
        <w:t xml:space="preserve">. </w:t>
      </w:r>
      <w:r w:rsidRPr="00221E98" w:rsidDel="00072FD7">
        <w:rPr>
          <w:b/>
          <w:color w:val="000000"/>
          <w:szCs w:val="24"/>
          <w:lang w:val="en-US" w:eastAsia="en-US"/>
        </w:rPr>
        <w:t>93</w:t>
      </w:r>
      <w:r w:rsidRPr="00391498" w:rsidDel="00072FD7">
        <w:rPr>
          <w:color w:val="000000"/>
          <w:szCs w:val="24"/>
          <w:lang w:val="en-US" w:eastAsia="en-US"/>
        </w:rPr>
        <w:t>:1030-1037.</w:t>
      </w:r>
    </w:p>
    <w:p w14:paraId="78C220E9" w14:textId="77777777" w:rsidR="0023356F" w:rsidRDefault="0023356F" w:rsidP="002B2CFC">
      <w:pPr>
        <w:rPr>
          <w:color w:val="000000"/>
          <w:szCs w:val="24"/>
          <w:lang w:val="en-US" w:eastAsia="en-US"/>
        </w:rPr>
      </w:pPr>
    </w:p>
    <w:p w14:paraId="4A75715F" w14:textId="77777777" w:rsidR="0023356F" w:rsidRPr="00136301" w:rsidRDefault="0023356F" w:rsidP="0023356F">
      <w:pPr>
        <w:rPr>
          <w:color w:val="000000"/>
        </w:rPr>
      </w:pPr>
      <w:r w:rsidRPr="00136301">
        <w:rPr>
          <w:color w:val="000000"/>
        </w:rPr>
        <w:t xml:space="preserve">McCormack AL, Atienza JG, Langston JW &amp; Di Monte DA (2006) Decreased susceptibility to oxidative stress underlies the resistance of specific dopaminergic cell populations to paraquat-induced degeneration. </w:t>
      </w:r>
      <w:r w:rsidRPr="00221E98">
        <w:rPr>
          <w:i/>
          <w:color w:val="000000"/>
        </w:rPr>
        <w:t>Neuroscience</w:t>
      </w:r>
      <w:r w:rsidRPr="00136301">
        <w:rPr>
          <w:color w:val="000000"/>
        </w:rPr>
        <w:t xml:space="preserve"> </w:t>
      </w:r>
      <w:r w:rsidRPr="00221E98">
        <w:rPr>
          <w:b/>
          <w:color w:val="000000"/>
        </w:rPr>
        <w:t>141</w:t>
      </w:r>
      <w:r w:rsidRPr="00136301">
        <w:rPr>
          <w:color w:val="000000"/>
        </w:rPr>
        <w:t>:929-937.</w:t>
      </w:r>
    </w:p>
    <w:p w14:paraId="168B248D" w14:textId="77777777" w:rsidR="002B2CFC" w:rsidRPr="00136301" w:rsidDel="00072FD7" w:rsidRDefault="002B2CFC" w:rsidP="002B2CFC">
      <w:pPr>
        <w:rPr>
          <w:szCs w:val="24"/>
          <w:highlight w:val="cyan"/>
          <w:lang w:eastAsia="en-US"/>
        </w:rPr>
      </w:pPr>
    </w:p>
    <w:p w14:paraId="469C2D16" w14:textId="77777777" w:rsidR="002B2CFC" w:rsidRPr="00136301" w:rsidDel="00072FD7" w:rsidRDefault="002B2CFC" w:rsidP="002B2CFC">
      <w:pPr>
        <w:rPr>
          <w:szCs w:val="24"/>
          <w:highlight w:val="cyan"/>
          <w:lang w:eastAsia="en-US"/>
        </w:rPr>
      </w:pPr>
    </w:p>
    <w:p w14:paraId="707A84E6" w14:textId="77777777" w:rsidR="002B2CFC" w:rsidRDefault="002B2CFC" w:rsidP="002B2CFC">
      <w:pPr>
        <w:rPr>
          <w:color w:val="000000"/>
          <w:szCs w:val="24"/>
          <w:lang w:val="en-US" w:eastAsia="en-US"/>
        </w:rPr>
      </w:pPr>
      <w:r w:rsidRPr="00995905" w:rsidDel="00072FD7">
        <w:rPr>
          <w:color w:val="000000"/>
          <w:szCs w:val="24"/>
          <w:lang w:val="en-US" w:eastAsia="en-US"/>
        </w:rPr>
        <w:t xml:space="preserve">Miranda-Contreras L, Davila-Ovalles R, Benitez-Diaz P, Pena-Contreras &amp; Palacios-Pru E (2005) Effects of prenatal paraquat and mancozeb exposure on amino acid synaptic transmission in developing mouse cerebellar cortex. </w:t>
      </w:r>
      <w:r w:rsidRPr="00221E98" w:rsidDel="00072FD7">
        <w:rPr>
          <w:i/>
          <w:color w:val="000000"/>
          <w:szCs w:val="24"/>
          <w:lang w:val="en-US" w:eastAsia="en-US"/>
        </w:rPr>
        <w:t>Developmental Brain Res.</w:t>
      </w:r>
      <w:r w:rsidRPr="00995905" w:rsidDel="00072FD7">
        <w:rPr>
          <w:color w:val="000000"/>
          <w:szCs w:val="24"/>
          <w:lang w:val="en-US" w:eastAsia="en-US"/>
        </w:rPr>
        <w:t xml:space="preserve"> </w:t>
      </w:r>
      <w:r w:rsidRPr="00221E98" w:rsidDel="00072FD7">
        <w:rPr>
          <w:b/>
          <w:color w:val="000000"/>
          <w:szCs w:val="24"/>
          <w:lang w:val="en-US" w:eastAsia="en-US"/>
        </w:rPr>
        <w:t>160</w:t>
      </w:r>
      <w:r w:rsidRPr="00995905" w:rsidDel="00072FD7">
        <w:rPr>
          <w:color w:val="000000"/>
          <w:szCs w:val="24"/>
          <w:lang w:val="en-US" w:eastAsia="en-US"/>
        </w:rPr>
        <w:t>:19-27.</w:t>
      </w:r>
    </w:p>
    <w:p w14:paraId="27495894" w14:textId="77777777" w:rsidR="004A46EC" w:rsidRDefault="004A46EC" w:rsidP="002B2CFC">
      <w:pPr>
        <w:rPr>
          <w:color w:val="000000"/>
          <w:szCs w:val="24"/>
          <w:lang w:val="en-US" w:eastAsia="en-US"/>
        </w:rPr>
      </w:pPr>
    </w:p>
    <w:p w14:paraId="43D7E455" w14:textId="77777777" w:rsidR="008A0A0B" w:rsidRDefault="008A0A0B" w:rsidP="008A0A0B">
      <w:pPr>
        <w:rPr>
          <w:color w:val="000000"/>
        </w:rPr>
      </w:pPr>
      <w:r>
        <w:rPr>
          <w:color w:val="000000"/>
        </w:rPr>
        <w:t xml:space="preserve">Nagao M, Takatori T, Wu B, Terazawa K, Gotouda H, Akabane H, Inoue K &amp; Shimizu M (1991) Immunohistochemical localisation of paraquat in lung and brain. </w:t>
      </w:r>
      <w:r w:rsidRPr="00221E98">
        <w:rPr>
          <w:i/>
          <w:color w:val="000000"/>
        </w:rPr>
        <w:t>Med Sci Law</w:t>
      </w:r>
      <w:r>
        <w:rPr>
          <w:color w:val="000000"/>
        </w:rPr>
        <w:t xml:space="preserve"> </w:t>
      </w:r>
      <w:r>
        <w:rPr>
          <w:b/>
          <w:color w:val="000000"/>
        </w:rPr>
        <w:t>31</w:t>
      </w:r>
      <w:r>
        <w:rPr>
          <w:color w:val="000000"/>
        </w:rPr>
        <w:t>(1): 61-64.</w:t>
      </w:r>
    </w:p>
    <w:p w14:paraId="4C5F5E0E" w14:textId="77777777" w:rsidR="002B2CFC" w:rsidRPr="00995905" w:rsidDel="00072FD7" w:rsidRDefault="002B2CFC" w:rsidP="002B2CFC">
      <w:pPr>
        <w:rPr>
          <w:szCs w:val="24"/>
          <w:lang w:eastAsia="en-US"/>
        </w:rPr>
      </w:pPr>
    </w:p>
    <w:p w14:paraId="01A81C60" w14:textId="38344AF3" w:rsidR="002B2CFC" w:rsidRDefault="002B2CFC" w:rsidP="002B2CFC">
      <w:pPr>
        <w:rPr>
          <w:szCs w:val="24"/>
          <w:lang w:eastAsia="en-US"/>
        </w:rPr>
      </w:pPr>
      <w:r w:rsidRPr="00995905" w:rsidDel="00072FD7">
        <w:rPr>
          <w:szCs w:val="24"/>
          <w:lang w:eastAsia="en-US"/>
        </w:rPr>
        <w:t xml:space="preserve">Naylor JL, Widdowson PS, Simpson MG, Farnworth M, Ellis MK &amp; Lock EA (1995) Further evidence that the blood/brain barrier impedes paraquat entry into the brain. </w:t>
      </w:r>
      <w:r w:rsidRPr="00221E98" w:rsidDel="00072FD7">
        <w:rPr>
          <w:i/>
          <w:szCs w:val="24"/>
          <w:lang w:eastAsia="en-US"/>
        </w:rPr>
        <w:t>Hum. Exp. Toxicol</w:t>
      </w:r>
      <w:r w:rsidRPr="00995905" w:rsidDel="00072FD7">
        <w:rPr>
          <w:szCs w:val="24"/>
          <w:lang w:eastAsia="en-US"/>
        </w:rPr>
        <w:t>. 14:587-594.</w:t>
      </w:r>
    </w:p>
    <w:p w14:paraId="295547D2" w14:textId="77777777" w:rsidR="002B2CFC" w:rsidRPr="00136301" w:rsidDel="00072FD7" w:rsidRDefault="002B2CFC" w:rsidP="002B2CFC">
      <w:pPr>
        <w:rPr>
          <w:szCs w:val="24"/>
          <w:highlight w:val="cyan"/>
          <w:lang w:eastAsia="en-US"/>
        </w:rPr>
      </w:pPr>
    </w:p>
    <w:p w14:paraId="47B11EED" w14:textId="77777777" w:rsidR="00814823" w:rsidRPr="00995905" w:rsidDel="00072FD7" w:rsidRDefault="002B2CFC" w:rsidP="00814823">
      <w:pPr>
        <w:rPr>
          <w:szCs w:val="24"/>
          <w:lang w:eastAsia="en-US"/>
        </w:rPr>
      </w:pPr>
      <w:r w:rsidRPr="00995905" w:rsidDel="00072FD7">
        <w:rPr>
          <w:szCs w:val="24"/>
          <w:lang w:eastAsia="en-US"/>
        </w:rPr>
        <w:t xml:space="preserve">ORI (2012) The Office of Research Integrity, </w:t>
      </w:r>
      <w:r w:rsidR="00814823" w:rsidRPr="00995905">
        <w:rPr>
          <w:szCs w:val="24"/>
          <w:lang w:eastAsia="en-US"/>
        </w:rPr>
        <w:t xml:space="preserve">US </w:t>
      </w:r>
      <w:r w:rsidRPr="00995905" w:rsidDel="00072FD7">
        <w:rPr>
          <w:szCs w:val="24"/>
          <w:lang w:eastAsia="en-US"/>
        </w:rPr>
        <w:t>Department of Health and Human Sevices. Federal Register vol 77, No. 125</w:t>
      </w:r>
      <w:r w:rsidR="00814823" w:rsidRPr="00995905">
        <w:rPr>
          <w:szCs w:val="24"/>
          <w:lang w:eastAsia="en-US"/>
        </w:rPr>
        <w:t xml:space="preserve"> pp 38632-38633</w:t>
      </w:r>
      <w:r w:rsidRPr="00995905" w:rsidDel="00072FD7">
        <w:rPr>
          <w:szCs w:val="24"/>
          <w:lang w:eastAsia="en-US"/>
        </w:rPr>
        <w:t xml:space="preserve"> (Thursday, June 28 2012) FR Doc No: 2012-15887</w:t>
      </w:r>
      <w:r w:rsidR="00814823" w:rsidRPr="00995905">
        <w:rPr>
          <w:szCs w:val="24"/>
          <w:lang w:eastAsia="en-US"/>
        </w:rPr>
        <w:t xml:space="preserve">. </w:t>
      </w:r>
      <w:r w:rsidR="00814823" w:rsidRPr="00995905">
        <w:t>Federal Register link: http://www.gpo.gov/fdsys/pkg/FR-2012-06-28/pdf/2012-15887.pdf</w:t>
      </w:r>
    </w:p>
    <w:p w14:paraId="70FC550E" w14:textId="77777777" w:rsidR="002B2CFC" w:rsidRPr="00B7462F" w:rsidDel="00072FD7" w:rsidRDefault="002B2CFC" w:rsidP="002B2CFC">
      <w:pPr>
        <w:rPr>
          <w:szCs w:val="24"/>
          <w:lang w:eastAsia="en-US"/>
        </w:rPr>
      </w:pPr>
    </w:p>
    <w:p w14:paraId="1B57F246" w14:textId="77777777" w:rsidR="00B7462F" w:rsidRDefault="00B7462F" w:rsidP="00B7462F">
      <w:pPr>
        <w:rPr>
          <w:color w:val="000000"/>
        </w:rPr>
      </w:pPr>
      <w:r w:rsidRPr="00136301">
        <w:rPr>
          <w:color w:val="000000"/>
        </w:rPr>
        <w:t xml:space="preserve">Ohkawa H, Ohishi N &amp; Yagi K (1979) Assay for lipid peroxides in animal tissues by thiobarbituric acid reaction. </w:t>
      </w:r>
      <w:r w:rsidRPr="00221E98">
        <w:rPr>
          <w:i/>
          <w:color w:val="000000"/>
        </w:rPr>
        <w:t>Anal Biochem</w:t>
      </w:r>
      <w:r w:rsidRPr="00136301">
        <w:rPr>
          <w:color w:val="000000"/>
        </w:rPr>
        <w:t xml:space="preserve"> </w:t>
      </w:r>
      <w:r w:rsidRPr="00221E98">
        <w:rPr>
          <w:b/>
          <w:color w:val="000000"/>
        </w:rPr>
        <w:t>95</w:t>
      </w:r>
      <w:r w:rsidRPr="00136301">
        <w:rPr>
          <w:color w:val="000000"/>
        </w:rPr>
        <w:t>: 351-358.</w:t>
      </w:r>
    </w:p>
    <w:p w14:paraId="17F62865" w14:textId="77777777" w:rsidR="00221E98" w:rsidRPr="00136301" w:rsidRDefault="00221E98" w:rsidP="00B7462F">
      <w:pPr>
        <w:rPr>
          <w:color w:val="000000"/>
        </w:rPr>
      </w:pPr>
    </w:p>
    <w:p w14:paraId="597870AC" w14:textId="77777777" w:rsidR="002B2CFC" w:rsidRPr="00995905" w:rsidDel="00072FD7" w:rsidRDefault="002B2CFC" w:rsidP="002B2CFC">
      <w:pPr>
        <w:rPr>
          <w:szCs w:val="24"/>
          <w:lang w:eastAsia="en-US"/>
        </w:rPr>
      </w:pPr>
      <w:r w:rsidRPr="00995905" w:rsidDel="00072FD7">
        <w:rPr>
          <w:szCs w:val="24"/>
          <w:lang w:eastAsia="en-US"/>
        </w:rPr>
        <w:lastRenderedPageBreak/>
        <w:t xml:space="preserve">Ossowska K, Wardas J, Kuter K, Nowak P, Dabrowska J, Bortel A, Labus L, Kwieciński A, Krygowska-Wajs A, Wolfarth S (2005a). Influence of paraquat on dopaminergic transporter in the rat brain. </w:t>
      </w:r>
      <w:r w:rsidRPr="00221E98" w:rsidDel="00072FD7">
        <w:rPr>
          <w:i/>
          <w:szCs w:val="24"/>
          <w:lang w:eastAsia="en-US"/>
        </w:rPr>
        <w:t>Pharmacol. Rep</w:t>
      </w:r>
      <w:r w:rsidRPr="00995905" w:rsidDel="00072FD7">
        <w:rPr>
          <w:szCs w:val="24"/>
          <w:lang w:eastAsia="en-US"/>
        </w:rPr>
        <w:t xml:space="preserve">. </w:t>
      </w:r>
      <w:r w:rsidRPr="00221E98" w:rsidDel="00072FD7">
        <w:rPr>
          <w:b/>
          <w:szCs w:val="24"/>
          <w:lang w:eastAsia="en-US"/>
        </w:rPr>
        <w:t>57</w:t>
      </w:r>
      <w:r w:rsidRPr="00995905" w:rsidDel="00072FD7">
        <w:rPr>
          <w:szCs w:val="24"/>
          <w:lang w:eastAsia="en-US"/>
        </w:rPr>
        <w:t>:330-5.</w:t>
      </w:r>
    </w:p>
    <w:p w14:paraId="7C876959" w14:textId="77777777" w:rsidR="002B2CFC" w:rsidRPr="00136301" w:rsidDel="00072FD7" w:rsidRDefault="002B2CFC" w:rsidP="002B2CFC">
      <w:pPr>
        <w:rPr>
          <w:szCs w:val="24"/>
          <w:highlight w:val="cyan"/>
          <w:lang w:val="en-US" w:eastAsia="en-US"/>
        </w:rPr>
      </w:pPr>
    </w:p>
    <w:p w14:paraId="71E166A0" w14:textId="77777777" w:rsidR="002B2CFC" w:rsidRDefault="002B2CFC" w:rsidP="002B2CFC">
      <w:pPr>
        <w:rPr>
          <w:szCs w:val="24"/>
          <w:lang w:eastAsia="en-US"/>
        </w:rPr>
      </w:pPr>
      <w:r w:rsidRPr="00995905" w:rsidDel="00072FD7">
        <w:rPr>
          <w:szCs w:val="24"/>
          <w:lang w:eastAsia="en-US"/>
        </w:rPr>
        <w:t xml:space="preserve">Ossowska K, Wardas J, Smiałowska M, Kuter K, Lenda T, Wierońska JM, Zieba B, Nowak P, Dabrowska J, Bortel A, Kwieciński A &amp; Wolfarth S (2005b) A slowly developing dysfunction of dopaminergic nigrostriatal neurons induced by long-term paraquat administration in rats: an animal model of preclinical stages of Parkinson’s disease? </w:t>
      </w:r>
      <w:r w:rsidRPr="00221E98" w:rsidDel="00072FD7">
        <w:rPr>
          <w:i/>
          <w:szCs w:val="24"/>
          <w:lang w:eastAsia="en-US"/>
        </w:rPr>
        <w:t>Eur. J. Neurosci</w:t>
      </w:r>
      <w:r w:rsidRPr="00995905" w:rsidDel="00072FD7">
        <w:rPr>
          <w:szCs w:val="24"/>
          <w:lang w:eastAsia="en-US"/>
        </w:rPr>
        <w:t xml:space="preserve">. </w:t>
      </w:r>
      <w:r w:rsidRPr="00221E98" w:rsidDel="00072FD7">
        <w:rPr>
          <w:b/>
          <w:szCs w:val="24"/>
          <w:lang w:eastAsia="en-US"/>
        </w:rPr>
        <w:t>22</w:t>
      </w:r>
      <w:r w:rsidRPr="00995905" w:rsidDel="00072FD7">
        <w:rPr>
          <w:szCs w:val="24"/>
          <w:lang w:eastAsia="en-US"/>
        </w:rPr>
        <w:t xml:space="preserve">:1294-304. </w:t>
      </w:r>
    </w:p>
    <w:p w14:paraId="6F2B0C85" w14:textId="77777777" w:rsidR="00396D9D" w:rsidRDefault="00396D9D" w:rsidP="002B2CFC">
      <w:pPr>
        <w:rPr>
          <w:szCs w:val="24"/>
          <w:lang w:eastAsia="en-US"/>
        </w:rPr>
      </w:pPr>
    </w:p>
    <w:p w14:paraId="618C4905" w14:textId="77777777" w:rsidR="00396D9D" w:rsidRPr="00136301" w:rsidRDefault="00396D9D" w:rsidP="00396D9D">
      <w:pPr>
        <w:rPr>
          <w:color w:val="000000"/>
        </w:rPr>
      </w:pPr>
      <w:r w:rsidRPr="00136301">
        <w:rPr>
          <w:color w:val="000000"/>
        </w:rPr>
        <w:t xml:space="preserve">Ossowska K, Smialowska M, Kuter K, Wieronska J, Zieba B, Wardas J, Nowark P, Dabrowska J, Bortel A, Biedka I, Schulze G &amp; Rommelspacher H (2006) Degeneration of dopaminergic mesocortical neurons and activation of compensatory processes induced by a long term paraquat administration in rats; implications for Parkinson’s disease. </w:t>
      </w:r>
      <w:r w:rsidRPr="00221E98">
        <w:rPr>
          <w:i/>
          <w:color w:val="000000"/>
        </w:rPr>
        <w:t>Neuroscience</w:t>
      </w:r>
      <w:r w:rsidRPr="00136301">
        <w:rPr>
          <w:color w:val="000000"/>
        </w:rPr>
        <w:t xml:space="preserve"> </w:t>
      </w:r>
      <w:r w:rsidRPr="00221E98">
        <w:rPr>
          <w:b/>
          <w:color w:val="000000"/>
        </w:rPr>
        <w:t>141</w:t>
      </w:r>
      <w:r w:rsidRPr="00136301">
        <w:rPr>
          <w:color w:val="000000"/>
        </w:rPr>
        <w:t>:2155-2165.</w:t>
      </w:r>
    </w:p>
    <w:p w14:paraId="5DDA24A6" w14:textId="77777777" w:rsidR="002B2CFC" w:rsidRPr="00136301" w:rsidDel="00072FD7" w:rsidRDefault="002B2CFC" w:rsidP="002B2CFC">
      <w:pPr>
        <w:rPr>
          <w:szCs w:val="24"/>
          <w:highlight w:val="cyan"/>
          <w:lang w:eastAsia="en-US"/>
        </w:rPr>
      </w:pPr>
    </w:p>
    <w:p w14:paraId="14BCDA5C" w14:textId="77777777" w:rsidR="002B2CFC" w:rsidRPr="00995905" w:rsidDel="00072FD7" w:rsidRDefault="002B2CFC" w:rsidP="002B2CFC">
      <w:pPr>
        <w:rPr>
          <w:szCs w:val="24"/>
          <w:lang w:eastAsia="en-US"/>
        </w:rPr>
      </w:pPr>
      <w:r w:rsidRPr="00995905" w:rsidDel="00072FD7">
        <w:rPr>
          <w:szCs w:val="24"/>
          <w:lang w:val="en-US" w:eastAsia="en-US"/>
        </w:rPr>
        <w:t xml:space="preserve">Paddle GM, Osborn AJ &amp; Parker GD (1991) Mortality of employees in plants manufacturing 4,4’-bipyridyl. </w:t>
      </w:r>
      <w:r w:rsidRPr="00995905" w:rsidDel="00072FD7">
        <w:rPr>
          <w:i/>
          <w:szCs w:val="24"/>
          <w:lang w:val="en-US" w:eastAsia="en-US"/>
        </w:rPr>
        <w:t>Scand J Work Environ Health</w:t>
      </w:r>
      <w:r w:rsidRPr="00995905" w:rsidDel="00072FD7">
        <w:rPr>
          <w:szCs w:val="24"/>
          <w:lang w:val="en-US" w:eastAsia="en-US"/>
        </w:rPr>
        <w:t xml:space="preserve"> 1991;</w:t>
      </w:r>
      <w:r w:rsidRPr="00221E98" w:rsidDel="00072FD7">
        <w:rPr>
          <w:b/>
          <w:szCs w:val="24"/>
          <w:lang w:val="en-US" w:eastAsia="en-US"/>
        </w:rPr>
        <w:t>17</w:t>
      </w:r>
      <w:r w:rsidRPr="00995905" w:rsidDel="00072FD7">
        <w:rPr>
          <w:szCs w:val="24"/>
          <w:lang w:val="en-US" w:eastAsia="en-US"/>
        </w:rPr>
        <w:t xml:space="preserve">:175-8 (cited in Tomenson </w:t>
      </w:r>
      <w:r w:rsidRPr="00995905" w:rsidDel="00072FD7">
        <w:rPr>
          <w:i/>
          <w:szCs w:val="24"/>
          <w:lang w:val="en-US" w:eastAsia="en-US"/>
        </w:rPr>
        <w:t>et al</w:t>
      </w:r>
      <w:r w:rsidRPr="00995905" w:rsidDel="00072FD7">
        <w:rPr>
          <w:szCs w:val="24"/>
          <w:lang w:val="en-US" w:eastAsia="en-US"/>
        </w:rPr>
        <w:t>, 2011)</w:t>
      </w:r>
    </w:p>
    <w:p w14:paraId="2C11BE09" w14:textId="77777777" w:rsidR="002B2CFC" w:rsidRPr="00995905" w:rsidDel="00072FD7" w:rsidRDefault="002B2CFC" w:rsidP="002B2CFC">
      <w:pPr>
        <w:rPr>
          <w:szCs w:val="24"/>
          <w:lang w:val="en-US" w:eastAsia="en-US"/>
        </w:rPr>
      </w:pPr>
    </w:p>
    <w:p w14:paraId="3FB4251A" w14:textId="77777777" w:rsidR="004217D1" w:rsidRPr="00136301" w:rsidRDefault="004217D1" w:rsidP="004217D1">
      <w:pPr>
        <w:rPr>
          <w:color w:val="000000"/>
        </w:rPr>
      </w:pPr>
      <w:r w:rsidRPr="00136301">
        <w:rPr>
          <w:color w:val="000000"/>
        </w:rPr>
        <w:t>Paxinos G &amp; Waston C (1986) The rat brain in stereotaxic coordinates. Academic Press, London.</w:t>
      </w:r>
    </w:p>
    <w:p w14:paraId="7D003B5F" w14:textId="77777777" w:rsidR="004217D1" w:rsidRPr="00995905" w:rsidRDefault="004217D1" w:rsidP="002B2CFC">
      <w:pPr>
        <w:rPr>
          <w:szCs w:val="24"/>
          <w:lang w:eastAsia="en-US"/>
        </w:rPr>
      </w:pPr>
    </w:p>
    <w:p w14:paraId="0CF29F0E" w14:textId="77777777" w:rsidR="002B2CFC" w:rsidRPr="00995905" w:rsidDel="00072FD7" w:rsidRDefault="003A31EB" w:rsidP="002B2CFC">
      <w:pPr>
        <w:spacing w:before="120"/>
        <w:rPr>
          <w:color w:val="000000"/>
          <w:szCs w:val="24"/>
          <w:lang w:val="en-US" w:eastAsia="en-US"/>
        </w:rPr>
      </w:pPr>
      <w:hyperlink r:id="rId15" w:history="1">
        <w:r w:rsidR="002B2CFC" w:rsidRPr="00995905" w:rsidDel="00072FD7">
          <w:rPr>
            <w:color w:val="000000"/>
            <w:szCs w:val="24"/>
            <w:lang w:val="en-US" w:eastAsia="en-US"/>
          </w:rPr>
          <w:t>Prasad K, Tarasewicz E, Matthew J, Strickland PA, Buckley B, Richardson JR &amp; Richfield EK</w:t>
        </w:r>
      </w:hyperlink>
      <w:r w:rsidR="002B2CFC" w:rsidRPr="00995905" w:rsidDel="00072FD7">
        <w:rPr>
          <w:color w:val="000000"/>
          <w:szCs w:val="24"/>
          <w:lang w:val="en-US" w:eastAsia="en-US"/>
        </w:rPr>
        <w:t xml:space="preserve"> (2009) Toxicokinetics and toxicodynamics of paraquat accumulation in mouse brain. </w:t>
      </w:r>
      <w:r w:rsidR="002B2CFC" w:rsidRPr="00221E98" w:rsidDel="00072FD7">
        <w:rPr>
          <w:i/>
          <w:color w:val="000000"/>
          <w:szCs w:val="24"/>
          <w:lang w:val="en-US" w:eastAsia="en-US"/>
        </w:rPr>
        <w:t>J. Exp. Neurol</w:t>
      </w:r>
      <w:r w:rsidR="002B2CFC" w:rsidRPr="00995905" w:rsidDel="00072FD7">
        <w:rPr>
          <w:color w:val="000000"/>
          <w:szCs w:val="24"/>
          <w:lang w:val="en-US" w:eastAsia="en-US"/>
        </w:rPr>
        <w:t xml:space="preserve">. </w:t>
      </w:r>
      <w:r w:rsidR="002B2CFC" w:rsidRPr="00221E98" w:rsidDel="00072FD7">
        <w:rPr>
          <w:b/>
          <w:color w:val="000000"/>
          <w:szCs w:val="24"/>
          <w:lang w:val="en-US" w:eastAsia="en-US"/>
        </w:rPr>
        <w:t>215</w:t>
      </w:r>
      <w:r w:rsidR="002B2CFC" w:rsidRPr="00995905" w:rsidDel="00072FD7">
        <w:rPr>
          <w:color w:val="000000"/>
          <w:szCs w:val="24"/>
          <w:lang w:val="en-US" w:eastAsia="en-US"/>
        </w:rPr>
        <w:t>:358-367.</w:t>
      </w:r>
    </w:p>
    <w:p w14:paraId="52CC9328" w14:textId="77777777" w:rsidR="002B2CFC" w:rsidRPr="00136301" w:rsidDel="00072FD7" w:rsidRDefault="002B2CFC" w:rsidP="002B2CFC">
      <w:pPr>
        <w:rPr>
          <w:szCs w:val="24"/>
          <w:highlight w:val="cyan"/>
          <w:lang w:eastAsia="en-US"/>
        </w:rPr>
      </w:pPr>
    </w:p>
    <w:p w14:paraId="0D3652C8" w14:textId="77777777" w:rsidR="002B2CFC" w:rsidRPr="00995905" w:rsidDel="00072FD7" w:rsidRDefault="002B2CFC" w:rsidP="002B2CFC">
      <w:pPr>
        <w:rPr>
          <w:szCs w:val="24"/>
          <w:lang w:val="en-US" w:eastAsia="en-US"/>
        </w:rPr>
      </w:pPr>
      <w:r w:rsidRPr="00995905" w:rsidDel="00072FD7">
        <w:rPr>
          <w:szCs w:val="24"/>
          <w:lang w:val="en-US" w:eastAsia="en-US"/>
        </w:rPr>
        <w:t xml:space="preserve">Perry TL, Yong VW, Wall RA &amp; Jones K (1986) Paraquat and two endogenous analogues of the neurotoxic substance N-methyl-4-phenyl-1,2,3,6-tetrahydropyridine do not damage dopaminergic nigrostriatal neurons in the mouse. </w:t>
      </w:r>
      <w:r w:rsidRPr="00221E98" w:rsidDel="00072FD7">
        <w:rPr>
          <w:i/>
          <w:szCs w:val="24"/>
          <w:lang w:val="en-US" w:eastAsia="en-US"/>
        </w:rPr>
        <w:t>Neurosci. Lett</w:t>
      </w:r>
      <w:r w:rsidRPr="00995905" w:rsidDel="00072FD7">
        <w:rPr>
          <w:szCs w:val="24"/>
          <w:lang w:val="en-US" w:eastAsia="en-US"/>
        </w:rPr>
        <w:t xml:space="preserve">. </w:t>
      </w:r>
      <w:r w:rsidRPr="00221E98" w:rsidDel="00072FD7">
        <w:rPr>
          <w:b/>
          <w:szCs w:val="24"/>
          <w:lang w:val="en-US" w:eastAsia="en-US"/>
        </w:rPr>
        <w:t>69</w:t>
      </w:r>
      <w:r w:rsidRPr="00995905" w:rsidDel="00072FD7">
        <w:rPr>
          <w:szCs w:val="24"/>
          <w:lang w:val="en-US" w:eastAsia="en-US"/>
        </w:rPr>
        <w:t>:285-289.</w:t>
      </w:r>
    </w:p>
    <w:p w14:paraId="78126FAF" w14:textId="77777777" w:rsidR="002B2CFC" w:rsidRPr="00136301" w:rsidDel="00072FD7" w:rsidRDefault="002B2CFC" w:rsidP="002B2CFC">
      <w:pPr>
        <w:rPr>
          <w:szCs w:val="24"/>
          <w:highlight w:val="cyan"/>
          <w:lang w:eastAsia="en-US"/>
        </w:rPr>
      </w:pPr>
    </w:p>
    <w:p w14:paraId="76539324" w14:textId="77777777" w:rsidR="002B2CFC" w:rsidRPr="000013E5" w:rsidDel="00072FD7" w:rsidRDefault="002B2CFC" w:rsidP="002B2CFC">
      <w:pPr>
        <w:rPr>
          <w:szCs w:val="24"/>
          <w:lang w:val="en-US" w:eastAsia="en-US"/>
        </w:rPr>
      </w:pPr>
      <w:r w:rsidRPr="000013E5" w:rsidDel="00072FD7">
        <w:rPr>
          <w:szCs w:val="24"/>
          <w:lang w:val="en-US" w:eastAsia="en-US"/>
        </w:rPr>
        <w:t>Ramachandiran S, Hansen JM, Jones DP, Richardson JR &amp; Miller GW (2007) Divergent mechanisms of paraquat, MPP</w:t>
      </w:r>
      <w:r w:rsidRPr="000013E5" w:rsidDel="00072FD7">
        <w:rPr>
          <w:szCs w:val="24"/>
          <w:vertAlign w:val="superscript"/>
          <w:lang w:val="en-US" w:eastAsia="en-US"/>
        </w:rPr>
        <w:t>+</w:t>
      </w:r>
      <w:r w:rsidRPr="000013E5" w:rsidDel="00072FD7">
        <w:rPr>
          <w:szCs w:val="24"/>
          <w:lang w:val="en-US" w:eastAsia="en-US"/>
        </w:rPr>
        <w:t xml:space="preserve">, and rotenone toxicity: Oxidation of thioredoxin and caspase-3 activation. </w:t>
      </w:r>
      <w:r w:rsidRPr="00221E98" w:rsidDel="00072FD7">
        <w:rPr>
          <w:i/>
          <w:szCs w:val="24"/>
          <w:lang w:val="en-US" w:eastAsia="en-US"/>
        </w:rPr>
        <w:t>Toxicol. Sci</w:t>
      </w:r>
      <w:r w:rsidRPr="000013E5" w:rsidDel="00072FD7">
        <w:rPr>
          <w:szCs w:val="24"/>
          <w:lang w:val="en-US" w:eastAsia="en-US"/>
        </w:rPr>
        <w:t xml:space="preserve">. </w:t>
      </w:r>
      <w:r w:rsidRPr="00221E98" w:rsidDel="00072FD7">
        <w:rPr>
          <w:b/>
          <w:szCs w:val="24"/>
          <w:lang w:val="en-US" w:eastAsia="en-US"/>
        </w:rPr>
        <w:t>95</w:t>
      </w:r>
      <w:r w:rsidRPr="000013E5" w:rsidDel="00072FD7">
        <w:rPr>
          <w:szCs w:val="24"/>
          <w:lang w:val="en-US" w:eastAsia="en-US"/>
        </w:rPr>
        <w:t>:163-171.</w:t>
      </w:r>
    </w:p>
    <w:p w14:paraId="7F40D4F8" w14:textId="77777777" w:rsidR="002B2CFC" w:rsidRPr="000013E5" w:rsidDel="00072FD7" w:rsidRDefault="002B2CFC" w:rsidP="002B2CFC">
      <w:pPr>
        <w:rPr>
          <w:szCs w:val="24"/>
          <w:lang w:eastAsia="en-US"/>
        </w:rPr>
      </w:pPr>
    </w:p>
    <w:p w14:paraId="753728E6" w14:textId="77777777" w:rsidR="002B2CFC" w:rsidRPr="000013E5" w:rsidDel="00072FD7" w:rsidRDefault="002B2CFC" w:rsidP="002B2CFC">
      <w:pPr>
        <w:rPr>
          <w:szCs w:val="24"/>
          <w:lang w:val="en-US" w:eastAsia="en-US"/>
        </w:rPr>
      </w:pPr>
      <w:r w:rsidRPr="000013E5" w:rsidDel="00072FD7">
        <w:rPr>
          <w:szCs w:val="24"/>
          <w:lang w:val="en-US" w:eastAsia="en-US"/>
        </w:rPr>
        <w:t xml:space="preserve">Ritz B &amp; Yu F (2000) Parkinson's disease mortality and pesticide exposure in California 1984-1994. </w:t>
      </w:r>
      <w:r w:rsidRPr="00221E98" w:rsidDel="00072FD7">
        <w:rPr>
          <w:i/>
          <w:iCs/>
          <w:szCs w:val="24"/>
          <w:lang w:val="en-US" w:eastAsia="en-US"/>
        </w:rPr>
        <w:t>Int. J. Epidemiol.</w:t>
      </w:r>
      <w:r w:rsidRPr="000013E5" w:rsidDel="00072FD7">
        <w:rPr>
          <w:szCs w:val="24"/>
          <w:lang w:val="en-US" w:eastAsia="en-US"/>
        </w:rPr>
        <w:t xml:space="preserve"> </w:t>
      </w:r>
      <w:r w:rsidRPr="00221E98" w:rsidDel="00072FD7">
        <w:rPr>
          <w:b/>
          <w:szCs w:val="24"/>
          <w:lang w:val="en-US" w:eastAsia="en-US"/>
        </w:rPr>
        <w:t>29</w:t>
      </w:r>
      <w:r w:rsidRPr="000013E5" w:rsidDel="00072FD7">
        <w:rPr>
          <w:szCs w:val="24"/>
          <w:lang w:val="en-US" w:eastAsia="en-US"/>
        </w:rPr>
        <w:t>:323-329.</w:t>
      </w:r>
    </w:p>
    <w:p w14:paraId="6028F4AA" w14:textId="77777777" w:rsidR="002B2CFC" w:rsidRPr="00136301" w:rsidDel="00072FD7" w:rsidRDefault="002B2CFC" w:rsidP="002B2CFC">
      <w:pPr>
        <w:rPr>
          <w:szCs w:val="24"/>
          <w:highlight w:val="cyan"/>
          <w:lang w:eastAsia="en-US"/>
        </w:rPr>
      </w:pPr>
    </w:p>
    <w:p w14:paraId="1E3F1A5E" w14:textId="77777777" w:rsidR="002B2CFC" w:rsidRPr="000013E5" w:rsidDel="00072FD7" w:rsidRDefault="002B2CFC" w:rsidP="002B2CFC">
      <w:pPr>
        <w:rPr>
          <w:szCs w:val="24"/>
          <w:lang w:eastAsia="en-US"/>
        </w:rPr>
      </w:pPr>
      <w:r w:rsidRPr="000013E5" w:rsidDel="00072FD7">
        <w:rPr>
          <w:szCs w:val="24"/>
          <w:lang w:eastAsia="en-US"/>
        </w:rPr>
        <w:t xml:space="preserve">Rojo AI, Cavada C, de Sagarra MR &amp; Cuadrado A (2007) Chronic inhalation of rotenone or paraquat does not induce Parkinson’s disease symptoms in mice or rats. </w:t>
      </w:r>
      <w:r w:rsidRPr="00221E98" w:rsidDel="00072FD7">
        <w:rPr>
          <w:i/>
          <w:szCs w:val="24"/>
          <w:lang w:eastAsia="en-US"/>
        </w:rPr>
        <w:t>Exp. Neurol</w:t>
      </w:r>
      <w:r w:rsidRPr="000013E5" w:rsidDel="00072FD7">
        <w:rPr>
          <w:szCs w:val="24"/>
          <w:lang w:eastAsia="en-US"/>
        </w:rPr>
        <w:t xml:space="preserve">. </w:t>
      </w:r>
      <w:r w:rsidRPr="00221E98" w:rsidDel="00072FD7">
        <w:rPr>
          <w:b/>
          <w:szCs w:val="24"/>
          <w:lang w:eastAsia="en-US"/>
        </w:rPr>
        <w:t>208</w:t>
      </w:r>
      <w:r w:rsidRPr="000013E5" w:rsidDel="00072FD7">
        <w:rPr>
          <w:szCs w:val="24"/>
          <w:lang w:eastAsia="en-US"/>
        </w:rPr>
        <w:t>:120-6.</w:t>
      </w:r>
    </w:p>
    <w:p w14:paraId="75E33E3E" w14:textId="77777777" w:rsidR="002B2CFC" w:rsidRPr="00136301" w:rsidDel="00072FD7" w:rsidRDefault="002B2CFC" w:rsidP="002B2CFC">
      <w:pPr>
        <w:rPr>
          <w:szCs w:val="24"/>
          <w:highlight w:val="cyan"/>
          <w:lang w:eastAsia="en-US"/>
        </w:rPr>
      </w:pPr>
    </w:p>
    <w:p w14:paraId="29D7D646" w14:textId="77777777" w:rsidR="002B2CFC" w:rsidRPr="000013E5" w:rsidDel="00072FD7" w:rsidRDefault="002B2CFC" w:rsidP="002B2CFC">
      <w:pPr>
        <w:rPr>
          <w:color w:val="000000"/>
          <w:szCs w:val="24"/>
          <w:lang w:val="en-US" w:eastAsia="en-US"/>
        </w:rPr>
      </w:pPr>
      <w:r w:rsidRPr="000013E5" w:rsidDel="00072FD7">
        <w:rPr>
          <w:color w:val="000000"/>
          <w:szCs w:val="24"/>
          <w:lang w:val="en-US" w:eastAsia="en-US"/>
        </w:rPr>
        <w:t xml:space="preserve">Semchuk KM, Love EJ &amp; Lee RG (1992) Parkinson’s disease and exposure to agricultural work and pesticide chemicals. </w:t>
      </w:r>
      <w:r w:rsidRPr="00221E98" w:rsidDel="00072FD7">
        <w:rPr>
          <w:i/>
          <w:color w:val="000000"/>
          <w:szCs w:val="24"/>
          <w:lang w:val="en-US" w:eastAsia="en-US"/>
        </w:rPr>
        <w:t>Neurol</w:t>
      </w:r>
      <w:r w:rsidRPr="000013E5" w:rsidDel="00072FD7">
        <w:rPr>
          <w:color w:val="000000"/>
          <w:szCs w:val="24"/>
          <w:lang w:val="en-US" w:eastAsia="en-US"/>
        </w:rPr>
        <w:t>.</w:t>
      </w:r>
      <w:r w:rsidRPr="00221E98" w:rsidDel="00072FD7">
        <w:rPr>
          <w:b/>
          <w:color w:val="000000"/>
          <w:szCs w:val="24"/>
          <w:lang w:val="en-US" w:eastAsia="en-US"/>
        </w:rPr>
        <w:t xml:space="preserve"> 42</w:t>
      </w:r>
      <w:r w:rsidRPr="000013E5" w:rsidDel="00072FD7">
        <w:rPr>
          <w:color w:val="000000"/>
          <w:szCs w:val="24"/>
          <w:lang w:val="en-US" w:eastAsia="en-US"/>
        </w:rPr>
        <w:t>:1328-1335.</w:t>
      </w:r>
    </w:p>
    <w:p w14:paraId="5843F7BF" w14:textId="77777777" w:rsidR="002B2CFC" w:rsidRPr="00136301" w:rsidDel="00072FD7" w:rsidRDefault="002B2CFC" w:rsidP="002B2CFC">
      <w:pPr>
        <w:rPr>
          <w:color w:val="000000"/>
          <w:szCs w:val="24"/>
          <w:highlight w:val="cyan"/>
          <w:lang w:val="en-US" w:eastAsia="en-US"/>
        </w:rPr>
      </w:pPr>
    </w:p>
    <w:p w14:paraId="42843CB1" w14:textId="77777777" w:rsidR="002B2CFC" w:rsidRPr="000013E5" w:rsidDel="00072FD7" w:rsidRDefault="002B2CFC" w:rsidP="002B2CFC">
      <w:pPr>
        <w:rPr>
          <w:szCs w:val="24"/>
          <w:lang w:eastAsia="en-US"/>
        </w:rPr>
      </w:pPr>
      <w:r w:rsidRPr="000013E5" w:rsidDel="00072FD7">
        <w:rPr>
          <w:szCs w:val="24"/>
          <w:lang w:eastAsia="en-US"/>
        </w:rPr>
        <w:t xml:space="preserve">Shimizu K, Ohtaki K, Matsubara K, Aoyama K, Uezono T, Saito O, Suno M, Ogawa K, Hayase N, Kimura K, Shiono H (2001) Carrier-mediated processes in blood-brain barrier penetration and neural uptake of paraquat. </w:t>
      </w:r>
      <w:r w:rsidRPr="00221E98" w:rsidDel="00072FD7">
        <w:rPr>
          <w:i/>
          <w:szCs w:val="24"/>
          <w:lang w:eastAsia="en-US"/>
        </w:rPr>
        <w:t>Brain Res</w:t>
      </w:r>
      <w:r w:rsidRPr="000013E5" w:rsidDel="00072FD7">
        <w:rPr>
          <w:szCs w:val="24"/>
          <w:lang w:eastAsia="en-US"/>
        </w:rPr>
        <w:t xml:space="preserve">. </w:t>
      </w:r>
      <w:r w:rsidRPr="00221E98" w:rsidDel="00072FD7">
        <w:rPr>
          <w:b/>
          <w:szCs w:val="24"/>
          <w:lang w:eastAsia="en-US"/>
        </w:rPr>
        <w:t>906</w:t>
      </w:r>
      <w:r w:rsidRPr="000013E5" w:rsidDel="00072FD7">
        <w:rPr>
          <w:szCs w:val="24"/>
          <w:lang w:eastAsia="en-US"/>
        </w:rPr>
        <w:t>:135-142.</w:t>
      </w:r>
    </w:p>
    <w:p w14:paraId="66193820" w14:textId="77777777" w:rsidR="002B2CFC" w:rsidRPr="00136301" w:rsidDel="00072FD7" w:rsidRDefault="002B2CFC" w:rsidP="002B2CFC">
      <w:pPr>
        <w:rPr>
          <w:szCs w:val="24"/>
          <w:highlight w:val="cyan"/>
          <w:lang w:eastAsia="en-US"/>
        </w:rPr>
      </w:pPr>
    </w:p>
    <w:p w14:paraId="708B1E0E" w14:textId="77777777" w:rsidR="002B2CFC" w:rsidRPr="000013E5" w:rsidDel="00072FD7" w:rsidRDefault="002B2CFC" w:rsidP="002B2CFC">
      <w:pPr>
        <w:rPr>
          <w:szCs w:val="24"/>
          <w:u w:val="single"/>
          <w:lang w:eastAsia="en-US"/>
        </w:rPr>
      </w:pPr>
      <w:r w:rsidRPr="000013E5" w:rsidDel="00072FD7">
        <w:rPr>
          <w:szCs w:val="24"/>
          <w:lang w:eastAsia="en-US"/>
        </w:rPr>
        <w:lastRenderedPageBreak/>
        <w:t xml:space="preserve">Shimizu K, Matsubara K, Ohtaki K, Fujimaru S, Saito O, Shiono H (2003) Paraquat induces long-lasting dopamine overflow through the excitotoxic pathway in the striatum of freely moving rats. </w:t>
      </w:r>
      <w:r w:rsidRPr="00221E98" w:rsidDel="00072FD7">
        <w:rPr>
          <w:i/>
          <w:szCs w:val="24"/>
          <w:lang w:eastAsia="en-US"/>
        </w:rPr>
        <w:t>Brain Res</w:t>
      </w:r>
      <w:r w:rsidRPr="000013E5" w:rsidDel="00072FD7">
        <w:rPr>
          <w:szCs w:val="24"/>
          <w:lang w:eastAsia="en-US"/>
        </w:rPr>
        <w:t xml:space="preserve">. </w:t>
      </w:r>
      <w:r w:rsidRPr="00221E98" w:rsidDel="00072FD7">
        <w:rPr>
          <w:b/>
          <w:szCs w:val="24"/>
          <w:lang w:eastAsia="en-US"/>
        </w:rPr>
        <w:t>27</w:t>
      </w:r>
      <w:r w:rsidRPr="000013E5" w:rsidDel="00072FD7">
        <w:rPr>
          <w:szCs w:val="24"/>
          <w:lang w:eastAsia="en-US"/>
        </w:rPr>
        <w:t>:976:243-52.</w:t>
      </w:r>
    </w:p>
    <w:p w14:paraId="240CF7A6" w14:textId="77777777" w:rsidR="002B2CFC" w:rsidRPr="00136301" w:rsidDel="00072FD7" w:rsidRDefault="002B2CFC" w:rsidP="002B2CFC">
      <w:pPr>
        <w:rPr>
          <w:szCs w:val="24"/>
          <w:highlight w:val="cyan"/>
          <w:lang w:eastAsia="en-US"/>
        </w:rPr>
      </w:pPr>
    </w:p>
    <w:p w14:paraId="208558D3" w14:textId="77777777" w:rsidR="002B2CFC" w:rsidRPr="000013E5" w:rsidDel="00072FD7" w:rsidRDefault="002B2CFC" w:rsidP="002B2CFC">
      <w:pPr>
        <w:rPr>
          <w:szCs w:val="24"/>
          <w:lang w:eastAsia="en-US"/>
        </w:rPr>
      </w:pPr>
      <w:r w:rsidRPr="000013E5" w:rsidDel="00072FD7">
        <w:rPr>
          <w:szCs w:val="24"/>
          <w:lang w:eastAsia="en-US"/>
        </w:rPr>
        <w:t xml:space="preserve">Snyder SH &amp; D'Amato RJ (1985) Predicting Parkinson’s disease. </w:t>
      </w:r>
      <w:r w:rsidRPr="00221E98" w:rsidDel="00072FD7">
        <w:rPr>
          <w:i/>
          <w:szCs w:val="24"/>
          <w:lang w:eastAsia="en-US"/>
        </w:rPr>
        <w:t>Nature</w:t>
      </w:r>
      <w:r w:rsidRPr="000013E5" w:rsidDel="00072FD7">
        <w:rPr>
          <w:szCs w:val="24"/>
          <w:lang w:eastAsia="en-US"/>
        </w:rPr>
        <w:t xml:space="preserve"> </w:t>
      </w:r>
      <w:r w:rsidRPr="00221E98" w:rsidDel="00072FD7">
        <w:rPr>
          <w:b/>
          <w:szCs w:val="24"/>
          <w:lang w:eastAsia="en-US"/>
        </w:rPr>
        <w:t>317</w:t>
      </w:r>
      <w:r w:rsidRPr="000013E5" w:rsidDel="00072FD7">
        <w:rPr>
          <w:szCs w:val="24"/>
          <w:lang w:eastAsia="en-US"/>
        </w:rPr>
        <w:t>:198-199.</w:t>
      </w:r>
    </w:p>
    <w:p w14:paraId="36AD4F00" w14:textId="77777777" w:rsidR="002B2CFC" w:rsidRPr="00136301" w:rsidDel="00072FD7" w:rsidRDefault="002B2CFC" w:rsidP="002B2CFC">
      <w:pPr>
        <w:rPr>
          <w:szCs w:val="24"/>
          <w:highlight w:val="cyan"/>
          <w:lang w:eastAsia="en-US"/>
        </w:rPr>
      </w:pPr>
    </w:p>
    <w:p w14:paraId="31BC7D41" w14:textId="77777777" w:rsidR="002B2CFC" w:rsidRDefault="002B2CFC" w:rsidP="002B2CFC">
      <w:pPr>
        <w:rPr>
          <w:szCs w:val="24"/>
          <w:lang w:eastAsia="en-US"/>
        </w:rPr>
      </w:pPr>
      <w:r w:rsidRPr="000013E5" w:rsidDel="00072FD7">
        <w:rPr>
          <w:szCs w:val="24"/>
          <w:lang w:eastAsia="en-US"/>
        </w:rPr>
        <w:t xml:space="preserve">Tawara T, Fukushima T, Hojo N, Isobe A, Shiwaku K, Setogawa T &amp; Yamane Y (1996) Effects of paraquat on mitochondrial electron transport system and catecholamine contents in rat brain. </w:t>
      </w:r>
      <w:r w:rsidRPr="00221E98" w:rsidDel="00072FD7">
        <w:rPr>
          <w:i/>
          <w:szCs w:val="24"/>
          <w:lang w:eastAsia="en-US"/>
        </w:rPr>
        <w:t>Arch. Toxicol.</w:t>
      </w:r>
      <w:r w:rsidRPr="000013E5" w:rsidDel="00072FD7">
        <w:rPr>
          <w:szCs w:val="24"/>
          <w:lang w:eastAsia="en-US"/>
        </w:rPr>
        <w:t xml:space="preserve"> </w:t>
      </w:r>
      <w:r w:rsidRPr="00221E98" w:rsidDel="00072FD7">
        <w:rPr>
          <w:b/>
          <w:szCs w:val="24"/>
          <w:lang w:eastAsia="en-US"/>
        </w:rPr>
        <w:t>70</w:t>
      </w:r>
      <w:r w:rsidRPr="000013E5" w:rsidDel="00072FD7">
        <w:rPr>
          <w:szCs w:val="24"/>
          <w:lang w:eastAsia="en-US"/>
        </w:rPr>
        <w:t>:585-589.</w:t>
      </w:r>
    </w:p>
    <w:p w14:paraId="271E00AE" w14:textId="77777777" w:rsidR="00221E98" w:rsidRDefault="00221E98" w:rsidP="002B2CFC">
      <w:pPr>
        <w:rPr>
          <w:szCs w:val="24"/>
          <w:lang w:eastAsia="en-US"/>
        </w:rPr>
      </w:pPr>
    </w:p>
    <w:p w14:paraId="450CD36D" w14:textId="77777777" w:rsidR="004217D1" w:rsidRPr="00136301" w:rsidRDefault="004217D1" w:rsidP="004217D1">
      <w:pPr>
        <w:rPr>
          <w:color w:val="000000"/>
        </w:rPr>
      </w:pPr>
      <w:r w:rsidRPr="00136301">
        <w:rPr>
          <w:color w:val="000000"/>
        </w:rPr>
        <w:t xml:space="preserve">Turrens JF &amp; Boveris A (1980) Generation of superoxide anion by the NADH dehydrogenase of bovine heart mitochondria. </w:t>
      </w:r>
      <w:r w:rsidRPr="00221E98">
        <w:rPr>
          <w:i/>
          <w:color w:val="000000"/>
        </w:rPr>
        <w:t>Biochem J</w:t>
      </w:r>
      <w:r w:rsidRPr="00136301">
        <w:rPr>
          <w:color w:val="000000"/>
        </w:rPr>
        <w:t xml:space="preserve"> </w:t>
      </w:r>
      <w:r w:rsidRPr="00221E98">
        <w:rPr>
          <w:b/>
          <w:color w:val="000000"/>
        </w:rPr>
        <w:t>191</w:t>
      </w:r>
      <w:r w:rsidRPr="00136301">
        <w:rPr>
          <w:color w:val="000000"/>
        </w:rPr>
        <w:t>: 421-427.</w:t>
      </w:r>
    </w:p>
    <w:p w14:paraId="1817C9A0" w14:textId="77777777" w:rsidR="002B2CFC" w:rsidRPr="00136301" w:rsidDel="00072FD7" w:rsidRDefault="002B2CFC" w:rsidP="002B2CFC">
      <w:pPr>
        <w:rPr>
          <w:szCs w:val="24"/>
          <w:highlight w:val="cyan"/>
          <w:lang w:val="en-US" w:eastAsia="en-US"/>
        </w:rPr>
      </w:pPr>
    </w:p>
    <w:p w14:paraId="639ECE79" w14:textId="77777777" w:rsidR="00A07C68" w:rsidRPr="000013E5" w:rsidRDefault="00A07C68" w:rsidP="00A07C68">
      <w:pPr>
        <w:rPr>
          <w:color w:val="000000"/>
        </w:rPr>
      </w:pPr>
      <w:r w:rsidRPr="000013E5">
        <w:rPr>
          <w:color w:val="000000"/>
        </w:rPr>
        <w:t>Taylor R, Tama K &amp; Goldstein G (1985) Paraquat poisoning in pacific island countries. Technical Paper no: 189. South pacific Commission, Noumea, New Caledonia. 1-58.</w:t>
      </w:r>
    </w:p>
    <w:p w14:paraId="5E63DF82" w14:textId="77777777" w:rsidR="00A07C68" w:rsidRPr="00136301" w:rsidRDefault="00A07C68" w:rsidP="002B2CFC">
      <w:pPr>
        <w:rPr>
          <w:szCs w:val="24"/>
          <w:highlight w:val="cyan"/>
          <w:lang w:val="en-US" w:eastAsia="en-US"/>
        </w:rPr>
      </w:pPr>
    </w:p>
    <w:p w14:paraId="3882591E" w14:textId="77777777" w:rsidR="002B2CFC" w:rsidRDefault="002B2CFC" w:rsidP="002B2CFC">
      <w:pPr>
        <w:rPr>
          <w:szCs w:val="24"/>
          <w:lang w:val="en-US" w:eastAsia="en-US"/>
        </w:rPr>
      </w:pPr>
      <w:r w:rsidRPr="000013E5" w:rsidDel="00072FD7">
        <w:rPr>
          <w:szCs w:val="24"/>
          <w:lang w:val="en-US" w:eastAsia="en-US"/>
        </w:rPr>
        <w:t xml:space="preserve">Tomenson JA &amp; Campbell C (2011) Mortality from Parkinson’s disease and other causes among a workforce manufacturing paraquat: a retrospective cohort study. </w:t>
      </w:r>
      <w:r w:rsidRPr="00221E98" w:rsidDel="00072FD7">
        <w:rPr>
          <w:i/>
          <w:szCs w:val="24"/>
          <w:lang w:val="en-US" w:eastAsia="en-US"/>
        </w:rPr>
        <w:t>BMJ Open</w:t>
      </w:r>
      <w:r w:rsidRPr="000013E5" w:rsidDel="00072FD7">
        <w:rPr>
          <w:szCs w:val="24"/>
          <w:lang w:val="en-US" w:eastAsia="en-US"/>
        </w:rPr>
        <w:t xml:space="preserve"> 2011;1:e000283. Doi:10. 1136/bmjopen-2011-000283</w:t>
      </w:r>
    </w:p>
    <w:p w14:paraId="7BA19409" w14:textId="77777777" w:rsidR="004217D1" w:rsidRDefault="004217D1" w:rsidP="002B2CFC">
      <w:pPr>
        <w:rPr>
          <w:szCs w:val="24"/>
          <w:lang w:val="en-US" w:eastAsia="en-US"/>
        </w:rPr>
      </w:pPr>
    </w:p>
    <w:p w14:paraId="00B909B2" w14:textId="77777777" w:rsidR="004217D1" w:rsidRPr="00136301" w:rsidRDefault="004217D1" w:rsidP="004217D1">
      <w:pPr>
        <w:rPr>
          <w:color w:val="000000"/>
        </w:rPr>
      </w:pPr>
      <w:r w:rsidRPr="00136301">
        <w:rPr>
          <w:color w:val="000000"/>
        </w:rPr>
        <w:t xml:space="preserve">Ungerstedt U &amp; Arbuthnott FW (1970) Quantitative recording of rotational behaviour in rats after 6-hydroxydopamine lesions of the nigrostriatal dopamine system. </w:t>
      </w:r>
      <w:r w:rsidRPr="00221E98">
        <w:rPr>
          <w:i/>
          <w:color w:val="000000"/>
        </w:rPr>
        <w:t>Brain Res</w:t>
      </w:r>
      <w:r w:rsidRPr="00136301">
        <w:rPr>
          <w:color w:val="000000"/>
        </w:rPr>
        <w:t xml:space="preserve"> </w:t>
      </w:r>
      <w:r w:rsidRPr="00221E98">
        <w:rPr>
          <w:b/>
          <w:color w:val="000000"/>
        </w:rPr>
        <w:t>24</w:t>
      </w:r>
      <w:r w:rsidRPr="00136301">
        <w:rPr>
          <w:color w:val="000000"/>
        </w:rPr>
        <w:t>: 485-493.</w:t>
      </w:r>
    </w:p>
    <w:p w14:paraId="55B59ED8" w14:textId="77777777" w:rsidR="002B2CFC" w:rsidRPr="00136301" w:rsidDel="00072FD7" w:rsidRDefault="002B2CFC" w:rsidP="002B2CFC">
      <w:pPr>
        <w:rPr>
          <w:szCs w:val="24"/>
          <w:highlight w:val="cyan"/>
          <w:lang w:eastAsia="en-US"/>
        </w:rPr>
      </w:pPr>
    </w:p>
    <w:p w14:paraId="339BB29E" w14:textId="77777777" w:rsidR="002B2CFC" w:rsidRPr="000013E5" w:rsidDel="00072FD7" w:rsidRDefault="002B2CFC" w:rsidP="002B2CFC">
      <w:pPr>
        <w:rPr>
          <w:szCs w:val="24"/>
          <w:lang w:eastAsia="en-US"/>
        </w:rPr>
      </w:pPr>
      <w:r w:rsidRPr="000013E5" w:rsidDel="00072FD7">
        <w:rPr>
          <w:szCs w:val="24"/>
          <w:lang w:eastAsia="en-US"/>
        </w:rPr>
        <w:t xml:space="preserve">Widdowson PS, Farnworth MJ, Simpson MG &amp; Lock EA (1996a) Influence of age on the passage of paraquat through the blood-brain barrier in rats: A distribution and pathological examination. </w:t>
      </w:r>
      <w:r w:rsidRPr="00221E98" w:rsidDel="00072FD7">
        <w:rPr>
          <w:i/>
          <w:szCs w:val="24"/>
          <w:lang w:eastAsia="en-US"/>
        </w:rPr>
        <w:t>Hum. Exp. Toxicol.</w:t>
      </w:r>
      <w:r w:rsidRPr="000013E5" w:rsidDel="00072FD7">
        <w:rPr>
          <w:szCs w:val="24"/>
          <w:lang w:eastAsia="en-US"/>
        </w:rPr>
        <w:t xml:space="preserve"> </w:t>
      </w:r>
      <w:r w:rsidRPr="00221E98" w:rsidDel="00072FD7">
        <w:rPr>
          <w:b/>
          <w:szCs w:val="24"/>
          <w:lang w:eastAsia="en-US"/>
        </w:rPr>
        <w:t>15</w:t>
      </w:r>
      <w:r w:rsidRPr="000013E5" w:rsidDel="00072FD7">
        <w:rPr>
          <w:szCs w:val="24"/>
          <w:lang w:eastAsia="en-US"/>
        </w:rPr>
        <w:t>:231-236.</w:t>
      </w:r>
    </w:p>
    <w:p w14:paraId="772016C9" w14:textId="77777777" w:rsidR="002B2CFC" w:rsidRPr="00136301" w:rsidDel="00072FD7" w:rsidRDefault="002B2CFC" w:rsidP="002B2CFC">
      <w:pPr>
        <w:tabs>
          <w:tab w:val="num" w:pos="720"/>
          <w:tab w:val="num" w:pos="1440"/>
        </w:tabs>
        <w:rPr>
          <w:szCs w:val="24"/>
          <w:highlight w:val="cyan"/>
          <w:lang w:eastAsia="en-US"/>
        </w:rPr>
      </w:pPr>
    </w:p>
    <w:p w14:paraId="2517107C" w14:textId="77777777" w:rsidR="002B2CFC" w:rsidRPr="000013E5" w:rsidDel="00072FD7" w:rsidRDefault="002B2CFC" w:rsidP="002B2CFC">
      <w:pPr>
        <w:tabs>
          <w:tab w:val="num" w:pos="720"/>
          <w:tab w:val="num" w:pos="1440"/>
        </w:tabs>
        <w:rPr>
          <w:iCs/>
          <w:szCs w:val="24"/>
          <w:lang w:eastAsia="en-US"/>
        </w:rPr>
      </w:pPr>
      <w:r w:rsidRPr="000013E5" w:rsidDel="00072FD7">
        <w:rPr>
          <w:szCs w:val="24"/>
          <w:lang w:eastAsia="en-US"/>
        </w:rPr>
        <w:t xml:space="preserve">Widdowson PS, Farnworth MJ, Upton R, Simpson MG (1996b) </w:t>
      </w:r>
      <w:r w:rsidRPr="000013E5" w:rsidDel="00072FD7">
        <w:rPr>
          <w:iCs/>
          <w:szCs w:val="24"/>
          <w:lang w:eastAsia="en-US"/>
        </w:rPr>
        <w:t xml:space="preserve">No changes in behaviour, nigro-striatal system neurochemistry or neuronal cell death following toxic multiple oral paraquat administration to rats. </w:t>
      </w:r>
      <w:r w:rsidRPr="00221E98" w:rsidDel="00072FD7">
        <w:rPr>
          <w:i/>
          <w:iCs/>
          <w:szCs w:val="24"/>
          <w:lang w:eastAsia="en-US"/>
        </w:rPr>
        <w:t>Hum. Exp. Toxicol</w:t>
      </w:r>
      <w:r w:rsidRPr="000013E5" w:rsidDel="00072FD7">
        <w:rPr>
          <w:iCs/>
          <w:szCs w:val="24"/>
          <w:lang w:eastAsia="en-US"/>
        </w:rPr>
        <w:t xml:space="preserve">. </w:t>
      </w:r>
      <w:r w:rsidRPr="00221E98" w:rsidDel="00072FD7">
        <w:rPr>
          <w:b/>
          <w:iCs/>
          <w:szCs w:val="24"/>
          <w:lang w:eastAsia="en-US"/>
        </w:rPr>
        <w:t>15</w:t>
      </w:r>
      <w:r w:rsidRPr="000013E5" w:rsidDel="00072FD7">
        <w:rPr>
          <w:iCs/>
          <w:szCs w:val="24"/>
          <w:lang w:eastAsia="en-US"/>
        </w:rPr>
        <w:t>:583-591.</w:t>
      </w:r>
    </w:p>
    <w:p w14:paraId="00E03B72" w14:textId="77777777" w:rsidR="002B2CFC" w:rsidRPr="00136301" w:rsidDel="00072FD7" w:rsidRDefault="002B2CFC" w:rsidP="002B2CFC">
      <w:pPr>
        <w:rPr>
          <w:szCs w:val="24"/>
          <w:highlight w:val="cyan"/>
          <w:lang w:eastAsia="en-US"/>
        </w:rPr>
      </w:pPr>
    </w:p>
    <w:p w14:paraId="35552216" w14:textId="77777777" w:rsidR="002B2CFC" w:rsidRPr="000013E5" w:rsidDel="00072FD7" w:rsidRDefault="002B2CFC" w:rsidP="002B2CFC">
      <w:pPr>
        <w:rPr>
          <w:szCs w:val="24"/>
          <w:lang w:eastAsia="en-US"/>
        </w:rPr>
      </w:pPr>
      <w:r w:rsidRPr="000013E5" w:rsidDel="00072FD7">
        <w:rPr>
          <w:szCs w:val="24"/>
          <w:lang w:eastAsia="en-US"/>
        </w:rPr>
        <w:t>Woolley DE, Gietzen DW, Gee SJ, Magdalou J &amp; Hammock BD (1989) Does paraquat (paraquat) mimic MPP</w:t>
      </w:r>
      <w:r w:rsidRPr="000013E5" w:rsidDel="00072FD7">
        <w:rPr>
          <w:szCs w:val="24"/>
          <w:vertAlign w:val="superscript"/>
          <w:lang w:eastAsia="en-US"/>
        </w:rPr>
        <w:t>+</w:t>
      </w:r>
      <w:r w:rsidRPr="000013E5" w:rsidDel="00072FD7">
        <w:rPr>
          <w:szCs w:val="24"/>
          <w:lang w:eastAsia="en-US"/>
        </w:rPr>
        <w:t xml:space="preserve"> toxicity? </w:t>
      </w:r>
      <w:r w:rsidRPr="00221E98" w:rsidDel="00072FD7">
        <w:rPr>
          <w:i/>
          <w:szCs w:val="24"/>
          <w:lang w:eastAsia="en-US"/>
        </w:rPr>
        <w:t>Proc. West. Pharmacol. Soc</w:t>
      </w:r>
      <w:r w:rsidRPr="000013E5" w:rsidDel="00072FD7">
        <w:rPr>
          <w:szCs w:val="24"/>
          <w:lang w:eastAsia="en-US"/>
        </w:rPr>
        <w:t xml:space="preserve">. </w:t>
      </w:r>
      <w:r w:rsidRPr="00221E98" w:rsidDel="00072FD7">
        <w:rPr>
          <w:b/>
          <w:szCs w:val="24"/>
          <w:lang w:eastAsia="en-US"/>
        </w:rPr>
        <w:t>32</w:t>
      </w:r>
      <w:r w:rsidRPr="000013E5" w:rsidDel="00072FD7">
        <w:rPr>
          <w:szCs w:val="24"/>
          <w:lang w:eastAsia="en-US"/>
        </w:rPr>
        <w:t xml:space="preserve">:191-193. </w:t>
      </w:r>
    </w:p>
    <w:p w14:paraId="1E097D23" w14:textId="77777777" w:rsidR="002B2CFC" w:rsidRPr="00136301" w:rsidDel="00072FD7" w:rsidRDefault="002B2CFC" w:rsidP="002B2CFC">
      <w:pPr>
        <w:rPr>
          <w:szCs w:val="24"/>
          <w:highlight w:val="cyan"/>
          <w:lang w:eastAsia="en-US"/>
        </w:rPr>
      </w:pPr>
    </w:p>
    <w:p w14:paraId="6D127035" w14:textId="77777777" w:rsidR="002B2CFC" w:rsidRPr="00136301" w:rsidDel="00072FD7" w:rsidRDefault="002B2CFC" w:rsidP="002B2CFC">
      <w:pPr>
        <w:rPr>
          <w:szCs w:val="24"/>
          <w:highlight w:val="cyan"/>
          <w:lang w:eastAsia="en-US"/>
        </w:rPr>
      </w:pPr>
    </w:p>
    <w:p w14:paraId="77678432" w14:textId="77777777" w:rsidR="00BC046D" w:rsidRPr="00D74C9E" w:rsidDel="00072FD7" w:rsidRDefault="00BC046D" w:rsidP="00BC046D">
      <w:pPr>
        <w:rPr>
          <w:szCs w:val="24"/>
          <w:lang w:eastAsia="en-US"/>
        </w:rPr>
      </w:pPr>
      <w:r w:rsidRPr="00D74C9E" w:rsidDel="00072FD7">
        <w:rPr>
          <w:szCs w:val="24"/>
          <w:lang w:val="en-US" w:eastAsia="en-US"/>
        </w:rPr>
        <w:t xml:space="preserve">Zecca L, Tampellini D, Gerlach M, Riederer P, Fariello RG &amp; Sulzer D (2001) Substantia nigra neuromelanin: structure, synthesis, and molecular behaviour. </w:t>
      </w:r>
      <w:r w:rsidRPr="00221E98" w:rsidDel="00072FD7">
        <w:rPr>
          <w:i/>
          <w:szCs w:val="24"/>
          <w:lang w:val="en-US" w:eastAsia="en-US"/>
        </w:rPr>
        <w:t xml:space="preserve">J. Clin. Pathol: Mol. Pathol. </w:t>
      </w:r>
      <w:r w:rsidRPr="00221E98" w:rsidDel="00072FD7">
        <w:rPr>
          <w:b/>
          <w:szCs w:val="24"/>
          <w:lang w:val="en-US" w:eastAsia="en-US"/>
        </w:rPr>
        <w:t>54</w:t>
      </w:r>
      <w:r w:rsidRPr="00D74C9E" w:rsidDel="00072FD7">
        <w:rPr>
          <w:szCs w:val="24"/>
          <w:lang w:val="en-US" w:eastAsia="en-US"/>
        </w:rPr>
        <w:t>:414-418.</w:t>
      </w:r>
    </w:p>
    <w:p w14:paraId="594759CA" w14:textId="77777777" w:rsidR="00BC046D" w:rsidRDefault="00BC046D" w:rsidP="002B2CFC">
      <w:pPr>
        <w:rPr>
          <w:szCs w:val="24"/>
          <w:lang w:eastAsia="en-US"/>
        </w:rPr>
      </w:pPr>
    </w:p>
    <w:p w14:paraId="0E49F26A" w14:textId="79B6EF75" w:rsidR="002B2CFC" w:rsidRPr="00BC046D" w:rsidDel="00072FD7" w:rsidRDefault="002B2CFC" w:rsidP="002B2CFC">
      <w:pPr>
        <w:rPr>
          <w:szCs w:val="24"/>
          <w:lang w:eastAsia="en-US"/>
        </w:rPr>
      </w:pPr>
      <w:r w:rsidRPr="00BC046D" w:rsidDel="00072FD7">
        <w:rPr>
          <w:szCs w:val="24"/>
          <w:lang w:eastAsia="en-US"/>
        </w:rPr>
        <w:t xml:space="preserve">Zecca L, Zucca FA, Albertini A, Rizzio E, &amp; Fariello RG (2006) A proposed dual role of neuromelanin in the pathogenesis of parkinson’s disease. </w:t>
      </w:r>
      <w:r w:rsidRPr="004D6C19" w:rsidDel="00072FD7">
        <w:rPr>
          <w:i/>
          <w:szCs w:val="24"/>
          <w:lang w:eastAsia="en-US"/>
        </w:rPr>
        <w:t>Neurol.</w:t>
      </w:r>
      <w:r w:rsidRPr="00BC046D" w:rsidDel="00072FD7">
        <w:rPr>
          <w:szCs w:val="24"/>
          <w:lang w:eastAsia="en-US"/>
        </w:rPr>
        <w:t xml:space="preserve"> </w:t>
      </w:r>
      <w:r w:rsidRPr="004D6C19" w:rsidDel="00072FD7">
        <w:rPr>
          <w:b/>
          <w:szCs w:val="24"/>
          <w:lang w:eastAsia="en-US"/>
        </w:rPr>
        <w:t>67</w:t>
      </w:r>
      <w:r w:rsidRPr="00BC046D" w:rsidDel="00072FD7">
        <w:rPr>
          <w:szCs w:val="24"/>
          <w:lang w:eastAsia="en-US"/>
        </w:rPr>
        <w:t>(suppl):S8-S11.</w:t>
      </w:r>
    </w:p>
    <w:p w14:paraId="45E58ED2" w14:textId="77777777" w:rsidR="002B2CFC" w:rsidRPr="00136301" w:rsidDel="00072FD7" w:rsidRDefault="002B2CFC" w:rsidP="002B2CFC">
      <w:pPr>
        <w:rPr>
          <w:szCs w:val="24"/>
          <w:highlight w:val="cyan"/>
          <w:lang w:eastAsia="en-US"/>
        </w:rPr>
      </w:pPr>
    </w:p>
    <w:p w14:paraId="12A4DE9E" w14:textId="77777777" w:rsidR="002B2CFC" w:rsidRPr="00BC046D" w:rsidDel="00072FD7" w:rsidRDefault="002B2CFC" w:rsidP="00FC749B">
      <w:pPr>
        <w:pStyle w:val="Heading2"/>
        <w:rPr>
          <w:lang w:eastAsia="en-US"/>
        </w:rPr>
      </w:pPr>
      <w:bookmarkStart w:id="158" w:name="_Ref278789683"/>
      <w:bookmarkStart w:id="159" w:name="_Toc459108329"/>
      <w:r w:rsidRPr="00BC046D" w:rsidDel="00072FD7">
        <w:rPr>
          <w:lang w:eastAsia="en-US"/>
        </w:rPr>
        <w:t>References from Epidemiology Report</w:t>
      </w:r>
      <w:bookmarkEnd w:id="158"/>
      <w:bookmarkEnd w:id="159"/>
    </w:p>
    <w:p w14:paraId="59FCFC15" w14:textId="77777777" w:rsidR="002B2CFC" w:rsidRPr="00BC046D" w:rsidDel="00072FD7" w:rsidRDefault="002B2CFC" w:rsidP="002B2CFC">
      <w:pPr>
        <w:rPr>
          <w:szCs w:val="24"/>
          <w:lang w:val="en-US" w:eastAsia="en-US"/>
        </w:rPr>
      </w:pPr>
      <w:r w:rsidRPr="00BC046D" w:rsidDel="00072FD7">
        <w:rPr>
          <w:szCs w:val="24"/>
          <w:lang w:val="en-US" w:eastAsia="en-US"/>
        </w:rPr>
        <w:t xml:space="preserve">Ascherio A, Chen H, &amp; Weisskopf  M </w:t>
      </w:r>
      <w:r w:rsidRPr="00BC046D" w:rsidDel="00072FD7">
        <w:rPr>
          <w:i/>
          <w:szCs w:val="24"/>
          <w:lang w:val="en-US" w:eastAsia="en-US"/>
        </w:rPr>
        <w:t>et al</w:t>
      </w:r>
      <w:r w:rsidRPr="00BC046D" w:rsidDel="00072FD7">
        <w:rPr>
          <w:szCs w:val="24"/>
          <w:lang w:val="en-US" w:eastAsia="en-US"/>
        </w:rPr>
        <w:t xml:space="preserve"> (2007) Pesticide exposure and risk for Parkinson’s disease.  </w:t>
      </w:r>
      <w:r w:rsidRPr="004D6C19" w:rsidDel="00072FD7">
        <w:rPr>
          <w:i/>
          <w:szCs w:val="24"/>
          <w:lang w:val="en-US" w:eastAsia="en-US"/>
        </w:rPr>
        <w:t>Annals Neurol.</w:t>
      </w:r>
      <w:r w:rsidRPr="00BC046D" w:rsidDel="00072FD7">
        <w:rPr>
          <w:szCs w:val="24"/>
          <w:lang w:val="en-US" w:eastAsia="en-US"/>
        </w:rPr>
        <w:t xml:space="preserve"> </w:t>
      </w:r>
      <w:r w:rsidRPr="004D6C19" w:rsidDel="00072FD7">
        <w:rPr>
          <w:b/>
          <w:szCs w:val="24"/>
          <w:lang w:val="en-US" w:eastAsia="en-US"/>
        </w:rPr>
        <w:t>60</w:t>
      </w:r>
      <w:r w:rsidRPr="00BC046D" w:rsidDel="00072FD7">
        <w:rPr>
          <w:szCs w:val="24"/>
          <w:lang w:val="en-US" w:eastAsia="en-US"/>
        </w:rPr>
        <w:t>:197-203.</w:t>
      </w:r>
    </w:p>
    <w:p w14:paraId="595FA3AB" w14:textId="77777777" w:rsidR="002B2CFC" w:rsidRPr="005C4EB0" w:rsidDel="00072FD7" w:rsidRDefault="002B2CFC" w:rsidP="002B2CFC">
      <w:pPr>
        <w:rPr>
          <w:szCs w:val="24"/>
          <w:lang w:eastAsia="en-US"/>
        </w:rPr>
      </w:pPr>
    </w:p>
    <w:p w14:paraId="4516C27E" w14:textId="77777777" w:rsidR="002B2CFC" w:rsidRPr="005C4EB0" w:rsidDel="00072FD7" w:rsidRDefault="002B2CFC" w:rsidP="002B2CFC">
      <w:pPr>
        <w:rPr>
          <w:szCs w:val="24"/>
          <w:lang w:eastAsia="en-US"/>
        </w:rPr>
      </w:pPr>
      <w:r w:rsidRPr="005C4EB0" w:rsidDel="00072FD7">
        <w:rPr>
          <w:szCs w:val="24"/>
          <w:lang w:eastAsia="en-US"/>
        </w:rPr>
        <w:lastRenderedPageBreak/>
        <w:t xml:space="preserve">Costello S, Cockburn M, Bronstein J, Zhang X &amp; Ritz B (2009). Parkinson’s disease in residential exposure to maneb and paraquat from agricultural applications in the central valley of California. </w:t>
      </w:r>
      <w:r w:rsidRPr="004D6C19" w:rsidDel="00072FD7">
        <w:rPr>
          <w:i/>
          <w:szCs w:val="24"/>
          <w:lang w:eastAsia="en-US"/>
        </w:rPr>
        <w:t>Am. J. Epidemiol</w:t>
      </w:r>
      <w:r w:rsidRPr="005C4EB0" w:rsidDel="00072FD7">
        <w:rPr>
          <w:szCs w:val="24"/>
          <w:lang w:eastAsia="en-US"/>
        </w:rPr>
        <w:t xml:space="preserve">. </w:t>
      </w:r>
      <w:r w:rsidRPr="004D6C19" w:rsidDel="00072FD7">
        <w:rPr>
          <w:b/>
          <w:szCs w:val="24"/>
          <w:lang w:eastAsia="en-US"/>
        </w:rPr>
        <w:t>169</w:t>
      </w:r>
      <w:r w:rsidRPr="005C4EB0" w:rsidDel="00072FD7">
        <w:rPr>
          <w:szCs w:val="24"/>
          <w:lang w:eastAsia="en-US"/>
        </w:rPr>
        <w:t>:919-926.</w:t>
      </w:r>
    </w:p>
    <w:p w14:paraId="153040C8" w14:textId="77777777" w:rsidR="002B2CFC" w:rsidRPr="005C4EB0" w:rsidDel="00072FD7" w:rsidRDefault="002B2CFC" w:rsidP="002B2CFC">
      <w:pPr>
        <w:rPr>
          <w:szCs w:val="24"/>
          <w:lang w:eastAsia="en-US"/>
        </w:rPr>
      </w:pPr>
    </w:p>
    <w:p w14:paraId="7731E66F" w14:textId="77777777" w:rsidR="002B2CFC" w:rsidRPr="005C4EB0" w:rsidDel="00072FD7" w:rsidRDefault="002B2CFC" w:rsidP="002B2CFC">
      <w:pPr>
        <w:rPr>
          <w:szCs w:val="24"/>
          <w:lang w:eastAsia="en-US"/>
        </w:rPr>
      </w:pPr>
      <w:r w:rsidRPr="005C4EB0" w:rsidDel="00072FD7">
        <w:rPr>
          <w:szCs w:val="24"/>
          <w:lang w:eastAsia="en-US"/>
        </w:rPr>
        <w:t>Dolk H (2002)  Methodological Issues Related to Epidemiological Assessment of Health Risks of Waste Management.</w:t>
      </w:r>
      <w:r w:rsidRPr="004D6C19" w:rsidDel="00072FD7">
        <w:rPr>
          <w:szCs w:val="24"/>
          <w:lang w:eastAsia="en-US"/>
        </w:rPr>
        <w:t xml:space="preserve"> In</w:t>
      </w:r>
      <w:r w:rsidRPr="005C4EB0" w:rsidDel="00072FD7">
        <w:rPr>
          <w:szCs w:val="24"/>
          <w:lang w:eastAsia="en-US"/>
        </w:rPr>
        <w:t xml:space="preserve"> Hester RE and Harrison RM (Eds) Environmental and Health Impact of Solid Waste Management Activities: Issues in Environmental Science and Technology.  Royal Soc. Chem. Cambridge, UK.</w:t>
      </w:r>
    </w:p>
    <w:p w14:paraId="50622FDA" w14:textId="77777777" w:rsidR="002B2CFC" w:rsidRPr="005C4EB0" w:rsidDel="00072FD7" w:rsidRDefault="002B2CFC" w:rsidP="002B2CFC">
      <w:pPr>
        <w:rPr>
          <w:szCs w:val="24"/>
          <w:lang w:eastAsia="en-US"/>
        </w:rPr>
      </w:pPr>
    </w:p>
    <w:p w14:paraId="61D29E07" w14:textId="77777777" w:rsidR="002B2CFC" w:rsidRDefault="002B2CFC" w:rsidP="002B2CFC">
      <w:pPr>
        <w:rPr>
          <w:szCs w:val="24"/>
          <w:lang w:val="en-US" w:eastAsia="en-US"/>
        </w:rPr>
      </w:pPr>
      <w:r w:rsidRPr="005C4EB0" w:rsidDel="00072FD7">
        <w:rPr>
          <w:szCs w:val="24"/>
          <w:lang w:val="en-US" w:eastAsia="en-US"/>
        </w:rPr>
        <w:t xml:space="preserve">Kamel F, Tanner CM, Umbach DM, Hoppin JA, Blair A, Comyns K, Goldman SM, Korell M, Langston JW, Ross GW, &amp; Sandler DP (2007). </w:t>
      </w:r>
      <w:r w:rsidRPr="004D6C19" w:rsidDel="00072FD7">
        <w:rPr>
          <w:i/>
          <w:szCs w:val="24"/>
          <w:lang w:val="en-US" w:eastAsia="en-US"/>
        </w:rPr>
        <w:t>American Journal of Epidemiology</w:t>
      </w:r>
      <w:r w:rsidRPr="005C4EB0" w:rsidDel="00072FD7">
        <w:rPr>
          <w:szCs w:val="24"/>
          <w:lang w:val="en-US" w:eastAsia="en-US"/>
        </w:rPr>
        <w:t xml:space="preserve">. </w:t>
      </w:r>
      <w:r w:rsidRPr="004D6C19" w:rsidDel="00072FD7">
        <w:rPr>
          <w:b/>
          <w:szCs w:val="24"/>
          <w:lang w:val="en-US" w:eastAsia="en-US"/>
        </w:rPr>
        <w:t>165</w:t>
      </w:r>
      <w:r w:rsidRPr="005C4EB0" w:rsidDel="00072FD7">
        <w:rPr>
          <w:szCs w:val="24"/>
          <w:lang w:val="en-US" w:eastAsia="en-US"/>
        </w:rPr>
        <w:t>(4):364-374.</w:t>
      </w:r>
    </w:p>
    <w:p w14:paraId="68055898" w14:textId="77777777" w:rsidR="008C2559" w:rsidRDefault="008C2559" w:rsidP="002B2CFC">
      <w:pPr>
        <w:rPr>
          <w:szCs w:val="24"/>
          <w:lang w:val="en-US" w:eastAsia="en-US"/>
        </w:rPr>
      </w:pPr>
    </w:p>
    <w:p w14:paraId="3024A832" w14:textId="77777777" w:rsidR="008C2559" w:rsidRPr="00F94A48" w:rsidRDefault="008C2559" w:rsidP="00FC749B">
      <w:pPr>
        <w:pStyle w:val="Heading2"/>
        <w:rPr>
          <w:lang w:eastAsia="en-US"/>
        </w:rPr>
      </w:pPr>
      <w:bookmarkStart w:id="160" w:name="_Toc219113092"/>
      <w:bookmarkStart w:id="161" w:name="_Toc459108330"/>
      <w:bookmarkStart w:id="162" w:name="_Toc409777510"/>
      <w:r w:rsidRPr="00F94A48">
        <w:rPr>
          <w:lang w:eastAsia="en-US"/>
        </w:rPr>
        <w:t>References seen but not evaluated</w:t>
      </w:r>
      <w:bookmarkEnd w:id="160"/>
      <w:bookmarkEnd w:id="161"/>
      <w:r w:rsidRPr="00F94A48">
        <w:rPr>
          <w:lang w:eastAsia="en-US"/>
        </w:rPr>
        <w:t xml:space="preserve"> </w:t>
      </w:r>
      <w:bookmarkEnd w:id="162"/>
    </w:p>
    <w:p w14:paraId="09554C00" w14:textId="77777777" w:rsidR="008C2559" w:rsidRDefault="008C2559" w:rsidP="008C2559">
      <w:pPr>
        <w:pStyle w:val="CommentText"/>
        <w:rPr>
          <w:color w:val="000000"/>
          <w:sz w:val="24"/>
        </w:rPr>
      </w:pPr>
      <w:r w:rsidRPr="004D7B4A">
        <w:rPr>
          <w:color w:val="000000"/>
          <w:sz w:val="24"/>
        </w:rPr>
        <w:t>The following references were not evaluated as they were deemed not to be of regulatory standard or considered not to add to the existing toxicological database.</w:t>
      </w:r>
    </w:p>
    <w:p w14:paraId="28515A91" w14:textId="77777777" w:rsidR="008C2559" w:rsidRPr="00F30EB3" w:rsidRDefault="008C2559" w:rsidP="008C2559">
      <w:pPr>
        <w:pStyle w:val="CommentText"/>
      </w:pPr>
    </w:p>
    <w:p w14:paraId="540C39DA" w14:textId="77777777" w:rsidR="008C2559" w:rsidRPr="00F30EB3" w:rsidRDefault="008C2559" w:rsidP="008C2559">
      <w:pPr>
        <w:rPr>
          <w:rStyle w:val="Hyperlink"/>
          <w:color w:val="000000"/>
          <w:szCs w:val="24"/>
          <w:u w:val="none"/>
        </w:rPr>
      </w:pPr>
      <w:r w:rsidRPr="00F30EB3">
        <w:rPr>
          <w:rStyle w:val="Hyperlink"/>
          <w:color w:val="000000"/>
          <w:szCs w:val="24"/>
          <w:u w:val="none"/>
        </w:rPr>
        <w:t xml:space="preserve">Alcaro S, Arcone R, Vecchio I, Ortuso F, Gallelli A, Pasceri R, Procopio A &amp; Iannone M (2007) </w:t>
      </w:r>
      <w:r w:rsidRPr="00F30EB3">
        <w:rPr>
          <w:color w:val="000000"/>
          <w:szCs w:val="24"/>
        </w:rPr>
        <w:t xml:space="preserve">Molecular modelling and enzymatic studies of acetylcholinesterase and butyrylcholinesterase recognition with paraquat and related compounds. </w:t>
      </w:r>
      <w:r w:rsidRPr="006A185E">
        <w:rPr>
          <w:i/>
          <w:color w:val="000000"/>
          <w:szCs w:val="24"/>
        </w:rPr>
        <w:t>Environ Res</w:t>
      </w:r>
      <w:r w:rsidRPr="00F30EB3">
        <w:rPr>
          <w:color w:val="000000"/>
          <w:szCs w:val="24"/>
        </w:rPr>
        <w:t>. (</w:t>
      </w:r>
      <w:r w:rsidRPr="00F30EB3">
        <w:rPr>
          <w:rStyle w:val="issue"/>
          <w:color w:val="000000"/>
          <w:szCs w:val="24"/>
        </w:rPr>
        <w:t>5-6</w:t>
      </w:r>
      <w:r w:rsidRPr="00F30EB3">
        <w:rPr>
          <w:color w:val="000000"/>
          <w:szCs w:val="24"/>
        </w:rPr>
        <w:t>):</w:t>
      </w:r>
      <w:r w:rsidRPr="00F30EB3">
        <w:rPr>
          <w:rStyle w:val="pages"/>
          <w:color w:val="000000"/>
          <w:szCs w:val="24"/>
        </w:rPr>
        <w:t>595-602</w:t>
      </w:r>
      <w:r w:rsidRPr="00F30EB3">
        <w:rPr>
          <w:color w:val="000000"/>
          <w:szCs w:val="24"/>
        </w:rPr>
        <w:t>.</w:t>
      </w:r>
    </w:p>
    <w:p w14:paraId="74143D7A" w14:textId="77777777" w:rsidR="008C2559" w:rsidRDefault="008C2559" w:rsidP="002B2CFC">
      <w:pPr>
        <w:rPr>
          <w:szCs w:val="24"/>
          <w:lang w:val="en-US" w:eastAsia="en-US"/>
        </w:rPr>
      </w:pPr>
    </w:p>
    <w:p w14:paraId="478776FE" w14:textId="77777777" w:rsidR="008C2559" w:rsidRPr="00F30EB3" w:rsidRDefault="008C2559" w:rsidP="008C2559">
      <w:pPr>
        <w:rPr>
          <w:color w:val="000000"/>
        </w:rPr>
      </w:pPr>
      <w:r w:rsidRPr="00F30EB3">
        <w:rPr>
          <w:color w:val="000000"/>
        </w:rPr>
        <w:t xml:space="preserve">Borm PJA &amp; Van Vliet C (1988) Susceptibility in Parkinson’s disease: ‘Of mice and men’ </w:t>
      </w:r>
      <w:r w:rsidRPr="00E27261">
        <w:rPr>
          <w:i/>
          <w:color w:val="000000"/>
        </w:rPr>
        <w:t>Med Hypoth</w:t>
      </w:r>
      <w:r w:rsidRPr="00F30EB3">
        <w:rPr>
          <w:color w:val="000000"/>
        </w:rPr>
        <w:t xml:space="preserve"> </w:t>
      </w:r>
      <w:r w:rsidRPr="00E27261">
        <w:rPr>
          <w:b/>
          <w:color w:val="000000"/>
        </w:rPr>
        <w:t>27</w:t>
      </w:r>
      <w:r w:rsidRPr="00F30EB3">
        <w:rPr>
          <w:color w:val="000000"/>
        </w:rPr>
        <w:t>: 205-207.</w:t>
      </w:r>
    </w:p>
    <w:p w14:paraId="32ECC9E9" w14:textId="77777777" w:rsidR="008C2559" w:rsidRPr="005C4EB0" w:rsidDel="00072FD7" w:rsidRDefault="008C2559" w:rsidP="002B2CFC">
      <w:pPr>
        <w:rPr>
          <w:szCs w:val="24"/>
          <w:lang w:val="en-US" w:eastAsia="en-US"/>
        </w:rPr>
      </w:pPr>
    </w:p>
    <w:p w14:paraId="410ACF1A" w14:textId="77777777" w:rsidR="0040178F" w:rsidRPr="00F30EB3" w:rsidRDefault="0040178F" w:rsidP="0040178F">
      <w:pPr>
        <w:rPr>
          <w:color w:val="000000"/>
        </w:rPr>
      </w:pPr>
      <w:r w:rsidRPr="00F30EB3">
        <w:rPr>
          <w:color w:val="000000"/>
        </w:rPr>
        <w:t xml:space="preserve">Calo M, Iannone M, Passafaro M &amp; Nistico G (1990) Selective vulnerability of hippocampal CA3 neurons after microinfusion of paraquat into the rat substantia nigra or into the ventral tegmental area. </w:t>
      </w:r>
      <w:r w:rsidRPr="00E27261">
        <w:rPr>
          <w:i/>
          <w:color w:val="000000"/>
        </w:rPr>
        <w:t>J Comp Path</w:t>
      </w:r>
      <w:r w:rsidRPr="00F30EB3">
        <w:rPr>
          <w:color w:val="000000"/>
        </w:rPr>
        <w:t xml:space="preserve"> </w:t>
      </w:r>
      <w:r w:rsidRPr="00E27261">
        <w:rPr>
          <w:b/>
          <w:color w:val="000000"/>
        </w:rPr>
        <w:t>103</w:t>
      </w:r>
      <w:r w:rsidRPr="00F30EB3">
        <w:rPr>
          <w:color w:val="000000"/>
        </w:rPr>
        <w:t>: 73-78.</w:t>
      </w:r>
    </w:p>
    <w:p w14:paraId="56B80205" w14:textId="77777777" w:rsidR="002B2CFC" w:rsidRDefault="002B2CFC" w:rsidP="002B2CFC">
      <w:pPr>
        <w:rPr>
          <w:szCs w:val="24"/>
          <w:lang w:val="en-US" w:eastAsia="en-US"/>
        </w:rPr>
      </w:pPr>
    </w:p>
    <w:p w14:paraId="6C325108" w14:textId="77777777" w:rsidR="0040178F" w:rsidRPr="00F94A48" w:rsidRDefault="0040178F" w:rsidP="0040178F">
      <w:pPr>
        <w:rPr>
          <w:color w:val="000000"/>
        </w:rPr>
      </w:pPr>
      <w:r w:rsidRPr="00F94A48">
        <w:rPr>
          <w:color w:val="000000"/>
        </w:rPr>
        <w:t>Costa LC, Aschner M, Vitalone A, Syversen T &amp; Soldin OP (2004) Developmental neuropathology of environmental agents. Annu Rev Pharmacol Toxicol 44:87-110.</w:t>
      </w:r>
    </w:p>
    <w:p w14:paraId="615B8A3A" w14:textId="77777777" w:rsidR="0040178F" w:rsidRDefault="0040178F" w:rsidP="002B2CFC">
      <w:pPr>
        <w:rPr>
          <w:szCs w:val="24"/>
          <w:lang w:val="en-US" w:eastAsia="en-US"/>
        </w:rPr>
      </w:pPr>
    </w:p>
    <w:p w14:paraId="0FD2C9AF" w14:textId="77777777" w:rsidR="000F3526" w:rsidRPr="00F30EB3" w:rsidRDefault="003A31EB" w:rsidP="000F3526">
      <w:pPr>
        <w:rPr>
          <w:color w:val="000000"/>
        </w:rPr>
      </w:pPr>
      <w:hyperlink r:id="rId16" w:history="1">
        <w:r w:rsidR="000F3526" w:rsidRPr="00F30EB3">
          <w:rPr>
            <w:rStyle w:val="Hyperlink"/>
            <w:bCs/>
            <w:color w:val="000000"/>
            <w:szCs w:val="24"/>
            <w:u w:val="none"/>
          </w:rPr>
          <w:t>Dick FD</w:t>
        </w:r>
      </w:hyperlink>
      <w:r w:rsidR="000F3526" w:rsidRPr="00F30EB3">
        <w:rPr>
          <w:color w:val="000000"/>
          <w:szCs w:val="24"/>
        </w:rPr>
        <w:t xml:space="preserve"> (2007) Parkinson's disease and pesticide exposures. </w:t>
      </w:r>
      <w:hyperlink r:id="rId17" w:history="1">
        <w:r w:rsidR="000F3526" w:rsidRPr="00E27261">
          <w:rPr>
            <w:rStyle w:val="Hyperlink"/>
            <w:i/>
            <w:color w:val="000000"/>
            <w:szCs w:val="24"/>
            <w:u w:val="none"/>
          </w:rPr>
          <w:t>Br Med Bull.</w:t>
        </w:r>
      </w:hyperlink>
      <w:r w:rsidR="000F3526" w:rsidRPr="00F30EB3">
        <w:rPr>
          <w:rStyle w:val="ti"/>
          <w:color w:val="000000"/>
          <w:szCs w:val="24"/>
        </w:rPr>
        <w:t xml:space="preserve"> 79-80:219-31. </w:t>
      </w:r>
    </w:p>
    <w:p w14:paraId="249006A8" w14:textId="77777777" w:rsidR="000F3526" w:rsidRDefault="000F3526" w:rsidP="002B2CFC">
      <w:pPr>
        <w:rPr>
          <w:szCs w:val="24"/>
          <w:lang w:val="en-US" w:eastAsia="en-US"/>
        </w:rPr>
      </w:pPr>
    </w:p>
    <w:p w14:paraId="445C2AD4" w14:textId="77777777" w:rsidR="000F3526" w:rsidRDefault="003A31EB" w:rsidP="002B2CFC">
      <w:pPr>
        <w:rPr>
          <w:color w:val="000000"/>
        </w:rPr>
      </w:pPr>
      <w:hyperlink r:id="rId18" w:history="1">
        <w:r w:rsidR="000F3526" w:rsidRPr="00F30EB3">
          <w:rPr>
            <w:rStyle w:val="Hyperlink"/>
            <w:color w:val="000000"/>
            <w:u w:val="none"/>
          </w:rPr>
          <w:t>Djukic M, Jovanovic MC, Ninkovic M, Vasiljevic I &amp; Jovanovic M</w:t>
        </w:r>
      </w:hyperlink>
      <w:r w:rsidR="000F3526" w:rsidRPr="00F30EB3">
        <w:rPr>
          <w:color w:val="000000"/>
        </w:rPr>
        <w:t xml:space="preserve"> (2007). The role of nitric oxide in paraquat-induced oxidative stress in rat striatum. </w:t>
      </w:r>
      <w:r w:rsidR="000F3526" w:rsidRPr="00B03A7A">
        <w:rPr>
          <w:i/>
          <w:color w:val="000000"/>
        </w:rPr>
        <w:t>Ann Agric Environ Med</w:t>
      </w:r>
      <w:r w:rsidR="000F3526" w:rsidRPr="00F30EB3">
        <w:rPr>
          <w:rStyle w:val="Hyperlink"/>
          <w:color w:val="000000"/>
          <w:u w:val="none"/>
        </w:rPr>
        <w:t xml:space="preserve"> </w:t>
      </w:r>
      <w:r w:rsidR="000F3526" w:rsidRPr="00B03A7A">
        <w:rPr>
          <w:rStyle w:val="volume"/>
          <w:b/>
          <w:color w:val="000000"/>
        </w:rPr>
        <w:t>14</w:t>
      </w:r>
      <w:r w:rsidR="000F3526" w:rsidRPr="00F30EB3">
        <w:rPr>
          <w:color w:val="000000"/>
        </w:rPr>
        <w:t>(</w:t>
      </w:r>
      <w:r w:rsidR="000F3526" w:rsidRPr="00F30EB3">
        <w:rPr>
          <w:rStyle w:val="issue"/>
          <w:color w:val="000000"/>
        </w:rPr>
        <w:t>2</w:t>
      </w:r>
      <w:r w:rsidR="000F3526" w:rsidRPr="00F30EB3">
        <w:rPr>
          <w:color w:val="000000"/>
        </w:rPr>
        <w:t>):</w:t>
      </w:r>
      <w:r w:rsidR="000F3526" w:rsidRPr="00F30EB3">
        <w:rPr>
          <w:rStyle w:val="pages"/>
          <w:color w:val="000000"/>
        </w:rPr>
        <w:t>247-52</w:t>
      </w:r>
      <w:r w:rsidR="000F3526" w:rsidRPr="00F30EB3">
        <w:rPr>
          <w:color w:val="000000"/>
        </w:rPr>
        <w:t>.</w:t>
      </w:r>
    </w:p>
    <w:p w14:paraId="1EE3F204" w14:textId="77777777" w:rsidR="000F3526" w:rsidRDefault="000F3526" w:rsidP="002B2CFC">
      <w:pPr>
        <w:rPr>
          <w:color w:val="000000"/>
        </w:rPr>
      </w:pPr>
    </w:p>
    <w:p w14:paraId="29C8459E" w14:textId="77777777" w:rsidR="000F3526" w:rsidRPr="00F30EB3" w:rsidRDefault="003A31EB" w:rsidP="000F3526">
      <w:pPr>
        <w:rPr>
          <w:color w:val="000000"/>
        </w:rPr>
      </w:pPr>
      <w:hyperlink r:id="rId19" w:history="1">
        <w:r w:rsidR="000F3526" w:rsidRPr="00F30EB3">
          <w:rPr>
            <w:rStyle w:val="Hyperlink"/>
            <w:color w:val="000000"/>
            <w:u w:val="none"/>
          </w:rPr>
          <w:t>Doostzadeh J, Davis RW, Giaever GN, Nislow C &amp; Langston JW</w:t>
        </w:r>
      </w:hyperlink>
      <w:r w:rsidR="000F3526" w:rsidRPr="00F30EB3">
        <w:rPr>
          <w:color w:val="000000"/>
        </w:rPr>
        <w:t xml:space="preserve"> (2007) Chemical genomic profiling for identifying intracellular targets of toxicants producing Parkinson's disease. </w:t>
      </w:r>
      <w:r w:rsidR="000F3526" w:rsidRPr="00B03A7A">
        <w:rPr>
          <w:i/>
          <w:color w:val="000000"/>
        </w:rPr>
        <w:t>Toxicol Sci</w:t>
      </w:r>
      <w:r w:rsidR="000F3526" w:rsidRPr="00F30EB3">
        <w:rPr>
          <w:color w:val="000000"/>
        </w:rPr>
        <w:t xml:space="preserve"> </w:t>
      </w:r>
      <w:r w:rsidR="000F3526" w:rsidRPr="00B03A7A">
        <w:rPr>
          <w:rStyle w:val="volume"/>
          <w:b/>
          <w:color w:val="000000"/>
        </w:rPr>
        <w:t>95</w:t>
      </w:r>
      <w:r w:rsidR="000F3526" w:rsidRPr="00F30EB3">
        <w:rPr>
          <w:color w:val="000000"/>
        </w:rPr>
        <w:t>(</w:t>
      </w:r>
      <w:r w:rsidR="000F3526" w:rsidRPr="00F30EB3">
        <w:rPr>
          <w:rStyle w:val="issue"/>
          <w:color w:val="000000"/>
        </w:rPr>
        <w:t>1</w:t>
      </w:r>
      <w:r w:rsidR="000F3526" w:rsidRPr="00F30EB3">
        <w:rPr>
          <w:color w:val="000000"/>
        </w:rPr>
        <w:t>):</w:t>
      </w:r>
      <w:r w:rsidR="000F3526" w:rsidRPr="00F30EB3">
        <w:rPr>
          <w:rStyle w:val="pages"/>
          <w:color w:val="000000"/>
        </w:rPr>
        <w:t>182-7</w:t>
      </w:r>
      <w:r w:rsidR="000F3526" w:rsidRPr="00F30EB3">
        <w:rPr>
          <w:color w:val="000000"/>
        </w:rPr>
        <w:t>.</w:t>
      </w:r>
    </w:p>
    <w:p w14:paraId="032380CA" w14:textId="77777777" w:rsidR="000F3526" w:rsidRDefault="000F3526" w:rsidP="002B2CFC">
      <w:pPr>
        <w:rPr>
          <w:szCs w:val="24"/>
          <w:lang w:val="en-US" w:eastAsia="en-US"/>
        </w:rPr>
      </w:pPr>
    </w:p>
    <w:p w14:paraId="04107651" w14:textId="77777777" w:rsidR="000F3526" w:rsidRPr="00F30EB3" w:rsidRDefault="000F3526" w:rsidP="000F3526">
      <w:pPr>
        <w:rPr>
          <w:rStyle w:val="Hyperlink"/>
          <w:color w:val="000000"/>
          <w:szCs w:val="24"/>
          <w:u w:val="none"/>
        </w:rPr>
      </w:pPr>
      <w:r w:rsidRPr="00F30EB3">
        <w:rPr>
          <w:rStyle w:val="Hyperlink"/>
          <w:color w:val="000000"/>
          <w:szCs w:val="24"/>
          <w:u w:val="none"/>
        </w:rPr>
        <w:t xml:space="preserve">González-Polo RA, Rodríguez-Martín A, Morán JM, Niso M, Soler G, Fuentes JM (2004) </w:t>
      </w:r>
      <w:r w:rsidRPr="00F30EB3">
        <w:rPr>
          <w:color w:val="000000"/>
          <w:szCs w:val="24"/>
        </w:rPr>
        <w:t xml:space="preserve">Paraquat-induced apoptotic cell death in cerebellar granule cells. </w:t>
      </w:r>
      <w:r w:rsidRPr="00B03A7A">
        <w:rPr>
          <w:i/>
          <w:color w:val="000000"/>
          <w:szCs w:val="24"/>
        </w:rPr>
        <w:t>Brain Res</w:t>
      </w:r>
      <w:r w:rsidRPr="00F30EB3">
        <w:rPr>
          <w:color w:val="000000"/>
          <w:szCs w:val="24"/>
        </w:rPr>
        <w:t xml:space="preserve">. </w:t>
      </w:r>
      <w:r w:rsidRPr="00B03A7A">
        <w:rPr>
          <w:rStyle w:val="volume"/>
          <w:b/>
          <w:color w:val="000000"/>
          <w:szCs w:val="24"/>
        </w:rPr>
        <w:t>1011</w:t>
      </w:r>
      <w:r w:rsidRPr="00F30EB3">
        <w:rPr>
          <w:color w:val="000000"/>
          <w:szCs w:val="24"/>
        </w:rPr>
        <w:t>(</w:t>
      </w:r>
      <w:r w:rsidRPr="00F30EB3">
        <w:rPr>
          <w:rStyle w:val="issue"/>
          <w:color w:val="000000"/>
          <w:szCs w:val="24"/>
        </w:rPr>
        <w:t>2</w:t>
      </w:r>
      <w:r w:rsidRPr="00F30EB3">
        <w:rPr>
          <w:color w:val="000000"/>
          <w:szCs w:val="24"/>
        </w:rPr>
        <w:t>):</w:t>
      </w:r>
      <w:r w:rsidRPr="00F30EB3">
        <w:rPr>
          <w:rStyle w:val="pages"/>
          <w:color w:val="000000"/>
          <w:szCs w:val="24"/>
        </w:rPr>
        <w:t>170-6</w:t>
      </w:r>
      <w:r w:rsidRPr="00F30EB3">
        <w:rPr>
          <w:color w:val="000000"/>
          <w:szCs w:val="24"/>
        </w:rPr>
        <w:t xml:space="preserve">. </w:t>
      </w:r>
    </w:p>
    <w:p w14:paraId="0697A5FF" w14:textId="77777777" w:rsidR="000F3526" w:rsidRPr="00F30EB3" w:rsidRDefault="000F3526" w:rsidP="000F3526">
      <w:pPr>
        <w:rPr>
          <w:rStyle w:val="Hyperlink"/>
          <w:color w:val="000000"/>
          <w:szCs w:val="24"/>
          <w:u w:val="none"/>
        </w:rPr>
      </w:pPr>
    </w:p>
    <w:p w14:paraId="02C7E453" w14:textId="77777777" w:rsidR="000F3526" w:rsidRPr="00F30EB3" w:rsidRDefault="000F3526" w:rsidP="000F3526">
      <w:pPr>
        <w:rPr>
          <w:rStyle w:val="Hyperlink"/>
          <w:color w:val="000000"/>
          <w:szCs w:val="24"/>
          <w:u w:val="none"/>
        </w:rPr>
      </w:pPr>
      <w:r w:rsidRPr="00F30EB3">
        <w:rPr>
          <w:rStyle w:val="Hyperlink"/>
          <w:color w:val="000000"/>
          <w:szCs w:val="24"/>
          <w:u w:val="none"/>
        </w:rPr>
        <w:t xml:space="preserve">González-Polo RA, Niso-Santano M, Ortíz-Ortíz MA, Gómez-Martín A, Morán JM, García-Rubio L, Francisco-Morcillo J, Zaragoza C, Soler G &amp; Fuentes JM (2007) </w:t>
      </w:r>
      <w:r w:rsidRPr="00F30EB3">
        <w:rPr>
          <w:color w:val="000000"/>
          <w:szCs w:val="24"/>
        </w:rPr>
        <w:t xml:space="preserve">Relationship </w:t>
      </w:r>
      <w:r w:rsidRPr="00F30EB3">
        <w:rPr>
          <w:color w:val="000000"/>
          <w:szCs w:val="24"/>
        </w:rPr>
        <w:lastRenderedPageBreak/>
        <w:t xml:space="preserve">between autophagy and apoptotic cell death in human neuroblastoma cells treated with paraquat: could autophagy be a "brake" in paraquat-induced apoptotic death? </w:t>
      </w:r>
      <w:r w:rsidRPr="00B03A7A">
        <w:rPr>
          <w:i/>
          <w:color w:val="000000"/>
          <w:szCs w:val="24"/>
        </w:rPr>
        <w:t>Autophagy.</w:t>
      </w:r>
      <w:r w:rsidRPr="00F30EB3">
        <w:rPr>
          <w:color w:val="000000"/>
          <w:szCs w:val="24"/>
        </w:rPr>
        <w:t xml:space="preserve">  </w:t>
      </w:r>
      <w:r w:rsidRPr="00B03A7A">
        <w:rPr>
          <w:rStyle w:val="volume"/>
          <w:b/>
          <w:color w:val="000000"/>
          <w:szCs w:val="24"/>
        </w:rPr>
        <w:t>3</w:t>
      </w:r>
      <w:r w:rsidRPr="00F30EB3">
        <w:rPr>
          <w:color w:val="000000"/>
          <w:szCs w:val="24"/>
        </w:rPr>
        <w:t>(</w:t>
      </w:r>
      <w:r w:rsidRPr="00F30EB3">
        <w:rPr>
          <w:rStyle w:val="issue"/>
          <w:color w:val="000000"/>
          <w:szCs w:val="24"/>
        </w:rPr>
        <w:t>4</w:t>
      </w:r>
      <w:r w:rsidRPr="00F30EB3">
        <w:rPr>
          <w:color w:val="000000"/>
          <w:szCs w:val="24"/>
        </w:rPr>
        <w:t>):</w:t>
      </w:r>
      <w:r w:rsidRPr="00F30EB3">
        <w:rPr>
          <w:rStyle w:val="pages"/>
          <w:color w:val="000000"/>
          <w:szCs w:val="24"/>
        </w:rPr>
        <w:t>366-7</w:t>
      </w:r>
      <w:r w:rsidRPr="00F30EB3">
        <w:rPr>
          <w:color w:val="000000"/>
          <w:szCs w:val="24"/>
        </w:rPr>
        <w:t>.</w:t>
      </w:r>
    </w:p>
    <w:p w14:paraId="498EED51" w14:textId="77777777" w:rsidR="000F3526" w:rsidRDefault="000F3526" w:rsidP="002B2CFC">
      <w:pPr>
        <w:rPr>
          <w:szCs w:val="24"/>
          <w:lang w:val="en-US" w:eastAsia="en-US"/>
        </w:rPr>
      </w:pPr>
    </w:p>
    <w:p w14:paraId="0B3312F7" w14:textId="77777777" w:rsidR="000F3526" w:rsidRPr="00F30EB3" w:rsidRDefault="000F3526" w:rsidP="000F3526">
      <w:pPr>
        <w:rPr>
          <w:color w:val="000000"/>
        </w:rPr>
      </w:pPr>
      <w:r w:rsidRPr="00F30EB3">
        <w:rPr>
          <w:color w:val="000000"/>
        </w:rPr>
        <w:t>Iannone M, Calo M, Rispoli V, Sancesario G &amp; Nistico G (1988) Neuropathological lesions after microinfusion of paraquat and MPP</w:t>
      </w:r>
      <w:r w:rsidRPr="00F30EB3">
        <w:rPr>
          <w:color w:val="000000"/>
          <w:vertAlign w:val="superscript"/>
        </w:rPr>
        <w:t>+</w:t>
      </w:r>
      <w:r w:rsidRPr="00F30EB3">
        <w:rPr>
          <w:color w:val="000000"/>
        </w:rPr>
        <w:t xml:space="preserve"> into different areas of the rat brain. </w:t>
      </w:r>
      <w:r w:rsidRPr="00E4115B">
        <w:rPr>
          <w:i/>
          <w:color w:val="000000"/>
        </w:rPr>
        <w:t>Acta Neurol (Napoli</w:t>
      </w:r>
      <w:r w:rsidRPr="00F30EB3">
        <w:rPr>
          <w:color w:val="000000"/>
        </w:rPr>
        <w:t xml:space="preserve">) </w:t>
      </w:r>
      <w:r w:rsidRPr="00E4115B">
        <w:rPr>
          <w:b/>
          <w:color w:val="000000"/>
        </w:rPr>
        <w:t>10</w:t>
      </w:r>
      <w:r w:rsidRPr="00F30EB3">
        <w:rPr>
          <w:color w:val="000000"/>
        </w:rPr>
        <w:t>(6): 313-21.</w:t>
      </w:r>
    </w:p>
    <w:p w14:paraId="416B410E" w14:textId="77777777" w:rsidR="000F3526" w:rsidRDefault="000F3526" w:rsidP="002B2CFC">
      <w:pPr>
        <w:rPr>
          <w:szCs w:val="24"/>
          <w:lang w:val="en-US" w:eastAsia="en-US"/>
        </w:rPr>
      </w:pPr>
    </w:p>
    <w:p w14:paraId="4AABA02F" w14:textId="77777777" w:rsidR="000F3526" w:rsidRPr="00F30EB3" w:rsidRDefault="000F3526" w:rsidP="000F3526">
      <w:pPr>
        <w:rPr>
          <w:color w:val="000000"/>
        </w:rPr>
      </w:pPr>
      <w:r w:rsidRPr="00F30EB3">
        <w:rPr>
          <w:color w:val="000000"/>
        </w:rPr>
        <w:t xml:space="preserve">Iannone M, Ciriolo MR, Rotilio G &amp; Nistico G (1991) Intra-nigral infusion of Cu-free superoxide dismutase prevents paraquat-induced behavioural stimulation and ECoG epileptogenic discharges in rats. </w:t>
      </w:r>
      <w:r w:rsidRPr="00E4115B">
        <w:rPr>
          <w:i/>
          <w:color w:val="000000"/>
        </w:rPr>
        <w:t>Neuropharmacol</w:t>
      </w:r>
      <w:r w:rsidRPr="00F30EB3">
        <w:rPr>
          <w:color w:val="000000"/>
        </w:rPr>
        <w:t xml:space="preserve"> </w:t>
      </w:r>
      <w:r w:rsidRPr="00E4115B">
        <w:rPr>
          <w:b/>
          <w:color w:val="000000"/>
        </w:rPr>
        <w:t>30</w:t>
      </w:r>
      <w:r w:rsidRPr="00F30EB3">
        <w:rPr>
          <w:color w:val="000000"/>
        </w:rPr>
        <w:t>(8): 893-898.</w:t>
      </w:r>
    </w:p>
    <w:p w14:paraId="352D0CB5" w14:textId="77777777" w:rsidR="000F3526" w:rsidRDefault="000F3526" w:rsidP="002B2CFC">
      <w:pPr>
        <w:rPr>
          <w:szCs w:val="24"/>
          <w:lang w:val="en-US" w:eastAsia="en-US"/>
        </w:rPr>
      </w:pPr>
    </w:p>
    <w:p w14:paraId="1C4D493B" w14:textId="77777777" w:rsidR="000F3526" w:rsidRPr="00F30EB3" w:rsidRDefault="000F3526" w:rsidP="000F3526">
      <w:pPr>
        <w:rPr>
          <w:color w:val="000000"/>
          <w:szCs w:val="24"/>
        </w:rPr>
      </w:pPr>
      <w:r w:rsidRPr="00F30EB3">
        <w:rPr>
          <w:rStyle w:val="Hyperlink"/>
          <w:color w:val="000000"/>
          <w:szCs w:val="24"/>
          <w:u w:val="none"/>
        </w:rPr>
        <w:t xml:space="preserve">Jones DC &amp; Miller GW (2008) </w:t>
      </w:r>
      <w:r w:rsidRPr="00F30EB3">
        <w:rPr>
          <w:color w:val="000000"/>
          <w:szCs w:val="24"/>
        </w:rPr>
        <w:t xml:space="preserve">The effects of environmental neurotoxicants on the dopaminergic system: A possible role in drug addiction. </w:t>
      </w:r>
      <w:r w:rsidRPr="00E4115B">
        <w:rPr>
          <w:i/>
          <w:color w:val="000000"/>
          <w:szCs w:val="24"/>
        </w:rPr>
        <w:t>Biochem Pharmacol</w:t>
      </w:r>
      <w:r w:rsidRPr="00F30EB3">
        <w:rPr>
          <w:color w:val="000000"/>
          <w:szCs w:val="24"/>
        </w:rPr>
        <w:t>. May 20.</w:t>
      </w:r>
    </w:p>
    <w:p w14:paraId="5BFF2F3A" w14:textId="77777777" w:rsidR="000F3526" w:rsidRPr="00F30EB3" w:rsidRDefault="000F3526" w:rsidP="000F3526">
      <w:pPr>
        <w:rPr>
          <w:color w:val="000000"/>
        </w:rPr>
      </w:pPr>
    </w:p>
    <w:p w14:paraId="67C3B942" w14:textId="77777777" w:rsidR="000F3526" w:rsidRDefault="000F3526" w:rsidP="000F3526">
      <w:pPr>
        <w:rPr>
          <w:color w:val="000000"/>
          <w:szCs w:val="24"/>
        </w:rPr>
      </w:pPr>
      <w:r w:rsidRPr="00F30EB3">
        <w:rPr>
          <w:rStyle w:val="Hyperlink"/>
          <w:color w:val="000000"/>
          <w:szCs w:val="24"/>
          <w:u w:val="none"/>
          <w:lang w:val="nl-NL"/>
        </w:rPr>
        <w:t>Kim SJ, Kim JE, Moon IS (2004)</w:t>
      </w:r>
      <w:r w:rsidRPr="00F30EB3">
        <w:rPr>
          <w:rStyle w:val="Hyperlink"/>
          <w:color w:val="000000"/>
          <w:szCs w:val="24"/>
          <w:u w:val="none"/>
        </w:rPr>
        <w:t xml:space="preserve"> </w:t>
      </w:r>
      <w:r w:rsidRPr="00F30EB3">
        <w:rPr>
          <w:color w:val="000000"/>
          <w:szCs w:val="24"/>
        </w:rPr>
        <w:t xml:space="preserve">Paraquat induces apoptosis of cultured rat cortical cells. </w:t>
      </w:r>
      <w:r w:rsidRPr="00E4115B">
        <w:rPr>
          <w:i/>
          <w:color w:val="000000"/>
          <w:szCs w:val="24"/>
        </w:rPr>
        <w:t>Mol Cells</w:t>
      </w:r>
      <w:r w:rsidRPr="00F30EB3">
        <w:rPr>
          <w:color w:val="000000"/>
          <w:szCs w:val="24"/>
        </w:rPr>
        <w:t xml:space="preserve">. </w:t>
      </w:r>
      <w:r w:rsidRPr="00E4115B">
        <w:rPr>
          <w:b/>
          <w:color w:val="000000"/>
          <w:szCs w:val="24"/>
        </w:rPr>
        <w:t>29</w:t>
      </w:r>
      <w:r w:rsidRPr="00F30EB3">
        <w:rPr>
          <w:color w:val="000000"/>
          <w:szCs w:val="24"/>
        </w:rPr>
        <w:t>;</w:t>
      </w:r>
      <w:r w:rsidRPr="00F30EB3">
        <w:rPr>
          <w:rStyle w:val="volume"/>
          <w:color w:val="000000"/>
          <w:szCs w:val="24"/>
        </w:rPr>
        <w:t>17</w:t>
      </w:r>
      <w:r w:rsidRPr="00F30EB3">
        <w:rPr>
          <w:color w:val="000000"/>
          <w:szCs w:val="24"/>
        </w:rPr>
        <w:t>(</w:t>
      </w:r>
      <w:r w:rsidRPr="00F30EB3">
        <w:rPr>
          <w:rStyle w:val="issue"/>
          <w:color w:val="000000"/>
          <w:szCs w:val="24"/>
        </w:rPr>
        <w:t>1</w:t>
      </w:r>
      <w:r w:rsidRPr="00F30EB3">
        <w:rPr>
          <w:color w:val="000000"/>
          <w:szCs w:val="24"/>
        </w:rPr>
        <w:t>):</w:t>
      </w:r>
      <w:r w:rsidRPr="00F30EB3">
        <w:rPr>
          <w:rStyle w:val="pages"/>
          <w:color w:val="000000"/>
          <w:szCs w:val="24"/>
        </w:rPr>
        <w:t>102-7</w:t>
      </w:r>
      <w:r w:rsidRPr="00F30EB3">
        <w:rPr>
          <w:color w:val="000000"/>
          <w:szCs w:val="24"/>
        </w:rPr>
        <w:t xml:space="preserve">. </w:t>
      </w:r>
    </w:p>
    <w:p w14:paraId="5AA6F61C" w14:textId="77777777" w:rsidR="000F3526" w:rsidRDefault="000F3526" w:rsidP="000F3526">
      <w:pPr>
        <w:rPr>
          <w:color w:val="000000"/>
          <w:szCs w:val="24"/>
        </w:rPr>
      </w:pPr>
    </w:p>
    <w:p w14:paraId="523C87E8" w14:textId="77777777" w:rsidR="000F3526" w:rsidRPr="00F30EB3" w:rsidRDefault="003A31EB" w:rsidP="000F3526">
      <w:pPr>
        <w:rPr>
          <w:color w:val="000000"/>
        </w:rPr>
      </w:pPr>
      <w:hyperlink r:id="rId20" w:history="1">
        <w:r w:rsidR="000F3526" w:rsidRPr="00F30EB3">
          <w:rPr>
            <w:rStyle w:val="Hyperlink"/>
            <w:color w:val="000000"/>
            <w:szCs w:val="24"/>
            <w:u w:val="none"/>
          </w:rPr>
          <w:t>Kim S, Hwang J, Lee WH, Hwang DY, Suk K.</w:t>
        </w:r>
      </w:hyperlink>
      <w:r w:rsidR="000F3526" w:rsidRPr="00F30EB3">
        <w:rPr>
          <w:color w:val="000000"/>
          <w:szCs w:val="24"/>
        </w:rPr>
        <w:t xml:space="preserve"> (2008) Role of protein kinase Cdelta in paraquat-induced glial cell death. </w:t>
      </w:r>
      <w:r w:rsidR="000F3526" w:rsidRPr="00E4115B">
        <w:rPr>
          <w:i/>
          <w:color w:val="000000"/>
          <w:szCs w:val="24"/>
        </w:rPr>
        <w:t>J Neurosci Res</w:t>
      </w:r>
      <w:r w:rsidR="000F3526" w:rsidRPr="00F30EB3">
        <w:rPr>
          <w:color w:val="000000"/>
          <w:szCs w:val="24"/>
        </w:rPr>
        <w:t xml:space="preserve">. </w:t>
      </w:r>
      <w:r w:rsidR="000F3526" w:rsidRPr="00E4115B">
        <w:rPr>
          <w:rStyle w:val="volume"/>
          <w:b/>
          <w:color w:val="000000"/>
          <w:szCs w:val="24"/>
        </w:rPr>
        <w:t>86</w:t>
      </w:r>
      <w:r w:rsidR="000F3526" w:rsidRPr="00F30EB3">
        <w:rPr>
          <w:color w:val="000000"/>
          <w:szCs w:val="24"/>
        </w:rPr>
        <w:t>(</w:t>
      </w:r>
      <w:r w:rsidR="000F3526" w:rsidRPr="00F30EB3">
        <w:rPr>
          <w:rStyle w:val="issue"/>
          <w:color w:val="000000"/>
          <w:szCs w:val="24"/>
        </w:rPr>
        <w:t>9</w:t>
      </w:r>
      <w:r w:rsidR="000F3526" w:rsidRPr="00F30EB3">
        <w:rPr>
          <w:color w:val="000000"/>
          <w:szCs w:val="24"/>
        </w:rPr>
        <w:t>):</w:t>
      </w:r>
      <w:r w:rsidR="000F3526" w:rsidRPr="00F30EB3">
        <w:rPr>
          <w:rStyle w:val="pages"/>
          <w:color w:val="000000"/>
          <w:szCs w:val="24"/>
        </w:rPr>
        <w:t>2062-70</w:t>
      </w:r>
      <w:r w:rsidR="000F3526" w:rsidRPr="00F30EB3">
        <w:rPr>
          <w:color w:val="000000"/>
          <w:szCs w:val="24"/>
        </w:rPr>
        <w:t xml:space="preserve">. </w:t>
      </w:r>
    </w:p>
    <w:p w14:paraId="7736B328" w14:textId="77777777" w:rsidR="000F3526" w:rsidRPr="00F30EB3" w:rsidRDefault="000F3526" w:rsidP="000F3526">
      <w:pPr>
        <w:rPr>
          <w:color w:val="000000"/>
        </w:rPr>
      </w:pPr>
    </w:p>
    <w:p w14:paraId="08840A9C" w14:textId="77777777" w:rsidR="000F3526" w:rsidRPr="00F30EB3" w:rsidRDefault="000F3526" w:rsidP="000F3526">
      <w:pPr>
        <w:rPr>
          <w:color w:val="000000"/>
        </w:rPr>
      </w:pPr>
      <w:r w:rsidRPr="00F30EB3">
        <w:rPr>
          <w:color w:val="000000"/>
        </w:rPr>
        <w:t xml:space="preserve">Lauder JM (1993) Neurotransmitters as growth regulatory signals: role of receptors and second messengers. </w:t>
      </w:r>
      <w:r w:rsidRPr="00E4115B">
        <w:rPr>
          <w:i/>
          <w:color w:val="000000"/>
        </w:rPr>
        <w:t>Trends Neurosci</w:t>
      </w:r>
      <w:r w:rsidRPr="00F30EB3">
        <w:rPr>
          <w:color w:val="000000"/>
        </w:rPr>
        <w:t xml:space="preserve"> </w:t>
      </w:r>
      <w:r w:rsidRPr="00E4115B">
        <w:rPr>
          <w:b/>
          <w:color w:val="000000"/>
        </w:rPr>
        <w:t>16</w:t>
      </w:r>
      <w:r w:rsidRPr="00F30EB3">
        <w:rPr>
          <w:color w:val="000000"/>
        </w:rPr>
        <w:t>:233-239.</w:t>
      </w:r>
    </w:p>
    <w:p w14:paraId="4C97A690" w14:textId="77777777" w:rsidR="000F3526" w:rsidRPr="00F30EB3" w:rsidRDefault="000F3526" w:rsidP="000F3526">
      <w:pPr>
        <w:rPr>
          <w:rStyle w:val="Hyperlink"/>
          <w:color w:val="000000"/>
          <w:u w:val="none"/>
        </w:rPr>
      </w:pPr>
    </w:p>
    <w:p w14:paraId="70DDBC60" w14:textId="77777777" w:rsidR="000F3526" w:rsidRPr="00F30EB3" w:rsidRDefault="000F3526" w:rsidP="000F3526">
      <w:pPr>
        <w:rPr>
          <w:rStyle w:val="Hyperlink"/>
          <w:color w:val="000000"/>
          <w:u w:val="none"/>
        </w:rPr>
      </w:pPr>
      <w:r w:rsidRPr="00F30EB3">
        <w:rPr>
          <w:rStyle w:val="Hyperlink"/>
          <w:color w:val="000000"/>
          <w:u w:val="none"/>
        </w:rPr>
        <w:t xml:space="preserve">Li X, Yin J, Cheng CM, Sun JL, Li Z &amp; Wu YL (2005) </w:t>
      </w:r>
      <w:r w:rsidRPr="00F30EB3">
        <w:rPr>
          <w:color w:val="000000"/>
        </w:rPr>
        <w:t xml:space="preserve">Paraquat induces selective dopaminergic nigrostriatal degeneration in aging C57BL/6 mice.  </w:t>
      </w:r>
      <w:r w:rsidRPr="00E4115B">
        <w:rPr>
          <w:i/>
          <w:color w:val="000000"/>
        </w:rPr>
        <w:t>Chin Med J (Engl).</w:t>
      </w:r>
      <w:r w:rsidRPr="00F30EB3">
        <w:rPr>
          <w:color w:val="000000"/>
        </w:rPr>
        <w:t xml:space="preserve"> </w:t>
      </w:r>
      <w:r w:rsidRPr="00E4115B">
        <w:rPr>
          <w:rStyle w:val="volume"/>
          <w:b/>
          <w:color w:val="000000"/>
        </w:rPr>
        <w:t>118</w:t>
      </w:r>
      <w:r w:rsidRPr="00F30EB3">
        <w:rPr>
          <w:color w:val="000000"/>
        </w:rPr>
        <w:t>(</w:t>
      </w:r>
      <w:r w:rsidRPr="00F30EB3">
        <w:rPr>
          <w:rStyle w:val="issue"/>
          <w:color w:val="000000"/>
        </w:rPr>
        <w:t>16</w:t>
      </w:r>
      <w:r w:rsidRPr="00F30EB3">
        <w:rPr>
          <w:color w:val="000000"/>
        </w:rPr>
        <w:t>):</w:t>
      </w:r>
      <w:r w:rsidRPr="00F30EB3">
        <w:rPr>
          <w:rStyle w:val="pages"/>
          <w:color w:val="000000"/>
        </w:rPr>
        <w:t>1357-61</w:t>
      </w:r>
      <w:r w:rsidRPr="00F30EB3">
        <w:rPr>
          <w:color w:val="000000"/>
        </w:rPr>
        <w:t>.</w:t>
      </w:r>
    </w:p>
    <w:p w14:paraId="05909575" w14:textId="77777777" w:rsidR="000F3526" w:rsidRDefault="000F3526" w:rsidP="000F3526">
      <w:pPr>
        <w:rPr>
          <w:color w:val="000000"/>
        </w:rPr>
      </w:pPr>
    </w:p>
    <w:p w14:paraId="16C2503F" w14:textId="77777777" w:rsidR="005C54A5" w:rsidRPr="00F30EB3" w:rsidRDefault="005C54A5" w:rsidP="005C54A5">
      <w:pPr>
        <w:rPr>
          <w:color w:val="000000"/>
        </w:rPr>
      </w:pPr>
      <w:r w:rsidRPr="00F30EB3">
        <w:rPr>
          <w:color w:val="000000"/>
        </w:rPr>
        <w:t xml:space="preserve">Lipton SA &amp; Kater SB (1989) Neurotransmitters regulation of neuronal outgrowth, plasticity and survival. </w:t>
      </w:r>
      <w:r w:rsidRPr="00E4115B">
        <w:rPr>
          <w:i/>
          <w:color w:val="000000"/>
        </w:rPr>
        <w:t>Trends Neurosci</w:t>
      </w:r>
      <w:r w:rsidRPr="00F30EB3">
        <w:rPr>
          <w:color w:val="000000"/>
        </w:rPr>
        <w:t xml:space="preserve"> </w:t>
      </w:r>
      <w:r w:rsidRPr="00E4115B">
        <w:rPr>
          <w:b/>
          <w:color w:val="000000"/>
        </w:rPr>
        <w:t>12</w:t>
      </w:r>
      <w:r w:rsidRPr="00F30EB3">
        <w:rPr>
          <w:color w:val="000000"/>
        </w:rPr>
        <w:t>:265-270.</w:t>
      </w:r>
    </w:p>
    <w:p w14:paraId="378D30D7" w14:textId="77777777" w:rsidR="005C54A5" w:rsidRPr="00F30EB3" w:rsidRDefault="005C54A5" w:rsidP="005C54A5">
      <w:pPr>
        <w:rPr>
          <w:color w:val="000000"/>
        </w:rPr>
      </w:pPr>
    </w:p>
    <w:p w14:paraId="3E978B89" w14:textId="77777777" w:rsidR="005C54A5" w:rsidRPr="00F30EB3" w:rsidRDefault="005C54A5" w:rsidP="005C54A5">
      <w:pPr>
        <w:rPr>
          <w:color w:val="000000"/>
        </w:rPr>
      </w:pPr>
      <w:r w:rsidRPr="00F30EB3">
        <w:rPr>
          <w:color w:val="000000"/>
        </w:rPr>
        <w:t xml:space="preserve">Liu D, Yang J, Li L &amp; McAdoo DJ (1995) Paraquat - a superoxide generator kills neurons in the rat spinal cord. </w:t>
      </w:r>
      <w:r w:rsidRPr="00E4115B">
        <w:rPr>
          <w:i/>
          <w:color w:val="000000"/>
        </w:rPr>
        <w:t>Free Radical Biol Med</w:t>
      </w:r>
      <w:r w:rsidRPr="00F30EB3">
        <w:rPr>
          <w:color w:val="000000"/>
        </w:rPr>
        <w:t xml:space="preserve"> </w:t>
      </w:r>
      <w:r w:rsidRPr="00E4115B">
        <w:rPr>
          <w:b/>
          <w:color w:val="000000"/>
        </w:rPr>
        <w:t>18</w:t>
      </w:r>
      <w:r w:rsidRPr="00F30EB3">
        <w:rPr>
          <w:color w:val="000000"/>
        </w:rPr>
        <w:t>(5): 861-867.</w:t>
      </w:r>
    </w:p>
    <w:p w14:paraId="56D0E208" w14:textId="77777777" w:rsidR="005C54A5" w:rsidRDefault="005C54A5" w:rsidP="000F3526">
      <w:pPr>
        <w:rPr>
          <w:color w:val="000000"/>
        </w:rPr>
      </w:pPr>
    </w:p>
    <w:p w14:paraId="267C2FE3" w14:textId="77777777" w:rsidR="005C54A5" w:rsidRPr="00F30EB3" w:rsidRDefault="003A31EB" w:rsidP="005C54A5">
      <w:pPr>
        <w:rPr>
          <w:color w:val="000000"/>
          <w:szCs w:val="24"/>
        </w:rPr>
      </w:pPr>
      <w:hyperlink r:id="rId21" w:history="1">
        <w:r w:rsidR="005C54A5" w:rsidRPr="00F30EB3">
          <w:rPr>
            <w:rStyle w:val="Hyperlink"/>
            <w:color w:val="000000"/>
            <w:szCs w:val="24"/>
            <w:u w:val="none"/>
          </w:rPr>
          <w:t>Mangano EN, Hayley S.</w:t>
        </w:r>
      </w:hyperlink>
      <w:r w:rsidR="005C54A5" w:rsidRPr="00F30EB3">
        <w:rPr>
          <w:color w:val="000000"/>
          <w:szCs w:val="24"/>
        </w:rPr>
        <w:t xml:space="preserve"> (2008) Inflammatory priming of the substantia nigra influences the impact of later paraquat exposure: Neuroimmune sensitization of neurodegeneration.</w:t>
      </w:r>
      <w:r w:rsidR="005C54A5" w:rsidRPr="00E4115B">
        <w:rPr>
          <w:i/>
          <w:color w:val="000000"/>
          <w:szCs w:val="24"/>
        </w:rPr>
        <w:t>Neurobiol Aging</w:t>
      </w:r>
      <w:r w:rsidR="005C54A5" w:rsidRPr="00F30EB3">
        <w:rPr>
          <w:color w:val="000000"/>
          <w:szCs w:val="24"/>
        </w:rPr>
        <w:t xml:space="preserve"> doi:10.1016/j.neurobiolaging 2007.11.020.</w:t>
      </w:r>
    </w:p>
    <w:p w14:paraId="0545EF49" w14:textId="77777777" w:rsidR="005C54A5" w:rsidRPr="00F30EB3" w:rsidRDefault="005C54A5" w:rsidP="005C54A5">
      <w:pPr>
        <w:rPr>
          <w:color w:val="000000"/>
        </w:rPr>
      </w:pPr>
    </w:p>
    <w:p w14:paraId="66F9727F" w14:textId="77777777" w:rsidR="005C54A5" w:rsidRPr="00F30EB3" w:rsidRDefault="005C54A5" w:rsidP="005C54A5">
      <w:pPr>
        <w:rPr>
          <w:color w:val="000000"/>
        </w:rPr>
      </w:pPr>
      <w:r w:rsidRPr="00F30EB3">
        <w:rPr>
          <w:color w:val="000000"/>
        </w:rPr>
        <w:t xml:space="preserve">Markey SP, Weisz A &amp; Bacon JP (1986) Reduced paraquat does not exhibit MPTP-like neurotoxicity. </w:t>
      </w:r>
      <w:r w:rsidRPr="00E4115B">
        <w:rPr>
          <w:i/>
          <w:color w:val="000000"/>
        </w:rPr>
        <w:t>J Anal Toxicol</w:t>
      </w:r>
      <w:r w:rsidRPr="00F30EB3">
        <w:rPr>
          <w:color w:val="000000"/>
        </w:rPr>
        <w:t xml:space="preserve"> </w:t>
      </w:r>
      <w:r w:rsidRPr="00E4115B">
        <w:rPr>
          <w:b/>
          <w:color w:val="000000"/>
        </w:rPr>
        <w:t>10</w:t>
      </w:r>
      <w:r w:rsidRPr="00F30EB3">
        <w:rPr>
          <w:color w:val="000000"/>
        </w:rPr>
        <w:t>: 257.</w:t>
      </w:r>
    </w:p>
    <w:p w14:paraId="0AAA6E12" w14:textId="77777777" w:rsidR="005C54A5" w:rsidRDefault="005C54A5" w:rsidP="000F3526">
      <w:pPr>
        <w:rPr>
          <w:color w:val="000000"/>
        </w:rPr>
      </w:pPr>
    </w:p>
    <w:p w14:paraId="474D6CA6" w14:textId="77777777" w:rsidR="005C54A5" w:rsidRPr="00F30EB3" w:rsidRDefault="005C54A5" w:rsidP="005C54A5">
      <w:pPr>
        <w:rPr>
          <w:color w:val="000000"/>
        </w:rPr>
      </w:pPr>
      <w:r w:rsidRPr="00F30EB3">
        <w:rPr>
          <w:rStyle w:val="Hyperlink"/>
          <w:color w:val="000000"/>
          <w:u w:val="none"/>
        </w:rPr>
        <w:t xml:space="preserve">McCarthy S, Somayajulu M, Sikorska M, Borowy-Borowski H, Pandey S (2006) </w:t>
      </w:r>
      <w:r w:rsidRPr="00F30EB3">
        <w:rPr>
          <w:color w:val="000000"/>
        </w:rPr>
        <w:t xml:space="preserve">Paraquat induces oxidative stress and neuronal cell death; neuroprotection by water-soluble Coenzyme Q10. </w:t>
      </w:r>
      <w:r w:rsidRPr="00E4115B">
        <w:rPr>
          <w:i/>
          <w:color w:val="000000"/>
        </w:rPr>
        <w:t>Toxicol Appl Pharmacol</w:t>
      </w:r>
      <w:r w:rsidRPr="00F30EB3">
        <w:rPr>
          <w:color w:val="000000"/>
        </w:rPr>
        <w:t xml:space="preserve"> </w:t>
      </w:r>
      <w:r w:rsidRPr="00E4115B">
        <w:rPr>
          <w:rStyle w:val="volume"/>
          <w:b/>
          <w:color w:val="000000"/>
        </w:rPr>
        <w:t>201</w:t>
      </w:r>
      <w:r w:rsidRPr="00F30EB3">
        <w:rPr>
          <w:color w:val="000000"/>
        </w:rPr>
        <w:t>(</w:t>
      </w:r>
      <w:r w:rsidRPr="00F30EB3">
        <w:rPr>
          <w:rStyle w:val="issue"/>
          <w:color w:val="000000"/>
        </w:rPr>
        <w:t>1</w:t>
      </w:r>
      <w:r w:rsidRPr="00F30EB3">
        <w:rPr>
          <w:color w:val="000000"/>
        </w:rPr>
        <w:t>):</w:t>
      </w:r>
      <w:r w:rsidRPr="00F30EB3">
        <w:rPr>
          <w:rStyle w:val="pages"/>
          <w:color w:val="000000"/>
        </w:rPr>
        <w:t>21-31</w:t>
      </w:r>
      <w:r w:rsidRPr="00F30EB3">
        <w:rPr>
          <w:color w:val="000000"/>
        </w:rPr>
        <w:t xml:space="preserve">. </w:t>
      </w:r>
    </w:p>
    <w:p w14:paraId="004DFA6B" w14:textId="77777777" w:rsidR="005C54A5" w:rsidRDefault="005C54A5" w:rsidP="000F3526">
      <w:pPr>
        <w:rPr>
          <w:color w:val="000000"/>
        </w:rPr>
      </w:pPr>
    </w:p>
    <w:p w14:paraId="4A8C93BE" w14:textId="77777777" w:rsidR="009C0E86" w:rsidRPr="00F30EB3" w:rsidRDefault="009C0E86" w:rsidP="009C0E86">
      <w:pPr>
        <w:rPr>
          <w:rStyle w:val="Hyperlink"/>
          <w:color w:val="000000"/>
          <w:u w:val="none"/>
        </w:rPr>
      </w:pPr>
      <w:r w:rsidRPr="00F30EB3">
        <w:rPr>
          <w:rStyle w:val="Hyperlink"/>
          <w:color w:val="000000"/>
          <w:u w:val="none"/>
        </w:rPr>
        <w:t xml:space="preserve">Miller GW (2008a). </w:t>
      </w:r>
      <w:r w:rsidRPr="00F30EB3">
        <w:rPr>
          <w:color w:val="000000"/>
        </w:rPr>
        <w:t xml:space="preserve">Paraquat and Parkinson's Disease: Response by Dr. Miller. </w:t>
      </w:r>
      <w:r w:rsidRPr="00AE7FD9">
        <w:rPr>
          <w:i/>
          <w:color w:val="000000"/>
        </w:rPr>
        <w:t>Toxicol Sci.</w:t>
      </w:r>
      <w:r w:rsidRPr="00F30EB3">
        <w:rPr>
          <w:color w:val="000000"/>
        </w:rPr>
        <w:t xml:space="preserve"> </w:t>
      </w:r>
      <w:r w:rsidRPr="00AE7FD9">
        <w:rPr>
          <w:rStyle w:val="volume"/>
          <w:b/>
          <w:color w:val="000000"/>
        </w:rPr>
        <w:t>103</w:t>
      </w:r>
      <w:r w:rsidRPr="00F30EB3">
        <w:rPr>
          <w:color w:val="000000"/>
        </w:rPr>
        <w:t>(</w:t>
      </w:r>
      <w:r w:rsidRPr="00F30EB3">
        <w:rPr>
          <w:rStyle w:val="issue"/>
          <w:color w:val="000000"/>
        </w:rPr>
        <w:t>1</w:t>
      </w:r>
      <w:r w:rsidRPr="00F30EB3">
        <w:rPr>
          <w:color w:val="000000"/>
        </w:rPr>
        <w:t>):</w:t>
      </w:r>
      <w:r w:rsidRPr="00F30EB3">
        <w:rPr>
          <w:rStyle w:val="pages"/>
          <w:color w:val="000000"/>
        </w:rPr>
        <w:t>217-218</w:t>
      </w:r>
      <w:r w:rsidRPr="00F30EB3">
        <w:rPr>
          <w:color w:val="000000"/>
        </w:rPr>
        <w:t xml:space="preserve">.  Written in response to Cory-Slechta </w:t>
      </w:r>
      <w:r w:rsidRPr="00F30EB3">
        <w:rPr>
          <w:i/>
          <w:color w:val="000000"/>
        </w:rPr>
        <w:t>et al</w:t>
      </w:r>
      <w:r w:rsidRPr="00F30EB3">
        <w:rPr>
          <w:color w:val="000000"/>
        </w:rPr>
        <w:t>., (2008) herein.</w:t>
      </w:r>
    </w:p>
    <w:p w14:paraId="0E0CB4B2" w14:textId="77777777" w:rsidR="009C0E86" w:rsidRPr="00F30EB3" w:rsidRDefault="009C0E86" w:rsidP="009C0E86">
      <w:pPr>
        <w:rPr>
          <w:color w:val="000000"/>
        </w:rPr>
      </w:pPr>
    </w:p>
    <w:p w14:paraId="187CDC45" w14:textId="77777777" w:rsidR="009C0E86" w:rsidRPr="00F30EB3" w:rsidRDefault="009C0E86" w:rsidP="009C0E86">
      <w:pPr>
        <w:rPr>
          <w:color w:val="000000"/>
        </w:rPr>
      </w:pPr>
      <w:r w:rsidRPr="00F30EB3">
        <w:rPr>
          <w:rStyle w:val="Hyperlink"/>
          <w:color w:val="000000"/>
          <w:u w:val="none"/>
        </w:rPr>
        <w:lastRenderedPageBreak/>
        <w:t xml:space="preserve">Miller GW (2008b). </w:t>
      </w:r>
      <w:r w:rsidRPr="00F30EB3">
        <w:rPr>
          <w:color w:val="000000"/>
        </w:rPr>
        <w:t xml:space="preserve">Paraquat and Parkinson's Disease: Response by Dr. Miller, Part II. </w:t>
      </w:r>
      <w:r w:rsidRPr="00AE7FD9">
        <w:rPr>
          <w:i/>
          <w:color w:val="000000"/>
        </w:rPr>
        <w:t>Toxicol Sci.</w:t>
      </w:r>
      <w:r w:rsidRPr="00F30EB3">
        <w:rPr>
          <w:color w:val="000000"/>
        </w:rPr>
        <w:t xml:space="preserve"> </w:t>
      </w:r>
      <w:r w:rsidRPr="00AE7FD9">
        <w:rPr>
          <w:rStyle w:val="volume"/>
          <w:b/>
          <w:color w:val="000000"/>
        </w:rPr>
        <w:t>103</w:t>
      </w:r>
      <w:r w:rsidRPr="00F30EB3">
        <w:rPr>
          <w:color w:val="000000"/>
        </w:rPr>
        <w:t>(</w:t>
      </w:r>
      <w:r w:rsidRPr="00F30EB3">
        <w:rPr>
          <w:rStyle w:val="issue"/>
          <w:color w:val="000000"/>
        </w:rPr>
        <w:t>1</w:t>
      </w:r>
      <w:r w:rsidRPr="00F30EB3">
        <w:rPr>
          <w:color w:val="000000"/>
        </w:rPr>
        <w:t>):</w:t>
      </w:r>
      <w:r w:rsidRPr="00F30EB3">
        <w:rPr>
          <w:rStyle w:val="pages"/>
          <w:color w:val="000000"/>
        </w:rPr>
        <w:t>222-223</w:t>
      </w:r>
      <w:r w:rsidRPr="00F30EB3">
        <w:rPr>
          <w:color w:val="000000"/>
        </w:rPr>
        <w:t>. Written in response to LoPachin &amp; Gavin (2008) herein.</w:t>
      </w:r>
    </w:p>
    <w:p w14:paraId="091B011C" w14:textId="77777777" w:rsidR="009C0E86" w:rsidRPr="00F30EB3" w:rsidRDefault="009C0E86" w:rsidP="009C0E86">
      <w:pPr>
        <w:rPr>
          <w:color w:val="000000"/>
        </w:rPr>
      </w:pPr>
    </w:p>
    <w:p w14:paraId="6C0651EE" w14:textId="77777777" w:rsidR="009C0E86" w:rsidRPr="00F30EB3" w:rsidRDefault="009C0E86" w:rsidP="009C0E86">
      <w:pPr>
        <w:rPr>
          <w:color w:val="000000"/>
        </w:rPr>
      </w:pPr>
      <w:r w:rsidRPr="00F30EB3">
        <w:rPr>
          <w:rStyle w:val="Hyperlink"/>
          <w:color w:val="000000"/>
          <w:u w:val="none"/>
        </w:rPr>
        <w:t xml:space="preserve">Miller RL, Sun GY, Sun AY (2007) </w:t>
      </w:r>
      <w:r w:rsidRPr="00F30EB3">
        <w:rPr>
          <w:color w:val="000000"/>
        </w:rPr>
        <w:t xml:space="preserve">Cytotoxicity of paraquat in microglial cells: Involvement of PKCdelta- and ERK1/2-dependent NADPH oxidase. </w:t>
      </w:r>
      <w:r w:rsidRPr="00AE7FD9">
        <w:rPr>
          <w:i/>
          <w:color w:val="000000"/>
        </w:rPr>
        <w:t>Brain Res</w:t>
      </w:r>
      <w:r w:rsidRPr="00F30EB3">
        <w:rPr>
          <w:color w:val="000000"/>
        </w:rPr>
        <w:t>. 2007 Sep 5;</w:t>
      </w:r>
      <w:r w:rsidRPr="00F30EB3">
        <w:rPr>
          <w:rStyle w:val="volume"/>
          <w:color w:val="000000"/>
        </w:rPr>
        <w:t>1167</w:t>
      </w:r>
      <w:r w:rsidRPr="00F30EB3">
        <w:rPr>
          <w:color w:val="000000"/>
        </w:rPr>
        <w:t>:</w:t>
      </w:r>
      <w:r w:rsidRPr="00F30EB3">
        <w:rPr>
          <w:rStyle w:val="pages"/>
          <w:color w:val="000000"/>
        </w:rPr>
        <w:t>129-39</w:t>
      </w:r>
      <w:r w:rsidRPr="00F30EB3">
        <w:rPr>
          <w:color w:val="000000"/>
        </w:rPr>
        <w:t xml:space="preserve">. </w:t>
      </w:r>
    </w:p>
    <w:p w14:paraId="49821198" w14:textId="77777777" w:rsidR="009C0E86" w:rsidRPr="00F30EB3" w:rsidRDefault="009C0E86" w:rsidP="009C0E86">
      <w:pPr>
        <w:rPr>
          <w:color w:val="000000"/>
        </w:rPr>
      </w:pPr>
    </w:p>
    <w:p w14:paraId="1DE9D10F" w14:textId="77777777" w:rsidR="009C0E86" w:rsidRPr="00F30EB3" w:rsidRDefault="009C0E86" w:rsidP="009C0E86">
      <w:pPr>
        <w:rPr>
          <w:color w:val="000000"/>
        </w:rPr>
      </w:pPr>
      <w:r w:rsidRPr="00F30EB3">
        <w:rPr>
          <w:color w:val="000000"/>
        </w:rPr>
        <w:t xml:space="preserve">Nakahara D, Ozaki N &amp; Nagatsu T (1989) Removal </w:t>
      </w:r>
      <w:r>
        <w:rPr>
          <w:color w:val="000000"/>
        </w:rPr>
        <w:t xml:space="preserve">of </w:t>
      </w:r>
      <w:r w:rsidRPr="00F30EB3">
        <w:rPr>
          <w:color w:val="000000"/>
        </w:rPr>
        <w:t xml:space="preserve">brain microdialysis probe units for </w:t>
      </w:r>
      <w:r w:rsidRPr="00F30EB3">
        <w:rPr>
          <w:i/>
          <w:color w:val="000000"/>
        </w:rPr>
        <w:t>in vivo</w:t>
      </w:r>
      <w:r w:rsidRPr="00F30EB3">
        <w:rPr>
          <w:color w:val="000000"/>
        </w:rPr>
        <w:t xml:space="preserve"> monitoring of neurochemical behaviour. </w:t>
      </w:r>
      <w:r w:rsidRPr="00AE7FD9">
        <w:rPr>
          <w:i/>
          <w:color w:val="000000"/>
        </w:rPr>
        <w:t>Biogenic Amines</w:t>
      </w:r>
      <w:r w:rsidRPr="00F30EB3">
        <w:rPr>
          <w:color w:val="000000"/>
        </w:rPr>
        <w:t xml:space="preserve"> </w:t>
      </w:r>
      <w:r w:rsidRPr="00AE7FD9">
        <w:rPr>
          <w:b/>
          <w:color w:val="000000"/>
        </w:rPr>
        <w:t>6</w:t>
      </w:r>
      <w:r w:rsidRPr="00F30EB3">
        <w:rPr>
          <w:color w:val="000000"/>
        </w:rPr>
        <w:t>: 559-564.</w:t>
      </w:r>
    </w:p>
    <w:p w14:paraId="2E05E1F3" w14:textId="77777777" w:rsidR="009C0E86" w:rsidRPr="00F30EB3" w:rsidRDefault="003A31EB" w:rsidP="009C0E86">
      <w:pPr>
        <w:rPr>
          <w:color w:val="000000"/>
        </w:rPr>
      </w:pPr>
      <w:hyperlink r:id="rId22" w:history="1">
        <w:r w:rsidR="009C0E86" w:rsidRPr="00F30EB3">
          <w:rPr>
            <w:rStyle w:val="Hyperlink"/>
            <w:color w:val="000000"/>
            <w:szCs w:val="24"/>
            <w:u w:val="none"/>
          </w:rPr>
          <w:t>O'Leary KT, Parameswaran N, Johnston LC, McIntosh JM, Di Monte DA, Quik M.</w:t>
        </w:r>
      </w:hyperlink>
      <w:r w:rsidR="009C0E86" w:rsidRPr="00F30EB3">
        <w:rPr>
          <w:color w:val="000000"/>
          <w:szCs w:val="24"/>
        </w:rPr>
        <w:t xml:space="preserve"> (2008) Paraquat exposure reduces nicotinic receptor-evoked dopamine release in monkey striatum.</w:t>
      </w:r>
      <w:r w:rsidR="009C0E86" w:rsidRPr="00AE7FD9">
        <w:rPr>
          <w:i/>
          <w:color w:val="000000"/>
          <w:szCs w:val="24"/>
        </w:rPr>
        <w:t xml:space="preserve"> J Pharmacol Exp Ther</w:t>
      </w:r>
      <w:r w:rsidR="009C0E86" w:rsidRPr="00F30EB3">
        <w:rPr>
          <w:color w:val="000000"/>
          <w:szCs w:val="24"/>
        </w:rPr>
        <w:t>. Jul 7 [Epub ahead of print].</w:t>
      </w:r>
    </w:p>
    <w:p w14:paraId="32B9F547" w14:textId="77777777" w:rsidR="009C0E86" w:rsidRPr="00F30EB3" w:rsidRDefault="009C0E86" w:rsidP="009C0E86">
      <w:pPr>
        <w:rPr>
          <w:color w:val="000000"/>
        </w:rPr>
      </w:pPr>
    </w:p>
    <w:p w14:paraId="23038201" w14:textId="77777777" w:rsidR="009C0E86" w:rsidRPr="00F30EB3" w:rsidRDefault="009C0E86" w:rsidP="009C0E86">
      <w:pPr>
        <w:rPr>
          <w:color w:val="000000"/>
        </w:rPr>
      </w:pPr>
      <w:r w:rsidRPr="00F30EB3">
        <w:rPr>
          <w:rStyle w:val="Hyperlink"/>
          <w:color w:val="000000"/>
          <w:szCs w:val="24"/>
          <w:u w:val="none"/>
        </w:rPr>
        <w:t xml:space="preserve">Olesen BT, Clausen J, Vang O (2008) </w:t>
      </w:r>
      <w:r w:rsidRPr="00F30EB3">
        <w:rPr>
          <w:color w:val="000000"/>
          <w:szCs w:val="24"/>
        </w:rPr>
        <w:t>Characterization of the transcriptional profile in primary astrocytes after oxidative stress induced by Paraquat.</w:t>
      </w:r>
      <w:r w:rsidRPr="00AE7FD9">
        <w:rPr>
          <w:i/>
          <w:color w:val="000000"/>
          <w:szCs w:val="24"/>
        </w:rPr>
        <w:t xml:space="preserve"> Neurotoxicology</w:t>
      </w:r>
      <w:r w:rsidRPr="00F30EB3">
        <w:rPr>
          <w:color w:val="000000"/>
          <w:szCs w:val="24"/>
        </w:rPr>
        <w:t xml:space="preserve">. </w:t>
      </w:r>
      <w:r w:rsidRPr="00AE7FD9">
        <w:rPr>
          <w:rStyle w:val="volume"/>
          <w:b/>
          <w:color w:val="000000"/>
          <w:szCs w:val="24"/>
        </w:rPr>
        <w:t>29</w:t>
      </w:r>
      <w:r w:rsidRPr="00F30EB3">
        <w:rPr>
          <w:color w:val="000000"/>
          <w:szCs w:val="24"/>
        </w:rPr>
        <w:t>(</w:t>
      </w:r>
      <w:r w:rsidRPr="00F30EB3">
        <w:rPr>
          <w:rStyle w:val="issue"/>
          <w:color w:val="000000"/>
          <w:szCs w:val="24"/>
        </w:rPr>
        <w:t>1</w:t>
      </w:r>
      <w:r w:rsidRPr="00F30EB3">
        <w:rPr>
          <w:color w:val="000000"/>
          <w:szCs w:val="24"/>
        </w:rPr>
        <w:t>):</w:t>
      </w:r>
      <w:r w:rsidRPr="00F30EB3">
        <w:rPr>
          <w:rStyle w:val="pages"/>
          <w:color w:val="000000"/>
          <w:szCs w:val="24"/>
        </w:rPr>
        <w:t>13-21</w:t>
      </w:r>
      <w:r w:rsidRPr="00F30EB3">
        <w:rPr>
          <w:color w:val="000000"/>
          <w:szCs w:val="24"/>
        </w:rPr>
        <w:t>.</w:t>
      </w:r>
    </w:p>
    <w:p w14:paraId="589F38B4" w14:textId="77777777" w:rsidR="009C0E86" w:rsidRDefault="009C0E86" w:rsidP="000F3526">
      <w:pPr>
        <w:rPr>
          <w:color w:val="000000"/>
        </w:rPr>
      </w:pPr>
    </w:p>
    <w:p w14:paraId="6F4F3125" w14:textId="77777777" w:rsidR="009C0E86" w:rsidRPr="00F30EB3" w:rsidRDefault="009C0E86" w:rsidP="009C0E86">
      <w:pPr>
        <w:rPr>
          <w:rStyle w:val="Hyperlink"/>
          <w:color w:val="000000"/>
          <w:szCs w:val="24"/>
          <w:u w:val="none"/>
        </w:rPr>
      </w:pPr>
      <w:r w:rsidRPr="00F30EB3">
        <w:rPr>
          <w:rStyle w:val="Hyperlink"/>
          <w:color w:val="000000"/>
          <w:szCs w:val="24"/>
          <w:u w:val="none"/>
        </w:rPr>
        <w:t xml:space="preserve">Patel S, Singh V, Kumar A, Gupta YK, Singh MP (2006) </w:t>
      </w:r>
      <w:r w:rsidRPr="00F30EB3">
        <w:rPr>
          <w:color w:val="000000"/>
          <w:szCs w:val="24"/>
        </w:rPr>
        <w:t xml:space="preserve">Status of antioxidant defense system and expression of toxicant responsive genes in striatum of maneb- and paraquat-induced Parkinson's disease phenotype in mouse: mechanism of neurodegeneration. </w:t>
      </w:r>
      <w:r w:rsidRPr="00AE7FD9">
        <w:rPr>
          <w:i/>
          <w:color w:val="000000"/>
          <w:szCs w:val="24"/>
        </w:rPr>
        <w:t>Brain Res.</w:t>
      </w:r>
      <w:r w:rsidRPr="00AE7FD9">
        <w:rPr>
          <w:rStyle w:val="volume"/>
          <w:b/>
          <w:color w:val="000000"/>
          <w:szCs w:val="24"/>
        </w:rPr>
        <w:t>1081</w:t>
      </w:r>
      <w:r w:rsidRPr="00F30EB3">
        <w:rPr>
          <w:color w:val="000000"/>
          <w:szCs w:val="24"/>
        </w:rPr>
        <w:t>(</w:t>
      </w:r>
      <w:r w:rsidRPr="00F30EB3">
        <w:rPr>
          <w:rStyle w:val="issue"/>
          <w:color w:val="000000"/>
          <w:szCs w:val="24"/>
        </w:rPr>
        <w:t>1</w:t>
      </w:r>
      <w:r w:rsidRPr="00F30EB3">
        <w:rPr>
          <w:color w:val="000000"/>
          <w:szCs w:val="24"/>
        </w:rPr>
        <w:t>):</w:t>
      </w:r>
      <w:r w:rsidRPr="00F30EB3">
        <w:rPr>
          <w:rStyle w:val="pages"/>
          <w:color w:val="000000"/>
          <w:szCs w:val="24"/>
        </w:rPr>
        <w:t>9-18</w:t>
      </w:r>
      <w:r w:rsidRPr="00F30EB3">
        <w:rPr>
          <w:color w:val="000000"/>
          <w:szCs w:val="24"/>
        </w:rPr>
        <w:t>.</w:t>
      </w:r>
    </w:p>
    <w:p w14:paraId="4C1D5DE3" w14:textId="77777777" w:rsidR="009C0E86" w:rsidRPr="00F30EB3" w:rsidRDefault="009C0E86" w:rsidP="009C0E86">
      <w:pPr>
        <w:rPr>
          <w:color w:val="000000"/>
        </w:rPr>
      </w:pPr>
    </w:p>
    <w:p w14:paraId="1DA7BAA3" w14:textId="77777777" w:rsidR="009C0E86" w:rsidRPr="00F30EB3" w:rsidRDefault="003A31EB" w:rsidP="009C0E86">
      <w:pPr>
        <w:rPr>
          <w:color w:val="000000"/>
          <w:szCs w:val="24"/>
        </w:rPr>
      </w:pPr>
      <w:hyperlink r:id="rId23" w:history="1">
        <w:r w:rsidR="009C0E86" w:rsidRPr="00F30EB3">
          <w:rPr>
            <w:rStyle w:val="Hyperlink"/>
            <w:color w:val="000000"/>
            <w:szCs w:val="24"/>
            <w:u w:val="none"/>
          </w:rPr>
          <w:t>Patel S, Singh K, Singh S, Singh MP.</w:t>
        </w:r>
      </w:hyperlink>
      <w:r w:rsidR="009C0E86" w:rsidRPr="00F30EB3">
        <w:rPr>
          <w:color w:val="000000"/>
          <w:szCs w:val="24"/>
        </w:rPr>
        <w:t xml:space="preserve"> (2008) Gene Expression Profiles of Mouse Striatum in Control and Maneb + Paraquat-induced Parkinson's Disease Phenotype: Validation of Differentially Expressed Energy Metabolizing Transcripts.</w:t>
      </w:r>
      <w:r w:rsidR="009C0E86" w:rsidRPr="00AE7FD9">
        <w:rPr>
          <w:i/>
          <w:color w:val="000000"/>
          <w:szCs w:val="24"/>
        </w:rPr>
        <w:t>Mol Biotechnol</w:t>
      </w:r>
      <w:r w:rsidR="009C0E86" w:rsidRPr="00F30EB3">
        <w:rPr>
          <w:color w:val="000000"/>
          <w:szCs w:val="24"/>
        </w:rPr>
        <w:t xml:space="preserve">. Apr 2. [Epub ahead of print] </w:t>
      </w:r>
    </w:p>
    <w:p w14:paraId="46AFCBA4" w14:textId="77777777" w:rsidR="009C0E86" w:rsidRPr="00F30EB3" w:rsidRDefault="009C0E86" w:rsidP="009C0E86">
      <w:pPr>
        <w:rPr>
          <w:color w:val="000000"/>
        </w:rPr>
      </w:pPr>
    </w:p>
    <w:p w14:paraId="612436E8" w14:textId="77777777" w:rsidR="009C0E86" w:rsidRPr="00F30EB3" w:rsidRDefault="003A31EB" w:rsidP="009C0E86">
      <w:pPr>
        <w:rPr>
          <w:color w:val="000000"/>
          <w:szCs w:val="24"/>
        </w:rPr>
      </w:pPr>
      <w:hyperlink r:id="rId24" w:history="1">
        <w:r w:rsidR="009C0E86" w:rsidRPr="00F30EB3">
          <w:rPr>
            <w:rStyle w:val="Hyperlink"/>
            <w:color w:val="000000"/>
            <w:szCs w:val="24"/>
            <w:u w:val="none"/>
          </w:rPr>
          <w:t>Patel S, Singh K, Singh S, Singh MP.</w:t>
        </w:r>
      </w:hyperlink>
      <w:r w:rsidR="009C0E86" w:rsidRPr="00F30EB3">
        <w:rPr>
          <w:color w:val="000000"/>
          <w:szCs w:val="24"/>
        </w:rPr>
        <w:t xml:space="preserve"> (2008) Gene Expression Profiles of Mouse Striatum in Control and Maneb + Paraquat-induced Parkinson's Disease Phenotype: Validation of Differentially Expressed Energy Metabolizing Transcripts.</w:t>
      </w:r>
      <w:r w:rsidR="009C0E86" w:rsidRPr="00AE7FD9">
        <w:rPr>
          <w:i/>
          <w:color w:val="000000"/>
          <w:szCs w:val="24"/>
        </w:rPr>
        <w:t>Mol Biotechnol</w:t>
      </w:r>
      <w:r w:rsidR="009C0E86" w:rsidRPr="00F30EB3">
        <w:rPr>
          <w:color w:val="000000"/>
          <w:szCs w:val="24"/>
        </w:rPr>
        <w:t xml:space="preserve">. Apr 2. [Epub ahead of print] </w:t>
      </w:r>
    </w:p>
    <w:p w14:paraId="455B4470" w14:textId="77777777" w:rsidR="009C0E86" w:rsidRPr="00F30EB3" w:rsidRDefault="009C0E86" w:rsidP="000F3526">
      <w:pPr>
        <w:rPr>
          <w:color w:val="000000"/>
        </w:rPr>
      </w:pPr>
    </w:p>
    <w:p w14:paraId="595D5494" w14:textId="77777777" w:rsidR="009C0E86" w:rsidRPr="00F30EB3" w:rsidRDefault="009C0E86" w:rsidP="009C0E86">
      <w:pPr>
        <w:rPr>
          <w:color w:val="000000"/>
        </w:rPr>
      </w:pPr>
    </w:p>
    <w:p w14:paraId="6C828E13" w14:textId="77777777" w:rsidR="009C0E86" w:rsidRPr="00F30EB3" w:rsidRDefault="009C0E86" w:rsidP="009C0E86">
      <w:pPr>
        <w:rPr>
          <w:color w:val="000000"/>
        </w:rPr>
      </w:pPr>
      <w:r w:rsidRPr="00F30EB3">
        <w:rPr>
          <w:color w:val="000000"/>
        </w:rPr>
        <w:t xml:space="preserve">Patthy J, Kiraly I &amp; Sziraki I (1995) Separation of dihydrobenzoate, indicators of </w:t>
      </w:r>
      <w:r w:rsidRPr="00F30EB3">
        <w:rPr>
          <w:i/>
          <w:color w:val="000000"/>
        </w:rPr>
        <w:t>in vivo</w:t>
      </w:r>
      <w:r w:rsidRPr="00F30EB3">
        <w:rPr>
          <w:color w:val="000000"/>
        </w:rPr>
        <w:t xml:space="preserve"> hydroxyl free radical formation, in the presence of transmitter amines and some metabolites in rodent brain, using high performance liquid chromatography with electrochemical detection.</w:t>
      </w:r>
      <w:r w:rsidRPr="00AE7FD9">
        <w:rPr>
          <w:i/>
          <w:color w:val="000000"/>
        </w:rPr>
        <w:t xml:space="preserve"> Chromatography</w:t>
      </w:r>
      <w:r w:rsidRPr="00F30EB3">
        <w:rPr>
          <w:color w:val="000000"/>
        </w:rPr>
        <w:t xml:space="preserve"> </w:t>
      </w:r>
      <w:r w:rsidRPr="00AE7FD9">
        <w:rPr>
          <w:b/>
          <w:color w:val="000000"/>
        </w:rPr>
        <w:t>664</w:t>
      </w:r>
      <w:r w:rsidRPr="00F30EB3">
        <w:rPr>
          <w:color w:val="000000"/>
        </w:rPr>
        <w:t>: 247-252.</w:t>
      </w:r>
    </w:p>
    <w:p w14:paraId="679166B6" w14:textId="77777777" w:rsidR="000F3526" w:rsidRDefault="000F3526" w:rsidP="002B2CFC">
      <w:pPr>
        <w:rPr>
          <w:szCs w:val="24"/>
          <w:lang w:val="en-US" w:eastAsia="en-US"/>
        </w:rPr>
      </w:pPr>
    </w:p>
    <w:p w14:paraId="501E3F0A" w14:textId="77777777" w:rsidR="009C0E86" w:rsidRPr="00F30EB3" w:rsidRDefault="009C0E86" w:rsidP="009C0E86">
      <w:pPr>
        <w:rPr>
          <w:rStyle w:val="Hyperlink"/>
          <w:color w:val="000000"/>
          <w:u w:val="none"/>
        </w:rPr>
      </w:pPr>
      <w:r w:rsidRPr="00F30EB3">
        <w:rPr>
          <w:rStyle w:val="Hyperlink"/>
          <w:color w:val="000000"/>
          <w:u w:val="none"/>
          <w:lang w:val="fr-FR"/>
        </w:rPr>
        <w:t>Purisai MG, McCormack AL, Cumine S, Li J, Isla MZ, Di Monte DA (2007)</w:t>
      </w:r>
      <w:r w:rsidRPr="00F30EB3">
        <w:rPr>
          <w:rStyle w:val="Hyperlink"/>
          <w:color w:val="000000"/>
          <w:u w:val="none"/>
        </w:rPr>
        <w:t xml:space="preserve"> </w:t>
      </w:r>
      <w:r w:rsidRPr="00F30EB3">
        <w:rPr>
          <w:color w:val="000000"/>
        </w:rPr>
        <w:t xml:space="preserve">Microglial activation as a priming event leading to paraquat-induced dopaminergic cell degeneration. </w:t>
      </w:r>
      <w:r w:rsidRPr="00AE7FD9">
        <w:rPr>
          <w:i/>
          <w:color w:val="000000"/>
        </w:rPr>
        <w:t>Neurobiol Dis</w:t>
      </w:r>
      <w:r w:rsidRPr="00F30EB3">
        <w:rPr>
          <w:color w:val="000000"/>
        </w:rPr>
        <w:t xml:space="preserve">. </w:t>
      </w:r>
      <w:r w:rsidRPr="00AE7FD9">
        <w:rPr>
          <w:rStyle w:val="volume"/>
          <w:b/>
          <w:color w:val="000000"/>
        </w:rPr>
        <w:t>25</w:t>
      </w:r>
      <w:r w:rsidRPr="00F30EB3">
        <w:rPr>
          <w:color w:val="000000"/>
        </w:rPr>
        <w:t>(</w:t>
      </w:r>
      <w:r w:rsidRPr="00F30EB3">
        <w:rPr>
          <w:rStyle w:val="issue"/>
          <w:color w:val="000000"/>
        </w:rPr>
        <w:t>2</w:t>
      </w:r>
      <w:r w:rsidRPr="00F30EB3">
        <w:rPr>
          <w:color w:val="000000"/>
        </w:rPr>
        <w:t>):</w:t>
      </w:r>
      <w:r w:rsidRPr="00F30EB3">
        <w:rPr>
          <w:rStyle w:val="pages"/>
          <w:color w:val="000000"/>
        </w:rPr>
        <w:t>392-400.</w:t>
      </w:r>
    </w:p>
    <w:p w14:paraId="33654431" w14:textId="77777777" w:rsidR="009C0E86" w:rsidRDefault="009C0E86" w:rsidP="002B2CFC">
      <w:pPr>
        <w:rPr>
          <w:szCs w:val="24"/>
          <w:lang w:val="en-US" w:eastAsia="en-US"/>
        </w:rPr>
      </w:pPr>
    </w:p>
    <w:p w14:paraId="4EF5D24F" w14:textId="77777777" w:rsidR="009C0E86" w:rsidRPr="00F30EB3" w:rsidRDefault="009C0E86" w:rsidP="009C0E86">
      <w:pPr>
        <w:rPr>
          <w:color w:val="000000"/>
        </w:rPr>
      </w:pPr>
      <w:r w:rsidRPr="00F30EB3">
        <w:rPr>
          <w:rStyle w:val="Hyperlink"/>
          <w:color w:val="000000"/>
          <w:u w:val="none"/>
        </w:rPr>
        <w:t xml:space="preserve">Saint-Pierre M, Tremblay ME, Sik A, Gross RE, Cicchetti F (2006) </w:t>
      </w:r>
      <w:r w:rsidRPr="00F30EB3">
        <w:rPr>
          <w:color w:val="000000"/>
        </w:rPr>
        <w:t xml:space="preserve">Temporal effects of paraquat/maneb on microglial activation and dopamine neuronal loss in older rats. </w:t>
      </w:r>
      <w:r w:rsidRPr="00AE7FD9">
        <w:rPr>
          <w:i/>
          <w:color w:val="000000"/>
        </w:rPr>
        <w:t>J Neurochem</w:t>
      </w:r>
      <w:r w:rsidRPr="00F30EB3">
        <w:rPr>
          <w:color w:val="000000"/>
        </w:rPr>
        <w:t xml:space="preserve">. </w:t>
      </w:r>
      <w:r w:rsidRPr="00AE7FD9">
        <w:rPr>
          <w:rStyle w:val="volume"/>
          <w:b/>
          <w:color w:val="000000"/>
        </w:rPr>
        <w:t>98</w:t>
      </w:r>
      <w:r w:rsidRPr="00F30EB3">
        <w:rPr>
          <w:color w:val="000000"/>
        </w:rPr>
        <w:t>(</w:t>
      </w:r>
      <w:r w:rsidRPr="00F30EB3">
        <w:rPr>
          <w:rStyle w:val="issue"/>
          <w:color w:val="000000"/>
        </w:rPr>
        <w:t>3</w:t>
      </w:r>
      <w:r w:rsidRPr="00F30EB3">
        <w:rPr>
          <w:color w:val="000000"/>
        </w:rPr>
        <w:t>):</w:t>
      </w:r>
      <w:r w:rsidRPr="00F30EB3">
        <w:rPr>
          <w:rStyle w:val="pages"/>
          <w:color w:val="000000"/>
        </w:rPr>
        <w:t>760-72</w:t>
      </w:r>
      <w:r w:rsidRPr="00F30EB3">
        <w:rPr>
          <w:color w:val="000000"/>
        </w:rPr>
        <w:t xml:space="preserve">. </w:t>
      </w:r>
    </w:p>
    <w:p w14:paraId="4791F79E" w14:textId="77777777" w:rsidR="009C0E86" w:rsidRPr="00F30EB3" w:rsidRDefault="009C0E86" w:rsidP="009C0E86">
      <w:pPr>
        <w:rPr>
          <w:color w:val="000000"/>
        </w:rPr>
      </w:pPr>
    </w:p>
    <w:p w14:paraId="45D536D9" w14:textId="77777777" w:rsidR="009C0E86" w:rsidRDefault="009C0E86" w:rsidP="009C0E86">
      <w:pPr>
        <w:rPr>
          <w:color w:val="000000"/>
        </w:rPr>
      </w:pPr>
      <w:r w:rsidRPr="00F30EB3">
        <w:rPr>
          <w:color w:val="000000"/>
        </w:rPr>
        <w:t xml:space="preserve">Sanchez-Ramos JR, Factor SA &amp; Weiner WJ (1987) Paraquat and Parkinson’s disease. </w:t>
      </w:r>
      <w:r w:rsidRPr="00AE7FD9">
        <w:rPr>
          <w:i/>
          <w:color w:val="000000"/>
        </w:rPr>
        <w:t>Neurol</w:t>
      </w:r>
      <w:r w:rsidRPr="00F30EB3">
        <w:rPr>
          <w:color w:val="000000"/>
        </w:rPr>
        <w:t xml:space="preserve"> </w:t>
      </w:r>
      <w:r w:rsidRPr="00AE7FD9">
        <w:rPr>
          <w:i/>
          <w:color w:val="000000"/>
        </w:rPr>
        <w:t>37</w:t>
      </w:r>
      <w:r w:rsidRPr="00F30EB3">
        <w:rPr>
          <w:color w:val="000000"/>
        </w:rPr>
        <w:t>: 1820-1821.</w:t>
      </w:r>
    </w:p>
    <w:p w14:paraId="1FA6037E" w14:textId="77777777" w:rsidR="009C0E86" w:rsidRDefault="009C0E86" w:rsidP="009C0E86">
      <w:pPr>
        <w:rPr>
          <w:color w:val="000000"/>
        </w:rPr>
      </w:pPr>
    </w:p>
    <w:p w14:paraId="3EE0B863" w14:textId="77777777" w:rsidR="009C0E86" w:rsidRPr="00F30EB3" w:rsidRDefault="009C0E86" w:rsidP="009C0E86">
      <w:pPr>
        <w:rPr>
          <w:color w:val="000000"/>
        </w:rPr>
      </w:pPr>
      <w:r w:rsidRPr="00F30EB3">
        <w:rPr>
          <w:color w:val="000000"/>
        </w:rPr>
        <w:lastRenderedPageBreak/>
        <w:t xml:space="preserve">Schmuck G, Ahr HJ &amp; Schluter G (2000) Rat cortical neuron cultures: An </w:t>
      </w:r>
      <w:r w:rsidRPr="00F30EB3">
        <w:rPr>
          <w:i/>
          <w:color w:val="000000"/>
        </w:rPr>
        <w:t>in vitro</w:t>
      </w:r>
      <w:r w:rsidRPr="00F30EB3">
        <w:rPr>
          <w:color w:val="000000"/>
        </w:rPr>
        <w:t xml:space="preserve"> model for differentiating mechanisms of chemically induced neurotoxicity. </w:t>
      </w:r>
      <w:r w:rsidRPr="00AE7FD9">
        <w:rPr>
          <w:i/>
          <w:color w:val="000000"/>
        </w:rPr>
        <w:t>In Vitro Mol Toxicol</w:t>
      </w:r>
      <w:r w:rsidRPr="00F30EB3">
        <w:rPr>
          <w:color w:val="000000"/>
        </w:rPr>
        <w:t xml:space="preserve"> </w:t>
      </w:r>
      <w:r w:rsidRPr="00AE7FD9">
        <w:rPr>
          <w:b/>
          <w:color w:val="000000"/>
        </w:rPr>
        <w:t>13</w:t>
      </w:r>
      <w:r w:rsidRPr="00F30EB3">
        <w:rPr>
          <w:color w:val="000000"/>
        </w:rPr>
        <w:t>(1): 37-49.</w:t>
      </w:r>
    </w:p>
    <w:p w14:paraId="4E0E8FF8" w14:textId="77777777" w:rsidR="009C0E86" w:rsidRPr="00F30EB3" w:rsidRDefault="009C0E86" w:rsidP="009C0E86">
      <w:pPr>
        <w:rPr>
          <w:color w:val="000000"/>
        </w:rPr>
      </w:pPr>
    </w:p>
    <w:p w14:paraId="1FB60D6A" w14:textId="77777777" w:rsidR="009C0E86" w:rsidRPr="00F30EB3" w:rsidRDefault="009C0E86" w:rsidP="009C0E86">
      <w:pPr>
        <w:rPr>
          <w:color w:val="000000"/>
        </w:rPr>
      </w:pPr>
      <w:r w:rsidRPr="00F30EB3">
        <w:rPr>
          <w:color w:val="000000"/>
        </w:rPr>
        <w:t xml:space="preserve">Scott RC (1992) Evidence for paraquat involvement with the central nervous system. Report no. CTL/L/4668. Lab: ICI CTL, Alderley Park, Macclesfield, Cheshire, UK. Sponsor: ICI Agrochemicals. Unpublished. </w:t>
      </w:r>
    </w:p>
    <w:p w14:paraId="262D59B3" w14:textId="77777777" w:rsidR="009C0E86" w:rsidRDefault="009C0E86" w:rsidP="009C0E86">
      <w:pPr>
        <w:rPr>
          <w:color w:val="000000"/>
        </w:rPr>
      </w:pPr>
    </w:p>
    <w:p w14:paraId="34D6F8BA" w14:textId="77777777" w:rsidR="009C0E86" w:rsidRPr="00F30EB3" w:rsidRDefault="009C0E86" w:rsidP="009C0E86">
      <w:pPr>
        <w:rPr>
          <w:rStyle w:val="Hyperlink"/>
          <w:color w:val="000000"/>
          <w:szCs w:val="24"/>
          <w:u w:val="none"/>
        </w:rPr>
      </w:pPr>
      <w:r w:rsidRPr="00F30EB3">
        <w:rPr>
          <w:rStyle w:val="Hyperlink"/>
          <w:color w:val="000000"/>
          <w:szCs w:val="24"/>
          <w:u w:val="none"/>
        </w:rPr>
        <w:t xml:space="preserve">Shepherd KR, Lee ES, Schmued L, Jiao Y, Ali SF, Oriaku ET, Lamango NS, Soliman KF &amp; Charlton CG (2006) </w:t>
      </w:r>
      <w:r w:rsidRPr="00F30EB3">
        <w:rPr>
          <w:color w:val="000000"/>
          <w:szCs w:val="24"/>
        </w:rPr>
        <w:t xml:space="preserve">The potentiating effects of 1-methyl-4-phenyl-1,2,3,6-tetrahydropyridine (MPTP) on paraquat-induced neurochemical and behavioral changes in mice.  Pharmacol Biochem Behav. </w:t>
      </w:r>
      <w:r w:rsidRPr="00F30EB3">
        <w:rPr>
          <w:rStyle w:val="volume"/>
          <w:color w:val="000000"/>
          <w:szCs w:val="24"/>
        </w:rPr>
        <w:t>83</w:t>
      </w:r>
      <w:r w:rsidRPr="00F30EB3">
        <w:rPr>
          <w:color w:val="000000"/>
          <w:szCs w:val="24"/>
        </w:rPr>
        <w:t>(</w:t>
      </w:r>
      <w:r w:rsidRPr="00F30EB3">
        <w:rPr>
          <w:rStyle w:val="issue"/>
          <w:color w:val="000000"/>
          <w:szCs w:val="24"/>
        </w:rPr>
        <w:t>3</w:t>
      </w:r>
      <w:r w:rsidRPr="00F30EB3">
        <w:rPr>
          <w:color w:val="000000"/>
          <w:szCs w:val="24"/>
        </w:rPr>
        <w:t>):</w:t>
      </w:r>
      <w:r w:rsidRPr="00F30EB3">
        <w:rPr>
          <w:rStyle w:val="pages"/>
          <w:color w:val="000000"/>
          <w:szCs w:val="24"/>
        </w:rPr>
        <w:t>349-59</w:t>
      </w:r>
      <w:r w:rsidRPr="00F30EB3">
        <w:rPr>
          <w:color w:val="000000"/>
          <w:szCs w:val="24"/>
        </w:rPr>
        <w:t>.</w:t>
      </w:r>
    </w:p>
    <w:p w14:paraId="3610C319" w14:textId="77777777" w:rsidR="009C0E86" w:rsidRDefault="009C0E86" w:rsidP="009C0E86">
      <w:pPr>
        <w:rPr>
          <w:color w:val="000000"/>
        </w:rPr>
      </w:pPr>
    </w:p>
    <w:p w14:paraId="3C197385" w14:textId="77777777" w:rsidR="00147AE6" w:rsidRPr="00F30EB3" w:rsidRDefault="00147AE6" w:rsidP="00147AE6">
      <w:pPr>
        <w:rPr>
          <w:color w:val="000000"/>
        </w:rPr>
      </w:pPr>
      <w:r w:rsidRPr="00F30EB3">
        <w:rPr>
          <w:color w:val="000000"/>
        </w:rPr>
        <w:t xml:space="preserve">Sotelo C (2004) Cellular and genetic regulation of the development of the cerebellar system. </w:t>
      </w:r>
      <w:r w:rsidRPr="00EF1BA1">
        <w:rPr>
          <w:i/>
          <w:color w:val="000000"/>
        </w:rPr>
        <w:t>Prog Neurobiol</w:t>
      </w:r>
      <w:r w:rsidRPr="00F30EB3">
        <w:rPr>
          <w:color w:val="000000"/>
        </w:rPr>
        <w:t xml:space="preserve"> </w:t>
      </w:r>
      <w:r w:rsidRPr="00EF1BA1">
        <w:rPr>
          <w:b/>
          <w:color w:val="000000"/>
        </w:rPr>
        <w:t>72</w:t>
      </w:r>
      <w:r w:rsidRPr="00F30EB3">
        <w:rPr>
          <w:color w:val="000000"/>
        </w:rPr>
        <w:t>:295-339.</w:t>
      </w:r>
    </w:p>
    <w:p w14:paraId="37717C33" w14:textId="77777777" w:rsidR="00147AE6" w:rsidRPr="00F30EB3" w:rsidRDefault="00147AE6" w:rsidP="00147AE6">
      <w:pPr>
        <w:rPr>
          <w:color w:val="000000"/>
        </w:rPr>
      </w:pPr>
    </w:p>
    <w:p w14:paraId="17B683ED" w14:textId="77777777" w:rsidR="00147AE6" w:rsidRPr="004D7B4A" w:rsidRDefault="00147AE6" w:rsidP="00147AE6">
      <w:pPr>
        <w:rPr>
          <w:rStyle w:val="Hyperlink"/>
          <w:color w:val="000000"/>
          <w:szCs w:val="24"/>
          <w:u w:val="none"/>
        </w:rPr>
      </w:pPr>
      <w:r w:rsidRPr="004D7B4A">
        <w:rPr>
          <w:rStyle w:val="Hyperlink"/>
          <w:color w:val="000000"/>
          <w:szCs w:val="24"/>
          <w:u w:val="none"/>
        </w:rPr>
        <w:t>Stoltenburg-Didinger G (1994) Neuropathology of the hippocampus and its susceptibility to neurotoxic insult.</w:t>
      </w:r>
      <w:r w:rsidRPr="004D7B4A">
        <w:rPr>
          <w:rStyle w:val="Hyperlink"/>
          <w:i/>
          <w:color w:val="000000"/>
          <w:szCs w:val="24"/>
          <w:u w:val="none"/>
        </w:rPr>
        <w:t xml:space="preserve"> Neurotoxicology</w:t>
      </w:r>
      <w:r w:rsidRPr="004D7B4A">
        <w:rPr>
          <w:rStyle w:val="Hyperlink"/>
          <w:color w:val="000000"/>
          <w:szCs w:val="24"/>
          <w:u w:val="none"/>
        </w:rPr>
        <w:t xml:space="preserve"> 15:445-450.</w:t>
      </w:r>
    </w:p>
    <w:p w14:paraId="4FEFD4F1" w14:textId="77777777" w:rsidR="00147AE6" w:rsidRPr="00F30EB3" w:rsidRDefault="00147AE6" w:rsidP="00147AE6">
      <w:pPr>
        <w:jc w:val="left"/>
        <w:rPr>
          <w:color w:val="000000"/>
        </w:rPr>
      </w:pPr>
    </w:p>
    <w:p w14:paraId="3EC90415" w14:textId="77777777" w:rsidR="00147AE6" w:rsidRPr="00F30EB3" w:rsidRDefault="003A31EB" w:rsidP="00147AE6">
      <w:pPr>
        <w:rPr>
          <w:color w:val="000000"/>
        </w:rPr>
      </w:pPr>
      <w:hyperlink r:id="rId25" w:history="1">
        <w:r w:rsidR="00147AE6" w:rsidRPr="00F30EB3">
          <w:rPr>
            <w:rStyle w:val="Hyperlink"/>
            <w:color w:val="000000"/>
            <w:szCs w:val="24"/>
            <w:u w:val="none"/>
          </w:rPr>
          <w:t>Thrash B, Uthayathas S, Karuppagounder SS, Suppiramaniam V &amp; Dhanasekaran M.</w:t>
        </w:r>
      </w:hyperlink>
      <w:r w:rsidR="00147AE6" w:rsidRPr="00F30EB3">
        <w:rPr>
          <w:color w:val="000000"/>
          <w:szCs w:val="24"/>
        </w:rPr>
        <w:t xml:space="preserve"> (2007) Paraquat and maneb induced neurotoxicity. </w:t>
      </w:r>
      <w:r w:rsidR="00147AE6" w:rsidRPr="00EF1BA1">
        <w:rPr>
          <w:i/>
          <w:color w:val="000000"/>
          <w:szCs w:val="24"/>
        </w:rPr>
        <w:t>Proc West Pharmacol Soc.</w:t>
      </w:r>
      <w:r w:rsidR="00147AE6" w:rsidRPr="00F30EB3">
        <w:rPr>
          <w:color w:val="000000"/>
          <w:szCs w:val="24"/>
        </w:rPr>
        <w:t xml:space="preserve"> 2007;50:31-42. Review. </w:t>
      </w:r>
    </w:p>
    <w:p w14:paraId="40AE6E00" w14:textId="77777777" w:rsidR="00147AE6" w:rsidRPr="00F30EB3" w:rsidRDefault="00147AE6" w:rsidP="00147AE6">
      <w:pPr>
        <w:rPr>
          <w:color w:val="000000"/>
        </w:rPr>
      </w:pPr>
    </w:p>
    <w:p w14:paraId="7EBEBDB4" w14:textId="77777777" w:rsidR="00147AE6" w:rsidRPr="00F30EB3" w:rsidRDefault="00147AE6" w:rsidP="00147AE6">
      <w:pPr>
        <w:rPr>
          <w:color w:val="000000"/>
        </w:rPr>
      </w:pPr>
      <w:r w:rsidRPr="00F30EB3">
        <w:rPr>
          <w:color w:val="000000"/>
        </w:rPr>
        <w:t xml:space="preserve">Stefano E, Casali C, Caporali M, Sancesario G &amp; Morocutti C (1989) Parkinson’s disease in farm workers. </w:t>
      </w:r>
      <w:r w:rsidRPr="00EF1BA1">
        <w:rPr>
          <w:i/>
          <w:color w:val="000000"/>
        </w:rPr>
        <w:t>Ital J Neurol Sci</w:t>
      </w:r>
      <w:r w:rsidRPr="00F30EB3">
        <w:rPr>
          <w:color w:val="000000"/>
        </w:rPr>
        <w:t xml:space="preserve"> </w:t>
      </w:r>
      <w:r w:rsidRPr="00EF1BA1">
        <w:rPr>
          <w:b/>
          <w:color w:val="000000"/>
        </w:rPr>
        <w:t>10</w:t>
      </w:r>
      <w:r w:rsidRPr="00F30EB3">
        <w:rPr>
          <w:color w:val="000000"/>
        </w:rPr>
        <w:t>(3): 379.</w:t>
      </w:r>
    </w:p>
    <w:p w14:paraId="76809C12" w14:textId="77777777" w:rsidR="00147AE6" w:rsidRPr="00F30EB3" w:rsidRDefault="00147AE6" w:rsidP="00147AE6">
      <w:pPr>
        <w:rPr>
          <w:color w:val="000000"/>
        </w:rPr>
      </w:pPr>
    </w:p>
    <w:p w14:paraId="3EF05E24" w14:textId="77777777" w:rsidR="00147AE6" w:rsidRPr="00F30EB3" w:rsidRDefault="00147AE6" w:rsidP="00147AE6">
      <w:pPr>
        <w:rPr>
          <w:rStyle w:val="Hyperlink"/>
          <w:color w:val="000000"/>
          <w:szCs w:val="24"/>
          <w:u w:val="none"/>
        </w:rPr>
      </w:pPr>
      <w:r w:rsidRPr="00F30EB3">
        <w:rPr>
          <w:rStyle w:val="Hyperlink"/>
          <w:color w:val="000000"/>
          <w:szCs w:val="24"/>
          <w:u w:val="none"/>
          <w:lang w:val="nl-NL"/>
        </w:rPr>
        <w:t>Stelmashook EV, Isaev NK, Zorov DB (2007)</w:t>
      </w:r>
      <w:r w:rsidRPr="00F30EB3">
        <w:rPr>
          <w:rStyle w:val="Hyperlink"/>
          <w:color w:val="000000"/>
          <w:szCs w:val="24"/>
          <w:u w:val="none"/>
        </w:rPr>
        <w:t xml:space="preserve"> </w:t>
      </w:r>
      <w:r w:rsidRPr="00F30EB3">
        <w:rPr>
          <w:color w:val="000000"/>
          <w:szCs w:val="24"/>
        </w:rPr>
        <w:t xml:space="preserve">Paraquat potentiates glutamate toxicity in immature cultures of cerebellar granule neurons. </w:t>
      </w:r>
      <w:r w:rsidRPr="00EF1BA1">
        <w:rPr>
          <w:i/>
          <w:color w:val="000000"/>
          <w:szCs w:val="24"/>
        </w:rPr>
        <w:t>Toxicol Lett.</w:t>
      </w:r>
      <w:r w:rsidRPr="00F30EB3">
        <w:rPr>
          <w:color w:val="000000"/>
          <w:szCs w:val="24"/>
        </w:rPr>
        <w:t xml:space="preserve"> </w:t>
      </w:r>
      <w:r w:rsidRPr="00EF1BA1">
        <w:rPr>
          <w:b/>
          <w:color w:val="000000"/>
          <w:szCs w:val="24"/>
        </w:rPr>
        <w:t>1</w:t>
      </w:r>
      <w:r w:rsidRPr="00F30EB3">
        <w:rPr>
          <w:color w:val="000000"/>
          <w:szCs w:val="24"/>
        </w:rPr>
        <w:t>;</w:t>
      </w:r>
      <w:r w:rsidRPr="00F30EB3">
        <w:rPr>
          <w:rStyle w:val="volume"/>
          <w:color w:val="000000"/>
          <w:szCs w:val="24"/>
        </w:rPr>
        <w:t>174</w:t>
      </w:r>
      <w:r w:rsidRPr="00F30EB3">
        <w:rPr>
          <w:color w:val="000000"/>
          <w:szCs w:val="24"/>
        </w:rPr>
        <w:t>(</w:t>
      </w:r>
      <w:r w:rsidRPr="00F30EB3">
        <w:rPr>
          <w:rStyle w:val="issue"/>
          <w:color w:val="000000"/>
          <w:szCs w:val="24"/>
        </w:rPr>
        <w:t>1-3</w:t>
      </w:r>
      <w:r w:rsidRPr="00F30EB3">
        <w:rPr>
          <w:color w:val="000000"/>
          <w:szCs w:val="24"/>
        </w:rPr>
        <w:t>):</w:t>
      </w:r>
      <w:r w:rsidRPr="00F30EB3">
        <w:rPr>
          <w:rStyle w:val="pages"/>
          <w:color w:val="000000"/>
          <w:szCs w:val="24"/>
        </w:rPr>
        <w:t>82-8</w:t>
      </w:r>
      <w:r w:rsidRPr="00F30EB3">
        <w:rPr>
          <w:color w:val="000000"/>
          <w:szCs w:val="24"/>
        </w:rPr>
        <w:t xml:space="preserve">. </w:t>
      </w:r>
    </w:p>
    <w:p w14:paraId="265871CF" w14:textId="77777777" w:rsidR="00147AE6" w:rsidRDefault="00147AE6" w:rsidP="009C0E86">
      <w:pPr>
        <w:rPr>
          <w:color w:val="000000"/>
        </w:rPr>
      </w:pPr>
    </w:p>
    <w:p w14:paraId="2A12C6CD" w14:textId="77777777" w:rsidR="00147AE6" w:rsidRPr="00F30EB3" w:rsidRDefault="00147AE6" w:rsidP="00147AE6">
      <w:pPr>
        <w:rPr>
          <w:color w:val="000000"/>
        </w:rPr>
      </w:pPr>
      <w:r w:rsidRPr="00F30EB3">
        <w:rPr>
          <w:color w:val="000000"/>
        </w:rPr>
        <w:t xml:space="preserve">Webb DB, Ansari EJ &amp; Wallis DI (1988) An electrophysiological study of ganglion blockage by paraquat and diquat. </w:t>
      </w:r>
      <w:r w:rsidRPr="00EF1BA1">
        <w:rPr>
          <w:i/>
          <w:color w:val="000000"/>
        </w:rPr>
        <w:t>Hum Toxicol</w:t>
      </w:r>
      <w:r w:rsidRPr="00F30EB3">
        <w:rPr>
          <w:color w:val="000000"/>
        </w:rPr>
        <w:t xml:space="preserve"> </w:t>
      </w:r>
      <w:r w:rsidRPr="00EF1BA1">
        <w:rPr>
          <w:b/>
          <w:color w:val="000000"/>
        </w:rPr>
        <w:t>7</w:t>
      </w:r>
      <w:r w:rsidRPr="00F30EB3">
        <w:rPr>
          <w:color w:val="000000"/>
        </w:rPr>
        <w:t>: 563-565.</w:t>
      </w:r>
    </w:p>
    <w:p w14:paraId="2D616D95" w14:textId="77777777" w:rsidR="00147AE6" w:rsidRPr="00F30EB3" w:rsidRDefault="00147AE6" w:rsidP="00147AE6">
      <w:pPr>
        <w:rPr>
          <w:color w:val="000000"/>
        </w:rPr>
      </w:pPr>
    </w:p>
    <w:p w14:paraId="0DB5AF12" w14:textId="77777777" w:rsidR="00147AE6" w:rsidRPr="00F30EB3" w:rsidRDefault="00147AE6" w:rsidP="00147AE6">
      <w:pPr>
        <w:rPr>
          <w:rStyle w:val="Hyperlink"/>
          <w:color w:val="000000"/>
          <w:u w:val="none"/>
        </w:rPr>
      </w:pPr>
      <w:r w:rsidRPr="00F30EB3">
        <w:rPr>
          <w:rStyle w:val="Hyperlink"/>
          <w:color w:val="000000"/>
          <w:u w:val="none"/>
        </w:rPr>
        <w:t xml:space="preserve">Welsh JP, Lang EJ, Sugihara I &amp; Llinas R (1995) Dynamic organisation of motor control within the olivocerebellar system. </w:t>
      </w:r>
      <w:r w:rsidRPr="00EF1BA1">
        <w:rPr>
          <w:rStyle w:val="Hyperlink"/>
          <w:i/>
          <w:color w:val="000000"/>
          <w:u w:val="none"/>
        </w:rPr>
        <w:t>Nature</w:t>
      </w:r>
      <w:r w:rsidRPr="00F30EB3">
        <w:rPr>
          <w:rStyle w:val="Hyperlink"/>
          <w:color w:val="000000"/>
          <w:u w:val="none"/>
        </w:rPr>
        <w:t xml:space="preserve"> </w:t>
      </w:r>
      <w:r w:rsidRPr="00EF1BA1">
        <w:rPr>
          <w:rStyle w:val="Hyperlink"/>
          <w:b/>
          <w:color w:val="000000"/>
          <w:u w:val="none"/>
        </w:rPr>
        <w:t>374</w:t>
      </w:r>
      <w:r w:rsidRPr="00F30EB3">
        <w:rPr>
          <w:rStyle w:val="Hyperlink"/>
          <w:color w:val="000000"/>
          <w:u w:val="none"/>
        </w:rPr>
        <w:t>:453-457.</w:t>
      </w:r>
    </w:p>
    <w:p w14:paraId="0E09F306" w14:textId="77777777" w:rsidR="00147AE6" w:rsidRDefault="00147AE6" w:rsidP="009C0E86">
      <w:pPr>
        <w:rPr>
          <w:color w:val="000000"/>
        </w:rPr>
      </w:pPr>
    </w:p>
    <w:p w14:paraId="2EBCEA79" w14:textId="77777777" w:rsidR="00147AE6" w:rsidRPr="00F30EB3" w:rsidRDefault="00147AE6" w:rsidP="00147AE6">
      <w:pPr>
        <w:rPr>
          <w:color w:val="000000"/>
        </w:rPr>
      </w:pPr>
      <w:r w:rsidRPr="00F30EB3">
        <w:rPr>
          <w:color w:val="000000"/>
        </w:rPr>
        <w:t>Worobey BL (1986) Potential neurotoxicity of NaBH</w:t>
      </w:r>
      <w:r w:rsidRPr="00F30EB3">
        <w:rPr>
          <w:color w:val="000000"/>
          <w:vertAlign w:val="subscript"/>
        </w:rPr>
        <w:t>4</w:t>
      </w:r>
      <w:r w:rsidRPr="00F30EB3">
        <w:rPr>
          <w:color w:val="000000"/>
        </w:rPr>
        <w:t xml:space="preserve"> reduced paraquat. </w:t>
      </w:r>
      <w:r w:rsidRPr="00EF1BA1">
        <w:rPr>
          <w:i/>
          <w:color w:val="000000"/>
        </w:rPr>
        <w:t>J Anal Toxicol</w:t>
      </w:r>
      <w:r w:rsidRPr="00F30EB3">
        <w:rPr>
          <w:color w:val="000000"/>
        </w:rPr>
        <w:t xml:space="preserve"> </w:t>
      </w:r>
      <w:r w:rsidRPr="00EF1BA1">
        <w:rPr>
          <w:b/>
          <w:color w:val="000000"/>
        </w:rPr>
        <w:t>10</w:t>
      </w:r>
      <w:r w:rsidRPr="00F30EB3">
        <w:rPr>
          <w:color w:val="000000"/>
        </w:rPr>
        <w:t>: 40.</w:t>
      </w:r>
    </w:p>
    <w:p w14:paraId="207BEDC3" w14:textId="77777777" w:rsidR="00147AE6" w:rsidRPr="00F30EB3" w:rsidRDefault="00147AE6" w:rsidP="00147AE6">
      <w:pPr>
        <w:rPr>
          <w:color w:val="000000"/>
        </w:rPr>
      </w:pPr>
    </w:p>
    <w:p w14:paraId="4D5D2875" w14:textId="77777777" w:rsidR="00147AE6" w:rsidRPr="00F30EB3" w:rsidRDefault="00147AE6" w:rsidP="00147AE6">
      <w:pPr>
        <w:rPr>
          <w:color w:val="000000"/>
          <w:szCs w:val="24"/>
        </w:rPr>
      </w:pPr>
      <w:r w:rsidRPr="00F30EB3">
        <w:rPr>
          <w:rStyle w:val="Hyperlink"/>
          <w:color w:val="000000"/>
          <w:szCs w:val="24"/>
          <w:u w:val="none"/>
        </w:rPr>
        <w:t>Wu XF, Block ML, Zhang W, Qin L, Wilson B, Zhang WQ, Veronesi B, Hong JS (2005) The role of microglia in paraquat-induced dopaminergic neurotoxicity</w:t>
      </w:r>
      <w:r w:rsidRPr="00F30EB3">
        <w:rPr>
          <w:color w:val="000000"/>
          <w:szCs w:val="24"/>
        </w:rPr>
        <w:t>.</w:t>
      </w:r>
      <w:r w:rsidRPr="00EF1BA1">
        <w:rPr>
          <w:i/>
          <w:color w:val="000000"/>
          <w:szCs w:val="24"/>
        </w:rPr>
        <w:t xml:space="preserve"> Antioxid Redox Signal.</w:t>
      </w:r>
      <w:r w:rsidRPr="00F30EB3">
        <w:rPr>
          <w:color w:val="000000"/>
          <w:szCs w:val="24"/>
        </w:rPr>
        <w:t xml:space="preserve"> </w:t>
      </w:r>
      <w:r w:rsidRPr="00EF1BA1">
        <w:rPr>
          <w:b/>
          <w:color w:val="000000"/>
          <w:szCs w:val="24"/>
        </w:rPr>
        <w:t>7</w:t>
      </w:r>
      <w:r w:rsidRPr="00F30EB3">
        <w:rPr>
          <w:color w:val="000000"/>
          <w:szCs w:val="24"/>
        </w:rPr>
        <w:t xml:space="preserve">(5-6):654-61. </w:t>
      </w:r>
    </w:p>
    <w:p w14:paraId="09E5E973" w14:textId="77777777" w:rsidR="00147AE6" w:rsidRDefault="00147AE6" w:rsidP="009C0E86">
      <w:pPr>
        <w:rPr>
          <w:color w:val="000000"/>
        </w:rPr>
      </w:pPr>
    </w:p>
    <w:p w14:paraId="54398531" w14:textId="77777777" w:rsidR="00147AE6" w:rsidRPr="00F30EB3" w:rsidRDefault="00147AE6" w:rsidP="00147AE6">
      <w:pPr>
        <w:rPr>
          <w:color w:val="000000"/>
        </w:rPr>
      </w:pPr>
      <w:r w:rsidRPr="00F30EB3">
        <w:rPr>
          <w:color w:val="000000"/>
          <w:szCs w:val="24"/>
        </w:rPr>
        <w:t>Yang W, Tiffany-Castiglioni E (2005)</w:t>
      </w:r>
      <w:r w:rsidRPr="00F30EB3">
        <w:rPr>
          <w:rStyle w:val="volume"/>
          <w:color w:val="000000"/>
          <w:szCs w:val="24"/>
        </w:rPr>
        <w:t xml:space="preserve"> </w:t>
      </w:r>
      <w:r w:rsidRPr="00F30EB3">
        <w:rPr>
          <w:color w:val="000000"/>
          <w:szCs w:val="24"/>
        </w:rPr>
        <w:t>T</w:t>
      </w:r>
      <w:r w:rsidRPr="00F30EB3">
        <w:rPr>
          <w:rStyle w:val="issue"/>
          <w:color w:val="000000"/>
          <w:szCs w:val="24"/>
        </w:rPr>
        <w:t xml:space="preserve">he </w:t>
      </w:r>
      <w:r w:rsidRPr="00F30EB3">
        <w:rPr>
          <w:color w:val="000000"/>
          <w:szCs w:val="24"/>
        </w:rPr>
        <w:t>bi</w:t>
      </w:r>
      <w:r w:rsidRPr="00F30EB3">
        <w:rPr>
          <w:rStyle w:val="pages"/>
          <w:color w:val="000000"/>
          <w:szCs w:val="24"/>
        </w:rPr>
        <w:t>pyridy</w:t>
      </w:r>
      <w:r w:rsidRPr="00F30EB3">
        <w:rPr>
          <w:color w:val="000000"/>
          <w:szCs w:val="24"/>
        </w:rPr>
        <w:t>l</w:t>
      </w:r>
      <w:r w:rsidRPr="00F30EB3">
        <w:t xml:space="preserve"> h</w:t>
      </w:r>
      <w:r w:rsidRPr="00F30EB3">
        <w:rPr>
          <w:rStyle w:val="Hyperlink"/>
          <w:color w:val="000000"/>
          <w:szCs w:val="24"/>
          <w:u w:val="none"/>
        </w:rPr>
        <w:t>erbicide paraquat produces oxidative s</w:t>
      </w:r>
      <w:r w:rsidRPr="00F30EB3">
        <w:rPr>
          <w:color w:val="000000"/>
          <w:szCs w:val="24"/>
        </w:rPr>
        <w:t xml:space="preserve">tress-mediated toxicity in human neuroblastoma SH-SY5Y cells: relevance to the dopaminergic pathogenesis. </w:t>
      </w:r>
      <w:r w:rsidRPr="00EF1BA1">
        <w:rPr>
          <w:i/>
          <w:color w:val="000000"/>
          <w:szCs w:val="24"/>
        </w:rPr>
        <w:t>J Toxicol Environ Health A</w:t>
      </w:r>
      <w:r w:rsidRPr="00F30EB3">
        <w:rPr>
          <w:color w:val="000000"/>
          <w:szCs w:val="24"/>
        </w:rPr>
        <w:t xml:space="preserve">. </w:t>
      </w:r>
      <w:r w:rsidRPr="00EF1BA1">
        <w:rPr>
          <w:b/>
          <w:color w:val="000000"/>
          <w:szCs w:val="24"/>
        </w:rPr>
        <w:t>26</w:t>
      </w:r>
      <w:r w:rsidRPr="00F30EB3">
        <w:rPr>
          <w:color w:val="000000"/>
          <w:szCs w:val="24"/>
        </w:rPr>
        <w:t>;68(22):1939-61.</w:t>
      </w:r>
    </w:p>
    <w:p w14:paraId="3DB78D48" w14:textId="77777777" w:rsidR="00147AE6" w:rsidRPr="00F30EB3" w:rsidRDefault="00147AE6" w:rsidP="00147AE6">
      <w:pPr>
        <w:rPr>
          <w:color w:val="000000"/>
        </w:rPr>
      </w:pPr>
    </w:p>
    <w:p w14:paraId="45B3CCE3" w14:textId="77777777" w:rsidR="00147AE6" w:rsidRPr="00F30EB3" w:rsidRDefault="00147AE6" w:rsidP="00147AE6">
      <w:pPr>
        <w:rPr>
          <w:color w:val="000000"/>
          <w:szCs w:val="24"/>
        </w:rPr>
      </w:pPr>
      <w:r w:rsidRPr="00F30EB3">
        <w:rPr>
          <w:color w:val="000000"/>
          <w:szCs w:val="24"/>
        </w:rPr>
        <w:lastRenderedPageBreak/>
        <w:t xml:space="preserve">Yang W, Tiffany-Castiglioni E (2008) Paraquat-induced apoptosis in human neuroblastoma SH-SY5Y cells: involvement of p53 and mitochondria.  </w:t>
      </w:r>
      <w:r w:rsidRPr="00EF1BA1">
        <w:rPr>
          <w:i/>
          <w:color w:val="000000"/>
          <w:szCs w:val="24"/>
        </w:rPr>
        <w:t>J Toxicol Environ Health,</w:t>
      </w:r>
      <w:r w:rsidRPr="00F30EB3">
        <w:rPr>
          <w:color w:val="000000"/>
          <w:szCs w:val="24"/>
        </w:rPr>
        <w:t xml:space="preserve"> </w:t>
      </w:r>
      <w:r w:rsidRPr="00EF1BA1">
        <w:rPr>
          <w:b/>
          <w:color w:val="000000"/>
          <w:szCs w:val="24"/>
        </w:rPr>
        <w:t>71</w:t>
      </w:r>
      <w:r w:rsidRPr="00F30EB3">
        <w:rPr>
          <w:color w:val="000000"/>
          <w:szCs w:val="24"/>
        </w:rPr>
        <w:t>(4):289-299.</w:t>
      </w:r>
    </w:p>
    <w:p w14:paraId="1DC7F01E" w14:textId="77777777" w:rsidR="00147AE6" w:rsidRPr="00F30EB3" w:rsidRDefault="00147AE6" w:rsidP="00147AE6">
      <w:pPr>
        <w:rPr>
          <w:color w:val="000000"/>
        </w:rPr>
      </w:pPr>
    </w:p>
    <w:p w14:paraId="1A536599" w14:textId="77777777" w:rsidR="00147AE6" w:rsidRPr="00F30EB3" w:rsidRDefault="00147AE6" w:rsidP="00147AE6">
      <w:pPr>
        <w:rPr>
          <w:color w:val="000000"/>
        </w:rPr>
      </w:pPr>
      <w:r w:rsidRPr="00F30EB3">
        <w:rPr>
          <w:color w:val="000000"/>
        </w:rPr>
        <w:t xml:space="preserve">Yoshimura Y, Watanabe Y &amp; Shibuya T (1993) Inhibitory effects of calcium channel antagonists on motor dysfunction induced by intracerebroventricular administration of paraquat. </w:t>
      </w:r>
      <w:r w:rsidRPr="00EF1BA1">
        <w:rPr>
          <w:i/>
          <w:color w:val="000000"/>
        </w:rPr>
        <w:t>Pharmacol Toxicol</w:t>
      </w:r>
      <w:r w:rsidRPr="00F30EB3">
        <w:rPr>
          <w:color w:val="000000"/>
        </w:rPr>
        <w:t xml:space="preserve"> </w:t>
      </w:r>
      <w:r w:rsidRPr="00EF1BA1">
        <w:rPr>
          <w:b/>
          <w:color w:val="000000"/>
        </w:rPr>
        <w:t>72</w:t>
      </w:r>
      <w:r w:rsidRPr="00F30EB3">
        <w:rPr>
          <w:color w:val="000000"/>
        </w:rPr>
        <w:t>: 229-235.</w:t>
      </w:r>
    </w:p>
    <w:p w14:paraId="5C61738C" w14:textId="77777777" w:rsidR="009C0E86" w:rsidRPr="005C4EB0" w:rsidDel="00072FD7" w:rsidRDefault="009C0E86" w:rsidP="002B2CFC">
      <w:pPr>
        <w:rPr>
          <w:szCs w:val="24"/>
          <w:lang w:val="en-US" w:eastAsia="en-US"/>
        </w:rPr>
      </w:pPr>
    </w:p>
    <w:p w14:paraId="219AA032" w14:textId="77777777" w:rsidR="00A25122" w:rsidRPr="00110E09" w:rsidRDefault="00A4015A" w:rsidP="00FC749B">
      <w:pPr>
        <w:pStyle w:val="Heading2"/>
        <w:rPr>
          <w:lang w:eastAsia="en-US"/>
        </w:rPr>
      </w:pPr>
      <w:r w:rsidRPr="00110E09">
        <w:rPr>
          <w:lang w:eastAsia="en-US"/>
        </w:rPr>
        <w:t xml:space="preserve"> </w:t>
      </w:r>
      <w:bookmarkStart w:id="163" w:name="_Toc459108331"/>
      <w:r w:rsidRPr="00110E09">
        <w:rPr>
          <w:lang w:eastAsia="en-US"/>
        </w:rPr>
        <w:t>Seconday citations</w:t>
      </w:r>
      <w:bookmarkEnd w:id="163"/>
    </w:p>
    <w:p w14:paraId="44006BF1" w14:textId="77777777" w:rsidR="00747E73" w:rsidRDefault="00747E73" w:rsidP="00A25122">
      <w:pPr>
        <w:rPr>
          <w:color w:val="000000"/>
        </w:rPr>
      </w:pPr>
      <w:r w:rsidRPr="00747E73">
        <w:rPr>
          <w:color w:val="000000"/>
        </w:rPr>
        <w:t>Bagetta G, De Sarro GB, Priolo E &amp; Nistico G (1988) Ventral tegmental area: site through which dopamine D</w:t>
      </w:r>
      <w:r w:rsidRPr="00747E73">
        <w:rPr>
          <w:color w:val="000000"/>
          <w:vertAlign w:val="subscript"/>
        </w:rPr>
        <w:t>2</w:t>
      </w:r>
      <w:r w:rsidRPr="00747E73">
        <w:rPr>
          <w:color w:val="000000"/>
        </w:rPr>
        <w:t xml:space="preserve">-receptor agonists evoke behavioural and electrocortical sleep in rats. Brit J Pharmacol </w:t>
      </w:r>
      <w:r w:rsidRPr="00CB2E73">
        <w:rPr>
          <w:b/>
          <w:color w:val="000000"/>
        </w:rPr>
        <w:t>95</w:t>
      </w:r>
      <w:r w:rsidRPr="00747E73">
        <w:rPr>
          <w:color w:val="000000"/>
        </w:rPr>
        <w:t>: 860-986.</w:t>
      </w:r>
    </w:p>
    <w:p w14:paraId="5F39C4DB" w14:textId="77777777" w:rsidR="0020143D" w:rsidRDefault="0020143D" w:rsidP="00A25122">
      <w:pPr>
        <w:rPr>
          <w:szCs w:val="24"/>
          <w:lang w:eastAsia="en-US"/>
        </w:rPr>
      </w:pPr>
    </w:p>
    <w:p w14:paraId="4641EA43" w14:textId="77777777" w:rsidR="00A25122" w:rsidRPr="00995905" w:rsidDel="00072FD7" w:rsidRDefault="00A25122" w:rsidP="00A25122">
      <w:pPr>
        <w:rPr>
          <w:szCs w:val="24"/>
          <w:lang w:eastAsia="en-US"/>
        </w:rPr>
      </w:pPr>
      <w:r w:rsidRPr="00995905" w:rsidDel="00072FD7">
        <w:rPr>
          <w:szCs w:val="24"/>
          <w:lang w:eastAsia="en-US"/>
        </w:rPr>
        <w:t>Minnema DJ, Travis KZ, Breckenridge CB, Sturgess NC, Butt M, Wolf JC, Zadory D, Beck MJ, Matthews JM, Tisdel MO, Cook AR, Botham PA &amp; Smith LL (2014) Dietary administration of paraquat for 13 weeks does not result in a loss of dopaminergic neurons in the substantia nigra of C57BL/6J mice.</w:t>
      </w:r>
      <w:r w:rsidRPr="004D6C19" w:rsidDel="00072FD7">
        <w:rPr>
          <w:i/>
          <w:szCs w:val="24"/>
          <w:lang w:eastAsia="en-US"/>
        </w:rPr>
        <w:t>Regulatory Toxicology and Pharmacology</w:t>
      </w:r>
      <w:r w:rsidRPr="00995905" w:rsidDel="00072FD7">
        <w:rPr>
          <w:szCs w:val="24"/>
          <w:lang w:eastAsia="en-US"/>
        </w:rPr>
        <w:t xml:space="preserve">, </w:t>
      </w:r>
      <w:r w:rsidRPr="00CB2E73">
        <w:rPr>
          <w:b/>
          <w:szCs w:val="24"/>
          <w:lang w:eastAsia="en-US"/>
        </w:rPr>
        <w:t>68</w:t>
      </w:r>
      <w:r>
        <w:rPr>
          <w:szCs w:val="24"/>
          <w:lang w:eastAsia="en-US"/>
        </w:rPr>
        <w:t xml:space="preserve">:250-258. </w:t>
      </w:r>
      <w:r w:rsidRPr="00995905" w:rsidDel="00072FD7">
        <w:rPr>
          <w:szCs w:val="24"/>
          <w:lang w:eastAsia="en-US"/>
        </w:rPr>
        <w:t>doi:http://dx.doi.org/10.1016/j.yrtph.2013.12.010</w:t>
      </w:r>
      <w:r w:rsidR="004D6C19">
        <w:rPr>
          <w:szCs w:val="24"/>
          <w:lang w:eastAsia="en-US"/>
        </w:rPr>
        <w:t>.</w:t>
      </w:r>
    </w:p>
    <w:p w14:paraId="69C4EAF9" w14:textId="77777777" w:rsidR="00A25122" w:rsidRPr="00B46E0C" w:rsidRDefault="00A25122" w:rsidP="00A25122">
      <w:pPr>
        <w:rPr>
          <w:szCs w:val="24"/>
          <w:lang w:eastAsia="en-US"/>
        </w:rPr>
      </w:pPr>
    </w:p>
    <w:p w14:paraId="42773C1B" w14:textId="77777777" w:rsidR="00A25122" w:rsidRPr="00B46E0C" w:rsidRDefault="00A25122" w:rsidP="00A25122">
      <w:pPr>
        <w:rPr>
          <w:szCs w:val="24"/>
          <w:lang w:eastAsia="en-US"/>
        </w:rPr>
      </w:pPr>
      <w:r w:rsidRPr="00B46E0C">
        <w:rPr>
          <w:szCs w:val="24"/>
          <w:lang w:eastAsia="en-US"/>
        </w:rPr>
        <w:t xml:space="preserve">Yang W, Chen L, Ding Y, Zhuang X &amp; Kang UJ (2007) Paraquat induces dopaminergic dysfunction and proteasome impairment in DJ-1-deficient mice. </w:t>
      </w:r>
      <w:r w:rsidRPr="004D6C19">
        <w:rPr>
          <w:i/>
          <w:szCs w:val="24"/>
          <w:lang w:eastAsia="en-US"/>
        </w:rPr>
        <w:t>Human Molecular Genetics</w:t>
      </w:r>
      <w:r w:rsidRPr="00B46E0C">
        <w:rPr>
          <w:szCs w:val="24"/>
          <w:lang w:eastAsia="en-US"/>
        </w:rPr>
        <w:t xml:space="preserve"> </w:t>
      </w:r>
      <w:r w:rsidRPr="00CB2E73">
        <w:rPr>
          <w:b/>
          <w:szCs w:val="24"/>
          <w:lang w:eastAsia="en-US"/>
        </w:rPr>
        <w:t>16</w:t>
      </w:r>
      <w:r w:rsidRPr="00B46E0C">
        <w:rPr>
          <w:szCs w:val="24"/>
          <w:lang w:eastAsia="en-US"/>
        </w:rPr>
        <w:t>:2900-2910.</w:t>
      </w:r>
    </w:p>
    <w:p w14:paraId="7349B5FE" w14:textId="77777777" w:rsidR="002B2CFC" w:rsidRPr="002B2CFC" w:rsidRDefault="002B2CFC" w:rsidP="002B2CFC">
      <w:pPr>
        <w:rPr>
          <w:szCs w:val="24"/>
          <w:lang w:eastAsia="en-US"/>
        </w:rPr>
      </w:pPr>
    </w:p>
    <w:p w14:paraId="6DD7B779" w14:textId="77777777" w:rsidR="002B2CFC" w:rsidRPr="002B2CFC" w:rsidRDefault="002B2CFC" w:rsidP="002B2CFC">
      <w:pPr>
        <w:rPr>
          <w:b/>
          <w:caps/>
        </w:rPr>
      </w:pPr>
      <w:r w:rsidRPr="002B2CFC">
        <w:rPr>
          <w:szCs w:val="24"/>
          <w:lang w:val="en-US" w:eastAsia="en-US"/>
        </w:rPr>
        <w:br w:type="page"/>
      </w:r>
    </w:p>
    <w:p w14:paraId="07A693DF" w14:textId="77777777" w:rsidR="00436573" w:rsidRDefault="00297F3C" w:rsidP="00D054DD">
      <w:pPr>
        <w:pStyle w:val="Heading1"/>
        <w:numPr>
          <w:ilvl w:val="0"/>
          <w:numId w:val="17"/>
        </w:numPr>
      </w:pPr>
      <w:bookmarkStart w:id="164" w:name="_Toc459108332"/>
      <w:bookmarkStart w:id="165" w:name="_Ref420929342"/>
      <w:r w:rsidRPr="009E40A8">
        <w:lastRenderedPageBreak/>
        <w:t>A</w:t>
      </w:r>
      <w:r w:rsidR="002206D3">
        <w:t xml:space="preserve">dditional </w:t>
      </w:r>
      <w:r w:rsidR="009A2695">
        <w:t xml:space="preserve">Study Detail from </w:t>
      </w:r>
      <w:r w:rsidR="002206D3">
        <w:t xml:space="preserve">Published Papers </w:t>
      </w:r>
      <w:r w:rsidR="009A2695">
        <w:t>Discussed in this Supplement</w:t>
      </w:r>
      <w:bookmarkEnd w:id="164"/>
      <w:r w:rsidR="009A2695">
        <w:t xml:space="preserve"> </w:t>
      </w:r>
      <w:bookmarkEnd w:id="165"/>
    </w:p>
    <w:p w14:paraId="1C838FAE" w14:textId="77777777" w:rsidR="007553D1" w:rsidRPr="002B2CFC" w:rsidRDefault="007553D1" w:rsidP="002B2CFC">
      <w:pPr>
        <w:rPr>
          <w:szCs w:val="24"/>
          <w:lang w:eastAsia="en-US"/>
        </w:rPr>
      </w:pPr>
    </w:p>
    <w:p w14:paraId="7E2BCC7D" w14:textId="77777777" w:rsidR="002B2CFC" w:rsidRPr="002B2CFC" w:rsidRDefault="002B2CFC" w:rsidP="002B2CFC">
      <w:pPr>
        <w:rPr>
          <w:b/>
          <w:szCs w:val="24"/>
          <w:lang w:eastAsia="en-US"/>
        </w:rPr>
      </w:pPr>
      <w:bookmarkStart w:id="166" w:name="_Toc221703535"/>
      <w:r w:rsidRPr="002B2CFC">
        <w:rPr>
          <w:b/>
          <w:szCs w:val="24"/>
          <w:lang w:eastAsia="en-US"/>
        </w:rPr>
        <w:t xml:space="preserve">Bagetta G, Corasaniti MT, Iannone M, Nistico G &amp; Stephenson JD (1992) Production of limbic motor seizures and brain damage by systemic and intracerebral injections of paraquat in rats. </w:t>
      </w:r>
      <w:r w:rsidRPr="004D6C19">
        <w:rPr>
          <w:b/>
          <w:i/>
          <w:szCs w:val="24"/>
          <w:lang w:eastAsia="en-US"/>
        </w:rPr>
        <w:t>Pharmacol Toxicol</w:t>
      </w:r>
      <w:r w:rsidRPr="002B2CFC">
        <w:rPr>
          <w:b/>
          <w:szCs w:val="24"/>
          <w:lang w:eastAsia="en-US"/>
        </w:rPr>
        <w:t xml:space="preserve"> 71: 443-448.</w:t>
      </w:r>
    </w:p>
    <w:p w14:paraId="7150E625" w14:textId="77777777" w:rsidR="002B2CFC" w:rsidRPr="002B2CFC" w:rsidRDefault="002B2CFC" w:rsidP="002B2CFC">
      <w:pPr>
        <w:rPr>
          <w:szCs w:val="24"/>
          <w:lang w:val="en-US" w:eastAsia="en-US"/>
        </w:rPr>
      </w:pPr>
    </w:p>
    <w:p w14:paraId="479A1AB1" w14:textId="77777777" w:rsidR="002B2CFC" w:rsidRPr="002B2CFC" w:rsidRDefault="002B2CFC" w:rsidP="002B2CFC">
      <w:pPr>
        <w:rPr>
          <w:szCs w:val="24"/>
          <w:lang w:val="en-US" w:eastAsia="en-US"/>
        </w:rPr>
      </w:pPr>
      <w:r w:rsidRPr="002B2CFC">
        <w:rPr>
          <w:szCs w:val="24"/>
          <w:lang w:val="en-US" w:eastAsia="en-US"/>
        </w:rPr>
        <w:t xml:space="preserve">Experiments were performed to investigate the behavioural and neuropathological effects of intrahippocampal and systemic injections of paraquat in rats. The effect of the muscarinic acetylcholine receptor antagonists, atropine and methylatropine, and the </w:t>
      </w:r>
      <w:r w:rsidRPr="002B2CFC">
        <w:rPr>
          <w:sz w:val="20"/>
          <w:szCs w:val="24"/>
          <w:lang w:val="en-US" w:eastAsia="en-US"/>
        </w:rPr>
        <w:t>N</w:t>
      </w:r>
      <w:r w:rsidRPr="002B2CFC">
        <w:rPr>
          <w:szCs w:val="24"/>
          <w:lang w:val="en-US" w:eastAsia="en-US"/>
        </w:rPr>
        <w:t>-methyl-</w:t>
      </w:r>
      <w:r w:rsidRPr="002B2CFC">
        <w:rPr>
          <w:sz w:val="20"/>
          <w:szCs w:val="24"/>
          <w:lang w:val="en-US" w:eastAsia="en-US"/>
        </w:rPr>
        <w:t>D</w:t>
      </w:r>
      <w:r w:rsidRPr="002B2CFC">
        <w:rPr>
          <w:szCs w:val="24"/>
          <w:lang w:val="en-US" w:eastAsia="en-US"/>
        </w:rPr>
        <w:t xml:space="preserve">-aspartate (NMDA) receptor antagonist, MK 801, on paraquat-induced neurotoxicity was also determined. </w:t>
      </w:r>
    </w:p>
    <w:p w14:paraId="7DFEDEE0" w14:textId="77777777" w:rsidR="00123786" w:rsidRDefault="00123786" w:rsidP="002B2CFC">
      <w:pPr>
        <w:rPr>
          <w:szCs w:val="24"/>
          <w:lang w:val="en-US" w:eastAsia="en-US"/>
        </w:rPr>
      </w:pPr>
    </w:p>
    <w:p w14:paraId="35B92AC4" w14:textId="77777777" w:rsidR="00123786" w:rsidRDefault="00123786" w:rsidP="00123786">
      <w:r>
        <w:t>Twenty-five gauge stainless steel guide cannulae were implanted into the regio superior of the dorsal hippocampus of one hemisphere of adult male Wistar rats (280-300 g body weight; unspecified source) under chloral hydrate anaesthesia. Rats were allowed to recover for one week prior to compound administration. The study authors reported that implanted animals did not exhibit any overt alterations of posture or motor activity. Prior to treatment, rats were placed individually into transparent perspex cages and allowed to acclimatise for 10 min</w:t>
      </w:r>
      <w:r w:rsidR="007B6C76">
        <w:t>utes</w:t>
      </w:r>
      <w:r>
        <w:t xml:space="preserve">. Paraquat (unspecified purity, batch no. and source) in phosphate-buffered saline (pH 7.0) was administered as a single injection into the hippocampus using a 10 </w:t>
      </w:r>
      <w:r>
        <w:sym w:font="Symbol" w:char="F06D"/>
      </w:r>
      <w:r>
        <w:t xml:space="preserve">L Hamilton syringe at 0 (n=6), 10 nmol (n=6), 100 nmol (n=12) or 1 </w:t>
      </w:r>
      <w:r>
        <w:sym w:font="Symbol" w:char="F06D"/>
      </w:r>
      <w:r>
        <w:t xml:space="preserve">mol (n=12) (equivalent to 0, 1.86, 18.6 and 186.3 </w:t>
      </w:r>
      <w:r>
        <w:sym w:font="Symbol" w:char="F06D"/>
      </w:r>
      <w:r>
        <w:t xml:space="preserve">g paraquat, respectively and equivalent to 0, 1.34, 13.4 and 134.1 </w:t>
      </w:r>
      <w:r>
        <w:sym w:font="Symbol" w:char="F06D"/>
      </w:r>
      <w:r>
        <w:t xml:space="preserve">g paraquat cation, respectively) in a total volume of 1 </w:t>
      </w:r>
      <w:r>
        <w:sym w:font="Symbol" w:char="F06D"/>
      </w:r>
      <w:r>
        <w:t xml:space="preserve">L. </w:t>
      </w:r>
    </w:p>
    <w:p w14:paraId="1BAA708E" w14:textId="77777777" w:rsidR="00123786" w:rsidRDefault="00123786" w:rsidP="00123786"/>
    <w:p w14:paraId="74ACB8C5" w14:textId="77777777" w:rsidR="00123786" w:rsidRDefault="00123786" w:rsidP="00123786">
      <w:r>
        <w:t xml:space="preserve">Additional groups of rats (n=6) were similarly treated with 1 </w:t>
      </w:r>
      <w:r>
        <w:sym w:font="Symbol" w:char="F06D"/>
      </w:r>
      <w:r>
        <w:t xml:space="preserve">mol paraquat (equivalent to 186.3 </w:t>
      </w:r>
      <w:r>
        <w:sym w:font="Symbol" w:char="F06D"/>
      </w:r>
      <w:r>
        <w:t xml:space="preserve">g paraquat or 134.1 </w:t>
      </w:r>
      <w:r>
        <w:sym w:font="Symbol" w:char="F06D"/>
      </w:r>
      <w:r>
        <w:t xml:space="preserve">g paraquat cation) and 5 or 50 nmol of the muscarinic acetylcholine receptor antagonist, atropine (at the same time as paraquat), or 0.3 mg/kg of the </w:t>
      </w:r>
      <w:r>
        <w:rPr>
          <w:sz w:val="20"/>
        </w:rPr>
        <w:t>N</w:t>
      </w:r>
      <w:r>
        <w:t>-methyl-</w:t>
      </w:r>
      <w:r>
        <w:rPr>
          <w:sz w:val="20"/>
        </w:rPr>
        <w:t>D</w:t>
      </w:r>
      <w:r>
        <w:t xml:space="preserve">-aspartate (NMDA) receptor antagonist, MK 801 (60 min before paraquat). Paraquat was also administered systemically to 5 rats/group by an ip injection at 5 (n=6), 20 (n=5) and 100 (n=10) mg/kg bw (equivalent to 3.6, 14.4 and 72 mg/kg bw paraquat cation, respectively) in an unspecified vehicle. Two additional groups were </w:t>
      </w:r>
      <w:r w:rsidR="00875774">
        <w:t>pre-treated</w:t>
      </w:r>
      <w:r>
        <w:t xml:space="preserve"> with an ip injection of 150 mg/kg bw atropine (n=6) or 5 mg/kg bw methylatropine (n=5) 30 minutes prior to an ip injection of 100 mg/kg bw paraquat (equivalent to 72 mg/kg bw paraquat cation). All rats were observed continuously for 4 h following treatment. Postural and locomotor changes, and convulsive behaviours were recorded by 2 independent observers who were unaware of the treatment that the animals had received. </w:t>
      </w:r>
      <w:r w:rsidR="00C118D0" w:rsidRPr="00C118D0">
        <w:t>Twenty-four hours after paraquat administration, all surviving animals were anaesthetised with chloral hydrate, their brains removed and histopathologically examined.</w:t>
      </w:r>
      <w:r w:rsidR="00C118D0">
        <w:t xml:space="preserve"> P</w:t>
      </w:r>
      <w:r>
        <w:t xml:space="preserve">araquat concentrations in the medulla oblongata, hippocampus and pyriform cortex were measured by HPLC according to the method of Corasaniti </w:t>
      </w:r>
      <w:r w:rsidRPr="0058670C">
        <w:rPr>
          <w:i/>
        </w:rPr>
        <w:t>et al</w:t>
      </w:r>
      <w:r>
        <w:t xml:space="preserve"> (1990). </w:t>
      </w:r>
    </w:p>
    <w:p w14:paraId="21395ED2" w14:textId="77777777" w:rsidR="00123786" w:rsidRDefault="00123786" w:rsidP="00123786"/>
    <w:p w14:paraId="30F75E81" w14:textId="65288FEF" w:rsidR="00123786" w:rsidRDefault="00123786" w:rsidP="00123786">
      <w:r>
        <w:t xml:space="preserve">There was a clear dose-related increase in the number of rats with seizures and the number of rats with multifocal brain damage following intrahippocampal injection of paraquat (see </w:t>
      </w:r>
      <w:r w:rsidR="003A31EB">
        <w:fldChar w:fldCharType="begin"/>
      </w:r>
      <w:r w:rsidR="003A31EB">
        <w:instrText xml:space="preserve"> REF _Ref410308606 </w:instrText>
      </w:r>
      <w:r w:rsidR="003A31EB">
        <w:fldChar w:fldCharType="separate"/>
      </w:r>
      <w:r w:rsidR="000E54B2">
        <w:t xml:space="preserve">Table </w:t>
      </w:r>
      <w:r w:rsidR="000E54B2">
        <w:rPr>
          <w:noProof/>
        </w:rPr>
        <w:t>43</w:t>
      </w:r>
      <w:r w:rsidR="003A31EB">
        <w:rPr>
          <w:noProof/>
        </w:rPr>
        <w:fldChar w:fldCharType="end"/>
      </w:r>
      <w:r w:rsidR="00C31A63">
        <w:t xml:space="preserve"> </w:t>
      </w:r>
      <w:r w:rsidR="003A31EB">
        <w:fldChar w:fldCharType="begin"/>
      </w:r>
      <w:r w:rsidR="003A31EB">
        <w:instrText xml:space="preserve"> REF _Ref459038518 \p </w:instrText>
      </w:r>
      <w:r w:rsidR="003A31EB">
        <w:fldChar w:fldCharType="separate"/>
      </w:r>
      <w:r w:rsidR="000E54B2">
        <w:t>below</w:t>
      </w:r>
      <w:r w:rsidR="003A31EB">
        <w:fldChar w:fldCharType="end"/>
      </w:r>
      <w:r>
        <w:t xml:space="preserve">). No treatment-related effects were observed at 10 nmol. At 100 nmol, ataxia was observed 10-15 min after injection in all animals, followed by a 50-70 min period of behavioural excitation. Stereotyped jaw movements, clonus of the upper extremities, rapid ear </w:t>
      </w:r>
      <w:r>
        <w:lastRenderedPageBreak/>
        <w:t xml:space="preserve">movements, vibrissae, and 2-4 seizures lasting up to 40 seconds each, were reported in 5/12 rats. At 1 </w:t>
      </w:r>
      <w:r>
        <w:sym w:font="Symbol" w:char="F06D"/>
      </w:r>
      <w:r>
        <w:t xml:space="preserve">mol, more pronounced motor stimulation was reported with 8-13 seizures observed in all 12 rats, and one rat dying within 24 h. Brain damage occurred at and above 100 nmol, with neuronal damage or degeneration observed in the CA1 pyramidal cell layer of the hippocampus and in more distant ipsilateral structures (eg dentate granule cell layer, hilus fascia dentata, and pyriform cortex). The frequency of multifocal brain damage was less </w:t>
      </w:r>
      <w:r w:rsidR="00875774">
        <w:t>than</w:t>
      </w:r>
      <w:r>
        <w:t xml:space="preserve"> the frequency of seizures at equivalent doses.</w:t>
      </w:r>
    </w:p>
    <w:p w14:paraId="1CF147E4" w14:textId="77777777" w:rsidR="00123786" w:rsidRDefault="00123786" w:rsidP="00123786"/>
    <w:p w14:paraId="6F5FC52D" w14:textId="69FC451F" w:rsidR="00123786" w:rsidRDefault="00123786" w:rsidP="00123786">
      <w:r>
        <w:t xml:space="preserve">Administration of 50 nmol atropine with 1 </w:t>
      </w:r>
      <w:r>
        <w:sym w:font="Symbol" w:char="F06D"/>
      </w:r>
      <w:r>
        <w:t>mol paraquat prevented seizures and multifoca</w:t>
      </w:r>
      <w:r w:rsidR="00C31A63">
        <w:t>l brain damage</w:t>
      </w:r>
      <w:r>
        <w:t xml:space="preserve">, however the study authors reported sniffing, wet dog shakes and head nodding in 3/6 rats after 15 min. A 10-fold lower concentration of atropine did not protect against paraquat-induced seizures or brain damage. </w:t>
      </w:r>
      <w:r w:rsidR="00875774">
        <w:t>Pre-treatment</w:t>
      </w:r>
      <w:r>
        <w:t xml:space="preserve"> with 0.3 mg/kg MK 801 also prevented seizures and brain damage. These observations suggested that the neurotoxicity of paraquat might involve muscarinic and NMDA receptors.</w:t>
      </w:r>
    </w:p>
    <w:p w14:paraId="481C36E6" w14:textId="77777777" w:rsidR="00123786" w:rsidRDefault="00123786" w:rsidP="00123786"/>
    <w:p w14:paraId="7D72F097" w14:textId="77777777" w:rsidR="00BA33FB" w:rsidRDefault="00BA33FB" w:rsidP="009D0D8F">
      <w:pPr>
        <w:pStyle w:val="Caption"/>
        <w:keepNext/>
        <w:spacing w:after="120"/>
      </w:pPr>
      <w:bookmarkStart w:id="167" w:name="_Ref410308606"/>
      <w:bookmarkStart w:id="168" w:name="_Ref459038518"/>
      <w:r>
        <w:t xml:space="preserve">Table </w:t>
      </w:r>
      <w:r w:rsidR="00897462">
        <w:fldChar w:fldCharType="begin"/>
      </w:r>
      <w:r>
        <w:instrText xml:space="preserve"> SEQ Table \* ARABIC </w:instrText>
      </w:r>
      <w:r w:rsidR="00897462">
        <w:fldChar w:fldCharType="separate"/>
      </w:r>
      <w:r w:rsidR="000E54B2">
        <w:rPr>
          <w:noProof/>
        </w:rPr>
        <w:t>43</w:t>
      </w:r>
      <w:r w:rsidR="00897462">
        <w:fldChar w:fldCharType="end"/>
      </w:r>
      <w:bookmarkEnd w:id="167"/>
      <w:r>
        <w:t xml:space="preserve">. </w:t>
      </w:r>
      <w:r w:rsidRPr="00A1499B">
        <w:t>Effect of intrahippocampal injection of paraquat on the incidence of seizures and brain damage in Wistar rats</w:t>
      </w:r>
      <w:bookmarkEnd w:id="16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704"/>
        <w:gridCol w:w="2409"/>
        <w:gridCol w:w="3402"/>
      </w:tblGrid>
      <w:tr w:rsidR="00123786" w:rsidRPr="00D054DD" w14:paraId="5134906B" w14:textId="77777777" w:rsidTr="000E221D">
        <w:trPr>
          <w:cantSplit/>
        </w:trPr>
        <w:tc>
          <w:tcPr>
            <w:tcW w:w="1560" w:type="dxa"/>
            <w:shd w:val="clear" w:color="auto" w:fill="BFBFBF" w:themeFill="background1" w:themeFillShade="BF"/>
            <w:vAlign w:val="center"/>
          </w:tcPr>
          <w:p w14:paraId="3D84C54B" w14:textId="77777777" w:rsidR="00123786" w:rsidRPr="00D054DD" w:rsidRDefault="00123786" w:rsidP="00D054DD">
            <w:pPr>
              <w:rPr>
                <w:b/>
                <w:sz w:val="22"/>
                <w:szCs w:val="22"/>
              </w:rPr>
            </w:pPr>
            <w:r w:rsidRPr="00D054DD">
              <w:rPr>
                <w:b/>
                <w:sz w:val="22"/>
                <w:szCs w:val="22"/>
              </w:rPr>
              <w:t>Treatment</w:t>
            </w:r>
          </w:p>
        </w:tc>
        <w:tc>
          <w:tcPr>
            <w:tcW w:w="1704" w:type="dxa"/>
            <w:shd w:val="clear" w:color="auto" w:fill="BFBFBF" w:themeFill="background1" w:themeFillShade="BF"/>
            <w:vAlign w:val="center"/>
          </w:tcPr>
          <w:p w14:paraId="2991B294" w14:textId="77777777" w:rsidR="00123786" w:rsidRPr="00D054DD" w:rsidRDefault="00123786" w:rsidP="00D054DD">
            <w:pPr>
              <w:rPr>
                <w:b/>
                <w:sz w:val="22"/>
                <w:szCs w:val="22"/>
              </w:rPr>
            </w:pPr>
            <w:r w:rsidRPr="00D054DD">
              <w:rPr>
                <w:b/>
                <w:sz w:val="22"/>
                <w:szCs w:val="22"/>
              </w:rPr>
              <w:t>Amount</w:t>
            </w:r>
          </w:p>
        </w:tc>
        <w:tc>
          <w:tcPr>
            <w:tcW w:w="2409" w:type="dxa"/>
            <w:shd w:val="clear" w:color="auto" w:fill="BFBFBF" w:themeFill="background1" w:themeFillShade="BF"/>
            <w:vAlign w:val="center"/>
          </w:tcPr>
          <w:p w14:paraId="557C938F" w14:textId="77777777" w:rsidR="00123786" w:rsidRPr="00D054DD" w:rsidRDefault="00123786" w:rsidP="00D054DD">
            <w:pPr>
              <w:rPr>
                <w:b/>
                <w:sz w:val="22"/>
                <w:szCs w:val="22"/>
              </w:rPr>
            </w:pPr>
            <w:r w:rsidRPr="00D054DD">
              <w:rPr>
                <w:b/>
                <w:sz w:val="22"/>
                <w:szCs w:val="22"/>
              </w:rPr>
              <w:t>No. of rats with seizures</w:t>
            </w:r>
          </w:p>
        </w:tc>
        <w:tc>
          <w:tcPr>
            <w:tcW w:w="3402" w:type="dxa"/>
            <w:shd w:val="clear" w:color="auto" w:fill="BFBFBF" w:themeFill="background1" w:themeFillShade="BF"/>
            <w:vAlign w:val="center"/>
          </w:tcPr>
          <w:p w14:paraId="2735ACD8" w14:textId="77777777" w:rsidR="00123786" w:rsidRPr="00D054DD" w:rsidRDefault="00123786" w:rsidP="00D054DD">
            <w:pPr>
              <w:rPr>
                <w:b/>
                <w:sz w:val="22"/>
                <w:szCs w:val="22"/>
              </w:rPr>
            </w:pPr>
            <w:r w:rsidRPr="00D054DD">
              <w:rPr>
                <w:b/>
                <w:sz w:val="22"/>
                <w:szCs w:val="22"/>
              </w:rPr>
              <w:t>No. of rats with multifocal brain damage</w:t>
            </w:r>
          </w:p>
        </w:tc>
      </w:tr>
      <w:tr w:rsidR="00123786" w14:paraId="64EBB5F4" w14:textId="77777777" w:rsidTr="00136301">
        <w:trPr>
          <w:cantSplit/>
        </w:trPr>
        <w:tc>
          <w:tcPr>
            <w:tcW w:w="1560" w:type="dxa"/>
          </w:tcPr>
          <w:p w14:paraId="68952A51" w14:textId="77777777" w:rsidR="00123786" w:rsidRDefault="00123786" w:rsidP="00DC07C7">
            <w:pPr>
              <w:rPr>
                <w:sz w:val="20"/>
              </w:rPr>
            </w:pPr>
            <w:r>
              <w:rPr>
                <w:sz w:val="20"/>
              </w:rPr>
              <w:t>Vehicle control</w:t>
            </w:r>
          </w:p>
        </w:tc>
        <w:tc>
          <w:tcPr>
            <w:tcW w:w="1704" w:type="dxa"/>
          </w:tcPr>
          <w:p w14:paraId="3D855046" w14:textId="77777777" w:rsidR="00123786" w:rsidRDefault="00123786" w:rsidP="00DC07C7">
            <w:pPr>
              <w:rPr>
                <w:sz w:val="20"/>
              </w:rPr>
            </w:pPr>
            <w:r>
              <w:rPr>
                <w:sz w:val="20"/>
              </w:rPr>
              <w:t xml:space="preserve">1 </w:t>
            </w:r>
            <w:r>
              <w:rPr>
                <w:sz w:val="20"/>
              </w:rPr>
              <w:sym w:font="Symbol" w:char="F06D"/>
            </w:r>
            <w:r>
              <w:rPr>
                <w:sz w:val="20"/>
              </w:rPr>
              <w:t>L</w:t>
            </w:r>
          </w:p>
        </w:tc>
        <w:tc>
          <w:tcPr>
            <w:tcW w:w="2409" w:type="dxa"/>
          </w:tcPr>
          <w:p w14:paraId="3E656805" w14:textId="77777777" w:rsidR="00123786" w:rsidRDefault="00123786" w:rsidP="00DC07C7">
            <w:pPr>
              <w:jc w:val="center"/>
              <w:rPr>
                <w:sz w:val="20"/>
              </w:rPr>
            </w:pPr>
            <w:r>
              <w:rPr>
                <w:sz w:val="20"/>
              </w:rPr>
              <w:t>0/6 (0%)</w:t>
            </w:r>
          </w:p>
        </w:tc>
        <w:tc>
          <w:tcPr>
            <w:tcW w:w="3402" w:type="dxa"/>
          </w:tcPr>
          <w:p w14:paraId="53545272" w14:textId="77777777" w:rsidR="00123786" w:rsidRDefault="00123786" w:rsidP="00DC07C7">
            <w:pPr>
              <w:jc w:val="center"/>
              <w:rPr>
                <w:sz w:val="20"/>
              </w:rPr>
            </w:pPr>
            <w:r>
              <w:rPr>
                <w:sz w:val="20"/>
              </w:rPr>
              <w:t>0/6 (0%)</w:t>
            </w:r>
          </w:p>
        </w:tc>
      </w:tr>
      <w:tr w:rsidR="00123786" w14:paraId="1B47DB16" w14:textId="77777777" w:rsidTr="00136301">
        <w:trPr>
          <w:cantSplit/>
        </w:trPr>
        <w:tc>
          <w:tcPr>
            <w:tcW w:w="1560" w:type="dxa"/>
            <w:vAlign w:val="center"/>
          </w:tcPr>
          <w:p w14:paraId="41B049FA" w14:textId="77777777" w:rsidR="00123786" w:rsidRDefault="00123786" w:rsidP="00DC07C7">
            <w:pPr>
              <w:rPr>
                <w:sz w:val="20"/>
              </w:rPr>
            </w:pPr>
            <w:r>
              <w:rPr>
                <w:sz w:val="20"/>
              </w:rPr>
              <w:t>Paraquat</w:t>
            </w:r>
          </w:p>
        </w:tc>
        <w:tc>
          <w:tcPr>
            <w:tcW w:w="1704" w:type="dxa"/>
          </w:tcPr>
          <w:p w14:paraId="2312CAB9" w14:textId="77777777" w:rsidR="00123786" w:rsidRDefault="00123786" w:rsidP="00DC07C7">
            <w:pPr>
              <w:rPr>
                <w:sz w:val="20"/>
              </w:rPr>
            </w:pPr>
            <w:r>
              <w:rPr>
                <w:sz w:val="20"/>
              </w:rPr>
              <w:t>10 nmol</w:t>
            </w:r>
          </w:p>
          <w:p w14:paraId="22F7D8F3" w14:textId="77777777" w:rsidR="00123786" w:rsidRDefault="00123786" w:rsidP="00DC07C7">
            <w:pPr>
              <w:rPr>
                <w:sz w:val="20"/>
              </w:rPr>
            </w:pPr>
            <w:r>
              <w:rPr>
                <w:sz w:val="20"/>
              </w:rPr>
              <w:t>100nmol</w:t>
            </w:r>
          </w:p>
          <w:p w14:paraId="194AAF88" w14:textId="77777777" w:rsidR="00123786" w:rsidRDefault="00123786" w:rsidP="00DC07C7">
            <w:pPr>
              <w:rPr>
                <w:sz w:val="20"/>
              </w:rPr>
            </w:pPr>
            <w:r>
              <w:rPr>
                <w:sz w:val="20"/>
              </w:rPr>
              <w:t xml:space="preserve">1 </w:t>
            </w:r>
            <w:r>
              <w:rPr>
                <w:sz w:val="20"/>
              </w:rPr>
              <w:sym w:font="Symbol" w:char="F06D"/>
            </w:r>
            <w:r>
              <w:rPr>
                <w:sz w:val="20"/>
              </w:rPr>
              <w:t>mol</w:t>
            </w:r>
          </w:p>
        </w:tc>
        <w:tc>
          <w:tcPr>
            <w:tcW w:w="2409" w:type="dxa"/>
          </w:tcPr>
          <w:p w14:paraId="613CB24C" w14:textId="77777777" w:rsidR="00123786" w:rsidRDefault="00123786" w:rsidP="00DC07C7">
            <w:pPr>
              <w:jc w:val="center"/>
              <w:rPr>
                <w:sz w:val="20"/>
              </w:rPr>
            </w:pPr>
            <w:r>
              <w:rPr>
                <w:sz w:val="20"/>
              </w:rPr>
              <w:t>0/6 (0%)</w:t>
            </w:r>
          </w:p>
          <w:p w14:paraId="7090E8CB" w14:textId="77777777" w:rsidR="00123786" w:rsidRDefault="00123786" w:rsidP="00DC07C7">
            <w:pPr>
              <w:jc w:val="center"/>
              <w:rPr>
                <w:sz w:val="20"/>
              </w:rPr>
            </w:pPr>
            <w:r>
              <w:rPr>
                <w:sz w:val="20"/>
              </w:rPr>
              <w:t>5/12 (42%)</w:t>
            </w:r>
          </w:p>
          <w:p w14:paraId="023FB620" w14:textId="77777777" w:rsidR="00123786" w:rsidRDefault="00123786" w:rsidP="00DC07C7">
            <w:pPr>
              <w:jc w:val="center"/>
              <w:rPr>
                <w:sz w:val="20"/>
              </w:rPr>
            </w:pPr>
            <w:r>
              <w:rPr>
                <w:sz w:val="20"/>
              </w:rPr>
              <w:t>12/12 (100%)</w:t>
            </w:r>
          </w:p>
        </w:tc>
        <w:tc>
          <w:tcPr>
            <w:tcW w:w="3402" w:type="dxa"/>
          </w:tcPr>
          <w:p w14:paraId="613A9F32" w14:textId="77777777" w:rsidR="00123786" w:rsidRDefault="00123786" w:rsidP="00DC07C7">
            <w:pPr>
              <w:jc w:val="center"/>
              <w:rPr>
                <w:sz w:val="20"/>
              </w:rPr>
            </w:pPr>
            <w:r>
              <w:rPr>
                <w:sz w:val="20"/>
              </w:rPr>
              <w:t>0/6 (0%)</w:t>
            </w:r>
          </w:p>
          <w:p w14:paraId="20FA3C80" w14:textId="77777777" w:rsidR="00123786" w:rsidRDefault="00123786" w:rsidP="00DC07C7">
            <w:pPr>
              <w:jc w:val="center"/>
              <w:rPr>
                <w:sz w:val="20"/>
              </w:rPr>
            </w:pPr>
            <w:r>
              <w:rPr>
                <w:sz w:val="20"/>
              </w:rPr>
              <w:t>3/12 (25%)</w:t>
            </w:r>
          </w:p>
          <w:p w14:paraId="3AEFC43B" w14:textId="77777777" w:rsidR="00123786" w:rsidRDefault="00123786" w:rsidP="00DC07C7">
            <w:pPr>
              <w:jc w:val="center"/>
              <w:rPr>
                <w:sz w:val="20"/>
              </w:rPr>
            </w:pPr>
            <w:r>
              <w:rPr>
                <w:sz w:val="20"/>
              </w:rPr>
              <w:t>6/11 (55%)</w:t>
            </w:r>
          </w:p>
        </w:tc>
      </w:tr>
      <w:tr w:rsidR="00123786" w14:paraId="3F42B89B" w14:textId="77777777" w:rsidTr="00136301">
        <w:trPr>
          <w:cantSplit/>
        </w:trPr>
        <w:tc>
          <w:tcPr>
            <w:tcW w:w="1560" w:type="dxa"/>
          </w:tcPr>
          <w:p w14:paraId="2EAC91B1" w14:textId="77777777" w:rsidR="00123786" w:rsidRDefault="00123786" w:rsidP="00DC07C7">
            <w:pPr>
              <w:rPr>
                <w:sz w:val="20"/>
              </w:rPr>
            </w:pPr>
            <w:r>
              <w:rPr>
                <w:sz w:val="20"/>
              </w:rPr>
              <w:t>Paraquat +</w:t>
            </w:r>
          </w:p>
          <w:p w14:paraId="2D5DFDB5" w14:textId="77777777" w:rsidR="00123786" w:rsidRDefault="00123786" w:rsidP="00DC07C7">
            <w:pPr>
              <w:rPr>
                <w:sz w:val="20"/>
              </w:rPr>
            </w:pPr>
            <w:r>
              <w:rPr>
                <w:sz w:val="20"/>
              </w:rPr>
              <w:t>Atropine</w:t>
            </w:r>
          </w:p>
        </w:tc>
        <w:tc>
          <w:tcPr>
            <w:tcW w:w="1704" w:type="dxa"/>
          </w:tcPr>
          <w:p w14:paraId="09DACA65" w14:textId="77777777" w:rsidR="00123786" w:rsidRDefault="00123786" w:rsidP="00DC07C7">
            <w:pPr>
              <w:rPr>
                <w:sz w:val="20"/>
              </w:rPr>
            </w:pPr>
            <w:r>
              <w:rPr>
                <w:sz w:val="20"/>
              </w:rPr>
              <w:t xml:space="preserve">1 </w:t>
            </w:r>
            <w:r>
              <w:rPr>
                <w:sz w:val="20"/>
              </w:rPr>
              <w:sym w:font="Symbol" w:char="F06D"/>
            </w:r>
            <w:r>
              <w:rPr>
                <w:sz w:val="20"/>
              </w:rPr>
              <w:t>mol</w:t>
            </w:r>
          </w:p>
          <w:p w14:paraId="29933CAA" w14:textId="77777777" w:rsidR="00123786" w:rsidRDefault="00123786" w:rsidP="00DC07C7">
            <w:pPr>
              <w:rPr>
                <w:sz w:val="20"/>
              </w:rPr>
            </w:pPr>
            <w:r>
              <w:rPr>
                <w:sz w:val="20"/>
              </w:rPr>
              <w:t>5 nmol</w:t>
            </w:r>
          </w:p>
        </w:tc>
        <w:tc>
          <w:tcPr>
            <w:tcW w:w="2409" w:type="dxa"/>
            <w:vAlign w:val="center"/>
          </w:tcPr>
          <w:p w14:paraId="108B1389" w14:textId="77777777" w:rsidR="00123786" w:rsidRDefault="00123786" w:rsidP="00DC07C7">
            <w:pPr>
              <w:jc w:val="center"/>
              <w:rPr>
                <w:sz w:val="20"/>
              </w:rPr>
            </w:pPr>
            <w:r>
              <w:rPr>
                <w:sz w:val="20"/>
              </w:rPr>
              <w:t>6/6 (100%)</w:t>
            </w:r>
          </w:p>
        </w:tc>
        <w:tc>
          <w:tcPr>
            <w:tcW w:w="3402" w:type="dxa"/>
            <w:vAlign w:val="center"/>
          </w:tcPr>
          <w:p w14:paraId="42793713" w14:textId="77777777" w:rsidR="00123786" w:rsidRDefault="00123786" w:rsidP="00DC07C7">
            <w:pPr>
              <w:jc w:val="center"/>
              <w:rPr>
                <w:sz w:val="20"/>
              </w:rPr>
            </w:pPr>
            <w:r>
              <w:rPr>
                <w:sz w:val="20"/>
              </w:rPr>
              <w:t>3/6 (50%)</w:t>
            </w:r>
          </w:p>
        </w:tc>
      </w:tr>
      <w:tr w:rsidR="00123786" w14:paraId="7C28B094" w14:textId="77777777" w:rsidTr="00136301">
        <w:trPr>
          <w:cantSplit/>
        </w:trPr>
        <w:tc>
          <w:tcPr>
            <w:tcW w:w="1560" w:type="dxa"/>
          </w:tcPr>
          <w:p w14:paraId="7DB0F0F1" w14:textId="77777777" w:rsidR="00123786" w:rsidRDefault="00123786" w:rsidP="00DC07C7">
            <w:pPr>
              <w:rPr>
                <w:sz w:val="20"/>
              </w:rPr>
            </w:pPr>
            <w:r>
              <w:rPr>
                <w:sz w:val="20"/>
              </w:rPr>
              <w:t>Paraquat +</w:t>
            </w:r>
          </w:p>
          <w:p w14:paraId="08183734" w14:textId="77777777" w:rsidR="00123786" w:rsidRDefault="00123786" w:rsidP="00DC07C7">
            <w:pPr>
              <w:rPr>
                <w:sz w:val="20"/>
              </w:rPr>
            </w:pPr>
            <w:r>
              <w:rPr>
                <w:sz w:val="20"/>
              </w:rPr>
              <w:t>Atropine</w:t>
            </w:r>
          </w:p>
        </w:tc>
        <w:tc>
          <w:tcPr>
            <w:tcW w:w="1704" w:type="dxa"/>
          </w:tcPr>
          <w:p w14:paraId="240A7DDD" w14:textId="77777777" w:rsidR="00123786" w:rsidRDefault="00123786" w:rsidP="00DC07C7">
            <w:pPr>
              <w:rPr>
                <w:sz w:val="20"/>
              </w:rPr>
            </w:pPr>
            <w:r>
              <w:rPr>
                <w:sz w:val="20"/>
              </w:rPr>
              <w:t xml:space="preserve">1 </w:t>
            </w:r>
            <w:r>
              <w:rPr>
                <w:sz w:val="20"/>
              </w:rPr>
              <w:sym w:font="Symbol" w:char="F06D"/>
            </w:r>
            <w:r>
              <w:rPr>
                <w:sz w:val="20"/>
              </w:rPr>
              <w:t>mol</w:t>
            </w:r>
          </w:p>
          <w:p w14:paraId="418B5510" w14:textId="77777777" w:rsidR="00123786" w:rsidRDefault="00123786" w:rsidP="00DC07C7">
            <w:pPr>
              <w:rPr>
                <w:sz w:val="20"/>
              </w:rPr>
            </w:pPr>
            <w:r>
              <w:rPr>
                <w:sz w:val="20"/>
              </w:rPr>
              <w:t>50 nmol</w:t>
            </w:r>
          </w:p>
        </w:tc>
        <w:tc>
          <w:tcPr>
            <w:tcW w:w="2409" w:type="dxa"/>
            <w:vAlign w:val="center"/>
          </w:tcPr>
          <w:p w14:paraId="194B0F1F" w14:textId="77777777" w:rsidR="00123786" w:rsidRDefault="00123786" w:rsidP="00DC07C7">
            <w:pPr>
              <w:jc w:val="center"/>
              <w:rPr>
                <w:sz w:val="20"/>
              </w:rPr>
            </w:pPr>
            <w:r>
              <w:rPr>
                <w:sz w:val="20"/>
              </w:rPr>
              <w:t>0/6 (0%)</w:t>
            </w:r>
          </w:p>
        </w:tc>
        <w:tc>
          <w:tcPr>
            <w:tcW w:w="3402" w:type="dxa"/>
            <w:vAlign w:val="center"/>
          </w:tcPr>
          <w:p w14:paraId="6F8FD699" w14:textId="77777777" w:rsidR="00123786" w:rsidRDefault="00123786" w:rsidP="00DC07C7">
            <w:pPr>
              <w:jc w:val="center"/>
              <w:rPr>
                <w:sz w:val="20"/>
              </w:rPr>
            </w:pPr>
            <w:r>
              <w:rPr>
                <w:sz w:val="20"/>
              </w:rPr>
              <w:t>0/6 (0%)</w:t>
            </w:r>
          </w:p>
        </w:tc>
      </w:tr>
      <w:tr w:rsidR="00123786" w14:paraId="71A08677" w14:textId="77777777" w:rsidTr="00136301">
        <w:trPr>
          <w:cantSplit/>
        </w:trPr>
        <w:tc>
          <w:tcPr>
            <w:tcW w:w="1560" w:type="dxa"/>
          </w:tcPr>
          <w:p w14:paraId="400B077D" w14:textId="77777777" w:rsidR="00123786" w:rsidRDefault="00123786" w:rsidP="00DC07C7">
            <w:pPr>
              <w:rPr>
                <w:sz w:val="20"/>
              </w:rPr>
            </w:pPr>
            <w:r>
              <w:rPr>
                <w:sz w:val="20"/>
              </w:rPr>
              <w:t>Paraquat +</w:t>
            </w:r>
          </w:p>
          <w:p w14:paraId="022B2BA4" w14:textId="77777777" w:rsidR="00123786" w:rsidRDefault="00123786" w:rsidP="00DC07C7">
            <w:pPr>
              <w:rPr>
                <w:sz w:val="20"/>
              </w:rPr>
            </w:pPr>
            <w:r>
              <w:rPr>
                <w:sz w:val="20"/>
              </w:rPr>
              <w:t>MK 801</w:t>
            </w:r>
          </w:p>
        </w:tc>
        <w:tc>
          <w:tcPr>
            <w:tcW w:w="1704" w:type="dxa"/>
          </w:tcPr>
          <w:p w14:paraId="4D35F544" w14:textId="77777777" w:rsidR="00123786" w:rsidRDefault="00123786" w:rsidP="00DC07C7">
            <w:pPr>
              <w:rPr>
                <w:sz w:val="20"/>
              </w:rPr>
            </w:pPr>
            <w:r>
              <w:rPr>
                <w:sz w:val="20"/>
              </w:rPr>
              <w:t xml:space="preserve">1 </w:t>
            </w:r>
            <w:r>
              <w:rPr>
                <w:sz w:val="20"/>
              </w:rPr>
              <w:sym w:font="Symbol" w:char="F06D"/>
            </w:r>
            <w:r>
              <w:rPr>
                <w:sz w:val="20"/>
              </w:rPr>
              <w:t>mol</w:t>
            </w:r>
          </w:p>
          <w:p w14:paraId="2A0EFE82" w14:textId="77777777" w:rsidR="00123786" w:rsidRDefault="00123786" w:rsidP="00DC07C7">
            <w:pPr>
              <w:rPr>
                <w:sz w:val="20"/>
              </w:rPr>
            </w:pPr>
            <w:r>
              <w:rPr>
                <w:sz w:val="20"/>
              </w:rPr>
              <w:t>0.3 mg/kg, ip</w:t>
            </w:r>
          </w:p>
        </w:tc>
        <w:tc>
          <w:tcPr>
            <w:tcW w:w="2409" w:type="dxa"/>
            <w:vAlign w:val="center"/>
          </w:tcPr>
          <w:p w14:paraId="1C4692AD" w14:textId="77777777" w:rsidR="00123786" w:rsidRDefault="00123786" w:rsidP="00DC07C7">
            <w:pPr>
              <w:jc w:val="center"/>
              <w:rPr>
                <w:sz w:val="20"/>
              </w:rPr>
            </w:pPr>
            <w:r>
              <w:rPr>
                <w:sz w:val="20"/>
              </w:rPr>
              <w:t>0/6 (0%)</w:t>
            </w:r>
          </w:p>
        </w:tc>
        <w:tc>
          <w:tcPr>
            <w:tcW w:w="3402" w:type="dxa"/>
            <w:vAlign w:val="center"/>
          </w:tcPr>
          <w:p w14:paraId="5A75BB55" w14:textId="77777777" w:rsidR="00123786" w:rsidRDefault="00123786" w:rsidP="00DC07C7">
            <w:pPr>
              <w:jc w:val="center"/>
              <w:rPr>
                <w:sz w:val="20"/>
              </w:rPr>
            </w:pPr>
            <w:r>
              <w:rPr>
                <w:sz w:val="20"/>
              </w:rPr>
              <w:t>0/6 (0%)</w:t>
            </w:r>
          </w:p>
        </w:tc>
      </w:tr>
    </w:tbl>
    <w:p w14:paraId="36537439" w14:textId="77777777" w:rsidR="00123786" w:rsidRDefault="00123786" w:rsidP="00123786"/>
    <w:p w14:paraId="3A9E8540" w14:textId="58FFA631" w:rsidR="00123786" w:rsidRDefault="00123786" w:rsidP="00123786">
      <w:r>
        <w:t xml:space="preserve">There was a clear dose-related increase in the number of rats with seizures and the number of rats with brain damage following ip injections of paraquat (see </w:t>
      </w:r>
      <w:r w:rsidR="00897462">
        <w:fldChar w:fldCharType="begin"/>
      </w:r>
      <w:r w:rsidR="00492D35">
        <w:instrText xml:space="preserve"> REF _Ref410308655 \h </w:instrText>
      </w:r>
      <w:r w:rsidR="00897462">
        <w:fldChar w:fldCharType="separate"/>
      </w:r>
      <w:r w:rsidR="000E54B2">
        <w:t xml:space="preserve">Table </w:t>
      </w:r>
      <w:r w:rsidR="000E54B2">
        <w:rPr>
          <w:noProof/>
        </w:rPr>
        <w:t>44</w:t>
      </w:r>
      <w:r w:rsidR="00897462">
        <w:fldChar w:fldCharType="end"/>
      </w:r>
      <w:r>
        <w:t xml:space="preserve"> </w:t>
      </w:r>
      <w:r w:rsidR="003A31EB">
        <w:fldChar w:fldCharType="begin"/>
      </w:r>
      <w:r w:rsidR="003A31EB">
        <w:instrText xml:space="preserve"> REF _Ref459038558 \p </w:instrText>
      </w:r>
      <w:r w:rsidR="003A31EB">
        <w:fldChar w:fldCharType="separate"/>
      </w:r>
      <w:r w:rsidR="000E54B2">
        <w:t>below</w:t>
      </w:r>
      <w:r w:rsidR="003A31EB">
        <w:fldChar w:fldCharType="end"/>
      </w:r>
      <w:r>
        <w:t>). There were no treatment-related effects at 5 mg/kg bw. At 20 mg/kg bw, paraquat caused seizures and brain damage in 2/5 rats. The study authors reported muscle fasciculation, chromodacryorrhea and salivation in 5/5 rats 20-25 min after administration, with these effects persisting for approximately 30 min</w:t>
      </w:r>
      <w:r w:rsidR="00492D35">
        <w:t>utes</w:t>
      </w:r>
      <w:r>
        <w:t xml:space="preserve">. Tremors, infrequent wet dog shakes, movement of the vibrissae, clonus of the forelimbs and rearing were also reported in 2/5 rats. At 100 mg/kg bw, 8/10 rats had seizures and 7/10 exhibited multifocal brain damage. Behavioural abnormalities (tremors, wet dog shakes, movement of the vibrissae, clonus of the forelimbs, rearing) were observed 15-20 min after dosing and these persisted for the duration of the 4 hour observation period. It was reported that neuronal death was observed in the pyriform cortex at and above 20 mg/kg bw. </w:t>
      </w:r>
    </w:p>
    <w:p w14:paraId="6E6ABA38" w14:textId="77777777" w:rsidR="00123786" w:rsidRDefault="00123786" w:rsidP="00123786"/>
    <w:p w14:paraId="0F76EB9C" w14:textId="77777777" w:rsidR="00BA33FB" w:rsidRDefault="00BA33FB" w:rsidP="00965E16">
      <w:pPr>
        <w:pStyle w:val="Caption"/>
        <w:keepNext/>
        <w:spacing w:after="120"/>
      </w:pPr>
      <w:bookmarkStart w:id="169" w:name="_Ref410308655"/>
      <w:bookmarkStart w:id="170" w:name="_Ref459038558"/>
      <w:r>
        <w:lastRenderedPageBreak/>
        <w:t xml:space="preserve">Table </w:t>
      </w:r>
      <w:r w:rsidR="00897462">
        <w:fldChar w:fldCharType="begin"/>
      </w:r>
      <w:r>
        <w:instrText xml:space="preserve"> SEQ Table \* ARABIC </w:instrText>
      </w:r>
      <w:r w:rsidR="00897462">
        <w:fldChar w:fldCharType="separate"/>
      </w:r>
      <w:r w:rsidR="000E54B2">
        <w:rPr>
          <w:noProof/>
        </w:rPr>
        <w:t>44</w:t>
      </w:r>
      <w:r w:rsidR="00897462">
        <w:fldChar w:fldCharType="end"/>
      </w:r>
      <w:bookmarkEnd w:id="169"/>
      <w:r>
        <w:t xml:space="preserve">. </w:t>
      </w:r>
      <w:r w:rsidRPr="007C1C8F">
        <w:t>Effect of an ip injection of paraquat on the incidence of seizures and brain damage</w:t>
      </w:r>
      <w:bookmarkEnd w:id="17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701"/>
        <w:gridCol w:w="2409"/>
        <w:gridCol w:w="3402"/>
      </w:tblGrid>
      <w:tr w:rsidR="00123786" w:rsidRPr="00D054DD" w14:paraId="140F8847" w14:textId="77777777" w:rsidTr="000E221D">
        <w:trPr>
          <w:cantSplit/>
        </w:trPr>
        <w:tc>
          <w:tcPr>
            <w:tcW w:w="1560" w:type="dxa"/>
            <w:shd w:val="clear" w:color="auto" w:fill="BFBFBF" w:themeFill="background1" w:themeFillShade="BF"/>
            <w:vAlign w:val="center"/>
          </w:tcPr>
          <w:p w14:paraId="60397D7C" w14:textId="77777777" w:rsidR="00123786" w:rsidRPr="00D054DD" w:rsidRDefault="00123786" w:rsidP="00965E16">
            <w:pPr>
              <w:keepNext/>
              <w:rPr>
                <w:b/>
                <w:sz w:val="22"/>
                <w:szCs w:val="22"/>
              </w:rPr>
            </w:pPr>
            <w:r w:rsidRPr="00D054DD">
              <w:rPr>
                <w:b/>
                <w:sz w:val="22"/>
                <w:szCs w:val="22"/>
              </w:rPr>
              <w:t>Treatment</w:t>
            </w:r>
          </w:p>
        </w:tc>
        <w:tc>
          <w:tcPr>
            <w:tcW w:w="1701" w:type="dxa"/>
            <w:shd w:val="clear" w:color="auto" w:fill="BFBFBF" w:themeFill="background1" w:themeFillShade="BF"/>
            <w:vAlign w:val="center"/>
          </w:tcPr>
          <w:p w14:paraId="188FF8A2" w14:textId="77777777" w:rsidR="00123786" w:rsidRPr="00D054DD" w:rsidRDefault="00123786" w:rsidP="00965E16">
            <w:pPr>
              <w:keepNext/>
              <w:rPr>
                <w:b/>
                <w:sz w:val="22"/>
                <w:szCs w:val="22"/>
              </w:rPr>
            </w:pPr>
            <w:r w:rsidRPr="00D054DD">
              <w:rPr>
                <w:b/>
                <w:sz w:val="22"/>
                <w:szCs w:val="22"/>
              </w:rPr>
              <w:t>Dose</w:t>
            </w:r>
          </w:p>
          <w:p w14:paraId="6642189F" w14:textId="77777777" w:rsidR="00123786" w:rsidRPr="00D054DD" w:rsidRDefault="00123786" w:rsidP="00965E16">
            <w:pPr>
              <w:keepNext/>
              <w:rPr>
                <w:b/>
                <w:sz w:val="22"/>
                <w:szCs w:val="22"/>
              </w:rPr>
            </w:pPr>
            <w:r w:rsidRPr="00D054DD">
              <w:rPr>
                <w:b/>
                <w:sz w:val="22"/>
                <w:szCs w:val="22"/>
              </w:rPr>
              <w:t>(mg/kg bw)</w:t>
            </w:r>
          </w:p>
        </w:tc>
        <w:tc>
          <w:tcPr>
            <w:tcW w:w="2409" w:type="dxa"/>
            <w:shd w:val="clear" w:color="auto" w:fill="BFBFBF" w:themeFill="background1" w:themeFillShade="BF"/>
            <w:vAlign w:val="center"/>
          </w:tcPr>
          <w:p w14:paraId="10B76754" w14:textId="77777777" w:rsidR="00123786" w:rsidRPr="00D054DD" w:rsidRDefault="00123786" w:rsidP="00965E16">
            <w:pPr>
              <w:keepNext/>
              <w:rPr>
                <w:b/>
                <w:sz w:val="22"/>
                <w:szCs w:val="22"/>
              </w:rPr>
            </w:pPr>
            <w:r w:rsidRPr="00D054DD">
              <w:rPr>
                <w:b/>
                <w:sz w:val="22"/>
                <w:szCs w:val="22"/>
              </w:rPr>
              <w:t>No. of rats with seizures</w:t>
            </w:r>
          </w:p>
        </w:tc>
        <w:tc>
          <w:tcPr>
            <w:tcW w:w="3402" w:type="dxa"/>
            <w:shd w:val="clear" w:color="auto" w:fill="BFBFBF" w:themeFill="background1" w:themeFillShade="BF"/>
            <w:vAlign w:val="center"/>
          </w:tcPr>
          <w:p w14:paraId="6703B3A4" w14:textId="77777777" w:rsidR="00123786" w:rsidRPr="00D054DD" w:rsidRDefault="00123786" w:rsidP="00965E16">
            <w:pPr>
              <w:keepNext/>
              <w:rPr>
                <w:b/>
                <w:sz w:val="22"/>
                <w:szCs w:val="22"/>
              </w:rPr>
            </w:pPr>
            <w:r w:rsidRPr="00D054DD">
              <w:rPr>
                <w:b/>
                <w:sz w:val="22"/>
                <w:szCs w:val="22"/>
              </w:rPr>
              <w:t>No. of rats with multifocal brain damage</w:t>
            </w:r>
          </w:p>
        </w:tc>
      </w:tr>
      <w:tr w:rsidR="00123786" w14:paraId="06BE9246" w14:textId="77777777" w:rsidTr="00DC07C7">
        <w:trPr>
          <w:cantSplit/>
        </w:trPr>
        <w:tc>
          <w:tcPr>
            <w:tcW w:w="1560" w:type="dxa"/>
          </w:tcPr>
          <w:p w14:paraId="32EBBC46" w14:textId="77777777" w:rsidR="00123786" w:rsidRDefault="00123786" w:rsidP="00965E16">
            <w:pPr>
              <w:keepNext/>
              <w:rPr>
                <w:sz w:val="20"/>
              </w:rPr>
            </w:pPr>
            <w:r>
              <w:rPr>
                <w:sz w:val="20"/>
              </w:rPr>
              <w:t>Vehicle control</w:t>
            </w:r>
          </w:p>
        </w:tc>
        <w:tc>
          <w:tcPr>
            <w:tcW w:w="1701" w:type="dxa"/>
          </w:tcPr>
          <w:p w14:paraId="18A290EA" w14:textId="77777777" w:rsidR="00123786" w:rsidRDefault="00123786" w:rsidP="00965E16">
            <w:pPr>
              <w:keepNext/>
              <w:jc w:val="center"/>
              <w:rPr>
                <w:sz w:val="20"/>
              </w:rPr>
            </w:pPr>
            <w:r>
              <w:rPr>
                <w:sz w:val="20"/>
              </w:rPr>
              <w:t>1 mL/kg bw</w:t>
            </w:r>
          </w:p>
        </w:tc>
        <w:tc>
          <w:tcPr>
            <w:tcW w:w="2409" w:type="dxa"/>
          </w:tcPr>
          <w:p w14:paraId="2F9E1F6D" w14:textId="77777777" w:rsidR="00123786" w:rsidRDefault="00123786" w:rsidP="00965E16">
            <w:pPr>
              <w:keepNext/>
              <w:jc w:val="center"/>
              <w:rPr>
                <w:sz w:val="20"/>
              </w:rPr>
            </w:pPr>
            <w:r>
              <w:rPr>
                <w:sz w:val="20"/>
              </w:rPr>
              <w:t>0/6 (0%)</w:t>
            </w:r>
          </w:p>
        </w:tc>
        <w:tc>
          <w:tcPr>
            <w:tcW w:w="3402" w:type="dxa"/>
          </w:tcPr>
          <w:p w14:paraId="602857D6" w14:textId="77777777" w:rsidR="00123786" w:rsidRDefault="00123786" w:rsidP="00965E16">
            <w:pPr>
              <w:keepNext/>
              <w:jc w:val="center"/>
              <w:rPr>
                <w:sz w:val="20"/>
              </w:rPr>
            </w:pPr>
            <w:r>
              <w:rPr>
                <w:sz w:val="20"/>
              </w:rPr>
              <w:t>0/6</w:t>
            </w:r>
          </w:p>
        </w:tc>
      </w:tr>
      <w:tr w:rsidR="00123786" w14:paraId="43D76AC0" w14:textId="77777777" w:rsidTr="00DC07C7">
        <w:trPr>
          <w:cantSplit/>
        </w:trPr>
        <w:tc>
          <w:tcPr>
            <w:tcW w:w="1560" w:type="dxa"/>
            <w:vAlign w:val="center"/>
          </w:tcPr>
          <w:p w14:paraId="57FE3FA0" w14:textId="77777777" w:rsidR="00123786" w:rsidRDefault="00123786" w:rsidP="00965E16">
            <w:pPr>
              <w:keepNext/>
              <w:rPr>
                <w:sz w:val="20"/>
              </w:rPr>
            </w:pPr>
            <w:r>
              <w:rPr>
                <w:sz w:val="20"/>
              </w:rPr>
              <w:t>Paraquat</w:t>
            </w:r>
          </w:p>
        </w:tc>
        <w:tc>
          <w:tcPr>
            <w:tcW w:w="1701" w:type="dxa"/>
          </w:tcPr>
          <w:p w14:paraId="4FDBBFCE" w14:textId="77777777" w:rsidR="00123786" w:rsidRDefault="00123786" w:rsidP="00965E16">
            <w:pPr>
              <w:keepNext/>
              <w:jc w:val="center"/>
              <w:rPr>
                <w:sz w:val="20"/>
              </w:rPr>
            </w:pPr>
            <w:r>
              <w:rPr>
                <w:sz w:val="20"/>
              </w:rPr>
              <w:t>5</w:t>
            </w:r>
          </w:p>
          <w:p w14:paraId="3C5A2424" w14:textId="77777777" w:rsidR="00123786" w:rsidRDefault="00123786" w:rsidP="00965E16">
            <w:pPr>
              <w:keepNext/>
              <w:jc w:val="center"/>
              <w:rPr>
                <w:sz w:val="20"/>
              </w:rPr>
            </w:pPr>
            <w:r>
              <w:rPr>
                <w:sz w:val="20"/>
              </w:rPr>
              <w:t>20</w:t>
            </w:r>
          </w:p>
          <w:p w14:paraId="69295EE7" w14:textId="77777777" w:rsidR="00123786" w:rsidRDefault="00123786" w:rsidP="00965E16">
            <w:pPr>
              <w:keepNext/>
              <w:jc w:val="center"/>
              <w:rPr>
                <w:sz w:val="20"/>
              </w:rPr>
            </w:pPr>
            <w:r>
              <w:rPr>
                <w:sz w:val="20"/>
              </w:rPr>
              <w:t>100</w:t>
            </w:r>
          </w:p>
        </w:tc>
        <w:tc>
          <w:tcPr>
            <w:tcW w:w="2409" w:type="dxa"/>
          </w:tcPr>
          <w:p w14:paraId="732ABE59" w14:textId="77777777" w:rsidR="00123786" w:rsidRDefault="00123786" w:rsidP="00965E16">
            <w:pPr>
              <w:keepNext/>
              <w:jc w:val="center"/>
              <w:rPr>
                <w:sz w:val="20"/>
              </w:rPr>
            </w:pPr>
            <w:r>
              <w:rPr>
                <w:sz w:val="20"/>
              </w:rPr>
              <w:t>0/6 (0%)</w:t>
            </w:r>
          </w:p>
          <w:p w14:paraId="49D554E4" w14:textId="77777777" w:rsidR="00123786" w:rsidRDefault="00123786" w:rsidP="00965E16">
            <w:pPr>
              <w:keepNext/>
              <w:jc w:val="center"/>
              <w:rPr>
                <w:sz w:val="20"/>
              </w:rPr>
            </w:pPr>
            <w:r>
              <w:rPr>
                <w:sz w:val="20"/>
              </w:rPr>
              <w:t>2/5 (40%)</w:t>
            </w:r>
          </w:p>
          <w:p w14:paraId="182692B6" w14:textId="77777777" w:rsidR="00123786" w:rsidRDefault="00123786" w:rsidP="00965E16">
            <w:pPr>
              <w:keepNext/>
              <w:jc w:val="center"/>
              <w:rPr>
                <w:sz w:val="20"/>
              </w:rPr>
            </w:pPr>
            <w:r>
              <w:rPr>
                <w:sz w:val="20"/>
              </w:rPr>
              <w:t>8/10 (80%)</w:t>
            </w:r>
          </w:p>
        </w:tc>
        <w:tc>
          <w:tcPr>
            <w:tcW w:w="3402" w:type="dxa"/>
          </w:tcPr>
          <w:p w14:paraId="1AD70877" w14:textId="77777777" w:rsidR="00123786" w:rsidRDefault="00123786" w:rsidP="00965E16">
            <w:pPr>
              <w:keepNext/>
              <w:jc w:val="center"/>
              <w:rPr>
                <w:sz w:val="20"/>
              </w:rPr>
            </w:pPr>
            <w:r>
              <w:rPr>
                <w:sz w:val="20"/>
              </w:rPr>
              <w:t>0/6</w:t>
            </w:r>
          </w:p>
          <w:p w14:paraId="466C877C" w14:textId="77777777" w:rsidR="00123786" w:rsidRDefault="00123786" w:rsidP="00965E16">
            <w:pPr>
              <w:keepNext/>
              <w:jc w:val="center"/>
              <w:rPr>
                <w:sz w:val="20"/>
              </w:rPr>
            </w:pPr>
            <w:r>
              <w:rPr>
                <w:sz w:val="20"/>
              </w:rPr>
              <w:t>2/5 (40%)</w:t>
            </w:r>
          </w:p>
          <w:p w14:paraId="4C967A1C" w14:textId="77777777" w:rsidR="00123786" w:rsidRDefault="00123786" w:rsidP="00965E16">
            <w:pPr>
              <w:keepNext/>
              <w:jc w:val="center"/>
              <w:rPr>
                <w:sz w:val="20"/>
              </w:rPr>
            </w:pPr>
            <w:r>
              <w:rPr>
                <w:sz w:val="20"/>
              </w:rPr>
              <w:t>7/10 (70%)</w:t>
            </w:r>
          </w:p>
        </w:tc>
      </w:tr>
      <w:tr w:rsidR="00123786" w14:paraId="3586A595" w14:textId="77777777" w:rsidTr="00DC07C7">
        <w:trPr>
          <w:cantSplit/>
        </w:trPr>
        <w:tc>
          <w:tcPr>
            <w:tcW w:w="1560" w:type="dxa"/>
          </w:tcPr>
          <w:p w14:paraId="3A2714C7" w14:textId="77777777" w:rsidR="00123786" w:rsidRDefault="00123786" w:rsidP="00965E16">
            <w:pPr>
              <w:keepNext/>
              <w:rPr>
                <w:sz w:val="20"/>
              </w:rPr>
            </w:pPr>
            <w:r>
              <w:rPr>
                <w:sz w:val="20"/>
              </w:rPr>
              <w:t>Paraquat +</w:t>
            </w:r>
          </w:p>
          <w:p w14:paraId="0854E5A5" w14:textId="77777777" w:rsidR="00123786" w:rsidRDefault="00123786" w:rsidP="00965E16">
            <w:pPr>
              <w:keepNext/>
              <w:rPr>
                <w:sz w:val="20"/>
              </w:rPr>
            </w:pPr>
            <w:r>
              <w:rPr>
                <w:sz w:val="20"/>
              </w:rPr>
              <w:t>Atropine</w:t>
            </w:r>
          </w:p>
        </w:tc>
        <w:tc>
          <w:tcPr>
            <w:tcW w:w="1701" w:type="dxa"/>
          </w:tcPr>
          <w:p w14:paraId="3BFAAC21" w14:textId="77777777" w:rsidR="00123786" w:rsidRDefault="00123786" w:rsidP="00965E16">
            <w:pPr>
              <w:keepNext/>
              <w:jc w:val="center"/>
              <w:rPr>
                <w:sz w:val="20"/>
              </w:rPr>
            </w:pPr>
            <w:r>
              <w:rPr>
                <w:sz w:val="20"/>
              </w:rPr>
              <w:t>100</w:t>
            </w:r>
          </w:p>
          <w:p w14:paraId="1AAA48E1" w14:textId="77777777" w:rsidR="00123786" w:rsidRDefault="00123786" w:rsidP="00965E16">
            <w:pPr>
              <w:keepNext/>
              <w:jc w:val="center"/>
              <w:rPr>
                <w:sz w:val="20"/>
              </w:rPr>
            </w:pPr>
            <w:r>
              <w:rPr>
                <w:sz w:val="20"/>
              </w:rPr>
              <w:t>150</w:t>
            </w:r>
          </w:p>
        </w:tc>
        <w:tc>
          <w:tcPr>
            <w:tcW w:w="2409" w:type="dxa"/>
            <w:vAlign w:val="center"/>
          </w:tcPr>
          <w:p w14:paraId="11BA9FE1" w14:textId="77777777" w:rsidR="00123786" w:rsidRDefault="00123786" w:rsidP="00965E16">
            <w:pPr>
              <w:keepNext/>
              <w:jc w:val="center"/>
              <w:rPr>
                <w:sz w:val="20"/>
              </w:rPr>
            </w:pPr>
            <w:r>
              <w:rPr>
                <w:sz w:val="20"/>
              </w:rPr>
              <w:t>0/6 (0%)</w:t>
            </w:r>
          </w:p>
        </w:tc>
        <w:tc>
          <w:tcPr>
            <w:tcW w:w="3402" w:type="dxa"/>
            <w:vAlign w:val="center"/>
          </w:tcPr>
          <w:p w14:paraId="3F9440CC" w14:textId="77777777" w:rsidR="00123786" w:rsidRDefault="00123786" w:rsidP="00965E16">
            <w:pPr>
              <w:keepNext/>
              <w:jc w:val="center"/>
              <w:rPr>
                <w:sz w:val="20"/>
              </w:rPr>
            </w:pPr>
            <w:r>
              <w:rPr>
                <w:sz w:val="20"/>
              </w:rPr>
              <w:t>2/6 (33%)</w:t>
            </w:r>
          </w:p>
        </w:tc>
      </w:tr>
      <w:tr w:rsidR="00123786" w14:paraId="4557DAE0" w14:textId="77777777" w:rsidTr="00DC07C7">
        <w:trPr>
          <w:cantSplit/>
        </w:trPr>
        <w:tc>
          <w:tcPr>
            <w:tcW w:w="1560" w:type="dxa"/>
          </w:tcPr>
          <w:p w14:paraId="098B05F2" w14:textId="77777777" w:rsidR="00123786" w:rsidRDefault="00123786" w:rsidP="00965E16">
            <w:pPr>
              <w:keepNext/>
              <w:rPr>
                <w:sz w:val="20"/>
              </w:rPr>
            </w:pPr>
            <w:r>
              <w:rPr>
                <w:sz w:val="20"/>
              </w:rPr>
              <w:t>Paraquat +</w:t>
            </w:r>
          </w:p>
          <w:p w14:paraId="356FCCF6" w14:textId="77777777" w:rsidR="00123786" w:rsidRDefault="00123786" w:rsidP="00965E16">
            <w:pPr>
              <w:keepNext/>
              <w:rPr>
                <w:sz w:val="20"/>
              </w:rPr>
            </w:pPr>
            <w:r>
              <w:rPr>
                <w:sz w:val="20"/>
              </w:rPr>
              <w:t>Methylatropine</w:t>
            </w:r>
          </w:p>
        </w:tc>
        <w:tc>
          <w:tcPr>
            <w:tcW w:w="1701" w:type="dxa"/>
          </w:tcPr>
          <w:p w14:paraId="1D16CE1D" w14:textId="77777777" w:rsidR="00123786" w:rsidRDefault="00123786" w:rsidP="00965E16">
            <w:pPr>
              <w:keepNext/>
              <w:jc w:val="center"/>
              <w:rPr>
                <w:sz w:val="20"/>
              </w:rPr>
            </w:pPr>
            <w:r>
              <w:rPr>
                <w:sz w:val="20"/>
              </w:rPr>
              <w:t>100</w:t>
            </w:r>
          </w:p>
          <w:p w14:paraId="0EEDF2B9" w14:textId="77777777" w:rsidR="00123786" w:rsidRDefault="00123786" w:rsidP="00965E16">
            <w:pPr>
              <w:keepNext/>
              <w:jc w:val="center"/>
              <w:rPr>
                <w:sz w:val="20"/>
              </w:rPr>
            </w:pPr>
            <w:r>
              <w:rPr>
                <w:sz w:val="20"/>
              </w:rPr>
              <w:t>5</w:t>
            </w:r>
          </w:p>
        </w:tc>
        <w:tc>
          <w:tcPr>
            <w:tcW w:w="2409" w:type="dxa"/>
            <w:vAlign w:val="center"/>
          </w:tcPr>
          <w:p w14:paraId="598561EC" w14:textId="77777777" w:rsidR="00123786" w:rsidRDefault="00123786" w:rsidP="00965E16">
            <w:pPr>
              <w:keepNext/>
              <w:jc w:val="center"/>
              <w:rPr>
                <w:sz w:val="20"/>
              </w:rPr>
            </w:pPr>
            <w:r>
              <w:rPr>
                <w:sz w:val="20"/>
              </w:rPr>
              <w:t>2/5 (40%)</w:t>
            </w:r>
          </w:p>
        </w:tc>
        <w:tc>
          <w:tcPr>
            <w:tcW w:w="3402" w:type="dxa"/>
            <w:vAlign w:val="center"/>
          </w:tcPr>
          <w:p w14:paraId="6D0A75D8" w14:textId="77777777" w:rsidR="00123786" w:rsidRDefault="00123786" w:rsidP="00965E16">
            <w:pPr>
              <w:keepNext/>
              <w:jc w:val="center"/>
              <w:rPr>
                <w:sz w:val="20"/>
              </w:rPr>
            </w:pPr>
            <w:r>
              <w:rPr>
                <w:sz w:val="20"/>
              </w:rPr>
              <w:t>3/5 (60%)</w:t>
            </w:r>
          </w:p>
        </w:tc>
      </w:tr>
    </w:tbl>
    <w:p w14:paraId="5674A382" w14:textId="77777777" w:rsidR="00123786" w:rsidRDefault="00123786" w:rsidP="00123786"/>
    <w:p w14:paraId="53B18DCA" w14:textId="2833EAFF" w:rsidR="00123786" w:rsidRDefault="00875774" w:rsidP="00123786">
      <w:r>
        <w:t>Pre-treatment</w:t>
      </w:r>
      <w:r w:rsidR="00123786">
        <w:t xml:space="preserve"> of rats with an ip injection of atropine (150 mg/kg bw) prevented seizures, and reduced the incidence of brain damage by 37% (see </w:t>
      </w:r>
      <w:r w:rsidR="00897462">
        <w:fldChar w:fldCharType="begin"/>
      </w:r>
      <w:r w:rsidR="00492D35">
        <w:instrText xml:space="preserve"> REF _Ref410308655 \h </w:instrText>
      </w:r>
      <w:r w:rsidR="00897462">
        <w:fldChar w:fldCharType="separate"/>
      </w:r>
      <w:r w:rsidR="000E54B2">
        <w:t xml:space="preserve">Table </w:t>
      </w:r>
      <w:r w:rsidR="000E54B2">
        <w:rPr>
          <w:noProof/>
        </w:rPr>
        <w:t>44</w:t>
      </w:r>
      <w:r w:rsidR="00897462">
        <w:fldChar w:fldCharType="end"/>
      </w:r>
      <w:r w:rsidR="00123786">
        <w:t xml:space="preserve"> </w:t>
      </w:r>
      <w:r w:rsidR="003A31EB">
        <w:fldChar w:fldCharType="begin"/>
      </w:r>
      <w:r w:rsidR="003A31EB">
        <w:instrText xml:space="preserve"> REF _Ref459038558 \p </w:instrText>
      </w:r>
      <w:r w:rsidR="003A31EB">
        <w:fldChar w:fldCharType="separate"/>
      </w:r>
      <w:r w:rsidR="000E54B2">
        <w:t>above</w:t>
      </w:r>
      <w:r w:rsidR="003A31EB">
        <w:fldChar w:fldCharType="end"/>
      </w:r>
      <w:r w:rsidR="00123786">
        <w:t>) suggesting the involvement of muscarinic receptors during paraquat neurotoxicity. Photomicrographs illustrated that paraquat-induced neuronal cell damage in the pyriform cortex was prevented by atropine. Methylatropine failed to protect against paraquat-induced seizures and only slightly (~20%) reduced the incidence of brain damage.</w:t>
      </w:r>
    </w:p>
    <w:p w14:paraId="5D9956DF" w14:textId="77777777" w:rsidR="00123786" w:rsidRDefault="00123786" w:rsidP="00123786"/>
    <w:p w14:paraId="5EA696B5" w14:textId="1B43C745" w:rsidR="00123786" w:rsidRDefault="00123786" w:rsidP="00123786">
      <w:r>
        <w:t xml:space="preserve">A dose-related increase in the concentration of paraquat in the medulla oblongata, hippocampus and pyriform cortex was observed 24 h after a single ip injection. Concentrations of paraquat were similar in each brain region (see </w:t>
      </w:r>
      <w:r w:rsidR="00897462">
        <w:fldChar w:fldCharType="begin"/>
      </w:r>
      <w:r w:rsidR="00BA33FB">
        <w:instrText xml:space="preserve"> REF _Ref410308703 \h </w:instrText>
      </w:r>
      <w:r w:rsidR="00897462">
        <w:fldChar w:fldCharType="separate"/>
      </w:r>
      <w:r w:rsidR="000E54B2">
        <w:t xml:space="preserve">Table </w:t>
      </w:r>
      <w:r w:rsidR="000E54B2">
        <w:rPr>
          <w:noProof/>
        </w:rPr>
        <w:t>45</w:t>
      </w:r>
      <w:r w:rsidR="00897462">
        <w:fldChar w:fldCharType="end"/>
      </w:r>
      <w:r>
        <w:t xml:space="preserve"> </w:t>
      </w:r>
      <w:r w:rsidR="003A31EB">
        <w:fldChar w:fldCharType="begin"/>
      </w:r>
      <w:r w:rsidR="003A31EB">
        <w:instrText xml:space="preserve"> REF _Ref459038597 \p </w:instrText>
      </w:r>
      <w:r w:rsidR="003A31EB">
        <w:fldChar w:fldCharType="separate"/>
      </w:r>
      <w:r w:rsidR="000E54B2">
        <w:t>below</w:t>
      </w:r>
      <w:r w:rsidR="003A31EB">
        <w:fldChar w:fldCharType="end"/>
      </w:r>
      <w:r>
        <w:t xml:space="preserve">). </w:t>
      </w:r>
    </w:p>
    <w:p w14:paraId="37F07499" w14:textId="77777777" w:rsidR="001D5ECF" w:rsidRDefault="001D5ECF" w:rsidP="00123786"/>
    <w:p w14:paraId="1EB5D911" w14:textId="77777777" w:rsidR="00BA33FB" w:rsidRDefault="00BA33FB" w:rsidP="009D0D8F">
      <w:pPr>
        <w:pStyle w:val="Caption"/>
        <w:keepNext/>
        <w:spacing w:after="120"/>
      </w:pPr>
      <w:bookmarkStart w:id="171" w:name="_Ref410308703"/>
      <w:bookmarkStart w:id="172" w:name="_Ref459038597"/>
      <w:r>
        <w:t xml:space="preserve">Table </w:t>
      </w:r>
      <w:r w:rsidR="00897462">
        <w:fldChar w:fldCharType="begin"/>
      </w:r>
      <w:r>
        <w:instrText xml:space="preserve"> SEQ Table \* ARABIC </w:instrText>
      </w:r>
      <w:r w:rsidR="00897462">
        <w:fldChar w:fldCharType="separate"/>
      </w:r>
      <w:r w:rsidR="000E54B2">
        <w:rPr>
          <w:noProof/>
        </w:rPr>
        <w:t>45</w:t>
      </w:r>
      <w:r w:rsidR="00897462">
        <w:fldChar w:fldCharType="end"/>
      </w:r>
      <w:bookmarkEnd w:id="171"/>
      <w:r>
        <w:t xml:space="preserve">. </w:t>
      </w:r>
      <w:r w:rsidRPr="00642FCC">
        <w:t>Paraquat concentrations in different brain regions 24 h after an ip injection</w:t>
      </w:r>
      <w:bookmarkEnd w:id="17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2"/>
        <w:gridCol w:w="2310"/>
        <w:gridCol w:w="2310"/>
        <w:gridCol w:w="2250"/>
      </w:tblGrid>
      <w:tr w:rsidR="00123786" w:rsidRPr="00D054DD" w14:paraId="0A370FC9" w14:textId="77777777" w:rsidTr="000E221D">
        <w:tc>
          <w:tcPr>
            <w:tcW w:w="2202" w:type="dxa"/>
            <w:shd w:val="clear" w:color="auto" w:fill="BFBFBF" w:themeFill="background1" w:themeFillShade="BF"/>
          </w:tcPr>
          <w:p w14:paraId="41551F97" w14:textId="77777777" w:rsidR="00123786" w:rsidRPr="00D054DD" w:rsidRDefault="00123786" w:rsidP="00D054DD">
            <w:pPr>
              <w:rPr>
                <w:b/>
                <w:sz w:val="20"/>
              </w:rPr>
            </w:pPr>
            <w:r w:rsidRPr="00D054DD">
              <w:rPr>
                <w:b/>
                <w:sz w:val="20"/>
              </w:rPr>
              <w:t>Treatment (mg/kg bw)</w:t>
            </w:r>
          </w:p>
        </w:tc>
        <w:tc>
          <w:tcPr>
            <w:tcW w:w="2310" w:type="dxa"/>
            <w:shd w:val="clear" w:color="auto" w:fill="BFBFBF" w:themeFill="background1" w:themeFillShade="BF"/>
          </w:tcPr>
          <w:p w14:paraId="79A9C974" w14:textId="77777777" w:rsidR="00123786" w:rsidRPr="00D054DD" w:rsidRDefault="00123786" w:rsidP="00D054DD">
            <w:pPr>
              <w:rPr>
                <w:b/>
                <w:sz w:val="20"/>
              </w:rPr>
            </w:pPr>
            <w:r w:rsidRPr="00D054DD">
              <w:rPr>
                <w:b/>
                <w:sz w:val="20"/>
              </w:rPr>
              <w:t>Medulla oblongata</w:t>
            </w:r>
          </w:p>
        </w:tc>
        <w:tc>
          <w:tcPr>
            <w:tcW w:w="2310" w:type="dxa"/>
            <w:shd w:val="clear" w:color="auto" w:fill="BFBFBF" w:themeFill="background1" w:themeFillShade="BF"/>
          </w:tcPr>
          <w:p w14:paraId="01A27309" w14:textId="77777777" w:rsidR="00123786" w:rsidRPr="00D054DD" w:rsidRDefault="00123786" w:rsidP="00D054DD">
            <w:pPr>
              <w:rPr>
                <w:b/>
                <w:sz w:val="20"/>
              </w:rPr>
            </w:pPr>
            <w:r w:rsidRPr="00D054DD">
              <w:rPr>
                <w:b/>
                <w:sz w:val="20"/>
              </w:rPr>
              <w:t>Hippocampus</w:t>
            </w:r>
          </w:p>
        </w:tc>
        <w:tc>
          <w:tcPr>
            <w:tcW w:w="2250" w:type="dxa"/>
            <w:shd w:val="clear" w:color="auto" w:fill="BFBFBF" w:themeFill="background1" w:themeFillShade="BF"/>
          </w:tcPr>
          <w:p w14:paraId="5023D88A" w14:textId="77777777" w:rsidR="00123786" w:rsidRPr="00D054DD" w:rsidRDefault="00123786" w:rsidP="00D054DD">
            <w:pPr>
              <w:rPr>
                <w:b/>
                <w:sz w:val="20"/>
              </w:rPr>
            </w:pPr>
            <w:r w:rsidRPr="00D054DD">
              <w:rPr>
                <w:b/>
                <w:sz w:val="20"/>
              </w:rPr>
              <w:t>Pyriform cortex</w:t>
            </w:r>
          </w:p>
        </w:tc>
      </w:tr>
      <w:tr w:rsidR="00123786" w14:paraId="7B301120" w14:textId="77777777" w:rsidTr="00DC07C7">
        <w:tc>
          <w:tcPr>
            <w:tcW w:w="2202" w:type="dxa"/>
          </w:tcPr>
          <w:p w14:paraId="7D65554D" w14:textId="77777777" w:rsidR="00123786" w:rsidRDefault="00123786" w:rsidP="00DC07C7">
            <w:pPr>
              <w:rPr>
                <w:sz w:val="20"/>
              </w:rPr>
            </w:pPr>
            <w:r>
              <w:rPr>
                <w:sz w:val="20"/>
              </w:rPr>
              <w:t>5 (n=3)</w:t>
            </w:r>
          </w:p>
        </w:tc>
        <w:tc>
          <w:tcPr>
            <w:tcW w:w="2310" w:type="dxa"/>
          </w:tcPr>
          <w:p w14:paraId="33866F86" w14:textId="77777777" w:rsidR="00123786" w:rsidRDefault="00123786" w:rsidP="00DC07C7">
            <w:pPr>
              <w:jc w:val="center"/>
              <w:rPr>
                <w:sz w:val="20"/>
              </w:rPr>
            </w:pPr>
            <w:r>
              <w:rPr>
                <w:sz w:val="20"/>
              </w:rPr>
              <w:t xml:space="preserve">0.14 </w:t>
            </w:r>
            <w:r>
              <w:rPr>
                <w:sz w:val="20"/>
                <w:u w:val="single"/>
              </w:rPr>
              <w:t>+</w:t>
            </w:r>
            <w:r>
              <w:rPr>
                <w:sz w:val="20"/>
              </w:rPr>
              <w:t xml:space="preserve"> 0.02</w:t>
            </w:r>
          </w:p>
        </w:tc>
        <w:tc>
          <w:tcPr>
            <w:tcW w:w="2310" w:type="dxa"/>
          </w:tcPr>
          <w:p w14:paraId="47712798" w14:textId="77777777" w:rsidR="00123786" w:rsidRDefault="00123786" w:rsidP="00DC07C7">
            <w:pPr>
              <w:jc w:val="center"/>
              <w:rPr>
                <w:sz w:val="20"/>
              </w:rPr>
            </w:pPr>
            <w:r>
              <w:rPr>
                <w:sz w:val="20"/>
              </w:rPr>
              <w:t xml:space="preserve">0.11 </w:t>
            </w:r>
            <w:r>
              <w:rPr>
                <w:sz w:val="20"/>
                <w:u w:val="single"/>
              </w:rPr>
              <w:t>+</w:t>
            </w:r>
            <w:r>
              <w:rPr>
                <w:sz w:val="20"/>
              </w:rPr>
              <w:t xml:space="preserve"> 0.03</w:t>
            </w:r>
          </w:p>
        </w:tc>
        <w:tc>
          <w:tcPr>
            <w:tcW w:w="2250" w:type="dxa"/>
          </w:tcPr>
          <w:p w14:paraId="5B08C9BC" w14:textId="77777777" w:rsidR="00123786" w:rsidRDefault="00123786" w:rsidP="00DC07C7">
            <w:pPr>
              <w:jc w:val="center"/>
              <w:rPr>
                <w:sz w:val="20"/>
              </w:rPr>
            </w:pPr>
            <w:r>
              <w:rPr>
                <w:sz w:val="20"/>
              </w:rPr>
              <w:t xml:space="preserve">0.19 </w:t>
            </w:r>
            <w:r>
              <w:rPr>
                <w:sz w:val="20"/>
                <w:u w:val="single"/>
              </w:rPr>
              <w:t>+</w:t>
            </w:r>
            <w:r>
              <w:rPr>
                <w:sz w:val="20"/>
              </w:rPr>
              <w:t xml:space="preserve"> 0.06</w:t>
            </w:r>
          </w:p>
        </w:tc>
      </w:tr>
      <w:tr w:rsidR="00123786" w14:paraId="3AA4CB17" w14:textId="77777777" w:rsidTr="00DC07C7">
        <w:tc>
          <w:tcPr>
            <w:tcW w:w="2202" w:type="dxa"/>
          </w:tcPr>
          <w:p w14:paraId="7E0E050A" w14:textId="77777777" w:rsidR="00123786" w:rsidRDefault="00123786" w:rsidP="00DC07C7">
            <w:pPr>
              <w:rPr>
                <w:sz w:val="20"/>
              </w:rPr>
            </w:pPr>
            <w:r>
              <w:rPr>
                <w:sz w:val="20"/>
              </w:rPr>
              <w:t>20 (n=5)</w:t>
            </w:r>
          </w:p>
        </w:tc>
        <w:tc>
          <w:tcPr>
            <w:tcW w:w="2310" w:type="dxa"/>
          </w:tcPr>
          <w:p w14:paraId="7AE439C1" w14:textId="77777777" w:rsidR="00123786" w:rsidRDefault="00123786" w:rsidP="00DC07C7">
            <w:pPr>
              <w:jc w:val="center"/>
              <w:rPr>
                <w:sz w:val="20"/>
              </w:rPr>
            </w:pPr>
            <w:r>
              <w:rPr>
                <w:sz w:val="20"/>
              </w:rPr>
              <w:t xml:space="preserve">0.56 </w:t>
            </w:r>
            <w:r>
              <w:rPr>
                <w:sz w:val="20"/>
                <w:u w:val="single"/>
              </w:rPr>
              <w:t>+</w:t>
            </w:r>
            <w:r>
              <w:rPr>
                <w:sz w:val="20"/>
              </w:rPr>
              <w:t xml:space="preserve"> 0.07</w:t>
            </w:r>
          </w:p>
        </w:tc>
        <w:tc>
          <w:tcPr>
            <w:tcW w:w="2310" w:type="dxa"/>
          </w:tcPr>
          <w:p w14:paraId="20889B53" w14:textId="77777777" w:rsidR="00123786" w:rsidRDefault="00123786" w:rsidP="00DC07C7">
            <w:pPr>
              <w:jc w:val="center"/>
              <w:rPr>
                <w:sz w:val="20"/>
              </w:rPr>
            </w:pPr>
            <w:r>
              <w:rPr>
                <w:sz w:val="20"/>
              </w:rPr>
              <w:t xml:space="preserve">0.61 </w:t>
            </w:r>
            <w:r>
              <w:rPr>
                <w:sz w:val="20"/>
                <w:u w:val="single"/>
              </w:rPr>
              <w:t>+</w:t>
            </w:r>
            <w:r>
              <w:rPr>
                <w:sz w:val="20"/>
              </w:rPr>
              <w:t xml:space="preserve"> 0.13</w:t>
            </w:r>
          </w:p>
        </w:tc>
        <w:tc>
          <w:tcPr>
            <w:tcW w:w="2250" w:type="dxa"/>
          </w:tcPr>
          <w:p w14:paraId="33BB7C85" w14:textId="77777777" w:rsidR="00123786" w:rsidRDefault="00123786" w:rsidP="00DC07C7">
            <w:pPr>
              <w:jc w:val="center"/>
              <w:rPr>
                <w:sz w:val="20"/>
              </w:rPr>
            </w:pPr>
            <w:r>
              <w:rPr>
                <w:sz w:val="20"/>
              </w:rPr>
              <w:t xml:space="preserve">0.82 </w:t>
            </w:r>
            <w:r>
              <w:rPr>
                <w:sz w:val="20"/>
                <w:u w:val="single"/>
              </w:rPr>
              <w:t>+</w:t>
            </w:r>
            <w:r>
              <w:rPr>
                <w:sz w:val="20"/>
              </w:rPr>
              <w:t xml:space="preserve"> 0.13</w:t>
            </w:r>
          </w:p>
        </w:tc>
      </w:tr>
      <w:tr w:rsidR="00123786" w14:paraId="569C1E81" w14:textId="77777777" w:rsidTr="00DC07C7">
        <w:tc>
          <w:tcPr>
            <w:tcW w:w="2202" w:type="dxa"/>
          </w:tcPr>
          <w:p w14:paraId="5F1003DA" w14:textId="77777777" w:rsidR="00123786" w:rsidRDefault="00123786" w:rsidP="00DC07C7">
            <w:pPr>
              <w:rPr>
                <w:sz w:val="20"/>
              </w:rPr>
            </w:pPr>
            <w:r>
              <w:rPr>
                <w:sz w:val="20"/>
              </w:rPr>
              <w:t>100 (n=5)</w:t>
            </w:r>
          </w:p>
        </w:tc>
        <w:tc>
          <w:tcPr>
            <w:tcW w:w="2310" w:type="dxa"/>
          </w:tcPr>
          <w:p w14:paraId="04709B84" w14:textId="77777777" w:rsidR="00123786" w:rsidRDefault="00123786" w:rsidP="00DC07C7">
            <w:pPr>
              <w:jc w:val="center"/>
              <w:rPr>
                <w:sz w:val="20"/>
              </w:rPr>
            </w:pPr>
            <w:r>
              <w:rPr>
                <w:sz w:val="20"/>
              </w:rPr>
              <w:t xml:space="preserve">2.80 </w:t>
            </w:r>
            <w:r>
              <w:rPr>
                <w:sz w:val="20"/>
                <w:u w:val="single"/>
              </w:rPr>
              <w:t>+</w:t>
            </w:r>
            <w:r>
              <w:rPr>
                <w:sz w:val="20"/>
              </w:rPr>
              <w:t xml:space="preserve"> 0.18</w:t>
            </w:r>
          </w:p>
        </w:tc>
        <w:tc>
          <w:tcPr>
            <w:tcW w:w="2310" w:type="dxa"/>
          </w:tcPr>
          <w:p w14:paraId="6F0AB7D8" w14:textId="77777777" w:rsidR="00123786" w:rsidRDefault="00123786" w:rsidP="00DC07C7">
            <w:pPr>
              <w:jc w:val="center"/>
              <w:rPr>
                <w:sz w:val="20"/>
              </w:rPr>
            </w:pPr>
            <w:r>
              <w:rPr>
                <w:sz w:val="20"/>
              </w:rPr>
              <w:t xml:space="preserve">2.04 </w:t>
            </w:r>
            <w:r>
              <w:rPr>
                <w:sz w:val="20"/>
                <w:u w:val="single"/>
              </w:rPr>
              <w:t>+</w:t>
            </w:r>
            <w:r>
              <w:rPr>
                <w:sz w:val="20"/>
              </w:rPr>
              <w:t xml:space="preserve"> 0.22</w:t>
            </w:r>
          </w:p>
        </w:tc>
        <w:tc>
          <w:tcPr>
            <w:tcW w:w="2250" w:type="dxa"/>
          </w:tcPr>
          <w:p w14:paraId="093BCFB6" w14:textId="77777777" w:rsidR="00123786" w:rsidRDefault="00123786" w:rsidP="00DC07C7">
            <w:pPr>
              <w:jc w:val="center"/>
              <w:rPr>
                <w:sz w:val="20"/>
              </w:rPr>
            </w:pPr>
            <w:r>
              <w:rPr>
                <w:sz w:val="20"/>
              </w:rPr>
              <w:t xml:space="preserve">3.90 </w:t>
            </w:r>
            <w:r>
              <w:rPr>
                <w:sz w:val="20"/>
                <w:u w:val="single"/>
              </w:rPr>
              <w:t>+</w:t>
            </w:r>
            <w:r>
              <w:rPr>
                <w:sz w:val="20"/>
              </w:rPr>
              <w:t xml:space="preserve"> 0.26</w:t>
            </w:r>
          </w:p>
        </w:tc>
      </w:tr>
    </w:tbl>
    <w:p w14:paraId="3E4B2D34" w14:textId="77777777" w:rsidR="00123786" w:rsidRDefault="00123786" w:rsidP="00123786">
      <w:pPr>
        <w:rPr>
          <w:sz w:val="20"/>
        </w:rPr>
      </w:pPr>
      <w:r>
        <w:rPr>
          <w:sz w:val="20"/>
        </w:rPr>
        <w:t xml:space="preserve">Results expressed as mean </w:t>
      </w:r>
      <w:r>
        <w:rPr>
          <w:sz w:val="20"/>
        </w:rPr>
        <w:sym w:font="Symbol" w:char="F06D"/>
      </w:r>
      <w:r>
        <w:rPr>
          <w:sz w:val="20"/>
        </w:rPr>
        <w:t xml:space="preserve">g/g wet weight </w:t>
      </w:r>
      <w:r>
        <w:rPr>
          <w:sz w:val="20"/>
          <w:u w:val="single"/>
        </w:rPr>
        <w:t>+</w:t>
      </w:r>
      <w:r>
        <w:rPr>
          <w:sz w:val="20"/>
        </w:rPr>
        <w:t xml:space="preserve"> 1 SEM</w:t>
      </w:r>
    </w:p>
    <w:p w14:paraId="651204C5" w14:textId="77777777" w:rsidR="00123786" w:rsidRDefault="00123786" w:rsidP="00123786"/>
    <w:p w14:paraId="6CA7B56B" w14:textId="3109FABC" w:rsidR="00123786" w:rsidRDefault="00123786" w:rsidP="00123786">
      <w:r>
        <w:t xml:space="preserve">In summary, no neurotoxicity was observed following a single microinjection of paraquat into the hippocampus of rats at 10 nmol (equivalent to 1.86 </w:t>
      </w:r>
      <w:r>
        <w:sym w:font="Symbol" w:char="F06D"/>
      </w:r>
      <w:r>
        <w:t xml:space="preserve">g paraquat or 1.34 </w:t>
      </w:r>
      <w:r>
        <w:sym w:font="Symbol" w:char="F06D"/>
      </w:r>
      <w:r>
        <w:t xml:space="preserve">g paraquat cation). Seizures, behavioural excitation and the presence of multifocal brain damage were noted at and above 100 nmol (equivalent to 18.6 </w:t>
      </w:r>
      <w:r>
        <w:sym w:font="Symbol" w:char="F06D"/>
      </w:r>
      <w:r>
        <w:t xml:space="preserve">g paraquat or 13.4 </w:t>
      </w:r>
      <w:r>
        <w:sym w:font="Symbol" w:char="F06D"/>
      </w:r>
      <w:r>
        <w:t xml:space="preserve">g paraquat cation). Atropine (50 nmol) and MK 801 (0.3 mg/kg, ip) prevented the occurrence of these treatment-related effects implicating the involvement of muscarinic and NMDA receptors. Following a single ip injection of paraquat at 5 mg/kg bw (equivalent to 3.6 mg/kg bw paraquat cation), no effects were observed, while seizures and brain damage were noted at and above 20 mg/kg bw (equivalent to 14.4 mg/kg bw paraquat cation). </w:t>
      </w:r>
      <w:r w:rsidR="00875774">
        <w:t>Pre-treatment</w:t>
      </w:r>
      <w:r>
        <w:t xml:space="preserve"> with atropine but not methylatropine prevented these effects.</w:t>
      </w:r>
    </w:p>
    <w:p w14:paraId="78E7BB62" w14:textId="77777777" w:rsidR="002B2CFC" w:rsidRPr="002B2CFC" w:rsidRDefault="002B2CFC" w:rsidP="002B2CFC">
      <w:pPr>
        <w:rPr>
          <w:szCs w:val="24"/>
          <w:lang w:val="en-US" w:eastAsia="en-US"/>
        </w:rPr>
      </w:pPr>
    </w:p>
    <w:p w14:paraId="6D0CA5FF" w14:textId="77777777" w:rsidR="002B2CFC" w:rsidRPr="002B2CFC" w:rsidRDefault="002B2CFC" w:rsidP="002B2CFC">
      <w:pPr>
        <w:rPr>
          <w:b/>
          <w:szCs w:val="24"/>
          <w:lang w:eastAsia="en-US"/>
        </w:rPr>
      </w:pPr>
      <w:r w:rsidRPr="002B2CFC">
        <w:rPr>
          <w:b/>
          <w:szCs w:val="24"/>
          <w:lang w:eastAsia="en-US"/>
        </w:rPr>
        <w:t xml:space="preserve">Cicchetti F, Lapointe N, Roberge-Tremblay A, Saint-Pierre M, Jimenez L, Ficke BW &amp; Gross RE (2005) Systemic exposure to paraquat and maneb models early Parkinson's disease in young adult rats. </w:t>
      </w:r>
      <w:r w:rsidRPr="004D6C19">
        <w:rPr>
          <w:b/>
          <w:i/>
          <w:szCs w:val="24"/>
          <w:lang w:eastAsia="en-US"/>
        </w:rPr>
        <w:t>Neurobiol Dis</w:t>
      </w:r>
      <w:r w:rsidRPr="002B2CFC">
        <w:rPr>
          <w:b/>
          <w:szCs w:val="24"/>
          <w:lang w:eastAsia="en-US"/>
        </w:rPr>
        <w:t>. 20(2):360-71.</w:t>
      </w:r>
    </w:p>
    <w:p w14:paraId="19490A2C" w14:textId="77777777" w:rsidR="002B2CFC" w:rsidRPr="002B2CFC" w:rsidRDefault="002B2CFC" w:rsidP="002B2CFC">
      <w:pPr>
        <w:rPr>
          <w:szCs w:val="24"/>
          <w:lang w:val="en-US" w:eastAsia="en-US"/>
        </w:rPr>
      </w:pPr>
    </w:p>
    <w:p w14:paraId="2217E811" w14:textId="77777777" w:rsidR="002B2CFC" w:rsidRDefault="002B2CFC" w:rsidP="002B2CFC">
      <w:pPr>
        <w:rPr>
          <w:szCs w:val="24"/>
          <w:lang w:val="en-US" w:eastAsia="en-US"/>
        </w:rPr>
      </w:pPr>
      <w:r w:rsidRPr="002B2CFC">
        <w:rPr>
          <w:szCs w:val="24"/>
          <w:lang w:val="en-US" w:eastAsia="en-US"/>
        </w:rPr>
        <w:t xml:space="preserve">Cicchetti </w:t>
      </w:r>
      <w:r w:rsidRPr="002B2CFC">
        <w:rPr>
          <w:i/>
          <w:szCs w:val="24"/>
          <w:lang w:val="en-US" w:eastAsia="en-US"/>
        </w:rPr>
        <w:t>et al</w:t>
      </w:r>
      <w:r w:rsidRPr="002B2CFC">
        <w:rPr>
          <w:szCs w:val="24"/>
          <w:lang w:val="en-US" w:eastAsia="en-US"/>
        </w:rPr>
        <w:t xml:space="preserve"> (2005) </w:t>
      </w:r>
      <w:r w:rsidR="00310899">
        <w:rPr>
          <w:szCs w:val="24"/>
          <w:lang w:val="en-US" w:eastAsia="en-US"/>
        </w:rPr>
        <w:t>investigated whether</w:t>
      </w:r>
      <w:r w:rsidRPr="002B2CFC">
        <w:rPr>
          <w:szCs w:val="24"/>
          <w:lang w:val="en-US" w:eastAsia="en-US"/>
        </w:rPr>
        <w:t xml:space="preserve"> paraquat alone and paraquat in combination with maneb is toxic to dopaminergic neurons of eight week old male Sprague Dawley rats both </w:t>
      </w:r>
      <w:r w:rsidRPr="002B2CFC">
        <w:rPr>
          <w:i/>
          <w:szCs w:val="24"/>
          <w:lang w:val="en-US" w:eastAsia="en-US"/>
        </w:rPr>
        <w:t>in</w:t>
      </w:r>
      <w:r w:rsidRPr="002B2CFC">
        <w:rPr>
          <w:szCs w:val="24"/>
          <w:lang w:val="en-US" w:eastAsia="en-US"/>
        </w:rPr>
        <w:t xml:space="preserve"> </w:t>
      </w:r>
      <w:r w:rsidRPr="002B2CFC">
        <w:rPr>
          <w:i/>
          <w:szCs w:val="24"/>
          <w:lang w:val="en-US" w:eastAsia="en-US"/>
        </w:rPr>
        <w:t>vitro</w:t>
      </w:r>
      <w:r w:rsidRPr="002B2CFC">
        <w:rPr>
          <w:szCs w:val="24"/>
          <w:lang w:val="en-US" w:eastAsia="en-US"/>
        </w:rPr>
        <w:t xml:space="preserve"> and </w:t>
      </w:r>
      <w:r w:rsidRPr="002B2CFC">
        <w:rPr>
          <w:i/>
          <w:szCs w:val="24"/>
          <w:lang w:val="en-US" w:eastAsia="en-US"/>
        </w:rPr>
        <w:t>in vivo</w:t>
      </w:r>
      <w:r w:rsidRPr="002B2CFC">
        <w:rPr>
          <w:szCs w:val="24"/>
          <w:lang w:val="en-US" w:eastAsia="en-US"/>
        </w:rPr>
        <w:t xml:space="preserve"> and </w:t>
      </w:r>
      <w:r w:rsidR="00310899">
        <w:rPr>
          <w:szCs w:val="24"/>
          <w:lang w:val="en-US" w:eastAsia="en-US"/>
        </w:rPr>
        <w:t xml:space="preserve">if </w:t>
      </w:r>
      <w:r w:rsidRPr="002B2CFC">
        <w:rPr>
          <w:szCs w:val="24"/>
          <w:lang w:val="en-US" w:eastAsia="en-US"/>
        </w:rPr>
        <w:t xml:space="preserve">the combination leads to Parkinson-like movement deficits. </w:t>
      </w:r>
    </w:p>
    <w:p w14:paraId="0A2EA2DB" w14:textId="77777777" w:rsidR="0014779C" w:rsidRPr="002B2CFC" w:rsidRDefault="0014779C" w:rsidP="002B2CFC">
      <w:pPr>
        <w:rPr>
          <w:szCs w:val="24"/>
          <w:lang w:val="en-US" w:eastAsia="en-US"/>
        </w:rPr>
      </w:pPr>
    </w:p>
    <w:p w14:paraId="3A2A5465" w14:textId="77777777" w:rsidR="00123786" w:rsidRDefault="002B2CFC" w:rsidP="00123786">
      <w:pPr>
        <w:rPr>
          <w:lang w:val="en-US"/>
        </w:rPr>
      </w:pPr>
      <w:r w:rsidRPr="002B2CFC">
        <w:rPr>
          <w:szCs w:val="24"/>
          <w:lang w:val="en-US" w:eastAsia="en-US"/>
        </w:rPr>
        <w:lastRenderedPageBreak/>
        <w:t xml:space="preserve">The rats were injected ip twice a week for four weeks with 10 mg/kg bw paraquat dichloride hydrate or a combination of paraquat and maneb at 10 mg/kg bw and 30 mg/kg bw respectively. However evidence for the induction of Parkinson-like movement deficits by paraquat was limited. Evidence for microglial activation was also found, possibly implicating neuroinflammation in the pathogenic mechanism associated with degeneration of </w:t>
      </w:r>
      <w:r w:rsidR="001875D7">
        <w:rPr>
          <w:szCs w:val="24"/>
          <w:lang w:val="en-US" w:eastAsia="en-US"/>
        </w:rPr>
        <w:t>TH</w:t>
      </w:r>
      <w:r w:rsidRPr="002B2CFC">
        <w:rPr>
          <w:szCs w:val="24"/>
          <w:lang w:val="en-US" w:eastAsia="en-US"/>
        </w:rPr>
        <w:t>-immunoreactive neurons.</w:t>
      </w:r>
      <w:r w:rsidR="004D6C19">
        <w:rPr>
          <w:szCs w:val="24"/>
          <w:lang w:val="en-US" w:eastAsia="en-US"/>
        </w:rPr>
        <w:t xml:space="preserve"> </w:t>
      </w:r>
      <w:r w:rsidR="00123786">
        <w:t xml:space="preserve">This study compared the effects of systemic paraquat or a combination of paraquat/maneb administration </w:t>
      </w:r>
      <w:r w:rsidR="00123786">
        <w:rPr>
          <w:i/>
        </w:rPr>
        <w:t>in vitro</w:t>
      </w:r>
      <w:r w:rsidR="00123786">
        <w:t xml:space="preserve"> and </w:t>
      </w:r>
      <w:r w:rsidR="00123786">
        <w:rPr>
          <w:i/>
        </w:rPr>
        <w:t>in vivo</w:t>
      </w:r>
      <w:r w:rsidR="00123786">
        <w:t xml:space="preserve"> in young adult rats </w:t>
      </w:r>
      <w:r w:rsidR="00123786">
        <w:rPr>
          <w:lang w:val="en-US"/>
        </w:rPr>
        <w:t>and its relationship to inflammation by correlating this phenomenon to degenerative effects on the dopaminergic system.</w:t>
      </w:r>
    </w:p>
    <w:p w14:paraId="04F4804F" w14:textId="77777777" w:rsidR="00123786" w:rsidRDefault="00123786" w:rsidP="00123786">
      <w:pPr>
        <w:rPr>
          <w:lang w:val="en-US"/>
        </w:rPr>
      </w:pPr>
    </w:p>
    <w:p w14:paraId="32EB1378" w14:textId="77777777" w:rsidR="00123786" w:rsidRDefault="00123786" w:rsidP="00123786">
      <w:pPr>
        <w:rPr>
          <w:i/>
        </w:rPr>
      </w:pPr>
      <w:r>
        <w:rPr>
          <w:i/>
        </w:rPr>
        <w:t xml:space="preserve">Method: </w:t>
      </w:r>
    </w:p>
    <w:p w14:paraId="7F56A1FB" w14:textId="77777777" w:rsidR="00123786" w:rsidRDefault="00123786" w:rsidP="00123786">
      <w:pPr>
        <w:spacing w:before="120"/>
      </w:pPr>
      <w:r>
        <w:rPr>
          <w:i/>
        </w:rPr>
        <w:t>In vitro</w:t>
      </w:r>
      <w:r>
        <w:t xml:space="preserve"> analysis</w:t>
      </w:r>
    </w:p>
    <w:p w14:paraId="39910DA6" w14:textId="77777777" w:rsidR="00123786" w:rsidRDefault="00123786" w:rsidP="00123786">
      <w:pPr>
        <w:spacing w:before="120"/>
        <w:rPr>
          <w:i/>
        </w:rPr>
      </w:pPr>
      <w:r>
        <w:rPr>
          <w:i/>
        </w:rPr>
        <w:t>Primary-ventral-mesencephalic neuron-glia cultures:</w:t>
      </w:r>
    </w:p>
    <w:p w14:paraId="0CC56FB3" w14:textId="77777777" w:rsidR="00123786" w:rsidRDefault="00123786" w:rsidP="00123786">
      <w:pPr>
        <w:spacing w:before="120"/>
        <w:rPr>
          <w:lang w:val="en-US"/>
        </w:rPr>
      </w:pPr>
      <w:r>
        <w:rPr>
          <w:lang w:val="en-US"/>
        </w:rPr>
        <w:t>Primary ventral mesencephalic (VM) neuron-glia cultures were prepared by dissecting the VM from embryonic day 14 (E14) Wistar rats (Charles River, Wilmington, MA) followed by enzymatic digestion in hypsin and DNase in dissection medium (Ca</w:t>
      </w:r>
      <w:r>
        <w:rPr>
          <w:vertAlign w:val="superscript"/>
          <w:lang w:val="en-US"/>
        </w:rPr>
        <w:t>2+</w:t>
      </w:r>
      <w:r>
        <w:rPr>
          <w:lang w:val="en-US"/>
        </w:rPr>
        <w:t>J Mg</w:t>
      </w:r>
      <w:r>
        <w:rPr>
          <w:vertAlign w:val="superscript"/>
          <w:lang w:val="en-US"/>
        </w:rPr>
        <w:t>2+</w:t>
      </w:r>
      <w:r>
        <w:rPr>
          <w:lang w:val="en-US"/>
        </w:rPr>
        <w:t>-free Hanks solution with 10 mM HEPES and 0.6% glucose) at 37°C for 30 min</w:t>
      </w:r>
      <w:r w:rsidR="00310899">
        <w:rPr>
          <w:lang w:val="en-US"/>
        </w:rPr>
        <w:t>utes</w:t>
      </w:r>
      <w:r>
        <w:rPr>
          <w:lang w:val="en-US"/>
        </w:rPr>
        <w:t>. Cultures were treated with daily doses of saline (negative control), paraquat, maneb or paraquat/maneb for 7 days before fixation and staining.</w:t>
      </w:r>
    </w:p>
    <w:p w14:paraId="0D5AEA11" w14:textId="77777777" w:rsidR="00123786" w:rsidRDefault="00123786" w:rsidP="00123786">
      <w:pPr>
        <w:spacing w:before="120"/>
      </w:pPr>
      <w:r>
        <w:rPr>
          <w:i/>
        </w:rPr>
        <w:t>Immunocytochemistry:</w:t>
      </w:r>
      <w:r>
        <w:t xml:space="preserve"> </w:t>
      </w:r>
    </w:p>
    <w:p w14:paraId="73D23EF4" w14:textId="77777777" w:rsidR="00123786" w:rsidRDefault="00123786" w:rsidP="00123786">
      <w:pPr>
        <w:spacing w:before="120"/>
        <w:rPr>
          <w:lang w:val="en-US"/>
        </w:rPr>
      </w:pPr>
      <w:r>
        <w:rPr>
          <w:lang w:val="en-US"/>
        </w:rPr>
        <w:t>Cultures were fixed using a solution of 4% paraformaldehyde and 4% sucrose for 15 min</w:t>
      </w:r>
      <w:r w:rsidR="00310899">
        <w:rPr>
          <w:lang w:val="en-US"/>
        </w:rPr>
        <w:t>utes</w:t>
      </w:r>
      <w:r>
        <w:rPr>
          <w:lang w:val="en-US"/>
        </w:rPr>
        <w:t xml:space="preserve"> at room temperature. After appropriate treatment and staining techniques, images were captured using a Leica DMIRE inverted microscope attached to a Retiga Exi monochrome camera and SimplePCl software and color-edited using Adobe Photoshop 7.0.</w:t>
      </w:r>
    </w:p>
    <w:p w14:paraId="63C5F9FE" w14:textId="77777777" w:rsidR="00123786" w:rsidRDefault="00123786" w:rsidP="00123786">
      <w:pPr>
        <w:spacing w:before="120"/>
        <w:rPr>
          <w:lang w:val="en-US"/>
        </w:rPr>
      </w:pPr>
      <w:r>
        <w:rPr>
          <w:i/>
          <w:lang w:val="en-US"/>
        </w:rPr>
        <w:t xml:space="preserve">Cell number quantification: </w:t>
      </w:r>
    </w:p>
    <w:p w14:paraId="3D148015" w14:textId="77777777" w:rsidR="00123786" w:rsidRDefault="00123786" w:rsidP="00123786">
      <w:pPr>
        <w:spacing w:before="120"/>
        <w:rPr>
          <w:lang w:val="en-US"/>
        </w:rPr>
      </w:pPr>
      <w:r>
        <w:rPr>
          <w:lang w:val="en-US"/>
        </w:rPr>
        <w:t>Following immunostaining, every immunoreactive cell was counted in each well. These analyses were performed blindly by two independent investigators and processed for one-way ANOVA using the StatView program.</w:t>
      </w:r>
    </w:p>
    <w:p w14:paraId="5682744D" w14:textId="77777777" w:rsidR="00123786" w:rsidRDefault="00123786" w:rsidP="00123786">
      <w:pPr>
        <w:spacing w:before="120"/>
      </w:pPr>
      <w:r>
        <w:rPr>
          <w:i/>
        </w:rPr>
        <w:t>In vivo</w:t>
      </w:r>
      <w:r>
        <w:t xml:space="preserve"> analysis</w:t>
      </w:r>
    </w:p>
    <w:p w14:paraId="65B4A388" w14:textId="77777777" w:rsidR="00123786" w:rsidRDefault="00123786" w:rsidP="00123786">
      <w:pPr>
        <w:spacing w:before="120"/>
        <w:rPr>
          <w:lang w:val="en-US"/>
        </w:rPr>
      </w:pPr>
      <w:r>
        <w:rPr>
          <w:i/>
        </w:rPr>
        <w:t xml:space="preserve">Animals and paraquat administration: </w:t>
      </w:r>
      <w:r>
        <w:rPr>
          <w:lang w:val="en-US"/>
        </w:rPr>
        <w:t xml:space="preserve">Eight-week old young adult male Sprague-Dawley rats (Charles River Laboratories, Montreal, QC) were housed separately in a controlled environment with free access to food and water. Rats were injected ip twice a week (Tuesday-Friday) at the same time in the morning (9:00 am) for 4 weeks with either saline, paraquat dichloride hydrate (Sigma, St Louis MO; 10 mg/kg bw), or a combination of paraquat and maneb (10 mg/kg bw paraquat and 30 mg/kg bw maneb in separate injections. In total, 20 young adult rats paraquat (paraquat </w:t>
      </w:r>
      <w:r>
        <w:rPr>
          <w:i/>
          <w:iCs/>
          <w:lang w:val="en-US"/>
        </w:rPr>
        <w:t xml:space="preserve">n = </w:t>
      </w:r>
      <w:r>
        <w:rPr>
          <w:lang w:val="en-US"/>
        </w:rPr>
        <w:t>8; paraquat/maneb n = 8) and vehicle (</w:t>
      </w:r>
      <w:r>
        <w:rPr>
          <w:i/>
          <w:iCs/>
          <w:lang w:val="en-US"/>
        </w:rPr>
        <w:t xml:space="preserve">n </w:t>
      </w:r>
      <w:r>
        <w:rPr>
          <w:lang w:val="en-US"/>
        </w:rPr>
        <w:t>= 4) were used in this study, monitored daily for weight variation, and ultimately sacrificed 24 h</w:t>
      </w:r>
      <w:r w:rsidR="00310899">
        <w:rPr>
          <w:lang w:val="en-US"/>
        </w:rPr>
        <w:t>ours</w:t>
      </w:r>
      <w:r>
        <w:rPr>
          <w:lang w:val="en-US"/>
        </w:rPr>
        <w:t xml:space="preserve"> following the last injection.</w:t>
      </w:r>
    </w:p>
    <w:p w14:paraId="5DF29862" w14:textId="77777777" w:rsidR="00123786" w:rsidRDefault="00123786" w:rsidP="00123786">
      <w:pPr>
        <w:spacing w:before="120"/>
        <w:rPr>
          <w:lang w:val="en-US"/>
        </w:rPr>
      </w:pPr>
      <w:r>
        <w:rPr>
          <w:i/>
          <w:iCs/>
          <w:lang w:val="en-US"/>
        </w:rPr>
        <w:t xml:space="preserve">Behavioral analysis: </w:t>
      </w:r>
      <w:r>
        <w:rPr>
          <w:lang w:val="en-US"/>
        </w:rPr>
        <w:t xml:space="preserve">Behavioral assessment comprised </w:t>
      </w:r>
      <w:r>
        <w:rPr>
          <w:iCs/>
          <w:lang w:val="en-US"/>
        </w:rPr>
        <w:t>postural deficit</w:t>
      </w:r>
      <w:r>
        <w:rPr>
          <w:i/>
          <w:iCs/>
          <w:lang w:val="en-US"/>
        </w:rPr>
        <w:t xml:space="preserve">, </w:t>
      </w:r>
      <w:r>
        <w:rPr>
          <w:lang w:val="en-US"/>
        </w:rPr>
        <w:t xml:space="preserve">decrease in </w:t>
      </w:r>
      <w:r>
        <w:rPr>
          <w:iCs/>
          <w:lang w:val="en-US"/>
        </w:rPr>
        <w:t>speed</w:t>
      </w:r>
      <w:r>
        <w:rPr>
          <w:i/>
          <w:iCs/>
          <w:lang w:val="en-US"/>
        </w:rPr>
        <w:t xml:space="preserve"> </w:t>
      </w:r>
      <w:r>
        <w:rPr>
          <w:lang w:val="en-US"/>
        </w:rPr>
        <w:t xml:space="preserve">of overall movement and </w:t>
      </w:r>
      <w:r>
        <w:rPr>
          <w:iCs/>
          <w:lang w:val="en-US"/>
        </w:rPr>
        <w:t>immobility</w:t>
      </w:r>
      <w:r>
        <w:rPr>
          <w:i/>
          <w:iCs/>
          <w:lang w:val="en-US"/>
        </w:rPr>
        <w:t xml:space="preserve">. </w:t>
      </w:r>
      <w:r>
        <w:rPr>
          <w:lang w:val="en-US"/>
        </w:rPr>
        <w:t xml:space="preserve">Each test session began by placing the animals in a new cage for a 15 min period of habituation. All animals were tested at eight different time points (days 2, 6, 9, 13, 16, 20, 23, and 27). The motor impairments were monitored 24 h after the ip injections in a 50 min session. All behavioral measures were performed blind by three independent investigators according to an impairment scale ranging from scores of 0 to 3. </w:t>
      </w:r>
      <w:r>
        <w:rPr>
          <w:lang w:val="en-US"/>
        </w:rPr>
        <w:lastRenderedPageBreak/>
        <w:t xml:space="preserve">Evaluations were carried out for 2 min every 6 min for 8 trials for a maximal disability score of 24. </w:t>
      </w:r>
    </w:p>
    <w:p w14:paraId="3ECCCABB" w14:textId="77777777" w:rsidR="00123786" w:rsidRDefault="00123786" w:rsidP="00123786">
      <w:pPr>
        <w:spacing w:before="120"/>
        <w:rPr>
          <w:lang w:val="en-US"/>
        </w:rPr>
      </w:pPr>
      <w:r>
        <w:rPr>
          <w:iCs/>
          <w:lang w:val="en-US"/>
        </w:rPr>
        <w:t xml:space="preserve">Posture </w:t>
      </w:r>
      <w:r>
        <w:rPr>
          <w:lang w:val="en-US"/>
        </w:rPr>
        <w:t xml:space="preserve">testing consisted of determining the degree of hunch back position (0: Normal; 1: Intermittent hunched back; 2: Permanent hunched back; 3: Hunched back-balance problems). </w:t>
      </w:r>
    </w:p>
    <w:p w14:paraId="518A4DAF" w14:textId="77777777" w:rsidR="00123786" w:rsidRDefault="00123786" w:rsidP="00123786">
      <w:pPr>
        <w:spacing w:before="120"/>
        <w:rPr>
          <w:lang w:val="en-US"/>
        </w:rPr>
      </w:pPr>
      <w:r>
        <w:rPr>
          <w:iCs/>
          <w:lang w:val="en-US"/>
        </w:rPr>
        <w:t>Speed</w:t>
      </w:r>
      <w:r>
        <w:rPr>
          <w:i/>
          <w:iCs/>
          <w:lang w:val="en-US"/>
        </w:rPr>
        <w:t xml:space="preserve"> </w:t>
      </w:r>
      <w:r>
        <w:rPr>
          <w:lang w:val="en-US"/>
        </w:rPr>
        <w:t xml:space="preserve">testing consisted of determining at what speed animals conducted daily grooming, moving, and exploring in the cage (0: Normal; 1: Slow; 2: Very slow; 3: Very slow with freezing). </w:t>
      </w:r>
    </w:p>
    <w:p w14:paraId="41D3260A" w14:textId="77777777" w:rsidR="004D6C19" w:rsidRDefault="00123786" w:rsidP="00123786">
      <w:pPr>
        <w:spacing w:before="120"/>
        <w:rPr>
          <w:lang w:val="en-US"/>
        </w:rPr>
      </w:pPr>
      <w:r>
        <w:rPr>
          <w:iCs/>
          <w:lang w:val="en-US"/>
        </w:rPr>
        <w:t>Mobility</w:t>
      </w:r>
      <w:r>
        <w:rPr>
          <w:i/>
          <w:iCs/>
          <w:lang w:val="en-US"/>
        </w:rPr>
        <w:t xml:space="preserve"> </w:t>
      </w:r>
      <w:r>
        <w:rPr>
          <w:lang w:val="en-US"/>
        </w:rPr>
        <w:t>testing consisted of placing the animal on a metallic trellis of 45° angle to predominantly assess the degree of akinesia or bradykinesia (0: Normal; 1: Mild reduction; 2: Moderate reduction; 3: Severe reduction).</w:t>
      </w:r>
    </w:p>
    <w:p w14:paraId="5C6723F3" w14:textId="77777777" w:rsidR="00123786" w:rsidRDefault="00123786" w:rsidP="00123786">
      <w:pPr>
        <w:spacing w:before="120"/>
        <w:rPr>
          <w:lang w:val="en-US"/>
        </w:rPr>
      </w:pPr>
      <w:r>
        <w:rPr>
          <w:i/>
          <w:iCs/>
          <w:lang w:val="en-US"/>
        </w:rPr>
        <w:t xml:space="preserve">Post-mortem analysis: </w:t>
      </w:r>
      <w:r>
        <w:rPr>
          <w:lang w:val="en-US"/>
        </w:rPr>
        <w:t>Animals were sacrificed via intracardiac infusion after which brains were collected, fixed and transferred for cryoprotection. Coronal brain sections of 35 pm thickness were cut on a freezing microtome. After overnight incubation with one of the primary antibodies, sections were washed and incubated. The bound antibodies were prepared for visualization. In some sections primary antibody was omitted from the incubation medium. These sections remained free of immunostaining and served as negative controls. Peripheral organ (liver, kidney, and lungs) abnormalities were assessed by hematoxylin and eosin (H&amp;E) staining analysis.</w:t>
      </w:r>
    </w:p>
    <w:p w14:paraId="7BDB04B4" w14:textId="4DBA6F21" w:rsidR="00123786" w:rsidRDefault="00123786" w:rsidP="00123786">
      <w:pPr>
        <w:spacing w:before="120"/>
        <w:rPr>
          <w:i/>
          <w:lang w:val="en-US"/>
        </w:rPr>
      </w:pPr>
      <w:r>
        <w:rPr>
          <w:i/>
          <w:lang w:val="en-US"/>
        </w:rPr>
        <w:t>Results</w:t>
      </w:r>
    </w:p>
    <w:p w14:paraId="54BFCF95" w14:textId="77777777" w:rsidR="00123786" w:rsidRDefault="00123786" w:rsidP="00123786">
      <w:pPr>
        <w:spacing w:before="120"/>
        <w:rPr>
          <w:lang w:val="en-US"/>
        </w:rPr>
      </w:pPr>
      <w:r>
        <w:rPr>
          <w:i/>
          <w:iCs/>
          <w:lang w:val="en-US"/>
        </w:rPr>
        <w:t xml:space="preserve">Effects of paraquat on VM DA cell cultures: </w:t>
      </w:r>
      <w:r>
        <w:rPr>
          <w:lang w:val="en-US"/>
        </w:rPr>
        <w:t xml:space="preserve">E14 VM cultures were established containing both neurons and glial cells and treated with paraquat, maneb or paraquat/maneb for </w:t>
      </w:r>
      <w:r>
        <w:rPr>
          <w:i/>
          <w:iCs/>
          <w:lang w:val="en-US"/>
        </w:rPr>
        <w:t xml:space="preserve">7 </w:t>
      </w:r>
      <w:r>
        <w:rPr>
          <w:lang w:val="en-US"/>
        </w:rPr>
        <w:t xml:space="preserve">days. Paraquat exposure resulted in a selective loss of TH-ir neurons in a dose-dependent manner </w:t>
      </w:r>
      <w:r>
        <w:rPr>
          <w:i/>
          <w:iCs/>
          <w:lang w:val="en-US"/>
        </w:rPr>
        <w:t xml:space="preserve">(p = </w:t>
      </w:r>
      <w:r>
        <w:rPr>
          <w:lang w:val="en-US"/>
        </w:rPr>
        <w:t>0.0001), with an ED</w:t>
      </w:r>
      <w:r>
        <w:rPr>
          <w:vertAlign w:val="subscript"/>
          <w:lang w:val="en-US"/>
        </w:rPr>
        <w:t>50</w:t>
      </w:r>
      <w:r>
        <w:rPr>
          <w:lang w:val="en-US"/>
        </w:rPr>
        <w:t xml:space="preserve"> of 1.0 µM, reflecting an increased sensitivity to paraquat to the non-TH-ir neuronal population (neuron-specific β1II-tubulin-immunoreactive). MB exposure resulted in a less robust but significant (p = 0.025) decrease in TH-ir neurons. However at any given dose of paraquat, maneb did not lead to further loss of DA neurons. </w:t>
      </w:r>
    </w:p>
    <w:p w14:paraId="5D8B6CE1" w14:textId="77777777" w:rsidR="00123786" w:rsidRDefault="00123786" w:rsidP="00123786">
      <w:pPr>
        <w:spacing w:before="120"/>
        <w:rPr>
          <w:lang w:val="en-US"/>
        </w:rPr>
      </w:pPr>
      <w:r>
        <w:rPr>
          <w:lang w:val="en-US"/>
        </w:rPr>
        <w:t>It was also observed that paraquat led to microglial activation as evidenced by increased presence of more amoeboid morphology among OX42-immunoreactive cells and increased microglial cell diameter measurements of up to 34.3%.</w:t>
      </w:r>
    </w:p>
    <w:p w14:paraId="48DCE734" w14:textId="77777777" w:rsidR="00123786" w:rsidRDefault="00123786" w:rsidP="00123786">
      <w:pPr>
        <w:spacing w:before="120"/>
        <w:rPr>
          <w:lang w:val="en-US"/>
        </w:rPr>
      </w:pPr>
      <w:r>
        <w:rPr>
          <w:lang w:val="en-US"/>
        </w:rPr>
        <w:t>Maneb alone failed to induce morphological changes consistent with microglial activation nor did it add to the effects induced by paraquat.</w:t>
      </w:r>
    </w:p>
    <w:p w14:paraId="5D9E8C35" w14:textId="77777777" w:rsidR="00123786" w:rsidRDefault="00123786" w:rsidP="00123786">
      <w:pPr>
        <w:spacing w:before="120"/>
        <w:rPr>
          <w:lang w:val="en-US"/>
        </w:rPr>
      </w:pPr>
      <w:r>
        <w:rPr>
          <w:lang w:val="en-US"/>
        </w:rPr>
        <w:t>Most of the rats treated with paraquat or a combination of paraquat and maneb progressively gained weight, albeit more slowly than vehicle-treated animals. Overall, only one paraquat treated rat and 2 paraquat/maneb treated rats demonstrated significant weight loss and could not reach the end of the experimental protocol (&gt;20% of weight loss). The rapid weight loss prompted a general pathological examination, which revealed, in the 3 cases, acute lung involvement, alveolitis and bronchiolitis with no evidence of bronchitis, lymphoid aggregates, bronchiectasis, or fibrosis. Reduction of the alveolar airspace due to hyperplasia of the alveolar lining cells may have in part led to subsequent respiratory problems. All remaining animals displayed no evidence of lung pathology.</w:t>
      </w:r>
    </w:p>
    <w:p w14:paraId="2675B0B0" w14:textId="77777777" w:rsidR="00123786" w:rsidRDefault="00123786" w:rsidP="00123786">
      <w:pPr>
        <w:spacing w:before="120"/>
        <w:rPr>
          <w:lang w:val="en-US"/>
        </w:rPr>
      </w:pPr>
      <w:r>
        <w:rPr>
          <w:i/>
          <w:iCs/>
          <w:lang w:val="en-US"/>
        </w:rPr>
        <w:t xml:space="preserve">Degeneration of midbrain DA neurons: </w:t>
      </w:r>
      <w:r>
        <w:rPr>
          <w:lang w:val="en-US"/>
        </w:rPr>
        <w:t xml:space="preserve">The average number of TH-ir in the </w:t>
      </w:r>
      <w:r w:rsidRPr="0024057E">
        <w:rPr>
          <w:lang w:val="en-US"/>
        </w:rPr>
        <w:t>SN pc</w:t>
      </w:r>
      <w:r>
        <w:rPr>
          <w:lang w:val="en-US"/>
        </w:rPr>
        <w:t xml:space="preserve"> of paraquat and paraquat/maneb treated rats was significantly lower than the vehicle treated animals </w:t>
      </w:r>
      <w:r>
        <w:rPr>
          <w:i/>
          <w:iCs/>
          <w:lang w:val="en-US"/>
        </w:rPr>
        <w:t xml:space="preserve">(p &lt; </w:t>
      </w:r>
      <w:r>
        <w:rPr>
          <w:lang w:val="en-US"/>
        </w:rPr>
        <w:t xml:space="preserve">0.01), and the remaining TH-ir neurons of the </w:t>
      </w:r>
      <w:r w:rsidRPr="0024057E">
        <w:rPr>
          <w:lang w:val="en-US"/>
        </w:rPr>
        <w:t>SN pc</w:t>
      </w:r>
      <w:r>
        <w:rPr>
          <w:lang w:val="en-US"/>
        </w:rPr>
        <w:t xml:space="preserve"> appeared qualitatively unhealthy, as indicated by the observation of a decrease in dendritic arborizations. Both treatment groups </w:t>
      </w:r>
      <w:r>
        <w:rPr>
          <w:lang w:val="en-US"/>
        </w:rPr>
        <w:lastRenderedPageBreak/>
        <w:t xml:space="preserve">also demonstrated significant decrease of Nurrl mRNA expression, which is specific to DA neurons, as evaluated by autoradiography of the </w:t>
      </w:r>
      <w:r w:rsidRPr="0024057E">
        <w:rPr>
          <w:lang w:val="en-US"/>
        </w:rPr>
        <w:t>SN pc</w:t>
      </w:r>
      <w:r>
        <w:rPr>
          <w:lang w:val="en-US"/>
        </w:rPr>
        <w:t xml:space="preserve"> </w:t>
      </w:r>
      <w:r>
        <w:rPr>
          <w:i/>
          <w:iCs/>
          <w:lang w:val="en-US"/>
        </w:rPr>
        <w:t xml:space="preserve">(p &lt; </w:t>
      </w:r>
      <w:r>
        <w:rPr>
          <w:lang w:val="en-US"/>
        </w:rPr>
        <w:t xml:space="preserve">0.001). Nissl staining using cresyl violet indicated a similar degree of neuronal loss in </w:t>
      </w:r>
      <w:r w:rsidRPr="0024057E">
        <w:rPr>
          <w:lang w:val="en-US"/>
        </w:rPr>
        <w:t>SN pc</w:t>
      </w:r>
      <w:r>
        <w:rPr>
          <w:lang w:val="en-US"/>
        </w:rPr>
        <w:t xml:space="preserve"> (15%-paraquat, 21% paraquat/maneb) as that observed with TH immunostaining, indicating that the loss of TH immunoreactivity was due at least in part to degeneration of DA neurons. </w:t>
      </w:r>
    </w:p>
    <w:p w14:paraId="0C0804D7" w14:textId="77777777" w:rsidR="00123786" w:rsidRDefault="00123786" w:rsidP="00123786">
      <w:pPr>
        <w:spacing w:before="120"/>
        <w:rPr>
          <w:lang w:val="en-US"/>
        </w:rPr>
      </w:pPr>
      <w:r>
        <w:rPr>
          <w:i/>
          <w:iCs/>
          <w:lang w:val="en-US"/>
        </w:rPr>
        <w:t xml:space="preserve">Motor impairments and parkinsonian behavior: </w:t>
      </w:r>
      <w:r>
        <w:rPr>
          <w:lang w:val="en-US"/>
        </w:rPr>
        <w:t xml:space="preserve">Behavioral observations revealed no statistically significant differences in rats treated with paraquat/maneb compared with paraquat or vehicle (adjoining figure). There was a significant increase in hunch back posture (p &lt; 0.05) and a decrease in speed (p &lt; 0.05) in paraquat/maneb treated rats in relation to vehicle treated rats with a trend towards a decrease in the paraquat treated group. Although there was a trend towards a decrease in the paraquat/maneb group, the score for mobility did not reach significance in any of the treatment groups. Statistical analysis failed to reveal significant behavioral changes over time in treated rats for any of the locomotor measures. </w:t>
      </w:r>
    </w:p>
    <w:p w14:paraId="2AAE68B9" w14:textId="77777777" w:rsidR="00123786" w:rsidRDefault="00123786" w:rsidP="00123786">
      <w:pPr>
        <w:spacing w:before="120"/>
        <w:rPr>
          <w:lang w:val="en-US"/>
        </w:rPr>
      </w:pPr>
      <w:r>
        <w:rPr>
          <w:lang w:val="en-US"/>
        </w:rPr>
        <w:t>These scores can be compared with those for rats treated with a combination of paraquat and maneb where the maximum respective scores for posture was 9 on day 9, 5 on day 9 and 1.3 on day 20; which in the case of posture and speed were statistically significantly different from both the scores of the vehicle group and the paraquat treated group (</w:t>
      </w:r>
      <w:r>
        <w:rPr>
          <w:i/>
          <w:lang w:val="en-US"/>
        </w:rPr>
        <w:t>p</w:t>
      </w:r>
      <w:r>
        <w:rPr>
          <w:lang w:val="en-US"/>
        </w:rPr>
        <w:t xml:space="preserve"> &lt; 0.05).</w:t>
      </w:r>
    </w:p>
    <w:p w14:paraId="7FF45905" w14:textId="77777777" w:rsidR="00123786" w:rsidRDefault="00123786" w:rsidP="00123786">
      <w:pPr>
        <w:spacing w:before="120"/>
        <w:rPr>
          <w:lang w:val="en-US"/>
        </w:rPr>
      </w:pPr>
      <w:r>
        <w:rPr>
          <w:i/>
          <w:iCs/>
          <w:lang w:val="en-US"/>
        </w:rPr>
        <w:t xml:space="preserve">Neuroinflammatory response: </w:t>
      </w:r>
      <w:r>
        <w:rPr>
          <w:lang w:val="en-US"/>
        </w:rPr>
        <w:t xml:space="preserve">Activation of microglia, was detected within the </w:t>
      </w:r>
      <w:r w:rsidRPr="0024057E">
        <w:rPr>
          <w:lang w:val="en-US"/>
        </w:rPr>
        <w:t>SN pc</w:t>
      </w:r>
      <w:r>
        <w:rPr>
          <w:lang w:val="en-US"/>
        </w:rPr>
        <w:t xml:space="preserve"> of treated animals where a significant decrease in TH-ir cells was observed. Control animals were all characterized by the absence of activated microglia in any brain region sampled for observation. Activated microglia in the paraquat treated rats were confined to the </w:t>
      </w:r>
      <w:r w:rsidRPr="0024057E">
        <w:rPr>
          <w:lang w:val="en-US"/>
        </w:rPr>
        <w:t>SN pc</w:t>
      </w:r>
      <w:r>
        <w:rPr>
          <w:lang w:val="en-US"/>
        </w:rPr>
        <w:t xml:space="preserve">, whereas activated microglia were seen in the </w:t>
      </w:r>
      <w:r w:rsidRPr="0024057E">
        <w:rPr>
          <w:lang w:val="en-US"/>
        </w:rPr>
        <w:t>SN pc</w:t>
      </w:r>
      <w:r>
        <w:rPr>
          <w:lang w:val="en-US"/>
        </w:rPr>
        <w:t xml:space="preserve"> and VTA of paraquat/maneb treated rats. </w:t>
      </w:r>
    </w:p>
    <w:p w14:paraId="5C081086" w14:textId="77777777" w:rsidR="00123786" w:rsidRDefault="00123786" w:rsidP="00123786">
      <w:pPr>
        <w:spacing w:before="120"/>
        <w:rPr>
          <w:lang w:val="en-US"/>
        </w:rPr>
      </w:pPr>
      <w:r>
        <w:rPr>
          <w:i/>
          <w:lang w:val="en-US"/>
        </w:rPr>
        <w:t>Conclusion:</w:t>
      </w:r>
      <w:r>
        <w:rPr>
          <w:lang w:val="en-US"/>
        </w:rPr>
        <w:t xml:space="preserve"> This study provided evidence that paraquat alone and paraquat in combination with maneb is toxic to rat dopaminergic neurons both </w:t>
      </w:r>
      <w:r>
        <w:rPr>
          <w:i/>
          <w:lang w:val="en-US"/>
        </w:rPr>
        <w:t>in</w:t>
      </w:r>
      <w:r>
        <w:rPr>
          <w:lang w:val="en-US"/>
        </w:rPr>
        <w:t xml:space="preserve"> </w:t>
      </w:r>
      <w:r>
        <w:rPr>
          <w:i/>
          <w:lang w:val="en-US"/>
        </w:rPr>
        <w:t>vitro</w:t>
      </w:r>
      <w:r>
        <w:rPr>
          <w:lang w:val="en-US"/>
        </w:rPr>
        <w:t xml:space="preserve"> and </w:t>
      </w:r>
      <w:r>
        <w:rPr>
          <w:i/>
          <w:lang w:val="en-US"/>
        </w:rPr>
        <w:t>in vivo</w:t>
      </w:r>
      <w:r>
        <w:rPr>
          <w:lang w:val="en-US"/>
        </w:rPr>
        <w:t xml:space="preserve"> and that the combination leads to Parkinson-like movement deficits. However evidence for the induction of Parkinson-like movement deficits by paraquat </w:t>
      </w:r>
      <w:r w:rsidR="00DB3E70">
        <w:rPr>
          <w:lang w:val="en-US"/>
        </w:rPr>
        <w:t xml:space="preserve">alone </w:t>
      </w:r>
      <w:r>
        <w:rPr>
          <w:lang w:val="en-US"/>
        </w:rPr>
        <w:t xml:space="preserve">was limited. </w:t>
      </w:r>
    </w:p>
    <w:p w14:paraId="3C6EBA53" w14:textId="77777777" w:rsidR="00123786" w:rsidRDefault="00123786" w:rsidP="00123786">
      <w:pPr>
        <w:spacing w:before="120"/>
        <w:rPr>
          <w:lang w:val="en-US"/>
        </w:rPr>
      </w:pPr>
      <w:r>
        <w:rPr>
          <w:lang w:val="en-US"/>
        </w:rPr>
        <w:t xml:space="preserve">Also shown here was </w:t>
      </w:r>
      <w:r w:rsidR="00011149">
        <w:rPr>
          <w:lang w:val="en-US"/>
        </w:rPr>
        <w:t>DA</w:t>
      </w:r>
      <w:r>
        <w:rPr>
          <w:lang w:val="en-US"/>
        </w:rPr>
        <w:t xml:space="preserve"> degeneration, associated with markers of neuroinflammation, in response to paraquat and maneb VM DA cultures. </w:t>
      </w:r>
      <w:r>
        <w:rPr>
          <w:i/>
          <w:lang w:val="en-US"/>
        </w:rPr>
        <w:t>In vivo</w:t>
      </w:r>
      <w:r>
        <w:rPr>
          <w:lang w:val="en-US"/>
        </w:rPr>
        <w:t>, degeneration of DA neurons and inflammation in response to systemic administration in the rat of a combination of paraquat and maneb was observed. The importance of inflammation in the production of movement disorder remains to be elucidated.</w:t>
      </w:r>
    </w:p>
    <w:p w14:paraId="7EEECD3A" w14:textId="77777777" w:rsidR="00123786" w:rsidRPr="002B2CFC" w:rsidRDefault="00123786" w:rsidP="002B2CFC">
      <w:pPr>
        <w:rPr>
          <w:szCs w:val="24"/>
          <w:lang w:val="en-US" w:eastAsia="en-US"/>
        </w:rPr>
      </w:pPr>
    </w:p>
    <w:p w14:paraId="2A442A6D" w14:textId="77777777" w:rsidR="002B2CFC" w:rsidRPr="002B2CFC" w:rsidRDefault="002B2CFC" w:rsidP="002B2CFC">
      <w:pPr>
        <w:rPr>
          <w:szCs w:val="24"/>
          <w:lang w:val="en-US" w:eastAsia="en-US"/>
        </w:rPr>
      </w:pPr>
    </w:p>
    <w:p w14:paraId="141C50EC" w14:textId="77777777" w:rsidR="002B2CFC" w:rsidRPr="002B2CFC" w:rsidRDefault="002B2CFC" w:rsidP="002B2CFC">
      <w:pPr>
        <w:rPr>
          <w:b/>
          <w:szCs w:val="24"/>
          <w:lang w:eastAsia="en-US"/>
        </w:rPr>
      </w:pPr>
      <w:r w:rsidRPr="002B2CFC">
        <w:rPr>
          <w:b/>
          <w:szCs w:val="24"/>
          <w:lang w:eastAsia="en-US"/>
        </w:rPr>
        <w:t xml:space="preserve">Corasaniti MT, Bagetta G, Rodino P, Gratteri S &amp; Nistico G (1992) Neurotoxic effects induced by intracerebral and systemic injection of paraquat in rats. </w:t>
      </w:r>
      <w:r w:rsidRPr="004D6C19">
        <w:rPr>
          <w:b/>
          <w:i/>
          <w:szCs w:val="24"/>
          <w:lang w:eastAsia="en-US"/>
        </w:rPr>
        <w:t>Hum Exp Toxicol</w:t>
      </w:r>
      <w:r w:rsidRPr="002B2CFC">
        <w:rPr>
          <w:b/>
          <w:szCs w:val="24"/>
          <w:lang w:eastAsia="en-US"/>
        </w:rPr>
        <w:t xml:space="preserve"> 11: 535-539.</w:t>
      </w:r>
    </w:p>
    <w:p w14:paraId="1D591F7D" w14:textId="77777777" w:rsidR="002B2CFC" w:rsidRPr="002B2CFC" w:rsidRDefault="002B2CFC" w:rsidP="002B2CFC">
      <w:pPr>
        <w:rPr>
          <w:szCs w:val="24"/>
          <w:lang w:val="en-US" w:eastAsia="en-US"/>
        </w:rPr>
      </w:pPr>
    </w:p>
    <w:p w14:paraId="7F19C943" w14:textId="77777777" w:rsidR="002B2CFC" w:rsidRDefault="002B2CFC" w:rsidP="002B2CFC">
      <w:pPr>
        <w:rPr>
          <w:szCs w:val="24"/>
          <w:lang w:val="en-US" w:eastAsia="en-US"/>
        </w:rPr>
      </w:pPr>
      <w:r w:rsidRPr="002B2CFC">
        <w:rPr>
          <w:szCs w:val="24"/>
          <w:lang w:val="en-US" w:eastAsia="en-US"/>
        </w:rPr>
        <w:t xml:space="preserve">The neurotoxicity of paraquat in rats was investigated following a single intracerebral </w:t>
      </w:r>
      <w:r w:rsidR="00085746">
        <w:rPr>
          <w:szCs w:val="24"/>
          <w:lang w:val="en-US" w:eastAsia="en-US"/>
        </w:rPr>
        <w:t xml:space="preserve"> or subcutaneous injection. </w:t>
      </w:r>
    </w:p>
    <w:p w14:paraId="1B4AFACA" w14:textId="77777777" w:rsidR="00123786" w:rsidRDefault="00123786" w:rsidP="002B2CFC">
      <w:pPr>
        <w:rPr>
          <w:szCs w:val="24"/>
          <w:lang w:val="en-US" w:eastAsia="en-US"/>
        </w:rPr>
      </w:pPr>
    </w:p>
    <w:p w14:paraId="2683DD25" w14:textId="77777777" w:rsidR="00123786" w:rsidRDefault="00123786" w:rsidP="00123786">
      <w:r>
        <w:t xml:space="preserve">Paraquat (unspecified purity, batch no. and source) in double distilled pyrogen-free water was administered intracerebroventricularly to 6 adult male Wistar rats/group (280-300 g; unspecified source) at 0 (vehicle control), 0.01 or 0.1 </w:t>
      </w:r>
      <w:r>
        <w:sym w:font="Symbol" w:char="F06D"/>
      </w:r>
      <w:r>
        <w:t xml:space="preserve">mol (equivalent to 0, 1.86 and 18.6 </w:t>
      </w:r>
      <w:r>
        <w:sym w:font="Symbol" w:char="F06D"/>
      </w:r>
      <w:r>
        <w:t xml:space="preserve">g paraquat, or 0, 1.34 and 13.4 </w:t>
      </w:r>
      <w:r>
        <w:sym w:font="Symbol" w:char="F06D"/>
      </w:r>
      <w:r>
        <w:t xml:space="preserve">g paraquat cation, respectively). Rats had previously been implanted with 25-gauge stainless steel guide cannulas under chloral hydrate anaesthesia and allowed to recover for one week prior to compound administration. A 5 </w:t>
      </w:r>
      <w:r>
        <w:sym w:font="Symbol" w:char="F06D"/>
      </w:r>
      <w:r>
        <w:t xml:space="preserve">L Hamilton syringe </w:t>
      </w:r>
      <w:r>
        <w:lastRenderedPageBreak/>
        <w:t xml:space="preserve">was used to inject 1 </w:t>
      </w:r>
      <w:r>
        <w:sym w:font="Symbol" w:char="F06D"/>
      </w:r>
      <w:r>
        <w:t xml:space="preserve">L of paraquat over a minute. Separate groups of rats were administered a sc injection of paraquat at 0 (n=6), 5.0 (n=6) or 20 mg/kg bw (n=15) (equivalent to 0, 3.6 and 14.4 mg/kg bw paraquat cation, respectively. Electrocortical recordings (ECoG) were measured as described by Bagetta </w:t>
      </w:r>
      <w:r w:rsidRPr="0058670C">
        <w:rPr>
          <w:i/>
        </w:rPr>
        <w:t>et al</w:t>
      </w:r>
      <w:r>
        <w:t xml:space="preserve"> (1988). Rats were observed for any postural and locomotor changes, and convulsive behaviours under blind conditions over a 4 hour period. Twenty-four hours after paraquat administration, all surviving animals were anaesthetised, their brains removed and histopathologically examined. Paraquat concentrations in the caudate, hippocampus and pyriform cortex were measured by HPLC.</w:t>
      </w:r>
    </w:p>
    <w:p w14:paraId="2BC78C0A" w14:textId="77777777" w:rsidR="00123786" w:rsidRDefault="00123786" w:rsidP="00123786"/>
    <w:p w14:paraId="21542CEF" w14:textId="77777777" w:rsidR="00123786" w:rsidRDefault="00123786" w:rsidP="00123786">
      <w:r>
        <w:t xml:space="preserve">No behavioural abnormalities or neuropathology were reported following an intrahippocampal injection of 0.01 </w:t>
      </w:r>
      <w:r>
        <w:sym w:font="Symbol" w:char="F06D"/>
      </w:r>
      <w:r>
        <w:t xml:space="preserve">mol paraquat. At 0.1 </w:t>
      </w:r>
      <w:r>
        <w:sym w:font="Symbol" w:char="F06D"/>
      </w:r>
      <w:r>
        <w:t xml:space="preserve">mol, ataxia in an unspecified number of rats was reported within 10 minutes of injection followed by behavioural stimulation (clonus of the upper extremities, movement of the ears and vibrissae) which lasted for approximately 60 minutes. During the 4 hour observation period, 2-4 generalised seizures were observed in an unspecified number of rats treated with 0.1 </w:t>
      </w:r>
      <w:r>
        <w:sym w:font="Symbol" w:char="F06D"/>
      </w:r>
      <w:r>
        <w:t xml:space="preserve">mol paraquat, and these seizures lasted for 20-50 seconds. Photomicrographs indicated that 24 h after an intrahippocampal injection of 0.1 </w:t>
      </w:r>
      <w:r>
        <w:sym w:font="Symbol" w:char="F06D"/>
      </w:r>
      <w:r>
        <w:t xml:space="preserve">mol paraquat, neuronal death was observed in the CA1 and CA3 pyramidal cell layers, the granule cell layer, and hilus fascia dentata of the hippocampus, and the pyriform complex. The study authors reported that microinfusion of 0.2-0.4 </w:t>
      </w:r>
      <w:r>
        <w:sym w:font="Symbol" w:char="F06D"/>
      </w:r>
      <w:r>
        <w:t xml:space="preserve">mol paraquat into the locus coeruleus or </w:t>
      </w:r>
      <w:r w:rsidR="00A4092E">
        <w:t>SN</w:t>
      </w:r>
      <w:r>
        <w:t xml:space="preserve"> produced ‘powerful stimulatory effects culminating in the high voltage ECoG spikes and motor seizures’, however no evidence was provided to support these findings. It was reported that neuronal cell death occurred in the injected areas of these animals.</w:t>
      </w:r>
    </w:p>
    <w:p w14:paraId="354C835F" w14:textId="77777777" w:rsidR="00123786" w:rsidRDefault="00123786" w:rsidP="00123786"/>
    <w:p w14:paraId="5358B657" w14:textId="77777777" w:rsidR="00123786" w:rsidRDefault="00123786" w:rsidP="00123786">
      <w:r>
        <w:t xml:space="preserve">No behavioural abnormalities or brain damage were reported in rats administered 5.0 mg/kg bw paraquat sc. At 20 mg/kg bw, tremors, wet dog shake movements of the vibrissae, clonus of the forelimbs and rearing were observed in 10/15 rats within 15 minutes of injection. Photomicrographs illustrated that neuronal death occurred in the pyriform cortex of these rats. This correlated with brain paraquat analysis which revealed that the pyriform cortex contained the highest concentration of paraquat (208 </w:t>
      </w:r>
      <w:r>
        <w:rPr>
          <w:u w:val="single"/>
        </w:rPr>
        <w:t>+</w:t>
      </w:r>
      <w:r>
        <w:t xml:space="preserve"> 20 and 870 </w:t>
      </w:r>
      <w:r>
        <w:rPr>
          <w:u w:val="single"/>
        </w:rPr>
        <w:t>+</w:t>
      </w:r>
      <w:r>
        <w:t xml:space="preserve"> 289 ng/g wet tissue at 5 and 20 mg/kg bw, respectively) followed by the hippocampus (137 </w:t>
      </w:r>
      <w:r>
        <w:rPr>
          <w:u w:val="single"/>
        </w:rPr>
        <w:t>+</w:t>
      </w:r>
      <w:r>
        <w:t xml:space="preserve"> 9.0 and 700 </w:t>
      </w:r>
      <w:r>
        <w:rPr>
          <w:u w:val="single"/>
        </w:rPr>
        <w:t>+</w:t>
      </w:r>
      <w:r>
        <w:t xml:space="preserve"> 180 ng/g wet tissue at 5 and 20 mg/kg bw, respectively) and the caudate (85 </w:t>
      </w:r>
      <w:r>
        <w:rPr>
          <w:u w:val="single"/>
        </w:rPr>
        <w:t>+</w:t>
      </w:r>
      <w:r>
        <w:t xml:space="preserve"> 9.0 and 483 </w:t>
      </w:r>
      <w:r>
        <w:rPr>
          <w:u w:val="single"/>
        </w:rPr>
        <w:t>+</w:t>
      </w:r>
      <w:r>
        <w:t xml:space="preserve"> 180 ng/g wet tissue at 5 and 20 mg/kg bw, respectively).</w:t>
      </w:r>
    </w:p>
    <w:p w14:paraId="0D5817DA" w14:textId="77777777" w:rsidR="00123786" w:rsidRDefault="00123786" w:rsidP="00123786"/>
    <w:p w14:paraId="0797BD6C" w14:textId="77777777" w:rsidR="00123786" w:rsidRDefault="00123786" w:rsidP="00123786">
      <w:r>
        <w:t xml:space="preserve">In summary, intrahippocampal injection of paraquat into male Wistar rats resulted in neuronal death and damage to the pyriform cortex, ataxia, behavioural stimulation and generalised seizures at 0.10 </w:t>
      </w:r>
      <w:r>
        <w:sym w:font="Symbol" w:char="F06D"/>
      </w:r>
      <w:r>
        <w:t xml:space="preserve">mol (equivalent to18.6 </w:t>
      </w:r>
      <w:r>
        <w:sym w:font="Symbol" w:char="F06D"/>
      </w:r>
      <w:r>
        <w:t xml:space="preserve">g paraquat or 13.4 </w:t>
      </w:r>
      <w:r>
        <w:sym w:font="Symbol" w:char="F06D"/>
      </w:r>
      <w:r>
        <w:t>g paraquat cation). A single sc injection of paraquat into male Wistar rats caused neuronal death and damage in the pyriform cortex, and abnormal behaviour (tremors, wet dog shakes, clonus and rearing) were seen at 20 mg/kg bw. The main limitations of this study were the use of 2 dose levels and the absence of quantitative data.</w:t>
      </w:r>
    </w:p>
    <w:p w14:paraId="3D1DFF74" w14:textId="77777777" w:rsidR="000E221D" w:rsidRDefault="000E221D" w:rsidP="002B2CFC">
      <w:pPr>
        <w:rPr>
          <w:b/>
          <w:szCs w:val="24"/>
          <w:lang w:eastAsia="en-US"/>
        </w:rPr>
      </w:pPr>
    </w:p>
    <w:p w14:paraId="42DDE619" w14:textId="77777777" w:rsidR="002B2CFC" w:rsidRPr="002B2CFC" w:rsidRDefault="002B2CFC" w:rsidP="002B2CFC">
      <w:pPr>
        <w:rPr>
          <w:b/>
          <w:szCs w:val="24"/>
          <w:lang w:eastAsia="en-US"/>
        </w:rPr>
      </w:pPr>
      <w:r w:rsidRPr="002B2CFC">
        <w:rPr>
          <w:b/>
          <w:szCs w:val="24"/>
          <w:lang w:eastAsia="en-US"/>
        </w:rPr>
        <w:t>Endo T, Hara S, Kano S &amp; Kuriiwa F (1988) Effects of a paraquat-containing herbicide, Gramoxone</w:t>
      </w:r>
      <w:r w:rsidRPr="002B2CFC">
        <w:rPr>
          <w:b/>
          <w:szCs w:val="24"/>
          <w:lang w:eastAsia="en-US"/>
        </w:rPr>
        <w:sym w:font="Symbol" w:char="F0D2"/>
      </w:r>
      <w:r w:rsidRPr="002B2CFC">
        <w:rPr>
          <w:b/>
          <w:szCs w:val="24"/>
          <w:lang w:eastAsia="en-US"/>
        </w:rPr>
        <w:t xml:space="preserve"> on the central monoamines and acetylcholine in mice. </w:t>
      </w:r>
      <w:r w:rsidRPr="004D6C19">
        <w:rPr>
          <w:b/>
          <w:i/>
          <w:szCs w:val="24"/>
          <w:lang w:eastAsia="en-US"/>
        </w:rPr>
        <w:t xml:space="preserve">Res Commun Psychol Psych Behav </w:t>
      </w:r>
      <w:r w:rsidRPr="002B2CFC">
        <w:rPr>
          <w:b/>
          <w:szCs w:val="24"/>
          <w:lang w:eastAsia="en-US"/>
        </w:rPr>
        <w:t>13(4): 261-270.</w:t>
      </w:r>
    </w:p>
    <w:p w14:paraId="55D12892" w14:textId="77777777" w:rsidR="002B2CFC" w:rsidRPr="002B2CFC" w:rsidRDefault="002B2CFC" w:rsidP="002B2CFC">
      <w:pPr>
        <w:rPr>
          <w:szCs w:val="24"/>
          <w:lang w:val="en-US" w:eastAsia="en-US"/>
        </w:rPr>
      </w:pPr>
    </w:p>
    <w:p w14:paraId="540E3A8F" w14:textId="77777777" w:rsidR="002B2CFC" w:rsidRDefault="002B2CFC" w:rsidP="002B2CFC">
      <w:pPr>
        <w:rPr>
          <w:szCs w:val="24"/>
          <w:lang w:eastAsia="en-US"/>
        </w:rPr>
      </w:pPr>
      <w:r w:rsidRPr="002B2CFC">
        <w:rPr>
          <w:szCs w:val="24"/>
          <w:lang w:val="en-US" w:eastAsia="en-US"/>
        </w:rPr>
        <w:t xml:space="preserve">The effect of Gramoxone on the concentration of various central monoamines and acetylcholine were determined in the cerebral cortex, midbrain and pons/medulla oblongata 12 </w:t>
      </w:r>
      <w:r w:rsidRPr="002B2CFC">
        <w:rPr>
          <w:szCs w:val="24"/>
          <w:lang w:val="en-US" w:eastAsia="en-US"/>
        </w:rPr>
        <w:lastRenderedPageBreak/>
        <w:t xml:space="preserve">days after po administration to male mice at 0, 3.12, 10.4 and 31.2 mg/kg bw/d (equivalent to 0, 2.25, 7.5 and 22.5 mg/kg bw paraquat cation) for 3 consecutive days. </w:t>
      </w:r>
    </w:p>
    <w:p w14:paraId="40E971C4" w14:textId="77777777" w:rsidR="00212568" w:rsidRDefault="00212568" w:rsidP="002B2CFC">
      <w:pPr>
        <w:rPr>
          <w:szCs w:val="24"/>
          <w:lang w:eastAsia="en-US"/>
        </w:rPr>
      </w:pPr>
    </w:p>
    <w:p w14:paraId="56BE42AB" w14:textId="77777777" w:rsidR="00212568" w:rsidRDefault="00212568" w:rsidP="00212568">
      <w:r>
        <w:t xml:space="preserve">Gramoxone (24% paraquat; unspecified batch no; Nihon Nohyaku Co., Tokyo, Japan) in distilled water was administered orally to male ICR-strain mice (22-24 g body weight; unspecified age and source) at 0, 3.12, 10.4 or 31.2 mg/kg bw/d (equivalent to 0, 2.25, 7.5 and 22.5 mg/kg bw/d cation, respectively) for 3 consecutive days. The exact method of po administration was unspecified. Mice were sacrificed 12 days after the last administration of Gramoxone, their brains removed and the cerebral cortex, midbrain and pons/medulla oblongata isolated. Tissues were homogenised and analysed for </w:t>
      </w:r>
      <w:r w:rsidR="00011149">
        <w:t>DA</w:t>
      </w:r>
      <w:r>
        <w:t xml:space="preserve">, DOPAC, HVA, norepinephrine, </w:t>
      </w:r>
      <w:r w:rsidR="001875D7">
        <w:t>5-HT</w:t>
      </w:r>
      <w:r>
        <w:t xml:space="preserve"> and 5-hydroxyindoleacetic acid (5-HIAA) using HPLC. The concentration of acetylcholine and choline in homogenates of each of the 3 brain regions was determined using a commercially available acetylcholine assay kit (BAS Co., Tokyo, Japan). All data were analysed using a Student’s t-test.</w:t>
      </w:r>
    </w:p>
    <w:p w14:paraId="5C108B7C" w14:textId="77777777" w:rsidR="00212568" w:rsidRDefault="00212568" w:rsidP="00212568"/>
    <w:p w14:paraId="01C40D6F" w14:textId="77777777" w:rsidR="00212568" w:rsidRDefault="00212568" w:rsidP="00212568">
      <w:r>
        <w:t xml:space="preserve">The presence/absence of clinical signs were unreported. There was no treatment-related effect on the concentration of </w:t>
      </w:r>
      <w:r w:rsidR="00011149">
        <w:t>DA</w:t>
      </w:r>
      <w:r>
        <w:t xml:space="preserve">, DOPAC, HVA, norepinephrine, </w:t>
      </w:r>
      <w:r w:rsidR="001875D7">
        <w:t>5-HT</w:t>
      </w:r>
      <w:r>
        <w:t xml:space="preserve">, 5-HIAA or acetylcholine in the cerebral cortex. There was however a statistically significant elevation (p&lt;0.05) in the concentration of choline at the mid and high dose (261 </w:t>
      </w:r>
      <w:r>
        <w:rPr>
          <w:u w:val="single"/>
        </w:rPr>
        <w:t>+</w:t>
      </w:r>
      <w:r>
        <w:t xml:space="preserve"> 31 and 400 </w:t>
      </w:r>
      <w:r>
        <w:rPr>
          <w:u w:val="single"/>
        </w:rPr>
        <w:t>+</w:t>
      </w:r>
      <w:r>
        <w:t xml:space="preserve"> 88 nmoles/tissue, respectively) relative to the control (183 </w:t>
      </w:r>
      <w:r>
        <w:rPr>
          <w:u w:val="single"/>
        </w:rPr>
        <w:t>+</w:t>
      </w:r>
      <w:r>
        <w:t xml:space="preserve"> 16 nmoles/tissue).</w:t>
      </w:r>
    </w:p>
    <w:p w14:paraId="594418B0" w14:textId="77777777" w:rsidR="00212568" w:rsidRDefault="00212568" w:rsidP="00212568"/>
    <w:p w14:paraId="24740F14" w14:textId="75EFE57E" w:rsidR="00212568" w:rsidRDefault="00212568" w:rsidP="00212568">
      <w:r>
        <w:t xml:space="preserve">There was a dose-related depression in the concentration of </w:t>
      </w:r>
      <w:r w:rsidR="00011149">
        <w:t>DA</w:t>
      </w:r>
      <w:r>
        <w:t xml:space="preserve"> and norepinephrine in the midbrain, with the effect statistically significant (p&lt;0.05) at the highest dose only (see </w:t>
      </w:r>
      <w:r w:rsidR="003A31EB">
        <w:fldChar w:fldCharType="begin"/>
      </w:r>
      <w:r w:rsidR="003A31EB">
        <w:instrText xml:space="preserve"> REF _Ref410308918 </w:instrText>
      </w:r>
      <w:r w:rsidR="003A31EB">
        <w:fldChar w:fldCharType="separate"/>
      </w:r>
      <w:r w:rsidR="000E54B2">
        <w:t xml:space="preserve">Table </w:t>
      </w:r>
      <w:r w:rsidR="000E54B2">
        <w:rPr>
          <w:noProof/>
        </w:rPr>
        <w:t>46</w:t>
      </w:r>
      <w:r w:rsidR="003A31EB">
        <w:rPr>
          <w:noProof/>
        </w:rPr>
        <w:fldChar w:fldCharType="end"/>
      </w:r>
      <w:r w:rsidR="004E23B0">
        <w:t xml:space="preserve"> </w:t>
      </w:r>
      <w:r w:rsidR="003A31EB">
        <w:fldChar w:fldCharType="begin"/>
      </w:r>
      <w:r w:rsidR="003A31EB">
        <w:instrText xml:space="preserve"> REF _Ref427838834 \p </w:instrText>
      </w:r>
      <w:r w:rsidR="003A31EB">
        <w:fldChar w:fldCharType="separate"/>
      </w:r>
      <w:r w:rsidR="000E54B2">
        <w:t>above</w:t>
      </w:r>
      <w:r w:rsidR="003A31EB">
        <w:fldChar w:fldCharType="end"/>
      </w:r>
      <w:r>
        <w:t xml:space="preserve">). There was no treatment-related effect on the concentration of DOPAC or HVA. The concentration of </w:t>
      </w:r>
      <w:r w:rsidR="001875D7">
        <w:t>5-HT</w:t>
      </w:r>
      <w:r>
        <w:t xml:space="preserve"> was significantly lower (p&lt;0.05) than the control at every dose, however in the absence of a dose-r</w:t>
      </w:r>
      <w:r w:rsidR="004E23B0">
        <w:t>esponse effect</w:t>
      </w:r>
      <w:r>
        <w:t xml:space="preserve"> the toxicological significance of this finding was unclear. The concentration of 5-HIAA was significantly elevated at the highest dose (p&lt;0.05). There was no treatment-related effect on the concentration of acetylcholine, while the concentration of choline was significantly elevated (p&lt;0.05) at all</w:t>
      </w:r>
      <w:r w:rsidR="004E23B0">
        <w:t xml:space="preserve"> doses</w:t>
      </w:r>
      <w:r>
        <w:t>. However, the elevation in choline levels did not follow a dose-response pattern and therefore the toxicological significance of this finding was unclear.</w:t>
      </w:r>
    </w:p>
    <w:p w14:paraId="13733568" w14:textId="77777777" w:rsidR="00212568" w:rsidRDefault="00212568" w:rsidP="00212568">
      <w:pPr>
        <w:rPr>
          <w:b/>
        </w:rPr>
      </w:pPr>
    </w:p>
    <w:p w14:paraId="45D480AB" w14:textId="77777777" w:rsidR="00BA33FB" w:rsidRDefault="00BA33FB" w:rsidP="009D0D8F">
      <w:pPr>
        <w:pStyle w:val="Caption"/>
        <w:keepNext/>
        <w:spacing w:after="120"/>
      </w:pPr>
      <w:bookmarkStart w:id="173" w:name="_Ref410308918"/>
      <w:r>
        <w:t xml:space="preserve">Table </w:t>
      </w:r>
      <w:r w:rsidR="00897462">
        <w:fldChar w:fldCharType="begin"/>
      </w:r>
      <w:r>
        <w:instrText xml:space="preserve"> SEQ Table \* ARABIC </w:instrText>
      </w:r>
      <w:r w:rsidR="00897462">
        <w:fldChar w:fldCharType="separate"/>
      </w:r>
      <w:r w:rsidR="000E54B2">
        <w:rPr>
          <w:noProof/>
        </w:rPr>
        <w:t>46</w:t>
      </w:r>
      <w:r w:rsidR="00897462">
        <w:fldChar w:fldCharType="end"/>
      </w:r>
      <w:bookmarkEnd w:id="173"/>
      <w:r>
        <w:t xml:space="preserve">. </w:t>
      </w:r>
      <w:r w:rsidRPr="00FF69D8">
        <w:t>Neurochemical effects of gramoxone in the mouse midbrain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842"/>
        <w:gridCol w:w="1843"/>
        <w:gridCol w:w="1843"/>
        <w:gridCol w:w="1417"/>
      </w:tblGrid>
      <w:tr w:rsidR="00212568" w14:paraId="259564F0" w14:textId="77777777" w:rsidTr="000E221D">
        <w:trPr>
          <w:cantSplit/>
        </w:trPr>
        <w:tc>
          <w:tcPr>
            <w:tcW w:w="2127" w:type="dxa"/>
            <w:vMerge w:val="restart"/>
            <w:shd w:val="clear" w:color="auto" w:fill="BFBFBF" w:themeFill="background1" w:themeFillShade="BF"/>
            <w:vAlign w:val="center"/>
          </w:tcPr>
          <w:p w14:paraId="0458E835" w14:textId="77777777" w:rsidR="00212568" w:rsidRDefault="00212568" w:rsidP="00212568">
            <w:pPr>
              <w:rPr>
                <w:b/>
                <w:sz w:val="20"/>
              </w:rPr>
            </w:pPr>
            <w:r>
              <w:rPr>
                <w:b/>
                <w:sz w:val="20"/>
              </w:rPr>
              <w:t>Neurochemical</w:t>
            </w:r>
          </w:p>
        </w:tc>
        <w:tc>
          <w:tcPr>
            <w:tcW w:w="6945" w:type="dxa"/>
            <w:gridSpan w:val="4"/>
            <w:shd w:val="clear" w:color="auto" w:fill="BFBFBF" w:themeFill="background1" w:themeFillShade="BF"/>
          </w:tcPr>
          <w:p w14:paraId="61D0E2B0" w14:textId="77777777" w:rsidR="00212568" w:rsidRDefault="00212568" w:rsidP="00212568">
            <w:pPr>
              <w:jc w:val="center"/>
              <w:rPr>
                <w:b/>
                <w:sz w:val="20"/>
              </w:rPr>
            </w:pPr>
            <w:r>
              <w:rPr>
                <w:b/>
                <w:sz w:val="20"/>
              </w:rPr>
              <w:t>Dose of gramoxone (mg/kg bw/d)</w:t>
            </w:r>
          </w:p>
        </w:tc>
      </w:tr>
      <w:tr w:rsidR="00212568" w14:paraId="2BA44474" w14:textId="77777777" w:rsidTr="000E221D">
        <w:trPr>
          <w:cantSplit/>
        </w:trPr>
        <w:tc>
          <w:tcPr>
            <w:tcW w:w="2127" w:type="dxa"/>
            <w:vMerge/>
            <w:shd w:val="clear" w:color="auto" w:fill="BFBFBF" w:themeFill="background1" w:themeFillShade="BF"/>
          </w:tcPr>
          <w:p w14:paraId="6F4E0D59" w14:textId="77777777" w:rsidR="00212568" w:rsidRDefault="00212568" w:rsidP="00212568">
            <w:pPr>
              <w:rPr>
                <w:b/>
                <w:sz w:val="20"/>
              </w:rPr>
            </w:pPr>
          </w:p>
        </w:tc>
        <w:tc>
          <w:tcPr>
            <w:tcW w:w="1842" w:type="dxa"/>
            <w:shd w:val="clear" w:color="auto" w:fill="BFBFBF" w:themeFill="background1" w:themeFillShade="BF"/>
          </w:tcPr>
          <w:p w14:paraId="2062F816" w14:textId="77777777" w:rsidR="00212568" w:rsidRDefault="00212568" w:rsidP="00212568">
            <w:pPr>
              <w:jc w:val="center"/>
              <w:rPr>
                <w:b/>
                <w:sz w:val="20"/>
              </w:rPr>
            </w:pPr>
            <w:r>
              <w:rPr>
                <w:b/>
                <w:sz w:val="20"/>
              </w:rPr>
              <w:t>0</w:t>
            </w:r>
          </w:p>
          <w:p w14:paraId="0FD41513" w14:textId="77777777" w:rsidR="00212568" w:rsidRDefault="00212568" w:rsidP="00212568">
            <w:pPr>
              <w:jc w:val="center"/>
              <w:rPr>
                <w:b/>
                <w:sz w:val="20"/>
              </w:rPr>
            </w:pPr>
            <w:r>
              <w:rPr>
                <w:b/>
                <w:sz w:val="20"/>
              </w:rPr>
              <w:t>(n=7)</w:t>
            </w:r>
          </w:p>
        </w:tc>
        <w:tc>
          <w:tcPr>
            <w:tcW w:w="1843" w:type="dxa"/>
            <w:shd w:val="clear" w:color="auto" w:fill="BFBFBF" w:themeFill="background1" w:themeFillShade="BF"/>
          </w:tcPr>
          <w:p w14:paraId="56392C67" w14:textId="77777777" w:rsidR="00212568" w:rsidRDefault="00212568" w:rsidP="00212568">
            <w:pPr>
              <w:jc w:val="center"/>
              <w:rPr>
                <w:b/>
                <w:sz w:val="20"/>
              </w:rPr>
            </w:pPr>
            <w:r>
              <w:rPr>
                <w:b/>
                <w:sz w:val="20"/>
              </w:rPr>
              <w:t>3.12</w:t>
            </w:r>
          </w:p>
          <w:p w14:paraId="6A695597" w14:textId="77777777" w:rsidR="00212568" w:rsidRDefault="00212568" w:rsidP="00212568">
            <w:pPr>
              <w:jc w:val="center"/>
              <w:rPr>
                <w:b/>
                <w:sz w:val="20"/>
              </w:rPr>
            </w:pPr>
            <w:r>
              <w:rPr>
                <w:b/>
                <w:sz w:val="20"/>
              </w:rPr>
              <w:t>(n=9)</w:t>
            </w:r>
          </w:p>
        </w:tc>
        <w:tc>
          <w:tcPr>
            <w:tcW w:w="1843" w:type="dxa"/>
            <w:shd w:val="clear" w:color="auto" w:fill="BFBFBF" w:themeFill="background1" w:themeFillShade="BF"/>
          </w:tcPr>
          <w:p w14:paraId="66056A74" w14:textId="77777777" w:rsidR="00212568" w:rsidRDefault="00212568" w:rsidP="00212568">
            <w:pPr>
              <w:jc w:val="center"/>
              <w:rPr>
                <w:b/>
                <w:sz w:val="20"/>
              </w:rPr>
            </w:pPr>
            <w:r>
              <w:rPr>
                <w:b/>
                <w:sz w:val="20"/>
              </w:rPr>
              <w:t>10.4</w:t>
            </w:r>
          </w:p>
          <w:p w14:paraId="78D1D3DB" w14:textId="77777777" w:rsidR="00212568" w:rsidRDefault="00212568" w:rsidP="00212568">
            <w:pPr>
              <w:jc w:val="center"/>
              <w:rPr>
                <w:b/>
                <w:sz w:val="20"/>
              </w:rPr>
            </w:pPr>
            <w:r>
              <w:rPr>
                <w:b/>
                <w:sz w:val="20"/>
              </w:rPr>
              <w:t>(n=8)</w:t>
            </w:r>
          </w:p>
        </w:tc>
        <w:tc>
          <w:tcPr>
            <w:tcW w:w="1417" w:type="dxa"/>
            <w:shd w:val="clear" w:color="auto" w:fill="BFBFBF" w:themeFill="background1" w:themeFillShade="BF"/>
          </w:tcPr>
          <w:p w14:paraId="24B97218" w14:textId="77777777" w:rsidR="00212568" w:rsidRDefault="00212568" w:rsidP="00212568">
            <w:pPr>
              <w:jc w:val="center"/>
              <w:rPr>
                <w:b/>
                <w:sz w:val="20"/>
              </w:rPr>
            </w:pPr>
            <w:r>
              <w:rPr>
                <w:b/>
                <w:sz w:val="20"/>
              </w:rPr>
              <w:t>31.2</w:t>
            </w:r>
          </w:p>
          <w:p w14:paraId="795ACE2B" w14:textId="77777777" w:rsidR="00212568" w:rsidRDefault="00212568" w:rsidP="00212568">
            <w:pPr>
              <w:jc w:val="center"/>
              <w:rPr>
                <w:b/>
                <w:sz w:val="20"/>
              </w:rPr>
            </w:pPr>
            <w:r>
              <w:rPr>
                <w:b/>
                <w:sz w:val="20"/>
              </w:rPr>
              <w:t>(n=8)</w:t>
            </w:r>
          </w:p>
        </w:tc>
      </w:tr>
      <w:tr w:rsidR="00212568" w14:paraId="4BFF3AB7" w14:textId="77777777" w:rsidTr="00212568">
        <w:tc>
          <w:tcPr>
            <w:tcW w:w="2127" w:type="dxa"/>
          </w:tcPr>
          <w:p w14:paraId="57E2E14B" w14:textId="77777777" w:rsidR="00212568" w:rsidRDefault="00011149" w:rsidP="00212568">
            <w:pPr>
              <w:rPr>
                <w:b/>
                <w:sz w:val="20"/>
              </w:rPr>
            </w:pPr>
            <w:r>
              <w:rPr>
                <w:b/>
                <w:sz w:val="20"/>
              </w:rPr>
              <w:t>DA</w:t>
            </w:r>
          </w:p>
        </w:tc>
        <w:tc>
          <w:tcPr>
            <w:tcW w:w="1842" w:type="dxa"/>
          </w:tcPr>
          <w:p w14:paraId="35E9DB34" w14:textId="77777777" w:rsidR="00212568" w:rsidRDefault="00212568" w:rsidP="00212568">
            <w:pPr>
              <w:jc w:val="center"/>
              <w:rPr>
                <w:sz w:val="20"/>
              </w:rPr>
            </w:pPr>
            <w:r>
              <w:rPr>
                <w:sz w:val="20"/>
              </w:rPr>
              <w:t xml:space="preserve">1207 </w:t>
            </w:r>
            <w:r>
              <w:rPr>
                <w:sz w:val="20"/>
                <w:u w:val="single"/>
              </w:rPr>
              <w:t>+</w:t>
            </w:r>
            <w:r>
              <w:rPr>
                <w:sz w:val="20"/>
              </w:rPr>
              <w:t xml:space="preserve"> 305</w:t>
            </w:r>
          </w:p>
        </w:tc>
        <w:tc>
          <w:tcPr>
            <w:tcW w:w="1843" w:type="dxa"/>
          </w:tcPr>
          <w:p w14:paraId="678B3560" w14:textId="77777777" w:rsidR="00212568" w:rsidRDefault="00212568" w:rsidP="00212568">
            <w:pPr>
              <w:jc w:val="center"/>
              <w:rPr>
                <w:sz w:val="20"/>
              </w:rPr>
            </w:pPr>
            <w:r>
              <w:rPr>
                <w:sz w:val="20"/>
              </w:rPr>
              <w:t xml:space="preserve">613 </w:t>
            </w:r>
            <w:r>
              <w:rPr>
                <w:sz w:val="20"/>
                <w:u w:val="single"/>
              </w:rPr>
              <w:t>+</w:t>
            </w:r>
            <w:r>
              <w:rPr>
                <w:sz w:val="20"/>
              </w:rPr>
              <w:t xml:space="preserve"> 146</w:t>
            </w:r>
          </w:p>
        </w:tc>
        <w:tc>
          <w:tcPr>
            <w:tcW w:w="1843" w:type="dxa"/>
          </w:tcPr>
          <w:p w14:paraId="628B9BC2" w14:textId="77777777" w:rsidR="00212568" w:rsidRDefault="00212568" w:rsidP="00212568">
            <w:pPr>
              <w:jc w:val="center"/>
              <w:rPr>
                <w:sz w:val="20"/>
              </w:rPr>
            </w:pPr>
            <w:r>
              <w:rPr>
                <w:sz w:val="20"/>
              </w:rPr>
              <w:t xml:space="preserve">491 </w:t>
            </w:r>
            <w:r>
              <w:rPr>
                <w:sz w:val="20"/>
                <w:u w:val="single"/>
              </w:rPr>
              <w:t>+</w:t>
            </w:r>
            <w:r>
              <w:rPr>
                <w:sz w:val="20"/>
              </w:rPr>
              <w:t xml:space="preserve"> 124</w:t>
            </w:r>
          </w:p>
        </w:tc>
        <w:tc>
          <w:tcPr>
            <w:tcW w:w="1417" w:type="dxa"/>
          </w:tcPr>
          <w:p w14:paraId="20E3534B" w14:textId="77777777" w:rsidR="00212568" w:rsidRDefault="00212568" w:rsidP="00212568">
            <w:pPr>
              <w:jc w:val="center"/>
              <w:rPr>
                <w:sz w:val="20"/>
              </w:rPr>
            </w:pPr>
            <w:r>
              <w:rPr>
                <w:sz w:val="20"/>
              </w:rPr>
              <w:t xml:space="preserve">416 </w:t>
            </w:r>
            <w:r>
              <w:rPr>
                <w:sz w:val="20"/>
                <w:u w:val="single"/>
              </w:rPr>
              <w:t>+</w:t>
            </w:r>
            <w:r>
              <w:rPr>
                <w:sz w:val="20"/>
              </w:rPr>
              <w:t xml:space="preserve"> 87*</w:t>
            </w:r>
          </w:p>
        </w:tc>
      </w:tr>
      <w:tr w:rsidR="00212568" w14:paraId="20FA3172" w14:textId="77777777" w:rsidTr="00212568">
        <w:tc>
          <w:tcPr>
            <w:tcW w:w="2127" w:type="dxa"/>
          </w:tcPr>
          <w:p w14:paraId="197C497D" w14:textId="77777777" w:rsidR="00212568" w:rsidRDefault="00212568" w:rsidP="00212568">
            <w:pPr>
              <w:rPr>
                <w:b/>
                <w:sz w:val="20"/>
              </w:rPr>
            </w:pPr>
            <w:r>
              <w:rPr>
                <w:b/>
                <w:sz w:val="20"/>
              </w:rPr>
              <w:t>DOPAC</w:t>
            </w:r>
          </w:p>
        </w:tc>
        <w:tc>
          <w:tcPr>
            <w:tcW w:w="1842" w:type="dxa"/>
          </w:tcPr>
          <w:p w14:paraId="501BED11" w14:textId="77777777" w:rsidR="00212568" w:rsidRDefault="00212568" w:rsidP="00212568">
            <w:pPr>
              <w:jc w:val="center"/>
              <w:rPr>
                <w:sz w:val="20"/>
              </w:rPr>
            </w:pPr>
            <w:r>
              <w:rPr>
                <w:sz w:val="20"/>
              </w:rPr>
              <w:t xml:space="preserve">204 </w:t>
            </w:r>
            <w:r>
              <w:rPr>
                <w:sz w:val="20"/>
                <w:u w:val="single"/>
              </w:rPr>
              <w:t>+</w:t>
            </w:r>
            <w:r>
              <w:rPr>
                <w:sz w:val="20"/>
              </w:rPr>
              <w:t xml:space="preserve"> 37</w:t>
            </w:r>
          </w:p>
        </w:tc>
        <w:tc>
          <w:tcPr>
            <w:tcW w:w="1843" w:type="dxa"/>
          </w:tcPr>
          <w:p w14:paraId="5A6288E7" w14:textId="77777777" w:rsidR="00212568" w:rsidRDefault="00212568" w:rsidP="00212568">
            <w:pPr>
              <w:jc w:val="center"/>
              <w:rPr>
                <w:sz w:val="20"/>
              </w:rPr>
            </w:pPr>
            <w:r>
              <w:rPr>
                <w:sz w:val="20"/>
              </w:rPr>
              <w:t xml:space="preserve">181 </w:t>
            </w:r>
            <w:r>
              <w:rPr>
                <w:sz w:val="20"/>
                <w:u w:val="single"/>
              </w:rPr>
              <w:t>+</w:t>
            </w:r>
            <w:r>
              <w:rPr>
                <w:sz w:val="20"/>
              </w:rPr>
              <w:t xml:space="preserve"> 39</w:t>
            </w:r>
          </w:p>
        </w:tc>
        <w:tc>
          <w:tcPr>
            <w:tcW w:w="1843" w:type="dxa"/>
          </w:tcPr>
          <w:p w14:paraId="112AFD0F" w14:textId="77777777" w:rsidR="00212568" w:rsidRDefault="00212568" w:rsidP="00212568">
            <w:pPr>
              <w:jc w:val="center"/>
              <w:rPr>
                <w:sz w:val="20"/>
              </w:rPr>
            </w:pPr>
            <w:r>
              <w:rPr>
                <w:sz w:val="20"/>
              </w:rPr>
              <w:t xml:space="preserve">187 </w:t>
            </w:r>
            <w:r>
              <w:rPr>
                <w:sz w:val="20"/>
                <w:u w:val="single"/>
              </w:rPr>
              <w:t>+</w:t>
            </w:r>
            <w:r>
              <w:rPr>
                <w:sz w:val="20"/>
              </w:rPr>
              <w:t xml:space="preserve"> 42</w:t>
            </w:r>
          </w:p>
        </w:tc>
        <w:tc>
          <w:tcPr>
            <w:tcW w:w="1417" w:type="dxa"/>
          </w:tcPr>
          <w:p w14:paraId="393AD495" w14:textId="77777777" w:rsidR="00212568" w:rsidRDefault="00212568" w:rsidP="00212568">
            <w:pPr>
              <w:jc w:val="center"/>
              <w:rPr>
                <w:sz w:val="20"/>
              </w:rPr>
            </w:pPr>
            <w:r>
              <w:rPr>
                <w:sz w:val="20"/>
              </w:rPr>
              <w:t xml:space="preserve">230 </w:t>
            </w:r>
            <w:r>
              <w:rPr>
                <w:sz w:val="20"/>
                <w:u w:val="single"/>
              </w:rPr>
              <w:t>+</w:t>
            </w:r>
            <w:r>
              <w:rPr>
                <w:sz w:val="20"/>
              </w:rPr>
              <w:t xml:space="preserve"> 38</w:t>
            </w:r>
          </w:p>
        </w:tc>
      </w:tr>
      <w:tr w:rsidR="00212568" w14:paraId="65222862" w14:textId="77777777" w:rsidTr="00212568">
        <w:tc>
          <w:tcPr>
            <w:tcW w:w="2127" w:type="dxa"/>
          </w:tcPr>
          <w:p w14:paraId="3947A9AC" w14:textId="77777777" w:rsidR="00212568" w:rsidRDefault="00212568" w:rsidP="00212568">
            <w:pPr>
              <w:rPr>
                <w:b/>
                <w:sz w:val="20"/>
              </w:rPr>
            </w:pPr>
            <w:r>
              <w:rPr>
                <w:b/>
                <w:sz w:val="20"/>
              </w:rPr>
              <w:t>HVA</w:t>
            </w:r>
          </w:p>
        </w:tc>
        <w:tc>
          <w:tcPr>
            <w:tcW w:w="1842" w:type="dxa"/>
          </w:tcPr>
          <w:p w14:paraId="0D44FB5D" w14:textId="77777777" w:rsidR="00212568" w:rsidRDefault="00212568" w:rsidP="00212568">
            <w:pPr>
              <w:jc w:val="center"/>
              <w:rPr>
                <w:sz w:val="20"/>
              </w:rPr>
            </w:pPr>
            <w:r>
              <w:rPr>
                <w:sz w:val="20"/>
              </w:rPr>
              <w:t xml:space="preserve">283 </w:t>
            </w:r>
            <w:r>
              <w:rPr>
                <w:sz w:val="20"/>
                <w:u w:val="single"/>
              </w:rPr>
              <w:t>+</w:t>
            </w:r>
            <w:r>
              <w:rPr>
                <w:sz w:val="20"/>
              </w:rPr>
              <w:t xml:space="preserve"> 38</w:t>
            </w:r>
          </w:p>
        </w:tc>
        <w:tc>
          <w:tcPr>
            <w:tcW w:w="1843" w:type="dxa"/>
          </w:tcPr>
          <w:p w14:paraId="2A6BC407" w14:textId="77777777" w:rsidR="00212568" w:rsidRDefault="00212568" w:rsidP="00212568">
            <w:pPr>
              <w:jc w:val="center"/>
              <w:rPr>
                <w:sz w:val="20"/>
              </w:rPr>
            </w:pPr>
            <w:r>
              <w:rPr>
                <w:sz w:val="20"/>
              </w:rPr>
              <w:t xml:space="preserve">195 </w:t>
            </w:r>
            <w:r>
              <w:rPr>
                <w:sz w:val="20"/>
                <w:u w:val="single"/>
              </w:rPr>
              <w:t>+</w:t>
            </w:r>
            <w:r>
              <w:rPr>
                <w:sz w:val="20"/>
              </w:rPr>
              <w:t xml:space="preserve"> 25</w:t>
            </w:r>
          </w:p>
        </w:tc>
        <w:tc>
          <w:tcPr>
            <w:tcW w:w="1843" w:type="dxa"/>
          </w:tcPr>
          <w:p w14:paraId="034BFE96" w14:textId="77777777" w:rsidR="00212568" w:rsidRDefault="00212568" w:rsidP="00212568">
            <w:pPr>
              <w:jc w:val="center"/>
              <w:rPr>
                <w:sz w:val="20"/>
              </w:rPr>
            </w:pPr>
            <w:r>
              <w:rPr>
                <w:sz w:val="20"/>
              </w:rPr>
              <w:t xml:space="preserve">240 </w:t>
            </w:r>
            <w:r>
              <w:rPr>
                <w:sz w:val="20"/>
                <w:u w:val="single"/>
              </w:rPr>
              <w:t>+</w:t>
            </w:r>
            <w:r>
              <w:rPr>
                <w:sz w:val="20"/>
              </w:rPr>
              <w:t xml:space="preserve"> 40</w:t>
            </w:r>
          </w:p>
        </w:tc>
        <w:tc>
          <w:tcPr>
            <w:tcW w:w="1417" w:type="dxa"/>
          </w:tcPr>
          <w:p w14:paraId="15728342" w14:textId="77777777" w:rsidR="00212568" w:rsidRDefault="00212568" w:rsidP="00212568">
            <w:pPr>
              <w:jc w:val="center"/>
              <w:rPr>
                <w:sz w:val="20"/>
              </w:rPr>
            </w:pPr>
            <w:r>
              <w:rPr>
                <w:sz w:val="20"/>
              </w:rPr>
              <w:t xml:space="preserve">240 </w:t>
            </w:r>
            <w:r>
              <w:rPr>
                <w:sz w:val="20"/>
                <w:u w:val="single"/>
              </w:rPr>
              <w:t>+</w:t>
            </w:r>
            <w:r>
              <w:rPr>
                <w:sz w:val="20"/>
              </w:rPr>
              <w:t xml:space="preserve"> 30</w:t>
            </w:r>
          </w:p>
        </w:tc>
      </w:tr>
      <w:tr w:rsidR="00212568" w14:paraId="45402136" w14:textId="77777777" w:rsidTr="00212568">
        <w:tc>
          <w:tcPr>
            <w:tcW w:w="2127" w:type="dxa"/>
          </w:tcPr>
          <w:p w14:paraId="6A742B4A" w14:textId="77777777" w:rsidR="00212568" w:rsidRDefault="00212568" w:rsidP="00212568">
            <w:pPr>
              <w:rPr>
                <w:b/>
                <w:sz w:val="20"/>
              </w:rPr>
            </w:pPr>
            <w:r>
              <w:rPr>
                <w:b/>
                <w:sz w:val="20"/>
              </w:rPr>
              <w:t>Norepinephrine</w:t>
            </w:r>
          </w:p>
        </w:tc>
        <w:tc>
          <w:tcPr>
            <w:tcW w:w="1842" w:type="dxa"/>
          </w:tcPr>
          <w:p w14:paraId="05ADA11C" w14:textId="77777777" w:rsidR="00212568" w:rsidRDefault="00212568" w:rsidP="00212568">
            <w:pPr>
              <w:jc w:val="center"/>
              <w:rPr>
                <w:sz w:val="20"/>
              </w:rPr>
            </w:pPr>
            <w:r>
              <w:rPr>
                <w:sz w:val="20"/>
              </w:rPr>
              <w:t xml:space="preserve">766 </w:t>
            </w:r>
            <w:r>
              <w:rPr>
                <w:sz w:val="20"/>
                <w:u w:val="single"/>
              </w:rPr>
              <w:t>+</w:t>
            </w:r>
            <w:r>
              <w:rPr>
                <w:sz w:val="20"/>
              </w:rPr>
              <w:t xml:space="preserve"> 64</w:t>
            </w:r>
          </w:p>
        </w:tc>
        <w:tc>
          <w:tcPr>
            <w:tcW w:w="1843" w:type="dxa"/>
          </w:tcPr>
          <w:p w14:paraId="710A5FDF" w14:textId="77777777" w:rsidR="00212568" w:rsidRDefault="00212568" w:rsidP="00212568">
            <w:pPr>
              <w:jc w:val="center"/>
              <w:rPr>
                <w:sz w:val="20"/>
              </w:rPr>
            </w:pPr>
            <w:r>
              <w:rPr>
                <w:sz w:val="20"/>
              </w:rPr>
              <w:t xml:space="preserve">649 </w:t>
            </w:r>
            <w:r>
              <w:rPr>
                <w:sz w:val="20"/>
                <w:u w:val="single"/>
              </w:rPr>
              <w:t>+</w:t>
            </w:r>
            <w:r>
              <w:rPr>
                <w:sz w:val="20"/>
              </w:rPr>
              <w:t xml:space="preserve"> 58</w:t>
            </w:r>
          </w:p>
        </w:tc>
        <w:tc>
          <w:tcPr>
            <w:tcW w:w="1843" w:type="dxa"/>
          </w:tcPr>
          <w:p w14:paraId="360CF0C3" w14:textId="77777777" w:rsidR="00212568" w:rsidRDefault="00212568" w:rsidP="00212568">
            <w:pPr>
              <w:jc w:val="center"/>
              <w:rPr>
                <w:sz w:val="20"/>
              </w:rPr>
            </w:pPr>
            <w:r>
              <w:rPr>
                <w:sz w:val="20"/>
              </w:rPr>
              <w:t xml:space="preserve">570 </w:t>
            </w:r>
            <w:r>
              <w:rPr>
                <w:sz w:val="20"/>
                <w:u w:val="single"/>
              </w:rPr>
              <w:t>+</w:t>
            </w:r>
            <w:r>
              <w:rPr>
                <w:sz w:val="20"/>
              </w:rPr>
              <w:t xml:space="preserve"> 51</w:t>
            </w:r>
          </w:p>
        </w:tc>
        <w:tc>
          <w:tcPr>
            <w:tcW w:w="1417" w:type="dxa"/>
          </w:tcPr>
          <w:p w14:paraId="297D4155" w14:textId="77777777" w:rsidR="00212568" w:rsidRDefault="00212568" w:rsidP="00212568">
            <w:pPr>
              <w:jc w:val="center"/>
              <w:rPr>
                <w:sz w:val="20"/>
              </w:rPr>
            </w:pPr>
            <w:r>
              <w:rPr>
                <w:sz w:val="20"/>
              </w:rPr>
              <w:t xml:space="preserve">519 </w:t>
            </w:r>
            <w:r>
              <w:rPr>
                <w:sz w:val="20"/>
                <w:u w:val="single"/>
              </w:rPr>
              <w:t>+</w:t>
            </w:r>
            <w:r>
              <w:rPr>
                <w:sz w:val="20"/>
              </w:rPr>
              <w:t xml:space="preserve"> 40*</w:t>
            </w:r>
          </w:p>
        </w:tc>
      </w:tr>
      <w:tr w:rsidR="00212568" w14:paraId="56B02F10" w14:textId="77777777" w:rsidTr="00212568">
        <w:tc>
          <w:tcPr>
            <w:tcW w:w="2127" w:type="dxa"/>
          </w:tcPr>
          <w:p w14:paraId="4846EB75" w14:textId="77777777" w:rsidR="00212568" w:rsidRDefault="001875D7" w:rsidP="00212568">
            <w:pPr>
              <w:rPr>
                <w:b/>
                <w:sz w:val="20"/>
              </w:rPr>
            </w:pPr>
            <w:r>
              <w:rPr>
                <w:b/>
                <w:sz w:val="20"/>
              </w:rPr>
              <w:t>5-HT</w:t>
            </w:r>
          </w:p>
        </w:tc>
        <w:tc>
          <w:tcPr>
            <w:tcW w:w="1842" w:type="dxa"/>
          </w:tcPr>
          <w:p w14:paraId="63C3D559" w14:textId="77777777" w:rsidR="00212568" w:rsidRDefault="00212568" w:rsidP="00212568">
            <w:pPr>
              <w:jc w:val="center"/>
              <w:rPr>
                <w:sz w:val="20"/>
              </w:rPr>
            </w:pPr>
            <w:r>
              <w:rPr>
                <w:sz w:val="20"/>
              </w:rPr>
              <w:t xml:space="preserve">1196 </w:t>
            </w:r>
            <w:r>
              <w:rPr>
                <w:sz w:val="20"/>
                <w:u w:val="single"/>
              </w:rPr>
              <w:t>+</w:t>
            </w:r>
            <w:r>
              <w:rPr>
                <w:sz w:val="20"/>
              </w:rPr>
              <w:t xml:space="preserve"> 107</w:t>
            </w:r>
          </w:p>
        </w:tc>
        <w:tc>
          <w:tcPr>
            <w:tcW w:w="1843" w:type="dxa"/>
          </w:tcPr>
          <w:p w14:paraId="6ADC9C1C" w14:textId="77777777" w:rsidR="00212568" w:rsidRDefault="00212568" w:rsidP="00212568">
            <w:pPr>
              <w:jc w:val="center"/>
              <w:rPr>
                <w:sz w:val="20"/>
              </w:rPr>
            </w:pPr>
            <w:r>
              <w:rPr>
                <w:sz w:val="20"/>
              </w:rPr>
              <w:t xml:space="preserve">892 </w:t>
            </w:r>
            <w:r>
              <w:rPr>
                <w:sz w:val="20"/>
                <w:u w:val="single"/>
              </w:rPr>
              <w:t>+</w:t>
            </w:r>
            <w:r>
              <w:rPr>
                <w:sz w:val="20"/>
              </w:rPr>
              <w:t xml:space="preserve"> 51*</w:t>
            </w:r>
          </w:p>
        </w:tc>
        <w:tc>
          <w:tcPr>
            <w:tcW w:w="1843" w:type="dxa"/>
          </w:tcPr>
          <w:p w14:paraId="2C5DC3C7" w14:textId="77777777" w:rsidR="00212568" w:rsidRDefault="00212568" w:rsidP="00212568">
            <w:pPr>
              <w:jc w:val="center"/>
              <w:rPr>
                <w:sz w:val="20"/>
              </w:rPr>
            </w:pPr>
            <w:r>
              <w:rPr>
                <w:sz w:val="20"/>
              </w:rPr>
              <w:t xml:space="preserve">853 </w:t>
            </w:r>
            <w:r>
              <w:rPr>
                <w:sz w:val="20"/>
                <w:u w:val="single"/>
              </w:rPr>
              <w:t>+</w:t>
            </w:r>
            <w:r>
              <w:rPr>
                <w:sz w:val="20"/>
              </w:rPr>
              <w:t xml:space="preserve"> 48*</w:t>
            </w:r>
          </w:p>
        </w:tc>
        <w:tc>
          <w:tcPr>
            <w:tcW w:w="1417" w:type="dxa"/>
          </w:tcPr>
          <w:p w14:paraId="242C6876" w14:textId="77777777" w:rsidR="00212568" w:rsidRDefault="00212568" w:rsidP="00212568">
            <w:pPr>
              <w:jc w:val="center"/>
              <w:rPr>
                <w:sz w:val="20"/>
              </w:rPr>
            </w:pPr>
            <w:r>
              <w:rPr>
                <w:sz w:val="20"/>
              </w:rPr>
              <w:t xml:space="preserve">856 </w:t>
            </w:r>
            <w:r>
              <w:rPr>
                <w:sz w:val="20"/>
                <w:u w:val="single"/>
              </w:rPr>
              <w:t>+</w:t>
            </w:r>
            <w:r>
              <w:rPr>
                <w:sz w:val="20"/>
              </w:rPr>
              <w:t xml:space="preserve"> 45*</w:t>
            </w:r>
          </w:p>
        </w:tc>
      </w:tr>
      <w:tr w:rsidR="00212568" w14:paraId="2F47B450" w14:textId="77777777" w:rsidTr="00212568">
        <w:tc>
          <w:tcPr>
            <w:tcW w:w="2127" w:type="dxa"/>
          </w:tcPr>
          <w:p w14:paraId="400A5B7E" w14:textId="77777777" w:rsidR="00212568" w:rsidRDefault="00212568" w:rsidP="00212568">
            <w:pPr>
              <w:rPr>
                <w:b/>
                <w:sz w:val="20"/>
              </w:rPr>
            </w:pPr>
            <w:r>
              <w:rPr>
                <w:b/>
                <w:sz w:val="20"/>
              </w:rPr>
              <w:t>5-HIAA</w:t>
            </w:r>
          </w:p>
        </w:tc>
        <w:tc>
          <w:tcPr>
            <w:tcW w:w="1842" w:type="dxa"/>
          </w:tcPr>
          <w:p w14:paraId="6864D314" w14:textId="77777777" w:rsidR="00212568" w:rsidRDefault="00212568" w:rsidP="00212568">
            <w:pPr>
              <w:jc w:val="center"/>
              <w:rPr>
                <w:sz w:val="20"/>
              </w:rPr>
            </w:pPr>
            <w:r>
              <w:rPr>
                <w:sz w:val="20"/>
              </w:rPr>
              <w:t xml:space="preserve">1323 </w:t>
            </w:r>
            <w:r>
              <w:rPr>
                <w:sz w:val="20"/>
                <w:u w:val="single"/>
              </w:rPr>
              <w:t>+</w:t>
            </w:r>
            <w:r>
              <w:rPr>
                <w:sz w:val="20"/>
              </w:rPr>
              <w:t xml:space="preserve"> 100</w:t>
            </w:r>
          </w:p>
        </w:tc>
        <w:tc>
          <w:tcPr>
            <w:tcW w:w="1843" w:type="dxa"/>
          </w:tcPr>
          <w:p w14:paraId="7F028C17" w14:textId="77777777" w:rsidR="00212568" w:rsidRDefault="00212568" w:rsidP="00212568">
            <w:pPr>
              <w:jc w:val="center"/>
              <w:rPr>
                <w:sz w:val="20"/>
              </w:rPr>
            </w:pPr>
            <w:r>
              <w:rPr>
                <w:sz w:val="20"/>
              </w:rPr>
              <w:t xml:space="preserve">1266 </w:t>
            </w:r>
            <w:r>
              <w:rPr>
                <w:sz w:val="20"/>
                <w:u w:val="single"/>
              </w:rPr>
              <w:t>+</w:t>
            </w:r>
            <w:r>
              <w:rPr>
                <w:sz w:val="20"/>
              </w:rPr>
              <w:t xml:space="preserve"> 34</w:t>
            </w:r>
          </w:p>
        </w:tc>
        <w:tc>
          <w:tcPr>
            <w:tcW w:w="1843" w:type="dxa"/>
          </w:tcPr>
          <w:p w14:paraId="1FC548CA" w14:textId="77777777" w:rsidR="00212568" w:rsidRDefault="00212568" w:rsidP="00212568">
            <w:pPr>
              <w:jc w:val="center"/>
              <w:rPr>
                <w:sz w:val="20"/>
              </w:rPr>
            </w:pPr>
            <w:r>
              <w:rPr>
                <w:sz w:val="20"/>
              </w:rPr>
              <w:t xml:space="preserve">1480 </w:t>
            </w:r>
            <w:r>
              <w:rPr>
                <w:sz w:val="20"/>
                <w:u w:val="single"/>
              </w:rPr>
              <w:t>+</w:t>
            </w:r>
            <w:r>
              <w:rPr>
                <w:sz w:val="20"/>
              </w:rPr>
              <w:t xml:space="preserve"> 80</w:t>
            </w:r>
          </w:p>
        </w:tc>
        <w:tc>
          <w:tcPr>
            <w:tcW w:w="1417" w:type="dxa"/>
          </w:tcPr>
          <w:p w14:paraId="6E863FBA" w14:textId="77777777" w:rsidR="00212568" w:rsidRDefault="00212568" w:rsidP="00212568">
            <w:pPr>
              <w:jc w:val="center"/>
              <w:rPr>
                <w:sz w:val="20"/>
              </w:rPr>
            </w:pPr>
            <w:r>
              <w:rPr>
                <w:sz w:val="20"/>
              </w:rPr>
              <w:t xml:space="preserve">1802 </w:t>
            </w:r>
            <w:r>
              <w:rPr>
                <w:sz w:val="20"/>
                <w:u w:val="single"/>
              </w:rPr>
              <w:t>+</w:t>
            </w:r>
            <w:r>
              <w:rPr>
                <w:sz w:val="20"/>
              </w:rPr>
              <w:t xml:space="preserve"> 133*</w:t>
            </w:r>
          </w:p>
        </w:tc>
      </w:tr>
      <w:tr w:rsidR="00212568" w14:paraId="4BFAA008" w14:textId="77777777" w:rsidTr="00212568">
        <w:tc>
          <w:tcPr>
            <w:tcW w:w="2127" w:type="dxa"/>
          </w:tcPr>
          <w:p w14:paraId="6CDD30B5" w14:textId="77777777" w:rsidR="00212568" w:rsidRDefault="00212568" w:rsidP="00212568">
            <w:pPr>
              <w:rPr>
                <w:b/>
                <w:sz w:val="20"/>
              </w:rPr>
            </w:pPr>
            <w:r>
              <w:rPr>
                <w:b/>
                <w:sz w:val="20"/>
              </w:rPr>
              <w:t>Choline (nmol/tissue)</w:t>
            </w:r>
          </w:p>
        </w:tc>
        <w:tc>
          <w:tcPr>
            <w:tcW w:w="1842" w:type="dxa"/>
            <w:vAlign w:val="center"/>
          </w:tcPr>
          <w:p w14:paraId="7CA2932D" w14:textId="77777777" w:rsidR="00212568" w:rsidRDefault="00212568" w:rsidP="00212568">
            <w:pPr>
              <w:jc w:val="center"/>
              <w:rPr>
                <w:sz w:val="20"/>
              </w:rPr>
            </w:pPr>
            <w:r>
              <w:rPr>
                <w:sz w:val="20"/>
              </w:rPr>
              <w:t xml:space="preserve">361 </w:t>
            </w:r>
            <w:r>
              <w:rPr>
                <w:sz w:val="20"/>
                <w:u w:val="single"/>
              </w:rPr>
              <w:t>+</w:t>
            </w:r>
            <w:r>
              <w:rPr>
                <w:sz w:val="20"/>
              </w:rPr>
              <w:t xml:space="preserve"> 42</w:t>
            </w:r>
          </w:p>
        </w:tc>
        <w:tc>
          <w:tcPr>
            <w:tcW w:w="1843" w:type="dxa"/>
            <w:vAlign w:val="center"/>
          </w:tcPr>
          <w:p w14:paraId="03F51645" w14:textId="77777777" w:rsidR="00212568" w:rsidRDefault="00212568" w:rsidP="00212568">
            <w:pPr>
              <w:jc w:val="center"/>
              <w:rPr>
                <w:sz w:val="20"/>
              </w:rPr>
            </w:pPr>
            <w:r>
              <w:rPr>
                <w:sz w:val="20"/>
              </w:rPr>
              <w:t xml:space="preserve">766 </w:t>
            </w:r>
            <w:r>
              <w:rPr>
                <w:sz w:val="20"/>
                <w:u w:val="single"/>
              </w:rPr>
              <w:t>+</w:t>
            </w:r>
            <w:r>
              <w:rPr>
                <w:sz w:val="20"/>
              </w:rPr>
              <w:t xml:space="preserve"> 108*</w:t>
            </w:r>
          </w:p>
        </w:tc>
        <w:tc>
          <w:tcPr>
            <w:tcW w:w="1843" w:type="dxa"/>
            <w:vAlign w:val="center"/>
          </w:tcPr>
          <w:p w14:paraId="6C63FE59" w14:textId="77777777" w:rsidR="00212568" w:rsidRDefault="00212568" w:rsidP="00212568">
            <w:pPr>
              <w:jc w:val="center"/>
              <w:rPr>
                <w:sz w:val="20"/>
              </w:rPr>
            </w:pPr>
            <w:r>
              <w:rPr>
                <w:sz w:val="20"/>
              </w:rPr>
              <w:t xml:space="preserve">774 </w:t>
            </w:r>
            <w:r>
              <w:rPr>
                <w:sz w:val="20"/>
                <w:u w:val="single"/>
              </w:rPr>
              <w:t>+</w:t>
            </w:r>
            <w:r>
              <w:rPr>
                <w:sz w:val="20"/>
              </w:rPr>
              <w:t xml:space="preserve"> 96*</w:t>
            </w:r>
          </w:p>
        </w:tc>
        <w:tc>
          <w:tcPr>
            <w:tcW w:w="1417" w:type="dxa"/>
            <w:vAlign w:val="center"/>
          </w:tcPr>
          <w:p w14:paraId="53219FC1" w14:textId="77777777" w:rsidR="00212568" w:rsidRDefault="00212568" w:rsidP="00212568">
            <w:pPr>
              <w:jc w:val="center"/>
              <w:rPr>
                <w:sz w:val="20"/>
              </w:rPr>
            </w:pPr>
            <w:r>
              <w:rPr>
                <w:sz w:val="20"/>
              </w:rPr>
              <w:t xml:space="preserve">778 </w:t>
            </w:r>
            <w:r>
              <w:rPr>
                <w:sz w:val="20"/>
                <w:u w:val="single"/>
              </w:rPr>
              <w:t>+</w:t>
            </w:r>
            <w:r>
              <w:rPr>
                <w:sz w:val="20"/>
              </w:rPr>
              <w:t xml:space="preserve"> 100*</w:t>
            </w:r>
          </w:p>
        </w:tc>
      </w:tr>
    </w:tbl>
    <w:p w14:paraId="68DA227A" w14:textId="77777777" w:rsidR="00212568" w:rsidRDefault="00212568" w:rsidP="00212568">
      <w:pPr>
        <w:rPr>
          <w:sz w:val="20"/>
        </w:rPr>
      </w:pPr>
      <w:r>
        <w:rPr>
          <w:sz w:val="20"/>
        </w:rPr>
        <w:t xml:space="preserve">Result expressed as the mean ng/g tissue </w:t>
      </w:r>
      <w:r>
        <w:rPr>
          <w:sz w:val="20"/>
          <w:u w:val="single"/>
        </w:rPr>
        <w:t>+</w:t>
      </w:r>
      <w:r>
        <w:rPr>
          <w:sz w:val="20"/>
        </w:rPr>
        <w:t xml:space="preserve"> 1 SEM; * p&lt;0.05</w:t>
      </w:r>
    </w:p>
    <w:p w14:paraId="13699EC7" w14:textId="77777777" w:rsidR="00212568" w:rsidRDefault="00212568" w:rsidP="00212568"/>
    <w:p w14:paraId="55FD06D1" w14:textId="77777777" w:rsidR="00212568" w:rsidRDefault="00212568" w:rsidP="00212568">
      <w:r>
        <w:t xml:space="preserve">In the pons/medulla oblongata, there was a dose-related increase in the concentration of 5-HIAA (1002 </w:t>
      </w:r>
      <w:r>
        <w:rPr>
          <w:u w:val="single"/>
        </w:rPr>
        <w:t>+</w:t>
      </w:r>
      <w:r>
        <w:t xml:space="preserve"> 47, 971 </w:t>
      </w:r>
      <w:r>
        <w:rPr>
          <w:u w:val="single"/>
        </w:rPr>
        <w:t>+</w:t>
      </w:r>
      <w:r>
        <w:t xml:space="preserve"> 50, 1217 </w:t>
      </w:r>
      <w:r>
        <w:rPr>
          <w:u w:val="single"/>
        </w:rPr>
        <w:t>+</w:t>
      </w:r>
      <w:r>
        <w:t xml:space="preserve"> 151 and 1504 </w:t>
      </w:r>
      <w:r>
        <w:rPr>
          <w:u w:val="single"/>
        </w:rPr>
        <w:t>+</w:t>
      </w:r>
      <w:r>
        <w:t xml:space="preserve"> 170 ng/g tissue at 0, 3.12, 10.4 and 31.2 mg/kg bw/d, respectively) with the effect at the highest dose statistically significant (p&lt;0.05). There was an incidental depression in DOPAC at the lowest dose (p&lt;0.05) but in the absence </w:t>
      </w:r>
      <w:r>
        <w:lastRenderedPageBreak/>
        <w:t xml:space="preserve">of an effect at the 2 higher doses this finding was not considered to be treatment-related. A significant depression in </w:t>
      </w:r>
      <w:r w:rsidR="001875D7">
        <w:t>5-HT</w:t>
      </w:r>
      <w:r>
        <w:t xml:space="preserve"> (p&lt;0.05) occurred at the low and high dose, however, in the absence of a dose response effect these findings were not considered to be toxicologically relevant. There was no treatment-related effect on the concentration of </w:t>
      </w:r>
      <w:r w:rsidR="00011149">
        <w:t>DA</w:t>
      </w:r>
      <w:r>
        <w:t xml:space="preserve"> or norepinephrine. The study authors indicated that HVA levels were not measured as they were below the limit of quantitation. There was no treatment-related effect on the concentration of acetylcholine but there was a clear dose-related elevation in choline levels (307 </w:t>
      </w:r>
      <w:r>
        <w:rPr>
          <w:u w:val="single"/>
        </w:rPr>
        <w:t>+</w:t>
      </w:r>
      <w:r>
        <w:t xml:space="preserve"> 27, 456 </w:t>
      </w:r>
      <w:r>
        <w:rPr>
          <w:u w:val="single"/>
        </w:rPr>
        <w:t>+</w:t>
      </w:r>
      <w:r>
        <w:t xml:space="preserve"> 34, 656 </w:t>
      </w:r>
      <w:r>
        <w:rPr>
          <w:u w:val="single"/>
        </w:rPr>
        <w:t>+</w:t>
      </w:r>
      <w:r>
        <w:t xml:space="preserve"> 78 and 780 </w:t>
      </w:r>
      <w:r>
        <w:rPr>
          <w:u w:val="single"/>
        </w:rPr>
        <w:t>+</w:t>
      </w:r>
      <w:r>
        <w:t xml:space="preserve"> 73 nmol/tissue at 0, 3.12, 10.4 and 31.2 mg/kg bw/d, respectively, with every dose statistically higher (p&lt;0.05) than the control.</w:t>
      </w:r>
    </w:p>
    <w:p w14:paraId="66FB678D" w14:textId="77777777" w:rsidR="00212568" w:rsidRDefault="00212568" w:rsidP="00212568"/>
    <w:p w14:paraId="429CC1BD" w14:textId="7A0D5662" w:rsidR="000E221D" w:rsidRDefault="00212568" w:rsidP="002B2CFC">
      <w:pPr>
        <w:rPr>
          <w:b/>
          <w:szCs w:val="24"/>
          <w:lang w:eastAsia="en-US"/>
        </w:rPr>
      </w:pPr>
      <w:r>
        <w:t xml:space="preserve">In summary, daily po administration of Gramoxone to male ICR-strain mice for 3 days was shown to alter the neurochemistry of the cerebral cortex (increased choline), the midbrain (decreased </w:t>
      </w:r>
      <w:r w:rsidR="00011149">
        <w:t>DA</w:t>
      </w:r>
      <w:r>
        <w:t xml:space="preserve"> and norepinephrine; increased 5-HIAA) and pons/medulla oblongata (increased 5-HIAA and choline). No evidence was provided that these neurochemical effects were due to paraquat (eg measurement of paraquat levels in the cerebral cortex, midbrain and pons/medulla oblongata) and it is possible that other Gramoxone components could have been responsible for the observed neurochemical abnormalities.</w:t>
      </w:r>
    </w:p>
    <w:p w14:paraId="12C13F9D" w14:textId="77777777" w:rsidR="00123786" w:rsidRPr="002B2CFC" w:rsidRDefault="00123786" w:rsidP="002B2CFC">
      <w:pPr>
        <w:rPr>
          <w:szCs w:val="24"/>
          <w:lang w:eastAsia="en-US"/>
        </w:rPr>
      </w:pPr>
    </w:p>
    <w:p w14:paraId="1AB2163F" w14:textId="77777777" w:rsidR="002B2CFC" w:rsidRPr="002B2CFC" w:rsidRDefault="002B2CFC" w:rsidP="002B2CFC">
      <w:pPr>
        <w:rPr>
          <w:b/>
          <w:szCs w:val="24"/>
          <w:lang w:eastAsia="en-US"/>
        </w:rPr>
      </w:pPr>
      <w:r w:rsidRPr="002B2CFC">
        <w:rPr>
          <w:b/>
          <w:szCs w:val="24"/>
          <w:lang w:eastAsia="en-US"/>
        </w:rPr>
        <w:t xml:space="preserve">Liou H-H, Chen R-C, Tsai Y-F, Chen W-P, Chang Y-C &amp; Tsai M-C (1996) Effects of paraquat on the substantia nigra of the Wistar rats: neurochemical, histological and behavioural studies. </w:t>
      </w:r>
      <w:r w:rsidRPr="004D6C19">
        <w:rPr>
          <w:b/>
          <w:i/>
          <w:szCs w:val="24"/>
          <w:lang w:eastAsia="en-US"/>
        </w:rPr>
        <w:t>Toxicol Appl Pharmacol</w:t>
      </w:r>
      <w:r w:rsidRPr="002B2CFC">
        <w:rPr>
          <w:b/>
          <w:szCs w:val="24"/>
          <w:lang w:eastAsia="en-US"/>
        </w:rPr>
        <w:t xml:space="preserve"> 137: 34-41.</w:t>
      </w:r>
    </w:p>
    <w:p w14:paraId="3D0C28CF" w14:textId="77777777" w:rsidR="002B2CFC" w:rsidRPr="002B2CFC" w:rsidRDefault="002B2CFC" w:rsidP="002B2CFC">
      <w:pPr>
        <w:rPr>
          <w:szCs w:val="24"/>
          <w:lang w:val="en-US" w:eastAsia="en-US"/>
        </w:rPr>
      </w:pPr>
    </w:p>
    <w:p w14:paraId="16865056" w14:textId="77777777" w:rsidR="002B2CFC" w:rsidRDefault="002B2CFC" w:rsidP="002B2CFC">
      <w:pPr>
        <w:rPr>
          <w:szCs w:val="24"/>
          <w:lang w:val="en-US" w:eastAsia="en-US"/>
        </w:rPr>
      </w:pPr>
      <w:r w:rsidRPr="002B2CFC">
        <w:rPr>
          <w:szCs w:val="24"/>
          <w:lang w:val="en-US" w:eastAsia="en-US"/>
        </w:rPr>
        <w:t>The effect of paraquat or MPP</w:t>
      </w:r>
      <w:r w:rsidRPr="002B2CFC">
        <w:rPr>
          <w:szCs w:val="24"/>
          <w:vertAlign w:val="superscript"/>
          <w:lang w:val="en-US" w:eastAsia="en-US"/>
        </w:rPr>
        <w:t>+</w:t>
      </w:r>
      <w:r w:rsidRPr="002B2CFC">
        <w:rPr>
          <w:szCs w:val="24"/>
          <w:lang w:val="en-US" w:eastAsia="en-US"/>
        </w:rPr>
        <w:t xml:space="preserve"> on the </w:t>
      </w:r>
      <w:r w:rsidR="00A4092E">
        <w:rPr>
          <w:szCs w:val="24"/>
          <w:lang w:val="en-US" w:eastAsia="en-US"/>
        </w:rPr>
        <w:t>SN</w:t>
      </w:r>
      <w:r w:rsidRPr="002B2CFC">
        <w:rPr>
          <w:szCs w:val="24"/>
          <w:lang w:val="en-US" w:eastAsia="en-US"/>
        </w:rPr>
        <w:t xml:space="preserve"> of male rats was studied following direct unilateral intranigral injection of 0, 1, 2, 3 or 5 </w:t>
      </w:r>
      <w:r w:rsidRPr="002B2CFC">
        <w:rPr>
          <w:szCs w:val="24"/>
          <w:lang w:val="en-US" w:eastAsia="en-US"/>
        </w:rPr>
        <w:sym w:font="Symbol" w:char="F06D"/>
      </w:r>
      <w:r w:rsidRPr="002B2CFC">
        <w:rPr>
          <w:szCs w:val="24"/>
          <w:lang w:val="en-US" w:eastAsia="en-US"/>
        </w:rPr>
        <w:t xml:space="preserve">g paraquat (equivalent to 0, 0.72, 1.44, 2.16 and 3.6 </w:t>
      </w:r>
      <w:r w:rsidRPr="002B2CFC">
        <w:rPr>
          <w:szCs w:val="24"/>
          <w:lang w:val="en-US" w:eastAsia="en-US"/>
        </w:rPr>
        <w:sym w:font="Symbol" w:char="F06D"/>
      </w:r>
      <w:r w:rsidRPr="002B2CFC">
        <w:rPr>
          <w:szCs w:val="24"/>
          <w:lang w:val="en-US" w:eastAsia="en-US"/>
        </w:rPr>
        <w:t xml:space="preserve">g paraquat cation, respectively), or 8 </w:t>
      </w:r>
      <w:r w:rsidRPr="002B2CFC">
        <w:rPr>
          <w:szCs w:val="24"/>
          <w:lang w:val="en-US" w:eastAsia="en-US"/>
        </w:rPr>
        <w:sym w:font="Symbol" w:char="F06D"/>
      </w:r>
      <w:r w:rsidRPr="002B2CFC">
        <w:rPr>
          <w:szCs w:val="24"/>
          <w:lang w:val="en-US" w:eastAsia="en-US"/>
        </w:rPr>
        <w:t>g MPP</w:t>
      </w:r>
      <w:r w:rsidRPr="002B2CFC">
        <w:rPr>
          <w:szCs w:val="24"/>
          <w:vertAlign w:val="superscript"/>
          <w:lang w:val="en-US" w:eastAsia="en-US"/>
        </w:rPr>
        <w:t>+</w:t>
      </w:r>
      <w:r w:rsidRPr="002B2CFC">
        <w:rPr>
          <w:szCs w:val="24"/>
          <w:lang w:val="en-US" w:eastAsia="en-US"/>
        </w:rPr>
        <w:t xml:space="preserve">. </w:t>
      </w:r>
    </w:p>
    <w:p w14:paraId="39C4C37E" w14:textId="77777777" w:rsidR="00123786" w:rsidRDefault="00123786" w:rsidP="002B2CFC">
      <w:pPr>
        <w:rPr>
          <w:szCs w:val="24"/>
          <w:lang w:val="en-US" w:eastAsia="en-US"/>
        </w:rPr>
      </w:pPr>
    </w:p>
    <w:p w14:paraId="4C8C80DB" w14:textId="77777777" w:rsidR="00123786" w:rsidRDefault="00123786" w:rsidP="00123786">
      <w:r>
        <w:t xml:space="preserve">Paraquat (unspecified purity and batch no.; Sigma, St Louis, MO, USA) in normal saline was stereotactically injected into the unilateral </w:t>
      </w:r>
      <w:r w:rsidR="00A4092E">
        <w:t>SN</w:t>
      </w:r>
      <w:r>
        <w:t xml:space="preserve"> compacta of 3-month old male Wistar rats (250-300 g body weight; unspecified source) under pentobarbital sodium anaesthesia using the coordinates of Paxinos and Waston (1986). Twelve rats/group received 0 (saline), 1, 2, 3 or 5 (n=6) </w:t>
      </w:r>
      <w:r>
        <w:sym w:font="Symbol" w:char="F06D"/>
      </w:r>
      <w:r>
        <w:t xml:space="preserve">g paraquat (equivalent to 0, 0.72, 1.44, 2.16 and 3.6 </w:t>
      </w:r>
      <w:r>
        <w:sym w:font="Symbol" w:char="F06D"/>
      </w:r>
      <w:r>
        <w:t xml:space="preserve">g paraquat cation) in a total volume of 1 </w:t>
      </w:r>
      <w:r>
        <w:sym w:font="Symbol" w:char="F06D"/>
      </w:r>
      <w:r>
        <w:t xml:space="preserve">L which was infused at a rate of 0.2 </w:t>
      </w:r>
      <w:r>
        <w:sym w:font="Symbol" w:char="F06D"/>
      </w:r>
      <w:r>
        <w:t xml:space="preserve">L/min through a 30-gauge stainless steel needle. Two additional groups of rats received 3 </w:t>
      </w:r>
      <w:r>
        <w:sym w:font="Symbol" w:char="F06D"/>
      </w:r>
      <w:r>
        <w:t xml:space="preserve">g of paraquat (n=30; equivalent to 2.16 </w:t>
      </w:r>
      <w:r>
        <w:sym w:font="Symbol" w:char="F06D"/>
      </w:r>
      <w:r>
        <w:t xml:space="preserve">g paraquat cation) or 8 </w:t>
      </w:r>
      <w:r>
        <w:sym w:font="Symbol" w:char="F06D"/>
      </w:r>
      <w:r>
        <w:t>g MPP</w:t>
      </w:r>
      <w:r>
        <w:rPr>
          <w:vertAlign w:val="superscript"/>
        </w:rPr>
        <w:t>+</w:t>
      </w:r>
      <w:r>
        <w:t xml:space="preserve"> (N-methyl-4-phenyl-pyperidinium ion; RBI, Natick, MA, USA; n=12).</w:t>
      </w:r>
    </w:p>
    <w:p w14:paraId="4538215B" w14:textId="77777777" w:rsidR="00123786" w:rsidRDefault="00123786" w:rsidP="00123786"/>
    <w:p w14:paraId="15648B0F" w14:textId="77777777" w:rsidR="00123786" w:rsidRDefault="00123786" w:rsidP="00123786">
      <w:r>
        <w:t>Spontaneous behaviour was observed throughout the study including immediately after paraquat administration, when rats were left undisturbed, and during handling. Six rats/group were studied for apomorphine-induced (0.5 mg/kg, sc) circling behaviour at 2, 4, 8 and 16 weeks after intranigral injection of paraquat, saline or MPP</w:t>
      </w:r>
      <w:r>
        <w:rPr>
          <w:vertAlign w:val="superscript"/>
        </w:rPr>
        <w:t>+</w:t>
      </w:r>
      <w:r>
        <w:t xml:space="preserve"> using the automated rotometer bowls described by Ungerstedt and Arbuthnott (1970). All rats administered 1, 2 and 3 </w:t>
      </w:r>
      <w:r>
        <w:sym w:font="Symbol" w:char="F06D"/>
      </w:r>
      <w:r>
        <w:t>g paraquat, and 6 rats treated with MPP</w:t>
      </w:r>
      <w:r>
        <w:rPr>
          <w:vertAlign w:val="superscript"/>
        </w:rPr>
        <w:t>+</w:t>
      </w:r>
      <w:r>
        <w:t xml:space="preserve">, were terminated by decapitation 2 weeks after treatment. Six rats from the additional 3 </w:t>
      </w:r>
      <w:r>
        <w:sym w:font="Symbol" w:char="F06D"/>
      </w:r>
      <w:r>
        <w:t xml:space="preserve">g paraquat group were decapitated at 4, 8 or 16 weeks after treatment. Brains were removed, homogenised and assayed for </w:t>
      </w:r>
      <w:r w:rsidR="00011149">
        <w:t>DA</w:t>
      </w:r>
      <w:r>
        <w:t xml:space="preserve">, DOPAC and HVA using HPLC. Two weeks after administration of 1, 2 or 3 </w:t>
      </w:r>
      <w:r>
        <w:sym w:font="Symbol" w:char="F06D"/>
      </w:r>
      <w:r>
        <w:t xml:space="preserve">g paraquat, rats were anaesthetised with sodium pentobarbital, their brains removed and histopathologically examined. Data were </w:t>
      </w:r>
      <w:r>
        <w:lastRenderedPageBreak/>
        <w:t>analysed by a repeated measures one-way ANOVA followed by a Scheffe’s test for post-hoc comparison of means. Differences were considered to be statistically significant when p&lt;0.05.</w:t>
      </w:r>
    </w:p>
    <w:p w14:paraId="4D37809C" w14:textId="77777777" w:rsidR="00123786" w:rsidRDefault="00123786" w:rsidP="00123786"/>
    <w:p w14:paraId="654DC96B" w14:textId="77777777" w:rsidR="00123786" w:rsidRDefault="00123786" w:rsidP="00123786">
      <w:r>
        <w:t xml:space="preserve">All rats (6/6) given 5 </w:t>
      </w:r>
      <w:r>
        <w:sym w:font="Symbol" w:char="F06D"/>
      </w:r>
      <w:r>
        <w:t xml:space="preserve">g paraquat died within 4 days of injection. Rats administered 3 </w:t>
      </w:r>
      <w:r>
        <w:sym w:font="Symbol" w:char="F06D"/>
      </w:r>
      <w:r>
        <w:t>g paraquat showed various spontaneous behavioural abnormalities compared to controls, while no behavioural abnormalities were observed at lower doses. Rotational behaviour in the direction of the lesion was reported when rats were stimulated. An asymmetrical posture was assumed when rotational behaviour ceased and continuous weak sniffing behaviour was exhibited. These behavioural anomalies ceased 3 days after microinjection but the tendency of the posture and movement toward the operated side remained.</w:t>
      </w:r>
    </w:p>
    <w:p w14:paraId="74350B86" w14:textId="77777777" w:rsidR="00123786" w:rsidRDefault="00123786" w:rsidP="00123786"/>
    <w:p w14:paraId="320804F9" w14:textId="77777777" w:rsidR="00123786" w:rsidRDefault="00123786" w:rsidP="00123786">
      <w:r>
        <w:t xml:space="preserve">Subcutaneous administration of 0.5 mg/kg bw apomorphine to rats 2 weeks after intranigral paraquat injection resulted in a dose-dependent increase in contralateral circling which was statistically significant (p&lt;0.01–0.5) at and above 2 </w:t>
      </w:r>
      <w:r>
        <w:sym w:font="Symbol" w:char="F06D"/>
      </w:r>
      <w:r>
        <w:t xml:space="preserve">g paraquat (frequencies of contralateral circling at 1, 2 and 3 </w:t>
      </w:r>
      <w:r>
        <w:sym w:font="Symbol" w:char="F06D"/>
      </w:r>
      <w:r>
        <w:t xml:space="preserve">g paraquat were 18 </w:t>
      </w:r>
      <w:r>
        <w:rPr>
          <w:u w:val="single"/>
        </w:rPr>
        <w:t>+</w:t>
      </w:r>
      <w:r>
        <w:t xml:space="preserve"> 12, 34 </w:t>
      </w:r>
      <w:r>
        <w:rPr>
          <w:u w:val="single"/>
        </w:rPr>
        <w:t>+</w:t>
      </w:r>
      <w:r>
        <w:t xml:space="preserve"> 10 and 140 </w:t>
      </w:r>
      <w:r>
        <w:rPr>
          <w:u w:val="single"/>
        </w:rPr>
        <w:t>+</w:t>
      </w:r>
      <w:r>
        <w:t xml:space="preserve"> 31 turns/h, respectively compared with that for MPP</w:t>
      </w:r>
      <w:r>
        <w:rPr>
          <w:vertAlign w:val="superscript"/>
        </w:rPr>
        <w:t>+</w:t>
      </w:r>
      <w:r>
        <w:t xml:space="preserve"> of 119 </w:t>
      </w:r>
      <w:r>
        <w:rPr>
          <w:u w:val="single"/>
        </w:rPr>
        <w:t>+</w:t>
      </w:r>
      <w:r>
        <w:t xml:space="preserve"> 23). Graphically presented data illustrated that apomorphine-induced contralateral behaviour began 2 weeks after intranigral injection of 3 </w:t>
      </w:r>
      <w:r>
        <w:sym w:font="Symbol" w:char="F06D"/>
      </w:r>
      <w:r>
        <w:t xml:space="preserve">g paraquat or 8 </w:t>
      </w:r>
      <w:r>
        <w:sym w:font="Symbol" w:char="F06D"/>
      </w:r>
      <w:r>
        <w:t>g MPP</w:t>
      </w:r>
      <w:r>
        <w:rPr>
          <w:vertAlign w:val="superscript"/>
        </w:rPr>
        <w:t>+</w:t>
      </w:r>
      <w:r>
        <w:t xml:space="preserve"> and persisted for the 16-week study period.</w:t>
      </w:r>
    </w:p>
    <w:p w14:paraId="78B39082" w14:textId="77777777" w:rsidR="00123786" w:rsidRDefault="00123786" w:rsidP="00123786"/>
    <w:p w14:paraId="1BBBB314" w14:textId="107379BE" w:rsidR="00123786" w:rsidRDefault="00123786" w:rsidP="00123786">
      <w:r>
        <w:t xml:space="preserve">There was a clear dose-related depression in the levels of striatal </w:t>
      </w:r>
      <w:r w:rsidR="00011149">
        <w:t>DA</w:t>
      </w:r>
      <w:r>
        <w:t xml:space="preserve">, DOPAC and HVA 2 weeks after intranigral injection of 1, 2 and 3 </w:t>
      </w:r>
      <w:r>
        <w:sym w:font="Symbol" w:char="F06D"/>
      </w:r>
      <w:r>
        <w:t xml:space="preserve">g paraquat (see </w:t>
      </w:r>
      <w:r w:rsidR="003A31EB">
        <w:fldChar w:fldCharType="begin"/>
      </w:r>
      <w:r w:rsidR="003A31EB">
        <w:instrText xml:space="preserve"> REF _Ref41</w:instrText>
      </w:r>
      <w:r w:rsidR="003A31EB">
        <w:instrText xml:space="preserve">0309131 </w:instrText>
      </w:r>
      <w:r w:rsidR="003A31EB">
        <w:fldChar w:fldCharType="separate"/>
      </w:r>
      <w:r w:rsidR="000E54B2">
        <w:t xml:space="preserve">Table </w:t>
      </w:r>
      <w:r w:rsidR="000E54B2">
        <w:rPr>
          <w:noProof/>
        </w:rPr>
        <w:t>47</w:t>
      </w:r>
      <w:r w:rsidR="003A31EB">
        <w:rPr>
          <w:noProof/>
        </w:rPr>
        <w:fldChar w:fldCharType="end"/>
      </w:r>
      <w:r w:rsidR="004E23B0">
        <w:t xml:space="preserve"> </w:t>
      </w:r>
      <w:r w:rsidR="003A31EB">
        <w:fldChar w:fldCharType="begin"/>
      </w:r>
      <w:r w:rsidR="003A31EB">
        <w:instrText xml:space="preserve"> REF _Ref459038695 \p </w:instrText>
      </w:r>
      <w:r w:rsidR="003A31EB">
        <w:fldChar w:fldCharType="separate"/>
      </w:r>
      <w:r w:rsidR="000E54B2">
        <w:t>below</w:t>
      </w:r>
      <w:r w:rsidR="003A31EB">
        <w:fldChar w:fldCharType="end"/>
      </w:r>
      <w:r>
        <w:t xml:space="preserve">). </w:t>
      </w:r>
      <w:r w:rsidR="00011149">
        <w:t>DA</w:t>
      </w:r>
      <w:r>
        <w:t xml:space="preserve"> levels were statistically lower than the control at all doses (p&lt;0.01–0.05) while DOPAC and HVA levels were only statistically lower (p&lt;0.01) than the control at the highest dose (3 </w:t>
      </w:r>
      <w:r>
        <w:sym w:font="Symbol" w:char="F06D"/>
      </w:r>
      <w:r w:rsidR="004E23B0">
        <w:t>g)</w:t>
      </w:r>
      <w:r>
        <w:t xml:space="preserve">. The ratios of DOPAC and HVA to </w:t>
      </w:r>
      <w:r w:rsidR="00011149">
        <w:t>DA</w:t>
      </w:r>
      <w:r>
        <w:t xml:space="preserve"> were statistically higher (p&lt;0.01-0.05) than the control only at 3 </w:t>
      </w:r>
      <w:r>
        <w:sym w:font="Symbol" w:char="F06D"/>
      </w:r>
      <w:r>
        <w:t xml:space="preserve">g. </w:t>
      </w:r>
    </w:p>
    <w:p w14:paraId="0AD1D6D1" w14:textId="77777777" w:rsidR="00123786" w:rsidRDefault="00123786" w:rsidP="00123786"/>
    <w:p w14:paraId="2F2ACD85" w14:textId="7EB848CD" w:rsidR="00123786" w:rsidRDefault="00123786" w:rsidP="00123786">
      <w:r>
        <w:t>The study authors reported that the EC</w:t>
      </w:r>
      <w:r>
        <w:rPr>
          <w:vertAlign w:val="subscript"/>
        </w:rPr>
        <w:t>50</w:t>
      </w:r>
      <w:r>
        <w:t xml:space="preserve"> of paraquat after intranigral injection was approximately 9.5 nmol (equivalent to 1.77 </w:t>
      </w:r>
      <w:r>
        <w:sym w:font="Symbol" w:char="F06D"/>
      </w:r>
      <w:r>
        <w:t xml:space="preserve">g paraquat; equivalent to 1.27 </w:t>
      </w:r>
      <w:r>
        <w:sym w:font="Symbol" w:char="F06D"/>
      </w:r>
      <w:r>
        <w:t xml:space="preserve">g paraquat cation). Rats treated with 8 </w:t>
      </w:r>
      <w:r>
        <w:sym w:font="Symbol" w:char="F06D"/>
      </w:r>
      <w:r>
        <w:t>g MPP</w:t>
      </w:r>
      <w:r>
        <w:rPr>
          <w:vertAlign w:val="superscript"/>
        </w:rPr>
        <w:t>+</w:t>
      </w:r>
      <w:r>
        <w:t xml:space="preserve"> also showed a statistically significant depression in striatal </w:t>
      </w:r>
      <w:r w:rsidR="00011149">
        <w:t>DA</w:t>
      </w:r>
      <w:r>
        <w:t xml:space="preserve">, DOPAC and HVA levels, and an increase relative to the control group in the ratios of DOPAC and HVA to </w:t>
      </w:r>
      <w:r w:rsidR="00011149">
        <w:t>DA</w:t>
      </w:r>
      <w:r>
        <w:t xml:space="preserve"> (p&lt;0.01–0.05).</w:t>
      </w:r>
    </w:p>
    <w:p w14:paraId="181B26A2" w14:textId="77777777" w:rsidR="00123786" w:rsidRDefault="00123786" w:rsidP="00123786">
      <w:pPr>
        <w:rPr>
          <w:b/>
        </w:rPr>
      </w:pPr>
    </w:p>
    <w:p w14:paraId="64A5DAFC" w14:textId="77777777" w:rsidR="00BA33FB" w:rsidRDefault="00BA33FB" w:rsidP="009D0D8F">
      <w:pPr>
        <w:pStyle w:val="Caption"/>
        <w:keepNext/>
        <w:spacing w:after="120"/>
      </w:pPr>
      <w:bookmarkStart w:id="174" w:name="_Ref410309131"/>
      <w:bookmarkStart w:id="175" w:name="_Ref459038695"/>
      <w:r>
        <w:t xml:space="preserve">Table </w:t>
      </w:r>
      <w:r w:rsidR="00897462">
        <w:fldChar w:fldCharType="begin"/>
      </w:r>
      <w:r>
        <w:instrText xml:space="preserve"> SEQ Table \* ARABIC </w:instrText>
      </w:r>
      <w:r w:rsidR="00897462">
        <w:fldChar w:fldCharType="separate"/>
      </w:r>
      <w:r w:rsidR="000E54B2">
        <w:rPr>
          <w:noProof/>
        </w:rPr>
        <w:t>47</w:t>
      </w:r>
      <w:r w:rsidR="00897462">
        <w:fldChar w:fldCharType="end"/>
      </w:r>
      <w:bookmarkEnd w:id="174"/>
      <w:r>
        <w:t xml:space="preserve">. </w:t>
      </w:r>
      <w:r w:rsidRPr="00476AF0">
        <w:t>Striatal concentrations of neurochemicals in rats 2 weeks after intranigral-administration of paraquat</w:t>
      </w:r>
      <w:bookmarkEnd w:id="17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1701"/>
        <w:gridCol w:w="1701"/>
        <w:gridCol w:w="1559"/>
        <w:gridCol w:w="1559"/>
      </w:tblGrid>
      <w:tr w:rsidR="00123786" w14:paraId="16006BB2" w14:textId="77777777" w:rsidTr="000E221D">
        <w:tc>
          <w:tcPr>
            <w:tcW w:w="1276" w:type="dxa"/>
            <w:shd w:val="clear" w:color="auto" w:fill="BFBFBF" w:themeFill="background1" w:themeFillShade="BF"/>
            <w:vAlign w:val="center"/>
          </w:tcPr>
          <w:p w14:paraId="49CECFFC" w14:textId="77777777" w:rsidR="00123786" w:rsidRDefault="00123786" w:rsidP="00DC07C7">
            <w:pPr>
              <w:rPr>
                <w:b/>
                <w:sz w:val="20"/>
              </w:rPr>
            </w:pPr>
            <w:r>
              <w:rPr>
                <w:b/>
                <w:sz w:val="20"/>
              </w:rPr>
              <w:t>Compound</w:t>
            </w:r>
          </w:p>
        </w:tc>
        <w:tc>
          <w:tcPr>
            <w:tcW w:w="1276" w:type="dxa"/>
            <w:shd w:val="clear" w:color="auto" w:fill="BFBFBF" w:themeFill="background1" w:themeFillShade="BF"/>
            <w:vAlign w:val="center"/>
          </w:tcPr>
          <w:p w14:paraId="1E0DD99B" w14:textId="77777777" w:rsidR="00123786" w:rsidRDefault="00123786" w:rsidP="00DC07C7">
            <w:pPr>
              <w:pStyle w:val="CommentText"/>
              <w:jc w:val="center"/>
              <w:rPr>
                <w:b/>
              </w:rPr>
            </w:pPr>
            <w:r>
              <w:rPr>
                <w:b/>
              </w:rPr>
              <w:t>Control</w:t>
            </w:r>
          </w:p>
        </w:tc>
        <w:tc>
          <w:tcPr>
            <w:tcW w:w="1701" w:type="dxa"/>
            <w:shd w:val="clear" w:color="auto" w:fill="BFBFBF" w:themeFill="background1" w:themeFillShade="BF"/>
          </w:tcPr>
          <w:p w14:paraId="1461C7BC" w14:textId="77777777" w:rsidR="00123786" w:rsidRDefault="00123786" w:rsidP="00DC07C7">
            <w:pPr>
              <w:jc w:val="center"/>
              <w:rPr>
                <w:b/>
                <w:sz w:val="20"/>
              </w:rPr>
            </w:pPr>
            <w:r>
              <w:rPr>
                <w:b/>
                <w:sz w:val="20"/>
              </w:rPr>
              <w:t xml:space="preserve">1 </w:t>
            </w:r>
            <w:r>
              <w:rPr>
                <w:b/>
                <w:sz w:val="20"/>
              </w:rPr>
              <w:sym w:font="Symbol" w:char="F06D"/>
            </w:r>
            <w:r>
              <w:rPr>
                <w:b/>
                <w:sz w:val="20"/>
              </w:rPr>
              <w:t>g</w:t>
            </w:r>
          </w:p>
          <w:p w14:paraId="06382229" w14:textId="77777777" w:rsidR="00123786" w:rsidRDefault="00123786" w:rsidP="00DC07C7">
            <w:pPr>
              <w:jc w:val="center"/>
              <w:rPr>
                <w:b/>
                <w:sz w:val="20"/>
              </w:rPr>
            </w:pPr>
            <w:r>
              <w:rPr>
                <w:b/>
                <w:sz w:val="20"/>
              </w:rPr>
              <w:t>paraquat</w:t>
            </w:r>
          </w:p>
        </w:tc>
        <w:tc>
          <w:tcPr>
            <w:tcW w:w="1701" w:type="dxa"/>
            <w:shd w:val="clear" w:color="auto" w:fill="BFBFBF" w:themeFill="background1" w:themeFillShade="BF"/>
          </w:tcPr>
          <w:p w14:paraId="32832E7A" w14:textId="77777777" w:rsidR="00123786" w:rsidRDefault="00123786" w:rsidP="00DC07C7">
            <w:pPr>
              <w:jc w:val="center"/>
              <w:rPr>
                <w:b/>
                <w:sz w:val="20"/>
              </w:rPr>
            </w:pPr>
            <w:r>
              <w:rPr>
                <w:b/>
                <w:sz w:val="20"/>
              </w:rPr>
              <w:t xml:space="preserve">2 </w:t>
            </w:r>
            <w:r>
              <w:rPr>
                <w:b/>
                <w:sz w:val="20"/>
              </w:rPr>
              <w:sym w:font="Symbol" w:char="F06D"/>
            </w:r>
            <w:r>
              <w:rPr>
                <w:b/>
                <w:sz w:val="20"/>
              </w:rPr>
              <w:t xml:space="preserve">g </w:t>
            </w:r>
          </w:p>
          <w:p w14:paraId="6D9ABEE8" w14:textId="77777777" w:rsidR="00123786" w:rsidRDefault="00123786" w:rsidP="00DC07C7">
            <w:pPr>
              <w:jc w:val="center"/>
              <w:rPr>
                <w:b/>
                <w:sz w:val="20"/>
              </w:rPr>
            </w:pPr>
            <w:r>
              <w:rPr>
                <w:b/>
                <w:sz w:val="20"/>
              </w:rPr>
              <w:t>paraquat</w:t>
            </w:r>
          </w:p>
        </w:tc>
        <w:tc>
          <w:tcPr>
            <w:tcW w:w="1559" w:type="dxa"/>
            <w:shd w:val="clear" w:color="auto" w:fill="BFBFBF" w:themeFill="background1" w:themeFillShade="BF"/>
          </w:tcPr>
          <w:p w14:paraId="649ABA26" w14:textId="77777777" w:rsidR="00123786" w:rsidRDefault="00123786" w:rsidP="00DC07C7">
            <w:pPr>
              <w:jc w:val="center"/>
              <w:rPr>
                <w:b/>
                <w:sz w:val="20"/>
              </w:rPr>
            </w:pPr>
            <w:r>
              <w:rPr>
                <w:b/>
                <w:sz w:val="20"/>
              </w:rPr>
              <w:t xml:space="preserve">3 </w:t>
            </w:r>
            <w:r>
              <w:rPr>
                <w:b/>
                <w:sz w:val="20"/>
              </w:rPr>
              <w:sym w:font="Symbol" w:char="F06D"/>
            </w:r>
            <w:r>
              <w:rPr>
                <w:b/>
                <w:sz w:val="20"/>
              </w:rPr>
              <w:t xml:space="preserve">g </w:t>
            </w:r>
          </w:p>
          <w:p w14:paraId="1EE424FD" w14:textId="77777777" w:rsidR="00123786" w:rsidRDefault="00123786" w:rsidP="00DC07C7">
            <w:pPr>
              <w:jc w:val="center"/>
              <w:rPr>
                <w:b/>
                <w:sz w:val="20"/>
              </w:rPr>
            </w:pPr>
            <w:r>
              <w:rPr>
                <w:b/>
                <w:sz w:val="20"/>
              </w:rPr>
              <w:t>paraquat</w:t>
            </w:r>
          </w:p>
        </w:tc>
        <w:tc>
          <w:tcPr>
            <w:tcW w:w="1559" w:type="dxa"/>
            <w:shd w:val="clear" w:color="auto" w:fill="BFBFBF" w:themeFill="background1" w:themeFillShade="BF"/>
          </w:tcPr>
          <w:p w14:paraId="316BC7F1" w14:textId="77777777" w:rsidR="00123786" w:rsidRDefault="00123786" w:rsidP="00DC07C7">
            <w:pPr>
              <w:jc w:val="center"/>
              <w:rPr>
                <w:b/>
                <w:sz w:val="20"/>
              </w:rPr>
            </w:pPr>
            <w:r>
              <w:rPr>
                <w:b/>
                <w:sz w:val="20"/>
              </w:rPr>
              <w:t xml:space="preserve">8 </w:t>
            </w:r>
            <w:r>
              <w:rPr>
                <w:b/>
                <w:sz w:val="20"/>
              </w:rPr>
              <w:sym w:font="Symbol" w:char="F06D"/>
            </w:r>
            <w:r>
              <w:rPr>
                <w:b/>
                <w:sz w:val="20"/>
              </w:rPr>
              <w:t xml:space="preserve">g </w:t>
            </w:r>
          </w:p>
          <w:p w14:paraId="0EE22DB7" w14:textId="77777777" w:rsidR="00123786" w:rsidRDefault="00123786" w:rsidP="00DC07C7">
            <w:pPr>
              <w:jc w:val="center"/>
              <w:rPr>
                <w:b/>
                <w:sz w:val="20"/>
              </w:rPr>
            </w:pPr>
            <w:r>
              <w:rPr>
                <w:b/>
                <w:sz w:val="20"/>
              </w:rPr>
              <w:t>MPP</w:t>
            </w:r>
            <w:r>
              <w:rPr>
                <w:b/>
                <w:sz w:val="20"/>
                <w:vertAlign w:val="superscript"/>
              </w:rPr>
              <w:t>+</w:t>
            </w:r>
          </w:p>
        </w:tc>
      </w:tr>
      <w:tr w:rsidR="00123786" w14:paraId="1EF7251E" w14:textId="77777777" w:rsidTr="00DC07C7">
        <w:tc>
          <w:tcPr>
            <w:tcW w:w="1276" w:type="dxa"/>
          </w:tcPr>
          <w:p w14:paraId="29305791" w14:textId="77777777" w:rsidR="00123786" w:rsidRDefault="00011149" w:rsidP="00DC07C7">
            <w:pPr>
              <w:rPr>
                <w:sz w:val="20"/>
              </w:rPr>
            </w:pPr>
            <w:r>
              <w:rPr>
                <w:sz w:val="20"/>
              </w:rPr>
              <w:t>DA</w:t>
            </w:r>
          </w:p>
        </w:tc>
        <w:tc>
          <w:tcPr>
            <w:tcW w:w="1276" w:type="dxa"/>
            <w:vAlign w:val="center"/>
          </w:tcPr>
          <w:p w14:paraId="3E9C2F97" w14:textId="77777777" w:rsidR="00123786" w:rsidRDefault="00123786" w:rsidP="00DC07C7">
            <w:pPr>
              <w:jc w:val="center"/>
              <w:rPr>
                <w:sz w:val="20"/>
              </w:rPr>
            </w:pPr>
            <w:r>
              <w:rPr>
                <w:sz w:val="20"/>
              </w:rPr>
              <w:t xml:space="preserve">175.62 </w:t>
            </w:r>
            <w:r>
              <w:rPr>
                <w:sz w:val="20"/>
                <w:u w:val="single"/>
              </w:rPr>
              <w:t>+</w:t>
            </w:r>
            <w:r>
              <w:rPr>
                <w:sz w:val="20"/>
              </w:rPr>
              <w:t xml:space="preserve"> 12.40</w:t>
            </w:r>
          </w:p>
        </w:tc>
        <w:tc>
          <w:tcPr>
            <w:tcW w:w="1701" w:type="dxa"/>
            <w:vAlign w:val="center"/>
          </w:tcPr>
          <w:p w14:paraId="08DA8C80" w14:textId="77777777" w:rsidR="00123786" w:rsidRDefault="00123786" w:rsidP="00DC07C7">
            <w:pPr>
              <w:jc w:val="center"/>
              <w:rPr>
                <w:sz w:val="20"/>
              </w:rPr>
            </w:pPr>
            <w:r>
              <w:rPr>
                <w:sz w:val="20"/>
              </w:rPr>
              <w:t xml:space="preserve">128.82 </w:t>
            </w:r>
            <w:r>
              <w:rPr>
                <w:sz w:val="20"/>
                <w:u w:val="single"/>
              </w:rPr>
              <w:t>+</w:t>
            </w:r>
            <w:r>
              <w:rPr>
                <w:sz w:val="20"/>
              </w:rPr>
              <w:t xml:space="preserve"> 11.24**</w:t>
            </w:r>
          </w:p>
        </w:tc>
        <w:tc>
          <w:tcPr>
            <w:tcW w:w="1701" w:type="dxa"/>
            <w:vAlign w:val="center"/>
          </w:tcPr>
          <w:p w14:paraId="434CB968" w14:textId="77777777" w:rsidR="00123786" w:rsidRDefault="00123786" w:rsidP="00DC07C7">
            <w:pPr>
              <w:jc w:val="center"/>
              <w:rPr>
                <w:sz w:val="20"/>
              </w:rPr>
            </w:pPr>
            <w:r>
              <w:rPr>
                <w:sz w:val="20"/>
              </w:rPr>
              <w:t xml:space="preserve">69.29 </w:t>
            </w:r>
            <w:r>
              <w:rPr>
                <w:sz w:val="20"/>
                <w:u w:val="single"/>
              </w:rPr>
              <w:t>+</w:t>
            </w:r>
            <w:r>
              <w:rPr>
                <w:sz w:val="20"/>
              </w:rPr>
              <w:t xml:space="preserve"> 15.47 **</w:t>
            </w:r>
          </w:p>
        </w:tc>
        <w:tc>
          <w:tcPr>
            <w:tcW w:w="1559" w:type="dxa"/>
            <w:vAlign w:val="center"/>
          </w:tcPr>
          <w:p w14:paraId="71719961" w14:textId="77777777" w:rsidR="00123786" w:rsidRDefault="00123786" w:rsidP="00DC07C7">
            <w:pPr>
              <w:jc w:val="center"/>
              <w:rPr>
                <w:sz w:val="20"/>
              </w:rPr>
            </w:pPr>
            <w:r>
              <w:rPr>
                <w:sz w:val="20"/>
              </w:rPr>
              <w:t xml:space="preserve">17.21 </w:t>
            </w:r>
            <w:r>
              <w:rPr>
                <w:sz w:val="20"/>
                <w:u w:val="single"/>
              </w:rPr>
              <w:t>+</w:t>
            </w:r>
            <w:r>
              <w:rPr>
                <w:sz w:val="20"/>
              </w:rPr>
              <w:t xml:space="preserve"> 9.15 **</w:t>
            </w:r>
          </w:p>
        </w:tc>
        <w:tc>
          <w:tcPr>
            <w:tcW w:w="1559" w:type="dxa"/>
            <w:vAlign w:val="center"/>
          </w:tcPr>
          <w:p w14:paraId="2E160CD5" w14:textId="77777777" w:rsidR="00123786" w:rsidRDefault="00123786" w:rsidP="00DC07C7">
            <w:pPr>
              <w:jc w:val="center"/>
              <w:rPr>
                <w:sz w:val="20"/>
              </w:rPr>
            </w:pPr>
            <w:r>
              <w:rPr>
                <w:sz w:val="20"/>
              </w:rPr>
              <w:t>31.07 + 9.13 **</w:t>
            </w:r>
          </w:p>
        </w:tc>
      </w:tr>
      <w:tr w:rsidR="00123786" w14:paraId="7AA54EFF" w14:textId="77777777" w:rsidTr="00DC07C7">
        <w:tc>
          <w:tcPr>
            <w:tcW w:w="1276" w:type="dxa"/>
          </w:tcPr>
          <w:p w14:paraId="0A57AC4B" w14:textId="77777777" w:rsidR="00123786" w:rsidRDefault="00123786" w:rsidP="00DC07C7">
            <w:pPr>
              <w:rPr>
                <w:sz w:val="20"/>
              </w:rPr>
            </w:pPr>
            <w:r>
              <w:rPr>
                <w:sz w:val="20"/>
              </w:rPr>
              <w:t>DOPAC</w:t>
            </w:r>
          </w:p>
        </w:tc>
        <w:tc>
          <w:tcPr>
            <w:tcW w:w="1276" w:type="dxa"/>
            <w:vAlign w:val="center"/>
          </w:tcPr>
          <w:p w14:paraId="60797C28" w14:textId="77777777" w:rsidR="00123786" w:rsidRDefault="00123786" w:rsidP="00DC07C7">
            <w:pPr>
              <w:jc w:val="center"/>
              <w:rPr>
                <w:sz w:val="20"/>
              </w:rPr>
            </w:pPr>
            <w:r>
              <w:rPr>
                <w:sz w:val="20"/>
              </w:rPr>
              <w:t xml:space="preserve">26.67 </w:t>
            </w:r>
            <w:r>
              <w:rPr>
                <w:sz w:val="20"/>
                <w:u w:val="single"/>
              </w:rPr>
              <w:t>+</w:t>
            </w:r>
            <w:r>
              <w:rPr>
                <w:sz w:val="20"/>
              </w:rPr>
              <w:t xml:space="preserve"> 3.49</w:t>
            </w:r>
          </w:p>
        </w:tc>
        <w:tc>
          <w:tcPr>
            <w:tcW w:w="1701" w:type="dxa"/>
            <w:vAlign w:val="center"/>
          </w:tcPr>
          <w:p w14:paraId="2F9CEC3D" w14:textId="77777777" w:rsidR="00123786" w:rsidRDefault="00123786" w:rsidP="00DC07C7">
            <w:pPr>
              <w:jc w:val="center"/>
              <w:rPr>
                <w:sz w:val="20"/>
              </w:rPr>
            </w:pPr>
            <w:r>
              <w:rPr>
                <w:sz w:val="20"/>
              </w:rPr>
              <w:t xml:space="preserve">23.93 </w:t>
            </w:r>
            <w:r>
              <w:rPr>
                <w:sz w:val="20"/>
                <w:u w:val="single"/>
              </w:rPr>
              <w:t>+</w:t>
            </w:r>
            <w:r>
              <w:rPr>
                <w:sz w:val="20"/>
              </w:rPr>
              <w:t xml:space="preserve"> 4.27</w:t>
            </w:r>
          </w:p>
        </w:tc>
        <w:tc>
          <w:tcPr>
            <w:tcW w:w="1701" w:type="dxa"/>
            <w:vAlign w:val="center"/>
          </w:tcPr>
          <w:p w14:paraId="321FB49B" w14:textId="77777777" w:rsidR="00123786" w:rsidRDefault="00123786" w:rsidP="00DC07C7">
            <w:pPr>
              <w:jc w:val="center"/>
              <w:rPr>
                <w:sz w:val="20"/>
              </w:rPr>
            </w:pPr>
            <w:r>
              <w:rPr>
                <w:sz w:val="20"/>
              </w:rPr>
              <w:t xml:space="preserve">18.04 </w:t>
            </w:r>
            <w:r>
              <w:rPr>
                <w:sz w:val="20"/>
                <w:u w:val="single"/>
              </w:rPr>
              <w:t>+</w:t>
            </w:r>
            <w:r>
              <w:rPr>
                <w:sz w:val="20"/>
              </w:rPr>
              <w:t xml:space="preserve"> 2.67</w:t>
            </w:r>
          </w:p>
        </w:tc>
        <w:tc>
          <w:tcPr>
            <w:tcW w:w="1559" w:type="dxa"/>
            <w:vAlign w:val="center"/>
          </w:tcPr>
          <w:p w14:paraId="05606CFD" w14:textId="77777777" w:rsidR="00123786" w:rsidRDefault="00123786" w:rsidP="00DC07C7">
            <w:pPr>
              <w:jc w:val="center"/>
              <w:rPr>
                <w:sz w:val="20"/>
              </w:rPr>
            </w:pPr>
            <w:r>
              <w:rPr>
                <w:sz w:val="20"/>
              </w:rPr>
              <w:t xml:space="preserve">5.88 </w:t>
            </w:r>
            <w:r>
              <w:rPr>
                <w:sz w:val="20"/>
                <w:u w:val="single"/>
              </w:rPr>
              <w:t>+</w:t>
            </w:r>
            <w:r>
              <w:rPr>
                <w:sz w:val="20"/>
              </w:rPr>
              <w:t xml:space="preserve"> 3.06 **</w:t>
            </w:r>
          </w:p>
        </w:tc>
        <w:tc>
          <w:tcPr>
            <w:tcW w:w="1559" w:type="dxa"/>
            <w:vAlign w:val="center"/>
          </w:tcPr>
          <w:p w14:paraId="5F41CEBF" w14:textId="77777777" w:rsidR="00123786" w:rsidRDefault="00123786" w:rsidP="00DC07C7">
            <w:pPr>
              <w:jc w:val="center"/>
              <w:rPr>
                <w:sz w:val="20"/>
              </w:rPr>
            </w:pPr>
            <w:r>
              <w:rPr>
                <w:sz w:val="20"/>
              </w:rPr>
              <w:t xml:space="preserve">11.71 </w:t>
            </w:r>
            <w:r>
              <w:rPr>
                <w:sz w:val="20"/>
                <w:u w:val="single"/>
              </w:rPr>
              <w:t>+</w:t>
            </w:r>
            <w:r>
              <w:rPr>
                <w:sz w:val="20"/>
              </w:rPr>
              <w:t xml:space="preserve"> 3.77 **</w:t>
            </w:r>
          </w:p>
        </w:tc>
      </w:tr>
      <w:tr w:rsidR="00123786" w14:paraId="3B29CF4D" w14:textId="77777777" w:rsidTr="00DC07C7">
        <w:tc>
          <w:tcPr>
            <w:tcW w:w="1276" w:type="dxa"/>
          </w:tcPr>
          <w:p w14:paraId="32D49622" w14:textId="77777777" w:rsidR="00123786" w:rsidRDefault="00123786" w:rsidP="00DC07C7">
            <w:pPr>
              <w:rPr>
                <w:sz w:val="20"/>
              </w:rPr>
            </w:pPr>
            <w:r>
              <w:rPr>
                <w:sz w:val="20"/>
              </w:rPr>
              <w:t>HVA</w:t>
            </w:r>
          </w:p>
        </w:tc>
        <w:tc>
          <w:tcPr>
            <w:tcW w:w="1276" w:type="dxa"/>
            <w:vAlign w:val="center"/>
          </w:tcPr>
          <w:p w14:paraId="209055D1" w14:textId="77777777" w:rsidR="00123786" w:rsidRDefault="00123786" w:rsidP="00DC07C7">
            <w:pPr>
              <w:jc w:val="center"/>
              <w:rPr>
                <w:sz w:val="20"/>
              </w:rPr>
            </w:pPr>
            <w:r>
              <w:rPr>
                <w:sz w:val="20"/>
              </w:rPr>
              <w:t xml:space="preserve">7.91 </w:t>
            </w:r>
            <w:r>
              <w:rPr>
                <w:sz w:val="20"/>
                <w:u w:val="single"/>
              </w:rPr>
              <w:t>+</w:t>
            </w:r>
            <w:r>
              <w:rPr>
                <w:sz w:val="20"/>
              </w:rPr>
              <w:t xml:space="preserve"> 1.08</w:t>
            </w:r>
          </w:p>
        </w:tc>
        <w:tc>
          <w:tcPr>
            <w:tcW w:w="1701" w:type="dxa"/>
            <w:vAlign w:val="center"/>
          </w:tcPr>
          <w:p w14:paraId="5C3906FE" w14:textId="77777777" w:rsidR="00123786" w:rsidRDefault="00123786" w:rsidP="00DC07C7">
            <w:pPr>
              <w:jc w:val="center"/>
              <w:rPr>
                <w:sz w:val="20"/>
              </w:rPr>
            </w:pPr>
            <w:r>
              <w:rPr>
                <w:sz w:val="20"/>
              </w:rPr>
              <w:t xml:space="preserve">6.77 </w:t>
            </w:r>
            <w:r>
              <w:rPr>
                <w:sz w:val="20"/>
                <w:u w:val="single"/>
              </w:rPr>
              <w:t>+</w:t>
            </w:r>
            <w:r>
              <w:rPr>
                <w:sz w:val="20"/>
              </w:rPr>
              <w:t xml:space="preserve"> 1.21</w:t>
            </w:r>
          </w:p>
        </w:tc>
        <w:tc>
          <w:tcPr>
            <w:tcW w:w="1701" w:type="dxa"/>
            <w:vAlign w:val="center"/>
          </w:tcPr>
          <w:p w14:paraId="12CE36D6" w14:textId="77777777" w:rsidR="00123786" w:rsidRDefault="00123786" w:rsidP="00DC07C7">
            <w:pPr>
              <w:jc w:val="center"/>
              <w:rPr>
                <w:sz w:val="20"/>
              </w:rPr>
            </w:pPr>
            <w:r>
              <w:rPr>
                <w:sz w:val="20"/>
              </w:rPr>
              <w:t xml:space="preserve">4.76 </w:t>
            </w:r>
            <w:r>
              <w:rPr>
                <w:sz w:val="20"/>
                <w:u w:val="single"/>
              </w:rPr>
              <w:t>+</w:t>
            </w:r>
            <w:r>
              <w:rPr>
                <w:sz w:val="20"/>
              </w:rPr>
              <w:t xml:space="preserve"> 0.81</w:t>
            </w:r>
          </w:p>
        </w:tc>
        <w:tc>
          <w:tcPr>
            <w:tcW w:w="1559" w:type="dxa"/>
            <w:vAlign w:val="center"/>
          </w:tcPr>
          <w:p w14:paraId="0C1A6D30" w14:textId="77777777" w:rsidR="00123786" w:rsidRDefault="00123786" w:rsidP="00DC07C7">
            <w:pPr>
              <w:jc w:val="center"/>
              <w:rPr>
                <w:sz w:val="20"/>
              </w:rPr>
            </w:pPr>
            <w:r>
              <w:rPr>
                <w:sz w:val="20"/>
              </w:rPr>
              <w:t xml:space="preserve">4.01 </w:t>
            </w:r>
            <w:r>
              <w:rPr>
                <w:sz w:val="20"/>
                <w:u w:val="single"/>
              </w:rPr>
              <w:t>+</w:t>
            </w:r>
            <w:r>
              <w:rPr>
                <w:sz w:val="20"/>
              </w:rPr>
              <w:t xml:space="preserve"> 1.73 *</w:t>
            </w:r>
          </w:p>
        </w:tc>
        <w:tc>
          <w:tcPr>
            <w:tcW w:w="1559" w:type="dxa"/>
            <w:vAlign w:val="center"/>
          </w:tcPr>
          <w:p w14:paraId="6CDB7BD0" w14:textId="77777777" w:rsidR="00123786" w:rsidRDefault="00123786" w:rsidP="00DC07C7">
            <w:pPr>
              <w:jc w:val="center"/>
              <w:rPr>
                <w:sz w:val="20"/>
              </w:rPr>
            </w:pPr>
            <w:r>
              <w:rPr>
                <w:sz w:val="20"/>
              </w:rPr>
              <w:t xml:space="preserve">3.59 </w:t>
            </w:r>
            <w:r>
              <w:rPr>
                <w:sz w:val="20"/>
                <w:u w:val="single"/>
              </w:rPr>
              <w:t>+</w:t>
            </w:r>
            <w:r>
              <w:rPr>
                <w:sz w:val="20"/>
              </w:rPr>
              <w:t xml:space="preserve"> 1.32 **</w:t>
            </w:r>
          </w:p>
        </w:tc>
      </w:tr>
      <w:tr w:rsidR="00123786" w14:paraId="32F7265C" w14:textId="77777777" w:rsidTr="00DC07C7">
        <w:tc>
          <w:tcPr>
            <w:tcW w:w="1276" w:type="dxa"/>
          </w:tcPr>
          <w:p w14:paraId="4E0296D0" w14:textId="77777777" w:rsidR="00123786" w:rsidRDefault="00123786" w:rsidP="00DC07C7">
            <w:pPr>
              <w:rPr>
                <w:sz w:val="20"/>
              </w:rPr>
            </w:pPr>
            <w:r>
              <w:rPr>
                <w:sz w:val="20"/>
              </w:rPr>
              <w:t>DOPAC/</w:t>
            </w:r>
          </w:p>
          <w:p w14:paraId="54607B3C" w14:textId="77777777" w:rsidR="00123786" w:rsidRDefault="00123786" w:rsidP="00DC07C7">
            <w:pPr>
              <w:rPr>
                <w:sz w:val="20"/>
              </w:rPr>
            </w:pPr>
            <w:r>
              <w:rPr>
                <w:sz w:val="20"/>
              </w:rPr>
              <w:t>DA</w:t>
            </w:r>
          </w:p>
        </w:tc>
        <w:tc>
          <w:tcPr>
            <w:tcW w:w="1276" w:type="dxa"/>
            <w:vAlign w:val="center"/>
          </w:tcPr>
          <w:p w14:paraId="14648630" w14:textId="77777777" w:rsidR="00123786" w:rsidRDefault="00123786" w:rsidP="00DC07C7">
            <w:pPr>
              <w:jc w:val="center"/>
              <w:rPr>
                <w:sz w:val="20"/>
              </w:rPr>
            </w:pPr>
            <w:r>
              <w:rPr>
                <w:sz w:val="20"/>
              </w:rPr>
              <w:t xml:space="preserve">0.15 </w:t>
            </w:r>
            <w:r>
              <w:rPr>
                <w:sz w:val="20"/>
                <w:u w:val="single"/>
              </w:rPr>
              <w:t>+</w:t>
            </w:r>
            <w:r>
              <w:rPr>
                <w:sz w:val="20"/>
              </w:rPr>
              <w:t xml:space="preserve"> 0.01</w:t>
            </w:r>
          </w:p>
        </w:tc>
        <w:tc>
          <w:tcPr>
            <w:tcW w:w="1701" w:type="dxa"/>
            <w:vAlign w:val="center"/>
          </w:tcPr>
          <w:p w14:paraId="6F7CADA9" w14:textId="77777777" w:rsidR="00123786" w:rsidRDefault="00123786" w:rsidP="00DC07C7">
            <w:pPr>
              <w:jc w:val="center"/>
              <w:rPr>
                <w:sz w:val="20"/>
              </w:rPr>
            </w:pPr>
            <w:r>
              <w:rPr>
                <w:sz w:val="20"/>
              </w:rPr>
              <w:t xml:space="preserve">0.18 </w:t>
            </w:r>
            <w:r>
              <w:rPr>
                <w:sz w:val="20"/>
                <w:u w:val="single"/>
              </w:rPr>
              <w:t>+</w:t>
            </w:r>
            <w:r>
              <w:rPr>
                <w:sz w:val="20"/>
              </w:rPr>
              <w:t xml:space="preserve"> 0.02</w:t>
            </w:r>
          </w:p>
        </w:tc>
        <w:tc>
          <w:tcPr>
            <w:tcW w:w="1701" w:type="dxa"/>
            <w:vAlign w:val="center"/>
          </w:tcPr>
          <w:p w14:paraId="1D1F1E83" w14:textId="77777777" w:rsidR="00123786" w:rsidRDefault="00123786" w:rsidP="00DC07C7">
            <w:pPr>
              <w:jc w:val="center"/>
              <w:rPr>
                <w:sz w:val="20"/>
              </w:rPr>
            </w:pPr>
            <w:r>
              <w:rPr>
                <w:sz w:val="20"/>
              </w:rPr>
              <w:t xml:space="preserve">0.29 </w:t>
            </w:r>
            <w:r>
              <w:rPr>
                <w:sz w:val="20"/>
                <w:u w:val="single"/>
              </w:rPr>
              <w:t>+</w:t>
            </w:r>
            <w:r>
              <w:rPr>
                <w:sz w:val="20"/>
              </w:rPr>
              <w:t xml:space="preserve"> 0.06</w:t>
            </w:r>
          </w:p>
        </w:tc>
        <w:tc>
          <w:tcPr>
            <w:tcW w:w="1559" w:type="dxa"/>
            <w:vAlign w:val="center"/>
          </w:tcPr>
          <w:p w14:paraId="4DE253A4" w14:textId="77777777" w:rsidR="00123786" w:rsidRDefault="00123786" w:rsidP="00DC07C7">
            <w:pPr>
              <w:jc w:val="center"/>
              <w:rPr>
                <w:sz w:val="20"/>
              </w:rPr>
            </w:pPr>
            <w:r>
              <w:rPr>
                <w:sz w:val="20"/>
              </w:rPr>
              <w:t xml:space="preserve">0.45 </w:t>
            </w:r>
            <w:r>
              <w:rPr>
                <w:sz w:val="20"/>
                <w:u w:val="single"/>
              </w:rPr>
              <w:t>+</w:t>
            </w:r>
            <w:r>
              <w:rPr>
                <w:sz w:val="20"/>
              </w:rPr>
              <w:t xml:space="preserve"> 0.06 *</w:t>
            </w:r>
          </w:p>
        </w:tc>
        <w:tc>
          <w:tcPr>
            <w:tcW w:w="1559" w:type="dxa"/>
            <w:vAlign w:val="center"/>
          </w:tcPr>
          <w:p w14:paraId="7EAFA26D" w14:textId="77777777" w:rsidR="00123786" w:rsidRDefault="00123786" w:rsidP="00DC07C7">
            <w:pPr>
              <w:jc w:val="center"/>
              <w:rPr>
                <w:sz w:val="20"/>
              </w:rPr>
            </w:pPr>
            <w:r>
              <w:rPr>
                <w:sz w:val="20"/>
              </w:rPr>
              <w:t xml:space="preserve">0.46 </w:t>
            </w:r>
            <w:r>
              <w:rPr>
                <w:sz w:val="20"/>
                <w:u w:val="single"/>
              </w:rPr>
              <w:t>+</w:t>
            </w:r>
            <w:r>
              <w:rPr>
                <w:sz w:val="20"/>
              </w:rPr>
              <w:t xml:space="preserve"> 0.08 *</w:t>
            </w:r>
          </w:p>
        </w:tc>
      </w:tr>
      <w:tr w:rsidR="00123786" w14:paraId="14D50012" w14:textId="77777777" w:rsidTr="00DC07C7">
        <w:tc>
          <w:tcPr>
            <w:tcW w:w="1276" w:type="dxa"/>
          </w:tcPr>
          <w:p w14:paraId="4E876D84" w14:textId="77777777" w:rsidR="00123786" w:rsidRDefault="00123786" w:rsidP="00DC07C7">
            <w:pPr>
              <w:rPr>
                <w:sz w:val="20"/>
              </w:rPr>
            </w:pPr>
            <w:r>
              <w:rPr>
                <w:sz w:val="20"/>
              </w:rPr>
              <w:t>HVA/DA</w:t>
            </w:r>
          </w:p>
        </w:tc>
        <w:tc>
          <w:tcPr>
            <w:tcW w:w="1276" w:type="dxa"/>
            <w:vAlign w:val="center"/>
          </w:tcPr>
          <w:p w14:paraId="3C812F7A" w14:textId="77777777" w:rsidR="00123786" w:rsidRDefault="00123786" w:rsidP="00DC07C7">
            <w:pPr>
              <w:jc w:val="center"/>
              <w:rPr>
                <w:sz w:val="20"/>
              </w:rPr>
            </w:pPr>
            <w:r>
              <w:rPr>
                <w:sz w:val="20"/>
              </w:rPr>
              <w:t xml:space="preserve">0.04 </w:t>
            </w:r>
            <w:r>
              <w:rPr>
                <w:sz w:val="20"/>
                <w:u w:val="single"/>
              </w:rPr>
              <w:t>+</w:t>
            </w:r>
            <w:r>
              <w:rPr>
                <w:sz w:val="20"/>
              </w:rPr>
              <w:t xml:space="preserve"> 0.01</w:t>
            </w:r>
          </w:p>
        </w:tc>
        <w:tc>
          <w:tcPr>
            <w:tcW w:w="1701" w:type="dxa"/>
            <w:vAlign w:val="center"/>
          </w:tcPr>
          <w:p w14:paraId="430742F2" w14:textId="77777777" w:rsidR="00123786" w:rsidRDefault="00123786" w:rsidP="00DC07C7">
            <w:pPr>
              <w:jc w:val="center"/>
              <w:rPr>
                <w:sz w:val="20"/>
              </w:rPr>
            </w:pPr>
            <w:r>
              <w:rPr>
                <w:sz w:val="20"/>
              </w:rPr>
              <w:t xml:space="preserve">0.05 </w:t>
            </w:r>
            <w:r>
              <w:rPr>
                <w:sz w:val="20"/>
                <w:u w:val="single"/>
              </w:rPr>
              <w:t>+</w:t>
            </w:r>
            <w:r>
              <w:rPr>
                <w:sz w:val="20"/>
              </w:rPr>
              <w:t xml:space="preserve"> 0.01</w:t>
            </w:r>
          </w:p>
        </w:tc>
        <w:tc>
          <w:tcPr>
            <w:tcW w:w="1701" w:type="dxa"/>
            <w:vAlign w:val="center"/>
          </w:tcPr>
          <w:p w14:paraId="08A01FC6" w14:textId="77777777" w:rsidR="00123786" w:rsidRDefault="00123786" w:rsidP="00DC07C7">
            <w:pPr>
              <w:jc w:val="center"/>
              <w:rPr>
                <w:sz w:val="20"/>
              </w:rPr>
            </w:pPr>
            <w:r>
              <w:rPr>
                <w:sz w:val="20"/>
              </w:rPr>
              <w:t xml:space="preserve">0.07 </w:t>
            </w:r>
            <w:r>
              <w:rPr>
                <w:sz w:val="20"/>
                <w:u w:val="single"/>
              </w:rPr>
              <w:t>+</w:t>
            </w:r>
            <w:r>
              <w:rPr>
                <w:sz w:val="20"/>
              </w:rPr>
              <w:t xml:space="preserve"> 0.01</w:t>
            </w:r>
          </w:p>
        </w:tc>
        <w:tc>
          <w:tcPr>
            <w:tcW w:w="1559" w:type="dxa"/>
            <w:vAlign w:val="center"/>
          </w:tcPr>
          <w:p w14:paraId="01EFAAF4" w14:textId="77777777" w:rsidR="00123786" w:rsidRDefault="00123786" w:rsidP="00DC07C7">
            <w:pPr>
              <w:jc w:val="center"/>
              <w:rPr>
                <w:sz w:val="20"/>
              </w:rPr>
            </w:pPr>
            <w:r>
              <w:rPr>
                <w:sz w:val="20"/>
              </w:rPr>
              <w:t xml:space="preserve">0.14 </w:t>
            </w:r>
            <w:r>
              <w:rPr>
                <w:sz w:val="20"/>
                <w:u w:val="single"/>
              </w:rPr>
              <w:t>+</w:t>
            </w:r>
            <w:r>
              <w:rPr>
                <w:sz w:val="20"/>
              </w:rPr>
              <w:t xml:space="preserve"> 0.01 *</w:t>
            </w:r>
          </w:p>
        </w:tc>
        <w:tc>
          <w:tcPr>
            <w:tcW w:w="1559" w:type="dxa"/>
            <w:vAlign w:val="center"/>
          </w:tcPr>
          <w:p w14:paraId="627DF2B5" w14:textId="77777777" w:rsidR="00123786" w:rsidRDefault="00123786" w:rsidP="00DC07C7">
            <w:pPr>
              <w:jc w:val="center"/>
              <w:rPr>
                <w:sz w:val="20"/>
              </w:rPr>
            </w:pPr>
            <w:r>
              <w:rPr>
                <w:sz w:val="20"/>
              </w:rPr>
              <w:t xml:space="preserve">0.11 </w:t>
            </w:r>
            <w:r>
              <w:rPr>
                <w:sz w:val="20"/>
                <w:u w:val="single"/>
              </w:rPr>
              <w:t>+</w:t>
            </w:r>
            <w:r>
              <w:rPr>
                <w:sz w:val="20"/>
              </w:rPr>
              <w:t xml:space="preserve"> 0.02 *</w:t>
            </w:r>
          </w:p>
        </w:tc>
      </w:tr>
    </w:tbl>
    <w:p w14:paraId="4A7075C0" w14:textId="77777777" w:rsidR="00123786" w:rsidRDefault="00123786" w:rsidP="00123786">
      <w:r>
        <w:rPr>
          <w:sz w:val="20"/>
        </w:rPr>
        <w:t>Data expressed as mean pg/</w:t>
      </w:r>
      <w:r>
        <w:rPr>
          <w:sz w:val="20"/>
        </w:rPr>
        <w:sym w:font="Symbol" w:char="F06D"/>
      </w:r>
      <w:r>
        <w:rPr>
          <w:sz w:val="20"/>
        </w:rPr>
        <w:t xml:space="preserve">g </w:t>
      </w:r>
      <w:r>
        <w:rPr>
          <w:sz w:val="20"/>
          <w:u w:val="single"/>
        </w:rPr>
        <w:t>+</w:t>
      </w:r>
      <w:r>
        <w:rPr>
          <w:sz w:val="20"/>
        </w:rPr>
        <w:t xml:space="preserve"> SEM; n=6; * p&lt;0.05; ** p&lt;0.01</w:t>
      </w:r>
    </w:p>
    <w:p w14:paraId="57621DF7" w14:textId="77777777" w:rsidR="00123786" w:rsidRDefault="00123786" w:rsidP="00123786"/>
    <w:p w14:paraId="6A24770D" w14:textId="77777777" w:rsidR="00123786" w:rsidRDefault="00123786" w:rsidP="00123786">
      <w:r>
        <w:t xml:space="preserve">The magnitude of depression in the levels of striatal </w:t>
      </w:r>
      <w:r w:rsidR="00011149">
        <w:t>DA</w:t>
      </w:r>
      <w:r>
        <w:t xml:space="preserve">, DOPAC and HVA persisted for 16 weeks following administration of 3 </w:t>
      </w:r>
      <w:r>
        <w:sym w:font="Symbol" w:char="F06D"/>
      </w:r>
      <w:r>
        <w:t xml:space="preserve">g paraquat, and this effect was statistically significant (p&lt;0.01-0.05) at every sampling point (2, 4, 8 and 16 weeks). However, the interpretation of </w:t>
      </w:r>
      <w:r>
        <w:lastRenderedPageBreak/>
        <w:t>these findings was complicated by the absence of a concurrent control group (ie 4-, 8- and 16-week paraquat samples were compared to a 2-week control sample).</w:t>
      </w:r>
    </w:p>
    <w:p w14:paraId="13F82443" w14:textId="77777777" w:rsidR="00123786" w:rsidRDefault="00123786" w:rsidP="00123786"/>
    <w:p w14:paraId="3193DF74" w14:textId="77777777" w:rsidR="00123786" w:rsidRDefault="00123786" w:rsidP="00123786">
      <w:r>
        <w:t xml:space="preserve">The study authors reported no neurohistopathological abnormalities in rats treated with 1 </w:t>
      </w:r>
      <w:r>
        <w:sym w:font="Symbol" w:char="F06D"/>
      </w:r>
      <w:r>
        <w:t xml:space="preserve">g paraquat. Photographic evidence illustrated a moderate loss of cells of the </w:t>
      </w:r>
      <w:r w:rsidR="00A4092E">
        <w:t>SN</w:t>
      </w:r>
      <w:r>
        <w:t xml:space="preserve"> and abnormal neurons 2 weeks after microinjection of 2 </w:t>
      </w:r>
      <w:r>
        <w:sym w:font="Symbol" w:char="F06D"/>
      </w:r>
      <w:r>
        <w:t xml:space="preserve">g paraquat, while a marked loss of neurons and prominent astrocyte proliferation were observed at 3 </w:t>
      </w:r>
      <w:r>
        <w:sym w:font="Symbol" w:char="F06D"/>
      </w:r>
      <w:r>
        <w:t xml:space="preserve">g paraquat. The study authors also reported neuronal loss and astrocyte proliferation 2 weeks after injection of 8 </w:t>
      </w:r>
      <w:r>
        <w:sym w:font="Symbol" w:char="F06D"/>
      </w:r>
      <w:r>
        <w:t>g MPP</w:t>
      </w:r>
      <w:r>
        <w:rPr>
          <w:vertAlign w:val="superscript"/>
        </w:rPr>
        <w:t>+</w:t>
      </w:r>
      <w:r>
        <w:t>.</w:t>
      </w:r>
    </w:p>
    <w:p w14:paraId="10F03910" w14:textId="77777777" w:rsidR="00123786" w:rsidRDefault="00123786" w:rsidP="00123786"/>
    <w:p w14:paraId="5D7FA196" w14:textId="6CB7E99B" w:rsidR="00123786" w:rsidRPr="000E54B2" w:rsidRDefault="00123786" w:rsidP="002B2CFC">
      <w:r>
        <w:t xml:space="preserve">In summary, this study provided evidence that paraquat is neurotoxic when injected into the </w:t>
      </w:r>
      <w:r w:rsidR="00A4092E">
        <w:t>SN</w:t>
      </w:r>
      <w:r>
        <w:t xml:space="preserve"> of male Wistar rats. At and above 1 </w:t>
      </w:r>
      <w:r>
        <w:sym w:font="Symbol" w:char="F06D"/>
      </w:r>
      <w:r>
        <w:t xml:space="preserve">g paraquat (equivalent to 0.72 </w:t>
      </w:r>
      <w:r>
        <w:sym w:font="Symbol" w:char="F06D"/>
      </w:r>
      <w:r>
        <w:t xml:space="preserve">g paraquat cation), a significant dose-related depression in striatal </w:t>
      </w:r>
      <w:r w:rsidR="00011149">
        <w:t>DA</w:t>
      </w:r>
      <w:r>
        <w:t xml:space="preserve"> concentration occurred. Neurohistopathological abnormalities (abnormal neurons, neuronal loss and astrocyte proliferation) and a significant dose-related increase in apomorphine-induced contralateral circling were observed at and above 2 </w:t>
      </w:r>
      <w:r>
        <w:sym w:font="Symbol" w:char="F06D"/>
      </w:r>
      <w:r>
        <w:t xml:space="preserve">g (equivalent to 1.44 </w:t>
      </w:r>
      <w:r>
        <w:sym w:font="Symbol" w:char="F06D"/>
      </w:r>
      <w:r>
        <w:t xml:space="preserve">g paraquat cation). At 3 </w:t>
      </w:r>
      <w:r>
        <w:sym w:font="Symbol" w:char="F06D"/>
      </w:r>
      <w:r>
        <w:t xml:space="preserve">g (equivalent to 2.16 </w:t>
      </w:r>
      <w:r>
        <w:sym w:font="Symbol" w:char="F06D"/>
      </w:r>
      <w:r>
        <w:t xml:space="preserve">g paraquat cation), rotational behaviour in the direction of the lesion, asymmetrical posture or weak sniffing behaviour was exhibited in addition to a significant depression in DOPAC and HVA levels. At 5 </w:t>
      </w:r>
      <w:r>
        <w:sym w:font="Symbol" w:char="F06D"/>
      </w:r>
      <w:r>
        <w:t xml:space="preserve">g (equivalent to 3.6 </w:t>
      </w:r>
      <w:r>
        <w:sym w:font="Symbol" w:char="F06D"/>
      </w:r>
      <w:r>
        <w:t>g paraquat cation), all rats died. The major limitation of this study was that no concurrent control group was sampled over the 16 week experimental period.</w:t>
      </w:r>
    </w:p>
    <w:p w14:paraId="0466CEA3" w14:textId="77777777" w:rsidR="002B2CFC" w:rsidRPr="002B2CFC" w:rsidRDefault="002B2CFC" w:rsidP="002B2CFC">
      <w:pPr>
        <w:rPr>
          <w:szCs w:val="24"/>
          <w:lang w:val="en-US" w:eastAsia="en-US"/>
        </w:rPr>
      </w:pPr>
    </w:p>
    <w:p w14:paraId="77120034" w14:textId="77777777" w:rsidR="002B2CFC" w:rsidRPr="002B2CFC" w:rsidRDefault="002B2CFC" w:rsidP="002B2CFC">
      <w:pPr>
        <w:rPr>
          <w:b/>
          <w:szCs w:val="24"/>
          <w:lang w:val="en-US" w:eastAsia="en-US"/>
        </w:rPr>
      </w:pPr>
      <w:r w:rsidRPr="002B2CFC">
        <w:rPr>
          <w:b/>
          <w:szCs w:val="24"/>
          <w:lang w:val="en-US" w:eastAsia="en-US"/>
        </w:rPr>
        <w:t xml:space="preserve">Miranda-Contreras L, Davila-Ovalles R, Benitez-Diaz P, Pena-Contreras &amp; Palacios-Pru E (2005) Effects of prenatal paraquat and mancozeb exposure on amino acid synaptic transmission in developing mouse cerebellar cortex. </w:t>
      </w:r>
      <w:r w:rsidRPr="004D6C19">
        <w:rPr>
          <w:b/>
          <w:i/>
          <w:szCs w:val="24"/>
          <w:lang w:val="en-US" w:eastAsia="en-US"/>
        </w:rPr>
        <w:t xml:space="preserve">Developmental Brain Research </w:t>
      </w:r>
      <w:r w:rsidRPr="002B2CFC">
        <w:rPr>
          <w:b/>
          <w:szCs w:val="24"/>
          <w:lang w:val="en-US" w:eastAsia="en-US"/>
        </w:rPr>
        <w:t>160:19-27.</w:t>
      </w:r>
    </w:p>
    <w:p w14:paraId="089EC58D" w14:textId="77777777" w:rsidR="002B2CFC" w:rsidRPr="002B2CFC" w:rsidRDefault="002B2CFC" w:rsidP="002B2CFC">
      <w:pPr>
        <w:rPr>
          <w:szCs w:val="24"/>
          <w:lang w:val="en-US" w:eastAsia="en-US"/>
        </w:rPr>
      </w:pPr>
    </w:p>
    <w:p w14:paraId="4E0D7309" w14:textId="77777777" w:rsidR="00AE0BA4" w:rsidRDefault="00AE0BA4" w:rsidP="00AE0BA4">
      <w:pPr>
        <w:rPr>
          <w:szCs w:val="24"/>
          <w:lang w:val="en-US"/>
        </w:rPr>
      </w:pPr>
      <w:r>
        <w:rPr>
          <w:szCs w:val="24"/>
          <w:lang w:val="en-US"/>
        </w:rPr>
        <w:t>This study involved paraquat, mancozeb and a combination of the two. Only findings for paraquat are reported here.</w:t>
      </w:r>
    </w:p>
    <w:p w14:paraId="7502FEAD" w14:textId="77777777" w:rsidR="00AE0BA4" w:rsidRDefault="00AE0BA4" w:rsidP="00AE0BA4">
      <w:pPr>
        <w:rPr>
          <w:szCs w:val="24"/>
          <w:lang w:val="en-US"/>
        </w:rPr>
      </w:pPr>
    </w:p>
    <w:p w14:paraId="0EF12DF5" w14:textId="77777777" w:rsidR="00AE0BA4" w:rsidRDefault="00AE0BA4" w:rsidP="00AE0BA4">
      <w:pPr>
        <w:rPr>
          <w:szCs w:val="24"/>
          <w:lang w:val="en-US"/>
        </w:rPr>
      </w:pPr>
      <w:r>
        <w:rPr>
          <w:szCs w:val="24"/>
          <w:lang w:val="en-US"/>
        </w:rPr>
        <w:t>The purpose of this study was to determine the effects of prenatal exposure to paraquat on the development of amino acid synaptic transmission in mouse cerebellar cortex. This period is critical for the formation of the neuronal circuitry of the cerebellar cortex. During this stage, neurotransmitters may play important roles other than neurotransmission to control neural function. Evidence exists that neurotransmitters can modulate proliferation of</w:t>
      </w:r>
      <w:r>
        <w:rPr>
          <w:rFonts w:ascii="Tahoma" w:hAnsi="Tahoma" w:cs="Tahoma"/>
          <w:spacing w:val="8"/>
          <w:sz w:val="15"/>
          <w:szCs w:val="15"/>
          <w:lang w:val="en-US"/>
        </w:rPr>
        <w:t xml:space="preserve"> </w:t>
      </w:r>
      <w:r>
        <w:rPr>
          <w:szCs w:val="24"/>
          <w:lang w:val="en-US"/>
        </w:rPr>
        <w:t xml:space="preserve">neural stem cells, neuroblasts and glioblasts; regulate cell migration; and induce differentiation (Cameron </w:t>
      </w:r>
      <w:r>
        <w:rPr>
          <w:i/>
          <w:szCs w:val="24"/>
          <w:lang w:val="en-US"/>
        </w:rPr>
        <w:t>et al</w:t>
      </w:r>
      <w:r>
        <w:rPr>
          <w:szCs w:val="24"/>
          <w:lang w:val="en-US"/>
        </w:rPr>
        <w:t xml:space="preserve"> 1998; Lauder 1993; Lipton &amp; Kater 1989). Consequently, any toxicant that interferes with neurotransmission during development may cause permanent defects in the CNS (Lauder 1993; Ferguson 1996). </w:t>
      </w:r>
    </w:p>
    <w:p w14:paraId="557CD443" w14:textId="77777777" w:rsidR="00AE0BA4" w:rsidRDefault="00AE0BA4" w:rsidP="00AE0BA4">
      <w:pPr>
        <w:rPr>
          <w:i/>
          <w:szCs w:val="24"/>
          <w:lang w:val="en-US"/>
        </w:rPr>
      </w:pPr>
    </w:p>
    <w:p w14:paraId="30E7FA63" w14:textId="77777777" w:rsidR="00AE0BA4" w:rsidRDefault="00AE0BA4" w:rsidP="00AE0BA4">
      <w:pPr>
        <w:rPr>
          <w:lang w:val="en-US"/>
        </w:rPr>
      </w:pPr>
      <w:r>
        <w:rPr>
          <w:i/>
          <w:szCs w:val="24"/>
          <w:lang w:val="en-US"/>
        </w:rPr>
        <w:t>Study &amp; observations:</w:t>
      </w:r>
      <w:r>
        <w:rPr>
          <w:szCs w:val="24"/>
          <w:lang w:val="en-US"/>
        </w:rPr>
        <w:t xml:space="preserve"> Pregnant (10 days gestation) NMRI mice (University of Los Andes, Merida, Venezuela) were used in this study. Mice were maintained in a controlled environment with food and water </w:t>
      </w:r>
      <w:r>
        <w:rPr>
          <w:i/>
          <w:szCs w:val="24"/>
          <w:lang w:val="en-US"/>
        </w:rPr>
        <w:t>ad libitum</w:t>
      </w:r>
      <w:r>
        <w:rPr>
          <w:szCs w:val="24"/>
          <w:lang w:val="en-US"/>
        </w:rPr>
        <w:t xml:space="preserve">. They were randomly assigned into four treatment groups (20/treatment group; 20/treatment control group), which were administered with either saline, paraquat, mancozeb or a combination of paraquat and mancozeb between gestation days 12 and 20 at intervals of 48 h between each dose, in a total of five doses. The dams were injected with either saline, paraquat at a dose of 10 mg/kg bw, mancozeb at a dose of 30 mg/kg bw or a combination of 10 mg/kg bw paraquat and 30 mg/kg bw mancozeb. These doses were consistent with previous studies. Paraquat and mancozeb were dissolved in saline and injected </w:t>
      </w:r>
      <w:r>
        <w:rPr>
          <w:szCs w:val="24"/>
          <w:lang w:val="en-US"/>
        </w:rPr>
        <w:lastRenderedPageBreak/>
        <w:t xml:space="preserve">ip. </w:t>
      </w:r>
      <w:r>
        <w:rPr>
          <w:lang w:val="en-US"/>
        </w:rPr>
        <w:t>Body weight was used as the physical developmental parameter for the evaluation of the possible effects of pesticide exposure of the pups. All pups in control and experimental groups were weighed on post natal day 1 (P1), P3, P7, P14, P21 and P30.</w:t>
      </w:r>
    </w:p>
    <w:p w14:paraId="4E7D7EF5" w14:textId="77777777" w:rsidR="00AE0BA4" w:rsidRDefault="00AE0BA4" w:rsidP="00AE0BA4">
      <w:pPr>
        <w:rPr>
          <w:lang w:val="en-US"/>
        </w:rPr>
      </w:pPr>
    </w:p>
    <w:p w14:paraId="3F7C526C" w14:textId="77777777" w:rsidR="00AE0BA4" w:rsidRDefault="00AE0BA4" w:rsidP="00AE0BA4">
      <w:pPr>
        <w:rPr>
          <w:lang w:val="en-US"/>
        </w:rPr>
      </w:pPr>
      <w:r>
        <w:rPr>
          <w:lang w:val="en-US"/>
        </w:rPr>
        <w:t>The locomotor activity of pups was evaluated in an open- field arena, which was made of a wooden box, 40 x 40 x 35 cm, subdivided into 10 x 10 cm with infrared photosensors to quantify locomotor activity. A single pup from each litter was used for the test, and the locomotor activity test was performed on the same pups on P14, P21 and P30. Each mouse was placed in the centre of the arena, and the locomotor activity was assessed by recording the total number of photobeam breaks, corresponding to the number of times that the mouse ran a distance of 10 cm, during a period of 10 min. After each animal's motor activity evaluation, the testing surface was cleaned with water and alcohol and then dried.</w:t>
      </w:r>
    </w:p>
    <w:p w14:paraId="1F72D5C6" w14:textId="77777777" w:rsidR="00AE0BA4" w:rsidRDefault="00AE0BA4" w:rsidP="00AE0BA4">
      <w:pPr>
        <w:rPr>
          <w:lang w:val="en-US"/>
        </w:rPr>
      </w:pPr>
    </w:p>
    <w:p w14:paraId="137FCCEC" w14:textId="77777777" w:rsidR="00AE0BA4" w:rsidRDefault="00AE0BA4" w:rsidP="00AE0BA4">
      <w:pPr>
        <w:rPr>
          <w:lang w:val="en-US"/>
        </w:rPr>
      </w:pPr>
      <w:r>
        <w:rPr>
          <w:lang w:val="en-US"/>
        </w:rPr>
        <w:t xml:space="preserve">Simultaneous assay of the neurotransmitter amino acids, glutamate, aspartate, glycine, taurine and GABA, were conducted using HPLC following derivatization with dansyl chloride. For this analysis, pups were obtained at random from the treatment group, and depending on the developmental age. Cerebellar cortical tissue samples were obtained from the treatment group at P 1, P3, P7, PI5 and P30 and were homogenized in 0.05 N perchloric acid. After taking aliquots for protein determination, the homogenates were spun at 4 </w:t>
      </w:r>
      <w:r>
        <w:rPr>
          <w:vertAlign w:val="superscript"/>
          <w:lang w:val="en-US"/>
        </w:rPr>
        <w:t>o</w:t>
      </w:r>
      <w:r>
        <w:rPr>
          <w:lang w:val="en-US"/>
        </w:rPr>
        <w:t xml:space="preserve">C for 15 min at 10.000 x </w:t>
      </w:r>
      <w:r>
        <w:rPr>
          <w:i/>
          <w:iCs/>
          <w:lang w:val="en-US"/>
        </w:rPr>
        <w:t xml:space="preserve">g. </w:t>
      </w:r>
      <w:r>
        <w:rPr>
          <w:lang w:val="en-US"/>
        </w:rPr>
        <w:t xml:space="preserve">The supernatant solutions were filtered through 0.45 pm Millipore filters, and aliquots were derivatized with dansyl chloride. </w:t>
      </w:r>
    </w:p>
    <w:p w14:paraId="28E531DB" w14:textId="77777777" w:rsidR="00AE0BA4" w:rsidRDefault="00AE0BA4" w:rsidP="00AE0BA4">
      <w:pPr>
        <w:rPr>
          <w:lang w:val="en-US"/>
        </w:rPr>
      </w:pPr>
    </w:p>
    <w:p w14:paraId="7BB67A44" w14:textId="77777777" w:rsidR="00AE0BA4" w:rsidRDefault="00AE0BA4" w:rsidP="00AE0BA4">
      <w:pPr>
        <w:rPr>
          <w:lang w:val="en-US"/>
        </w:rPr>
      </w:pPr>
      <w:r>
        <w:rPr>
          <w:lang w:val="en-US"/>
        </w:rPr>
        <w:t>Dansylated amino acids were eluted at a flow rate of 0.6 ml/min. and absorbance detection was carried out at 215 nm. The levels of amino acid neurotransmitters were calculated by comparing peak areas with those of standards, and the values were expressed as µmol/100 mg proteins.</w:t>
      </w:r>
    </w:p>
    <w:p w14:paraId="227D8F7F" w14:textId="77777777" w:rsidR="00AE0BA4" w:rsidRDefault="00AE0BA4" w:rsidP="00AE0BA4">
      <w:pPr>
        <w:rPr>
          <w:i/>
        </w:rPr>
      </w:pPr>
    </w:p>
    <w:p w14:paraId="45F6BA4D" w14:textId="77777777" w:rsidR="00AE0BA4" w:rsidRDefault="00AE0BA4" w:rsidP="00AE0BA4">
      <w:pPr>
        <w:rPr>
          <w:lang w:val="en-US"/>
        </w:rPr>
      </w:pPr>
      <w:r>
        <w:rPr>
          <w:i/>
        </w:rPr>
        <w:t>Findings:</w:t>
      </w:r>
      <w:r>
        <w:t xml:space="preserve"> </w:t>
      </w:r>
      <w:r>
        <w:rPr>
          <w:lang w:val="en-US"/>
        </w:rPr>
        <w:t>During the first week after birth, no significant differences in body weights were observed between control and experimental groups, however, on P30 the paraquat treated group showed a significant decrease (21%) in body weight (p &lt; 0.0001).</w:t>
      </w:r>
    </w:p>
    <w:p w14:paraId="2555FA89" w14:textId="77777777" w:rsidR="00AE0BA4" w:rsidRDefault="00AE0BA4" w:rsidP="00AE0BA4">
      <w:pPr>
        <w:rPr>
          <w:lang w:val="en-US"/>
        </w:rPr>
      </w:pPr>
    </w:p>
    <w:p w14:paraId="6E791616" w14:textId="77777777" w:rsidR="00AE0BA4" w:rsidRDefault="00AE0BA4" w:rsidP="00AE0BA4">
      <w:r>
        <w:rPr>
          <w:lang w:val="en-US"/>
        </w:rPr>
        <w:t xml:space="preserve">With age, the control mice showed an increasing locomotor activity, whereas all mice in the treated group started to exhibit hyperactivity at P14 which moderated at P21. However a notable decrease with respect to control were observed by P30. </w:t>
      </w:r>
    </w:p>
    <w:p w14:paraId="36512C4D" w14:textId="77777777" w:rsidR="00AE0BA4" w:rsidRDefault="00AE0BA4" w:rsidP="00AE0BA4">
      <w:pPr>
        <w:rPr>
          <w:lang w:val="en-US"/>
        </w:rPr>
      </w:pPr>
    </w:p>
    <w:p w14:paraId="631D456F" w14:textId="448FF20E" w:rsidR="00AE0BA4" w:rsidRDefault="00AE0BA4" w:rsidP="00AE0BA4">
      <w:pPr>
        <w:rPr>
          <w:lang w:val="en-US"/>
        </w:rPr>
      </w:pPr>
      <w:r>
        <w:rPr>
          <w:i/>
          <w:lang w:val="en-US"/>
        </w:rPr>
        <w:t>Excitatory amino acid neurotransmitters</w:t>
      </w:r>
      <w:r w:rsidR="00875774">
        <w:rPr>
          <w:i/>
          <w:lang w:val="en-US"/>
        </w:rPr>
        <w:t>:</w:t>
      </w:r>
      <w:r w:rsidR="00875774">
        <w:rPr>
          <w:lang w:val="en-US"/>
        </w:rPr>
        <w:t xml:space="preserve"> During</w:t>
      </w:r>
      <w:r>
        <w:rPr>
          <w:lang w:val="en-US"/>
        </w:rPr>
        <w:t xml:space="preserve"> the first 2 weeks of birth, paraquat exposed pups showed significant changes in aspartate contents with respect to the saline-exposed control group (</w:t>
      </w:r>
      <w:r w:rsidR="00897462">
        <w:rPr>
          <w:lang w:val="en-US"/>
        </w:rPr>
        <w:fldChar w:fldCharType="begin"/>
      </w:r>
      <w:r w:rsidR="00BA33FB">
        <w:rPr>
          <w:lang w:val="en-US"/>
        </w:rPr>
        <w:instrText xml:space="preserve"> REF _Ref410309162 \h </w:instrText>
      </w:r>
      <w:r w:rsidR="00897462">
        <w:rPr>
          <w:lang w:val="en-US"/>
        </w:rPr>
      </w:r>
      <w:r w:rsidR="00897462">
        <w:rPr>
          <w:lang w:val="en-US"/>
        </w:rPr>
        <w:fldChar w:fldCharType="separate"/>
      </w:r>
      <w:r w:rsidR="000E54B2" w:rsidRPr="004D6C19">
        <w:t xml:space="preserve">Table </w:t>
      </w:r>
      <w:r w:rsidR="000E54B2">
        <w:rPr>
          <w:noProof/>
        </w:rPr>
        <w:t>48</w:t>
      </w:r>
      <w:r w:rsidR="00897462">
        <w:rPr>
          <w:lang w:val="en-US"/>
        </w:rPr>
        <w:fldChar w:fldCharType="end"/>
      </w:r>
      <w:r>
        <w:rPr>
          <w:lang w:val="en-US"/>
        </w:rPr>
        <w:t xml:space="preserve"> </w:t>
      </w:r>
      <w:r w:rsidR="004E23B0">
        <w:rPr>
          <w:lang w:val="en-US"/>
        </w:rPr>
        <w:fldChar w:fldCharType="begin"/>
      </w:r>
      <w:r w:rsidR="004E23B0">
        <w:rPr>
          <w:lang w:val="en-US"/>
        </w:rPr>
        <w:instrText xml:space="preserve"> REF _Ref459038735 \p </w:instrText>
      </w:r>
      <w:r w:rsidR="004E23B0">
        <w:rPr>
          <w:lang w:val="en-US"/>
        </w:rPr>
        <w:fldChar w:fldCharType="separate"/>
      </w:r>
      <w:r w:rsidR="000E54B2">
        <w:rPr>
          <w:lang w:val="en-US"/>
        </w:rPr>
        <w:t>below</w:t>
      </w:r>
      <w:r w:rsidR="004E23B0">
        <w:rPr>
          <w:lang w:val="en-US"/>
        </w:rPr>
        <w:fldChar w:fldCharType="end"/>
      </w:r>
      <w:r>
        <w:rPr>
          <w:lang w:val="en-US"/>
        </w:rPr>
        <w:t xml:space="preserve">): a 53% reduction </w:t>
      </w:r>
      <w:r>
        <w:rPr>
          <w:iCs/>
          <w:lang w:val="en-US"/>
        </w:rPr>
        <w:t>(p &lt;</w:t>
      </w:r>
      <w:r>
        <w:rPr>
          <w:i/>
          <w:iCs/>
          <w:lang w:val="en-US"/>
        </w:rPr>
        <w:t xml:space="preserve"> </w:t>
      </w:r>
      <w:r>
        <w:rPr>
          <w:lang w:val="en-US"/>
        </w:rPr>
        <w:t xml:space="preserve">0.0001) at P3 (1.82 ± 0.38 cf 3.84 ± 0.91 for controls) and an increase of 37% </w:t>
      </w:r>
      <w:r>
        <w:rPr>
          <w:iCs/>
          <w:lang w:val="en-US"/>
        </w:rPr>
        <w:t>(p &lt;</w:t>
      </w:r>
      <w:r>
        <w:rPr>
          <w:i/>
          <w:iCs/>
          <w:lang w:val="en-US"/>
        </w:rPr>
        <w:t xml:space="preserve"> </w:t>
      </w:r>
      <w:r>
        <w:rPr>
          <w:lang w:val="en-US"/>
        </w:rPr>
        <w:t xml:space="preserve">0.0001) at P15 (8.47 ± 0.84 cf 6.19 ± 0.52 for controls): during the young adult stage. At P30, aspartate level was lower by 18% </w:t>
      </w:r>
      <w:r>
        <w:rPr>
          <w:iCs/>
          <w:lang w:val="en-US"/>
        </w:rPr>
        <w:t>(p &lt;</w:t>
      </w:r>
      <w:r>
        <w:rPr>
          <w:i/>
          <w:iCs/>
          <w:lang w:val="en-US"/>
        </w:rPr>
        <w:t xml:space="preserve"> </w:t>
      </w:r>
      <w:r>
        <w:rPr>
          <w:lang w:val="en-US"/>
        </w:rPr>
        <w:t xml:space="preserve">0.0001) (4.91 ± 0.98 cf 6.00 ± 0.62) than control mice. On the other hand, significant decreases in glutamate levels of paraquat exposed pups were observed during the first postnatal week: by 69% </w:t>
      </w:r>
      <w:r>
        <w:rPr>
          <w:iCs/>
          <w:lang w:val="en-US"/>
        </w:rPr>
        <w:t>(p</w:t>
      </w:r>
      <w:r>
        <w:rPr>
          <w:i/>
          <w:iCs/>
          <w:lang w:val="en-US"/>
        </w:rPr>
        <w:t xml:space="preserve"> &lt; </w:t>
      </w:r>
      <w:r>
        <w:rPr>
          <w:lang w:val="en-US"/>
        </w:rPr>
        <w:t xml:space="preserve">0.0001) at P3 and by 32% </w:t>
      </w:r>
      <w:r>
        <w:rPr>
          <w:iCs/>
          <w:lang w:val="en-US"/>
        </w:rPr>
        <w:t>(p</w:t>
      </w:r>
      <w:r>
        <w:rPr>
          <w:i/>
          <w:iCs/>
          <w:lang w:val="en-US"/>
        </w:rPr>
        <w:t xml:space="preserve"> &lt; </w:t>
      </w:r>
      <w:r>
        <w:rPr>
          <w:lang w:val="en-US"/>
        </w:rPr>
        <w:t xml:space="preserve">0.0001) at P7; thereafter, no important changes were observed until P30, when the glutamate level rose 39% </w:t>
      </w:r>
      <w:r>
        <w:rPr>
          <w:iCs/>
          <w:lang w:val="en-US"/>
        </w:rPr>
        <w:t>(p &lt;</w:t>
      </w:r>
      <w:r>
        <w:rPr>
          <w:i/>
          <w:iCs/>
          <w:lang w:val="en-US"/>
        </w:rPr>
        <w:t xml:space="preserve"> </w:t>
      </w:r>
      <w:r>
        <w:rPr>
          <w:lang w:val="en-US"/>
        </w:rPr>
        <w:t xml:space="preserve">0.0001) with respect to controls. </w:t>
      </w:r>
    </w:p>
    <w:p w14:paraId="74FDADC1" w14:textId="77777777" w:rsidR="00AE0BA4" w:rsidRDefault="00AE0BA4" w:rsidP="00AE0BA4">
      <w:pPr>
        <w:rPr>
          <w:lang w:val="en-US"/>
        </w:rPr>
      </w:pPr>
    </w:p>
    <w:p w14:paraId="42FFBDAC" w14:textId="77777777" w:rsidR="00AE0BA4" w:rsidRPr="004D6C19" w:rsidRDefault="00AE0BA4" w:rsidP="000E54B2">
      <w:pPr>
        <w:pStyle w:val="Caption"/>
        <w:keepNext/>
        <w:spacing w:after="120"/>
      </w:pPr>
      <w:bookmarkStart w:id="176" w:name="_Ref410309162"/>
      <w:bookmarkStart w:id="177" w:name="_Ref459038735"/>
      <w:r w:rsidRPr="004D6C19">
        <w:lastRenderedPageBreak/>
        <w:t xml:space="preserve">Table </w:t>
      </w:r>
      <w:r w:rsidR="00897462" w:rsidRPr="004D6C19">
        <w:fldChar w:fldCharType="begin"/>
      </w:r>
      <w:r w:rsidRPr="004D6C19">
        <w:instrText xml:space="preserve"> SEQ Table \* ARABIC </w:instrText>
      </w:r>
      <w:r w:rsidR="00897462" w:rsidRPr="004D6C19">
        <w:fldChar w:fldCharType="separate"/>
      </w:r>
      <w:r w:rsidR="000E54B2">
        <w:rPr>
          <w:noProof/>
        </w:rPr>
        <w:t>48</w:t>
      </w:r>
      <w:r w:rsidR="00897462" w:rsidRPr="004D6C19">
        <w:fldChar w:fldCharType="end"/>
      </w:r>
      <w:bookmarkEnd w:id="176"/>
      <w:r w:rsidRPr="004D6C19">
        <w:t>: Levels of aspartate and glutamate during mouse cerebellar cortex development in paraquat prenatally treated mice (µmol/100 mg proteins ± SD)</w:t>
      </w:r>
      <w:bookmarkEnd w:id="177"/>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9"/>
        <w:gridCol w:w="1780"/>
        <w:gridCol w:w="1781"/>
        <w:gridCol w:w="1782"/>
        <w:gridCol w:w="1782"/>
      </w:tblGrid>
      <w:tr w:rsidR="00AE0BA4" w14:paraId="055E7D65" w14:textId="77777777" w:rsidTr="000E221D">
        <w:tc>
          <w:tcPr>
            <w:tcW w:w="18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535D" w14:textId="77777777" w:rsidR="00AE0BA4" w:rsidRPr="000E221D" w:rsidRDefault="00AE0BA4" w:rsidP="000E54B2">
            <w:pPr>
              <w:keepNext/>
              <w:jc w:val="center"/>
              <w:rPr>
                <w:b/>
                <w:sz w:val="20"/>
                <w:lang w:val="en-US"/>
              </w:rPr>
            </w:pPr>
            <w:r w:rsidRPr="000E221D">
              <w:rPr>
                <w:b/>
                <w:sz w:val="20"/>
                <w:lang w:val="en-US"/>
              </w:rPr>
              <w:t>Age of neonate</w:t>
            </w:r>
          </w:p>
        </w:tc>
        <w:tc>
          <w:tcPr>
            <w:tcW w:w="365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B6F57F" w14:textId="77777777" w:rsidR="00AE0BA4" w:rsidRPr="000E221D" w:rsidRDefault="00AE0BA4" w:rsidP="000E54B2">
            <w:pPr>
              <w:keepNext/>
              <w:jc w:val="center"/>
              <w:rPr>
                <w:b/>
                <w:sz w:val="20"/>
                <w:lang w:val="en-US"/>
              </w:rPr>
            </w:pPr>
            <w:r w:rsidRPr="000E221D">
              <w:rPr>
                <w:b/>
                <w:sz w:val="20"/>
                <w:lang w:val="en-US"/>
              </w:rPr>
              <w:t>Aspartate</w:t>
            </w:r>
          </w:p>
        </w:tc>
        <w:tc>
          <w:tcPr>
            <w:tcW w:w="365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F4D365" w14:textId="77777777" w:rsidR="00AE0BA4" w:rsidRPr="000E221D" w:rsidRDefault="00AE0BA4" w:rsidP="000E54B2">
            <w:pPr>
              <w:keepNext/>
              <w:jc w:val="center"/>
              <w:rPr>
                <w:b/>
                <w:sz w:val="20"/>
                <w:lang w:val="en-US"/>
              </w:rPr>
            </w:pPr>
            <w:r w:rsidRPr="000E221D">
              <w:rPr>
                <w:b/>
                <w:sz w:val="20"/>
                <w:lang w:val="en-US"/>
              </w:rPr>
              <w:t>Glutamate</w:t>
            </w:r>
          </w:p>
        </w:tc>
      </w:tr>
      <w:tr w:rsidR="00AE0BA4" w14:paraId="4DF05C3D" w14:textId="77777777" w:rsidTr="000E221D">
        <w:tc>
          <w:tcPr>
            <w:tcW w:w="0" w:type="auto"/>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FD4BE9" w14:textId="77777777" w:rsidR="00AE0BA4" w:rsidRPr="000E221D" w:rsidRDefault="00AE0BA4" w:rsidP="000E54B2">
            <w:pPr>
              <w:keepNext/>
              <w:rPr>
                <w:b/>
                <w:sz w:val="20"/>
                <w:lang w:val="en-US"/>
              </w:rPr>
            </w:pPr>
          </w:p>
        </w:tc>
        <w:tc>
          <w:tcPr>
            <w:tcW w:w="18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55E74D" w14:textId="77777777" w:rsidR="00AE0BA4" w:rsidRPr="000E221D" w:rsidRDefault="00AE0BA4" w:rsidP="000E54B2">
            <w:pPr>
              <w:keepNext/>
              <w:jc w:val="center"/>
              <w:rPr>
                <w:b/>
                <w:sz w:val="20"/>
                <w:lang w:val="en-US"/>
              </w:rPr>
            </w:pPr>
            <w:r w:rsidRPr="000E221D">
              <w:rPr>
                <w:b/>
                <w:sz w:val="20"/>
                <w:lang w:val="en-US"/>
              </w:rPr>
              <w:t>Control</w:t>
            </w:r>
          </w:p>
        </w:tc>
        <w:tc>
          <w:tcPr>
            <w:tcW w:w="18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97525E" w14:textId="77777777" w:rsidR="00AE0BA4" w:rsidRPr="000E221D" w:rsidRDefault="00AE0BA4" w:rsidP="000E54B2">
            <w:pPr>
              <w:keepNext/>
              <w:jc w:val="center"/>
              <w:rPr>
                <w:b/>
                <w:sz w:val="20"/>
                <w:lang w:val="en-US"/>
              </w:rPr>
            </w:pPr>
            <w:r w:rsidRPr="000E221D">
              <w:rPr>
                <w:b/>
                <w:sz w:val="20"/>
                <w:lang w:val="en-US"/>
              </w:rPr>
              <w:t>Treated</w:t>
            </w:r>
          </w:p>
        </w:tc>
        <w:tc>
          <w:tcPr>
            <w:tcW w:w="1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3FDD22" w14:textId="77777777" w:rsidR="00AE0BA4" w:rsidRPr="000E221D" w:rsidRDefault="00AE0BA4" w:rsidP="000E54B2">
            <w:pPr>
              <w:keepNext/>
              <w:jc w:val="center"/>
              <w:rPr>
                <w:b/>
                <w:sz w:val="20"/>
                <w:lang w:val="en-US"/>
              </w:rPr>
            </w:pPr>
            <w:r w:rsidRPr="000E221D">
              <w:rPr>
                <w:b/>
                <w:sz w:val="20"/>
                <w:lang w:val="en-US"/>
              </w:rPr>
              <w:t>Control</w:t>
            </w:r>
          </w:p>
        </w:tc>
        <w:tc>
          <w:tcPr>
            <w:tcW w:w="1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1313EE" w14:textId="77777777" w:rsidR="00AE0BA4" w:rsidRPr="000E221D" w:rsidRDefault="00AE0BA4" w:rsidP="000E54B2">
            <w:pPr>
              <w:keepNext/>
              <w:jc w:val="center"/>
              <w:rPr>
                <w:b/>
                <w:sz w:val="20"/>
                <w:lang w:val="en-US"/>
              </w:rPr>
            </w:pPr>
            <w:r w:rsidRPr="000E221D">
              <w:rPr>
                <w:b/>
                <w:sz w:val="20"/>
                <w:lang w:val="en-US"/>
              </w:rPr>
              <w:t>Treated</w:t>
            </w:r>
          </w:p>
        </w:tc>
      </w:tr>
      <w:tr w:rsidR="00AE0BA4" w:rsidRPr="00302FC4" w14:paraId="2218E485" w14:textId="77777777" w:rsidTr="00AE0BA4">
        <w:tc>
          <w:tcPr>
            <w:tcW w:w="1825" w:type="dxa"/>
            <w:tcBorders>
              <w:top w:val="single" w:sz="4" w:space="0" w:color="auto"/>
              <w:left w:val="single" w:sz="4" w:space="0" w:color="auto"/>
              <w:bottom w:val="single" w:sz="4" w:space="0" w:color="auto"/>
              <w:right w:val="single" w:sz="4" w:space="0" w:color="auto"/>
            </w:tcBorders>
            <w:hideMark/>
          </w:tcPr>
          <w:p w14:paraId="190F74A4" w14:textId="77777777" w:rsidR="00AE0BA4" w:rsidRPr="00302FC4" w:rsidRDefault="00897462" w:rsidP="000E54B2">
            <w:pPr>
              <w:keepNext/>
              <w:rPr>
                <w:sz w:val="22"/>
                <w:szCs w:val="22"/>
                <w:lang w:val="en-US"/>
              </w:rPr>
            </w:pPr>
            <w:r w:rsidRPr="00302FC4">
              <w:rPr>
                <w:sz w:val="22"/>
                <w:szCs w:val="22"/>
                <w:lang w:val="en-US"/>
              </w:rPr>
              <w:t>P1</w:t>
            </w:r>
          </w:p>
          <w:p w14:paraId="00FA8150" w14:textId="77777777" w:rsidR="00AE0BA4" w:rsidRPr="00302FC4" w:rsidRDefault="00897462" w:rsidP="000E54B2">
            <w:pPr>
              <w:keepNext/>
              <w:rPr>
                <w:sz w:val="22"/>
                <w:szCs w:val="22"/>
                <w:lang w:val="en-US"/>
              </w:rPr>
            </w:pPr>
            <w:r w:rsidRPr="00302FC4">
              <w:rPr>
                <w:sz w:val="22"/>
                <w:szCs w:val="22"/>
                <w:lang w:val="en-US"/>
              </w:rPr>
              <w:t>P3</w:t>
            </w:r>
          </w:p>
          <w:p w14:paraId="253F835A" w14:textId="77777777" w:rsidR="00AE0BA4" w:rsidRPr="00302FC4" w:rsidRDefault="00897462" w:rsidP="000E54B2">
            <w:pPr>
              <w:keepNext/>
              <w:rPr>
                <w:sz w:val="22"/>
                <w:szCs w:val="22"/>
                <w:lang w:val="en-US"/>
              </w:rPr>
            </w:pPr>
            <w:r w:rsidRPr="00302FC4">
              <w:rPr>
                <w:sz w:val="22"/>
                <w:szCs w:val="22"/>
                <w:lang w:val="en-US"/>
              </w:rPr>
              <w:t>P7</w:t>
            </w:r>
          </w:p>
          <w:p w14:paraId="109ECA66" w14:textId="77777777" w:rsidR="00AE0BA4" w:rsidRPr="00302FC4" w:rsidRDefault="00897462" w:rsidP="000E54B2">
            <w:pPr>
              <w:keepNext/>
              <w:rPr>
                <w:sz w:val="22"/>
                <w:szCs w:val="22"/>
                <w:lang w:val="en-US"/>
              </w:rPr>
            </w:pPr>
            <w:r w:rsidRPr="00302FC4">
              <w:rPr>
                <w:sz w:val="22"/>
                <w:szCs w:val="22"/>
                <w:lang w:val="en-US"/>
              </w:rPr>
              <w:t>P11</w:t>
            </w:r>
          </w:p>
          <w:p w14:paraId="36C75A99" w14:textId="77777777" w:rsidR="00AE0BA4" w:rsidRPr="00302FC4" w:rsidRDefault="00897462" w:rsidP="000E54B2">
            <w:pPr>
              <w:keepNext/>
              <w:rPr>
                <w:sz w:val="22"/>
                <w:szCs w:val="22"/>
                <w:lang w:val="en-US"/>
              </w:rPr>
            </w:pPr>
            <w:r w:rsidRPr="00302FC4">
              <w:rPr>
                <w:sz w:val="22"/>
                <w:szCs w:val="22"/>
                <w:lang w:val="en-US"/>
              </w:rPr>
              <w:t>P15</w:t>
            </w:r>
          </w:p>
          <w:p w14:paraId="18EB6FDF" w14:textId="77777777" w:rsidR="00AE0BA4" w:rsidRPr="00302FC4" w:rsidRDefault="00897462" w:rsidP="000E54B2">
            <w:pPr>
              <w:keepNext/>
              <w:rPr>
                <w:sz w:val="22"/>
                <w:szCs w:val="22"/>
                <w:lang w:val="en-US"/>
              </w:rPr>
            </w:pPr>
            <w:r w:rsidRPr="00302FC4">
              <w:rPr>
                <w:sz w:val="22"/>
                <w:szCs w:val="22"/>
                <w:lang w:val="en-US"/>
              </w:rPr>
              <w:t>P30</w:t>
            </w:r>
          </w:p>
        </w:tc>
        <w:tc>
          <w:tcPr>
            <w:tcW w:w="1825" w:type="dxa"/>
            <w:tcBorders>
              <w:top w:val="single" w:sz="4" w:space="0" w:color="auto"/>
              <w:left w:val="single" w:sz="4" w:space="0" w:color="auto"/>
              <w:bottom w:val="single" w:sz="4" w:space="0" w:color="auto"/>
              <w:right w:val="single" w:sz="4" w:space="0" w:color="auto"/>
            </w:tcBorders>
            <w:vAlign w:val="center"/>
            <w:hideMark/>
          </w:tcPr>
          <w:p w14:paraId="1B2F765C" w14:textId="77777777" w:rsidR="00AE0BA4" w:rsidRPr="00302FC4" w:rsidRDefault="00AE0BA4" w:rsidP="000E54B2">
            <w:pPr>
              <w:keepNext/>
              <w:rPr>
                <w:sz w:val="22"/>
                <w:szCs w:val="22"/>
                <w:lang w:val="en-US"/>
              </w:rPr>
            </w:pPr>
            <w:r w:rsidRPr="00302FC4">
              <w:rPr>
                <w:sz w:val="22"/>
                <w:szCs w:val="22"/>
                <w:lang w:val="en-US"/>
              </w:rPr>
              <w:t>2.50 ± 0.67</w:t>
            </w:r>
          </w:p>
          <w:p w14:paraId="06DC71AE" w14:textId="77777777" w:rsidR="00AE0BA4" w:rsidRPr="00302FC4" w:rsidRDefault="00AE0BA4" w:rsidP="000E54B2">
            <w:pPr>
              <w:keepNext/>
              <w:rPr>
                <w:sz w:val="22"/>
                <w:szCs w:val="22"/>
                <w:lang w:val="en-US"/>
              </w:rPr>
            </w:pPr>
            <w:r w:rsidRPr="00302FC4">
              <w:rPr>
                <w:sz w:val="22"/>
                <w:szCs w:val="22"/>
                <w:lang w:val="en-US"/>
              </w:rPr>
              <w:t>3.84 ± 0.91</w:t>
            </w:r>
          </w:p>
          <w:p w14:paraId="5201D3E9" w14:textId="77777777" w:rsidR="00AE0BA4" w:rsidRPr="00302FC4" w:rsidRDefault="00AE0BA4" w:rsidP="000E54B2">
            <w:pPr>
              <w:keepNext/>
              <w:rPr>
                <w:sz w:val="22"/>
                <w:szCs w:val="22"/>
                <w:lang w:val="en-US"/>
              </w:rPr>
            </w:pPr>
            <w:r w:rsidRPr="00302FC4">
              <w:rPr>
                <w:sz w:val="22"/>
                <w:szCs w:val="22"/>
                <w:lang w:val="en-US"/>
              </w:rPr>
              <w:t>1.57 ± 0.21</w:t>
            </w:r>
          </w:p>
          <w:p w14:paraId="2B2B7839" w14:textId="77777777" w:rsidR="00AE0BA4" w:rsidRPr="00302FC4" w:rsidRDefault="00AE0BA4" w:rsidP="000E54B2">
            <w:pPr>
              <w:keepNext/>
              <w:rPr>
                <w:sz w:val="22"/>
                <w:szCs w:val="22"/>
                <w:lang w:val="en-US"/>
              </w:rPr>
            </w:pPr>
            <w:r w:rsidRPr="00302FC4">
              <w:rPr>
                <w:sz w:val="22"/>
                <w:szCs w:val="22"/>
                <w:lang w:val="en-US"/>
              </w:rPr>
              <w:t>2.84 ± 0.47</w:t>
            </w:r>
          </w:p>
          <w:p w14:paraId="3DAFEFBC" w14:textId="77777777" w:rsidR="00AE0BA4" w:rsidRPr="00302FC4" w:rsidRDefault="00AE0BA4" w:rsidP="000E54B2">
            <w:pPr>
              <w:keepNext/>
              <w:rPr>
                <w:sz w:val="22"/>
                <w:szCs w:val="22"/>
                <w:lang w:val="en-US"/>
              </w:rPr>
            </w:pPr>
            <w:r w:rsidRPr="00302FC4">
              <w:rPr>
                <w:sz w:val="22"/>
                <w:szCs w:val="22"/>
                <w:lang w:val="en-US"/>
              </w:rPr>
              <w:t>6.19 ± 0.52</w:t>
            </w:r>
          </w:p>
          <w:p w14:paraId="218CCEA6" w14:textId="77777777" w:rsidR="00AE0BA4" w:rsidRPr="00302FC4" w:rsidRDefault="00AE0BA4" w:rsidP="000E54B2">
            <w:pPr>
              <w:keepNext/>
              <w:rPr>
                <w:sz w:val="22"/>
                <w:szCs w:val="22"/>
                <w:lang w:val="en-US"/>
              </w:rPr>
            </w:pPr>
            <w:r w:rsidRPr="00302FC4">
              <w:rPr>
                <w:sz w:val="22"/>
                <w:szCs w:val="22"/>
                <w:lang w:val="en-US"/>
              </w:rPr>
              <w:t>6.00 ± 0.62</w:t>
            </w:r>
          </w:p>
        </w:tc>
        <w:tc>
          <w:tcPr>
            <w:tcW w:w="1826" w:type="dxa"/>
            <w:tcBorders>
              <w:top w:val="single" w:sz="4" w:space="0" w:color="auto"/>
              <w:left w:val="single" w:sz="4" w:space="0" w:color="auto"/>
              <w:bottom w:val="single" w:sz="4" w:space="0" w:color="auto"/>
              <w:right w:val="single" w:sz="4" w:space="0" w:color="auto"/>
            </w:tcBorders>
            <w:vAlign w:val="center"/>
            <w:hideMark/>
          </w:tcPr>
          <w:p w14:paraId="31E0777E" w14:textId="77777777" w:rsidR="00AE0BA4" w:rsidRPr="00302FC4" w:rsidRDefault="00AE0BA4" w:rsidP="000E54B2">
            <w:pPr>
              <w:keepNext/>
              <w:rPr>
                <w:sz w:val="22"/>
                <w:szCs w:val="22"/>
                <w:lang w:val="en-US"/>
              </w:rPr>
            </w:pPr>
            <w:r w:rsidRPr="00302FC4">
              <w:rPr>
                <w:sz w:val="22"/>
                <w:szCs w:val="22"/>
                <w:lang w:val="en-US"/>
              </w:rPr>
              <w:t>2.40 ± 0.30</w:t>
            </w:r>
          </w:p>
          <w:p w14:paraId="0B54F7AA" w14:textId="77777777" w:rsidR="00AE0BA4" w:rsidRPr="00302FC4" w:rsidRDefault="00AE0BA4" w:rsidP="000E54B2">
            <w:pPr>
              <w:keepNext/>
              <w:rPr>
                <w:sz w:val="22"/>
                <w:szCs w:val="22"/>
                <w:lang w:val="en-US"/>
              </w:rPr>
            </w:pPr>
            <w:r w:rsidRPr="00302FC4">
              <w:rPr>
                <w:sz w:val="22"/>
                <w:szCs w:val="22"/>
                <w:lang w:val="en-US"/>
              </w:rPr>
              <w:t>1.82 ± 0.38</w:t>
            </w:r>
          </w:p>
          <w:p w14:paraId="55ADF4E5" w14:textId="77777777" w:rsidR="00AE0BA4" w:rsidRPr="00302FC4" w:rsidRDefault="00AE0BA4" w:rsidP="000E54B2">
            <w:pPr>
              <w:keepNext/>
              <w:rPr>
                <w:sz w:val="22"/>
                <w:szCs w:val="22"/>
                <w:lang w:val="en-US"/>
              </w:rPr>
            </w:pPr>
            <w:r w:rsidRPr="00302FC4">
              <w:rPr>
                <w:sz w:val="22"/>
                <w:szCs w:val="22"/>
                <w:lang w:val="en-US"/>
              </w:rPr>
              <w:t>2.14 ± 0.41</w:t>
            </w:r>
          </w:p>
          <w:p w14:paraId="0D98E19E" w14:textId="77777777" w:rsidR="00AE0BA4" w:rsidRPr="00302FC4" w:rsidRDefault="00AE0BA4" w:rsidP="000E54B2">
            <w:pPr>
              <w:keepNext/>
              <w:rPr>
                <w:sz w:val="22"/>
                <w:szCs w:val="22"/>
                <w:lang w:val="en-US"/>
              </w:rPr>
            </w:pPr>
            <w:r w:rsidRPr="00302FC4">
              <w:rPr>
                <w:sz w:val="22"/>
                <w:szCs w:val="22"/>
                <w:lang w:val="en-US"/>
              </w:rPr>
              <w:t>2.04 ± 0.43</w:t>
            </w:r>
          </w:p>
          <w:p w14:paraId="3D141781" w14:textId="77777777" w:rsidR="00AE0BA4" w:rsidRPr="00302FC4" w:rsidRDefault="00AE0BA4" w:rsidP="000E54B2">
            <w:pPr>
              <w:keepNext/>
              <w:rPr>
                <w:sz w:val="22"/>
                <w:szCs w:val="22"/>
                <w:lang w:val="en-US"/>
              </w:rPr>
            </w:pPr>
            <w:r w:rsidRPr="00302FC4">
              <w:rPr>
                <w:sz w:val="22"/>
                <w:szCs w:val="22"/>
                <w:lang w:val="en-US"/>
              </w:rPr>
              <w:t>8.47 ± 0.84</w:t>
            </w:r>
          </w:p>
          <w:p w14:paraId="46D6970A" w14:textId="77777777" w:rsidR="00AE0BA4" w:rsidRPr="00302FC4" w:rsidRDefault="00AE0BA4" w:rsidP="000E54B2">
            <w:pPr>
              <w:keepNext/>
              <w:rPr>
                <w:sz w:val="22"/>
                <w:szCs w:val="22"/>
                <w:lang w:val="en-US"/>
              </w:rPr>
            </w:pPr>
            <w:r w:rsidRPr="00302FC4">
              <w:rPr>
                <w:sz w:val="22"/>
                <w:szCs w:val="22"/>
                <w:lang w:val="en-US"/>
              </w:rPr>
              <w:t>4.91 ± 0.98</w:t>
            </w:r>
          </w:p>
        </w:tc>
        <w:tc>
          <w:tcPr>
            <w:tcW w:w="1827" w:type="dxa"/>
            <w:tcBorders>
              <w:top w:val="single" w:sz="4" w:space="0" w:color="auto"/>
              <w:left w:val="single" w:sz="4" w:space="0" w:color="auto"/>
              <w:bottom w:val="single" w:sz="4" w:space="0" w:color="auto"/>
              <w:right w:val="single" w:sz="4" w:space="0" w:color="auto"/>
            </w:tcBorders>
            <w:vAlign w:val="center"/>
            <w:hideMark/>
          </w:tcPr>
          <w:p w14:paraId="316D390B" w14:textId="77777777" w:rsidR="00AE0BA4" w:rsidRPr="00302FC4" w:rsidRDefault="00AE0BA4" w:rsidP="000E54B2">
            <w:pPr>
              <w:keepNext/>
              <w:rPr>
                <w:sz w:val="22"/>
                <w:szCs w:val="22"/>
                <w:lang w:val="en-US"/>
              </w:rPr>
            </w:pPr>
            <w:r w:rsidRPr="00302FC4">
              <w:rPr>
                <w:sz w:val="22"/>
                <w:szCs w:val="22"/>
                <w:lang w:val="en-US"/>
              </w:rPr>
              <w:t>5.07 ± 0.76</w:t>
            </w:r>
          </w:p>
          <w:p w14:paraId="46322FBD" w14:textId="77777777" w:rsidR="00AE0BA4" w:rsidRPr="00302FC4" w:rsidRDefault="00AE0BA4" w:rsidP="000E54B2">
            <w:pPr>
              <w:keepNext/>
              <w:rPr>
                <w:sz w:val="22"/>
                <w:szCs w:val="22"/>
                <w:lang w:val="en-US"/>
              </w:rPr>
            </w:pPr>
            <w:r w:rsidRPr="00302FC4">
              <w:rPr>
                <w:sz w:val="22"/>
                <w:szCs w:val="22"/>
                <w:lang w:val="en-US"/>
              </w:rPr>
              <w:t>13.88 ± 3.54</w:t>
            </w:r>
          </w:p>
          <w:p w14:paraId="0E5E5036" w14:textId="77777777" w:rsidR="00AE0BA4" w:rsidRPr="00302FC4" w:rsidRDefault="00AE0BA4" w:rsidP="000E54B2">
            <w:pPr>
              <w:keepNext/>
              <w:rPr>
                <w:sz w:val="22"/>
                <w:szCs w:val="22"/>
                <w:lang w:val="en-US"/>
              </w:rPr>
            </w:pPr>
            <w:r w:rsidRPr="00302FC4">
              <w:rPr>
                <w:sz w:val="22"/>
                <w:szCs w:val="22"/>
                <w:lang w:val="en-US"/>
              </w:rPr>
              <w:t>6.50 ± 0.87</w:t>
            </w:r>
          </w:p>
          <w:p w14:paraId="5337E655" w14:textId="77777777" w:rsidR="00AE0BA4" w:rsidRPr="00302FC4" w:rsidRDefault="00AE0BA4" w:rsidP="000E54B2">
            <w:pPr>
              <w:keepNext/>
              <w:rPr>
                <w:sz w:val="22"/>
                <w:szCs w:val="22"/>
                <w:lang w:val="en-US"/>
              </w:rPr>
            </w:pPr>
            <w:r w:rsidRPr="00302FC4">
              <w:rPr>
                <w:sz w:val="22"/>
                <w:szCs w:val="22"/>
                <w:lang w:val="en-US"/>
              </w:rPr>
              <w:t>6.01 ± 1.18</w:t>
            </w:r>
          </w:p>
          <w:p w14:paraId="228C25FE" w14:textId="77777777" w:rsidR="00AE0BA4" w:rsidRPr="00302FC4" w:rsidRDefault="00AE0BA4" w:rsidP="000E54B2">
            <w:pPr>
              <w:keepNext/>
              <w:rPr>
                <w:sz w:val="22"/>
                <w:szCs w:val="22"/>
                <w:lang w:val="en-US"/>
              </w:rPr>
            </w:pPr>
            <w:r w:rsidRPr="00302FC4">
              <w:rPr>
                <w:sz w:val="22"/>
                <w:szCs w:val="22"/>
                <w:lang w:val="en-US"/>
              </w:rPr>
              <w:t>11.85 ± 1.75</w:t>
            </w:r>
          </w:p>
          <w:p w14:paraId="759A5650" w14:textId="77777777" w:rsidR="00AE0BA4" w:rsidRPr="00302FC4" w:rsidRDefault="00AE0BA4" w:rsidP="000E54B2">
            <w:pPr>
              <w:keepNext/>
              <w:rPr>
                <w:sz w:val="22"/>
                <w:szCs w:val="22"/>
                <w:lang w:val="en-US"/>
              </w:rPr>
            </w:pPr>
            <w:r w:rsidRPr="00302FC4">
              <w:rPr>
                <w:sz w:val="22"/>
                <w:szCs w:val="22"/>
                <w:lang w:val="en-US"/>
              </w:rPr>
              <w:t>6.57 ± 1.75</w:t>
            </w:r>
          </w:p>
        </w:tc>
        <w:tc>
          <w:tcPr>
            <w:tcW w:w="1827" w:type="dxa"/>
            <w:tcBorders>
              <w:top w:val="single" w:sz="4" w:space="0" w:color="auto"/>
              <w:left w:val="single" w:sz="4" w:space="0" w:color="auto"/>
              <w:bottom w:val="single" w:sz="4" w:space="0" w:color="auto"/>
              <w:right w:val="single" w:sz="4" w:space="0" w:color="auto"/>
            </w:tcBorders>
            <w:vAlign w:val="center"/>
            <w:hideMark/>
          </w:tcPr>
          <w:p w14:paraId="3CEE417C" w14:textId="77777777" w:rsidR="00AE0BA4" w:rsidRPr="00302FC4" w:rsidRDefault="00AE0BA4" w:rsidP="000E54B2">
            <w:pPr>
              <w:keepNext/>
              <w:rPr>
                <w:sz w:val="22"/>
                <w:szCs w:val="22"/>
                <w:lang w:val="en-US"/>
              </w:rPr>
            </w:pPr>
            <w:r w:rsidRPr="00302FC4">
              <w:rPr>
                <w:sz w:val="22"/>
                <w:szCs w:val="22"/>
                <w:lang w:val="en-US"/>
              </w:rPr>
              <w:t>5.03 ± 0.77</w:t>
            </w:r>
          </w:p>
          <w:p w14:paraId="1B5306CB" w14:textId="77777777" w:rsidR="00AE0BA4" w:rsidRPr="00302FC4" w:rsidRDefault="00AE0BA4" w:rsidP="000E54B2">
            <w:pPr>
              <w:keepNext/>
              <w:rPr>
                <w:sz w:val="22"/>
                <w:szCs w:val="22"/>
                <w:lang w:val="en-US"/>
              </w:rPr>
            </w:pPr>
            <w:r w:rsidRPr="00302FC4">
              <w:rPr>
                <w:sz w:val="22"/>
                <w:szCs w:val="22"/>
                <w:lang w:val="en-US"/>
              </w:rPr>
              <w:t>4.35 ± 0.64</w:t>
            </w:r>
          </w:p>
          <w:p w14:paraId="5B385DEE" w14:textId="77777777" w:rsidR="00AE0BA4" w:rsidRPr="00302FC4" w:rsidRDefault="00AE0BA4" w:rsidP="000E54B2">
            <w:pPr>
              <w:keepNext/>
              <w:rPr>
                <w:sz w:val="22"/>
                <w:szCs w:val="22"/>
                <w:lang w:val="en-US"/>
              </w:rPr>
            </w:pPr>
            <w:r w:rsidRPr="00302FC4">
              <w:rPr>
                <w:sz w:val="22"/>
                <w:szCs w:val="22"/>
                <w:lang w:val="en-US"/>
              </w:rPr>
              <w:t>4.42 ± 0.69</w:t>
            </w:r>
          </w:p>
          <w:p w14:paraId="1C78588B" w14:textId="77777777" w:rsidR="00AE0BA4" w:rsidRPr="00302FC4" w:rsidRDefault="00AE0BA4" w:rsidP="000E54B2">
            <w:pPr>
              <w:keepNext/>
              <w:rPr>
                <w:sz w:val="22"/>
                <w:szCs w:val="22"/>
                <w:lang w:val="en-US"/>
              </w:rPr>
            </w:pPr>
            <w:r w:rsidRPr="00302FC4">
              <w:rPr>
                <w:sz w:val="22"/>
                <w:szCs w:val="22"/>
                <w:lang w:val="en-US"/>
              </w:rPr>
              <w:t>6.44 ± 0.48</w:t>
            </w:r>
          </w:p>
          <w:p w14:paraId="4FE9813F" w14:textId="77777777" w:rsidR="00AE0BA4" w:rsidRPr="00302FC4" w:rsidRDefault="00AE0BA4" w:rsidP="000E54B2">
            <w:pPr>
              <w:keepNext/>
              <w:rPr>
                <w:sz w:val="22"/>
                <w:szCs w:val="22"/>
                <w:lang w:val="en-US"/>
              </w:rPr>
            </w:pPr>
            <w:r w:rsidRPr="00302FC4">
              <w:rPr>
                <w:sz w:val="22"/>
                <w:szCs w:val="22"/>
                <w:lang w:val="en-US"/>
              </w:rPr>
              <w:t>12.45 ± 1.56</w:t>
            </w:r>
          </w:p>
          <w:p w14:paraId="4C1022EE" w14:textId="77777777" w:rsidR="00AE0BA4" w:rsidRPr="00302FC4" w:rsidRDefault="00AE0BA4" w:rsidP="000E54B2">
            <w:pPr>
              <w:keepNext/>
              <w:rPr>
                <w:sz w:val="22"/>
                <w:szCs w:val="22"/>
                <w:lang w:val="en-US"/>
              </w:rPr>
            </w:pPr>
            <w:r w:rsidRPr="00302FC4">
              <w:rPr>
                <w:sz w:val="22"/>
                <w:szCs w:val="22"/>
                <w:lang w:val="en-US"/>
              </w:rPr>
              <w:t>9.12 ± 0.99</w:t>
            </w:r>
          </w:p>
        </w:tc>
      </w:tr>
    </w:tbl>
    <w:p w14:paraId="300396E9" w14:textId="77777777" w:rsidR="00AE0BA4" w:rsidRDefault="00AE0BA4" w:rsidP="00AE0BA4">
      <w:pPr>
        <w:rPr>
          <w:sz w:val="22"/>
          <w:szCs w:val="22"/>
          <w:lang w:val="en-US"/>
        </w:rPr>
      </w:pPr>
    </w:p>
    <w:p w14:paraId="14C14542" w14:textId="362D9FA4" w:rsidR="00AE0BA4" w:rsidRDefault="00AE0BA4" w:rsidP="00AE0BA4">
      <w:pPr>
        <w:rPr>
          <w:lang w:val="en-US"/>
        </w:rPr>
      </w:pPr>
      <w:r>
        <w:rPr>
          <w:i/>
          <w:lang w:val="en-US"/>
        </w:rPr>
        <w:t xml:space="preserve">Inhibitory amino acid </w:t>
      </w:r>
      <w:r w:rsidR="00875774">
        <w:rPr>
          <w:i/>
          <w:lang w:val="en-US"/>
        </w:rPr>
        <w:t>neurotransmitters:</w:t>
      </w:r>
      <w:r w:rsidR="00875774">
        <w:rPr>
          <w:lang w:val="en-US"/>
        </w:rPr>
        <w:t xml:space="preserve"> The</w:t>
      </w:r>
      <w:r>
        <w:rPr>
          <w:lang w:val="en-US"/>
        </w:rPr>
        <w:t xml:space="preserve"> pattern of change of the inhibitory neurotransmitter GABA during cerebellar cortex development of paraquat exposed pups during late gestation showed a similar pattern to controls except for a significant decrease in GABA content at P3 (89%, p &lt; 0.0001) (</w:t>
      </w:r>
      <w:r w:rsidR="00897462">
        <w:rPr>
          <w:lang w:val="en-US"/>
        </w:rPr>
        <w:fldChar w:fldCharType="begin"/>
      </w:r>
      <w:r w:rsidR="00BA33FB">
        <w:rPr>
          <w:lang w:val="en-US"/>
        </w:rPr>
        <w:instrText xml:space="preserve"> REF _Ref410309176 \h </w:instrText>
      </w:r>
      <w:r w:rsidR="00897462">
        <w:rPr>
          <w:lang w:val="en-US"/>
        </w:rPr>
      </w:r>
      <w:r w:rsidR="00897462">
        <w:rPr>
          <w:lang w:val="en-US"/>
        </w:rPr>
        <w:fldChar w:fldCharType="separate"/>
      </w:r>
      <w:r w:rsidR="000E54B2" w:rsidRPr="004D6C19">
        <w:t xml:space="preserve">Table </w:t>
      </w:r>
      <w:r w:rsidR="000E54B2">
        <w:rPr>
          <w:noProof/>
        </w:rPr>
        <w:t>49</w:t>
      </w:r>
      <w:r w:rsidR="00897462">
        <w:rPr>
          <w:lang w:val="en-US"/>
        </w:rPr>
        <w:fldChar w:fldCharType="end"/>
      </w:r>
      <w:r>
        <w:rPr>
          <w:lang w:val="en-US"/>
        </w:rPr>
        <w:t xml:space="preserve"> </w:t>
      </w:r>
      <w:r w:rsidR="004E23B0">
        <w:rPr>
          <w:lang w:val="en-US"/>
        </w:rPr>
        <w:fldChar w:fldCharType="begin"/>
      </w:r>
      <w:r w:rsidR="004E23B0">
        <w:rPr>
          <w:lang w:val="en-US"/>
        </w:rPr>
        <w:instrText xml:space="preserve"> REF _Ref459038748 \p </w:instrText>
      </w:r>
      <w:r w:rsidR="004E23B0">
        <w:rPr>
          <w:lang w:val="en-US"/>
        </w:rPr>
        <w:fldChar w:fldCharType="separate"/>
      </w:r>
      <w:r w:rsidR="000E54B2">
        <w:rPr>
          <w:lang w:val="en-US"/>
        </w:rPr>
        <w:t>below</w:t>
      </w:r>
      <w:r w:rsidR="004E23B0">
        <w:rPr>
          <w:lang w:val="en-US"/>
        </w:rPr>
        <w:fldChar w:fldCharType="end"/>
      </w:r>
      <w:r>
        <w:rPr>
          <w:lang w:val="en-US"/>
        </w:rPr>
        <w:t>). Developmental variation in glycine levels, in paraquat exposed pups, notable changes were seen during the first postnatal week: lower glycine content than control at P1 (33%, p</w:t>
      </w:r>
      <w:r>
        <w:rPr>
          <w:iCs/>
          <w:lang w:val="en-US"/>
        </w:rPr>
        <w:t xml:space="preserve"> &lt;</w:t>
      </w:r>
      <w:r>
        <w:rPr>
          <w:i/>
          <w:iCs/>
          <w:lang w:val="en-US"/>
        </w:rPr>
        <w:t xml:space="preserve"> </w:t>
      </w:r>
      <w:r>
        <w:rPr>
          <w:lang w:val="en-US"/>
        </w:rPr>
        <w:t>0.0001) and P3 (77%, p</w:t>
      </w:r>
      <w:r>
        <w:rPr>
          <w:iCs/>
          <w:lang w:val="en-US"/>
        </w:rPr>
        <w:t xml:space="preserve"> &lt;</w:t>
      </w:r>
      <w:r>
        <w:rPr>
          <w:i/>
          <w:iCs/>
          <w:lang w:val="en-US"/>
        </w:rPr>
        <w:t xml:space="preserve"> </w:t>
      </w:r>
      <w:r>
        <w:rPr>
          <w:lang w:val="en-US"/>
        </w:rPr>
        <w:t xml:space="preserve">0.0001) followed by an increase of about 126% at P7 </w:t>
      </w:r>
      <w:r>
        <w:rPr>
          <w:iCs/>
          <w:lang w:val="en-US"/>
        </w:rPr>
        <w:t>(p</w:t>
      </w:r>
      <w:r>
        <w:rPr>
          <w:i/>
          <w:iCs/>
          <w:lang w:val="en-US"/>
        </w:rPr>
        <w:t xml:space="preserve"> &lt; </w:t>
      </w:r>
      <w:r>
        <w:rPr>
          <w:lang w:val="en-US"/>
        </w:rPr>
        <w:t>0.0001), thereafter, the values were similar to those of control group. Developmental changes in taurine content, in general, the treated group showed the same trend of variation as the control group, except for the decrease seen at P3 (59%, p</w:t>
      </w:r>
      <w:r>
        <w:rPr>
          <w:i/>
          <w:iCs/>
          <w:lang w:val="en-US"/>
        </w:rPr>
        <w:t xml:space="preserve"> </w:t>
      </w:r>
      <w:r>
        <w:rPr>
          <w:lang w:val="en-US"/>
        </w:rPr>
        <w:t>&lt; 0.0001) and at P11 (38%, p</w:t>
      </w:r>
      <w:r>
        <w:rPr>
          <w:iCs/>
          <w:lang w:val="en-US"/>
        </w:rPr>
        <w:t xml:space="preserve"> &lt;</w:t>
      </w:r>
      <w:r>
        <w:rPr>
          <w:i/>
          <w:iCs/>
          <w:lang w:val="en-US"/>
        </w:rPr>
        <w:t xml:space="preserve"> </w:t>
      </w:r>
      <w:r>
        <w:rPr>
          <w:lang w:val="en-US"/>
        </w:rPr>
        <w:t>0.0001).</w:t>
      </w:r>
    </w:p>
    <w:p w14:paraId="558ABBEF" w14:textId="77777777" w:rsidR="004D6C19" w:rsidRDefault="004D6C19" w:rsidP="00AE0BA4">
      <w:pPr>
        <w:rPr>
          <w:lang w:val="en-US"/>
        </w:rPr>
      </w:pPr>
    </w:p>
    <w:p w14:paraId="46589A30" w14:textId="77777777" w:rsidR="00AE0BA4" w:rsidRDefault="00AE0BA4" w:rsidP="00AE0BA4">
      <w:pPr>
        <w:rPr>
          <w:lang w:val="en-US"/>
        </w:rPr>
      </w:pPr>
    </w:p>
    <w:p w14:paraId="501FFF86" w14:textId="77777777" w:rsidR="00AE0BA4" w:rsidRPr="004D6C19" w:rsidRDefault="00AE0BA4" w:rsidP="009D0D8F">
      <w:pPr>
        <w:pStyle w:val="Caption"/>
        <w:keepNext/>
        <w:spacing w:after="120"/>
      </w:pPr>
      <w:bookmarkStart w:id="178" w:name="_Ref410309176"/>
      <w:bookmarkStart w:id="179" w:name="_Ref459038748"/>
      <w:r w:rsidRPr="004D6C19">
        <w:t xml:space="preserve">Table </w:t>
      </w:r>
      <w:r w:rsidR="00897462" w:rsidRPr="004D6C19">
        <w:fldChar w:fldCharType="begin"/>
      </w:r>
      <w:r w:rsidRPr="004D6C19">
        <w:instrText xml:space="preserve"> SEQ Table \* ARABIC </w:instrText>
      </w:r>
      <w:r w:rsidR="00897462" w:rsidRPr="004D6C19">
        <w:fldChar w:fldCharType="separate"/>
      </w:r>
      <w:r w:rsidR="000E54B2">
        <w:rPr>
          <w:noProof/>
        </w:rPr>
        <w:t>49</w:t>
      </w:r>
      <w:r w:rsidR="00897462" w:rsidRPr="004D6C19">
        <w:fldChar w:fldCharType="end"/>
      </w:r>
      <w:bookmarkEnd w:id="178"/>
      <w:r w:rsidRPr="004D6C19">
        <w:t>: Levels of GABA, glycine and taurine during mouse cerebellar cortex development in paraquat prenatally treated mice (</w:t>
      </w:r>
      <w:r w:rsidRPr="004D6C19">
        <w:rPr>
          <w:sz w:val="22"/>
          <w:szCs w:val="22"/>
        </w:rPr>
        <w:t>µmol/100 mg proteins ± SD)</w:t>
      </w:r>
      <w:bookmarkEnd w:id="179"/>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380"/>
        <w:gridCol w:w="1381"/>
        <w:gridCol w:w="1381"/>
        <w:gridCol w:w="1380"/>
        <w:gridCol w:w="1381"/>
        <w:gridCol w:w="1381"/>
      </w:tblGrid>
      <w:tr w:rsidR="00AE0BA4" w:rsidRPr="000E221D" w14:paraId="207DD4D2" w14:textId="77777777" w:rsidTr="000E221D">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9A9A95" w14:textId="77777777" w:rsidR="00AE0BA4" w:rsidRPr="000E221D" w:rsidRDefault="00AE0BA4">
            <w:pPr>
              <w:jc w:val="center"/>
              <w:rPr>
                <w:b/>
                <w:sz w:val="20"/>
                <w:lang w:val="en-US"/>
              </w:rPr>
            </w:pPr>
            <w:r w:rsidRPr="000E221D">
              <w:rPr>
                <w:b/>
                <w:sz w:val="20"/>
                <w:lang w:val="en-US"/>
              </w:rPr>
              <w:t xml:space="preserve">Age </w:t>
            </w:r>
          </w:p>
        </w:tc>
        <w:tc>
          <w:tcPr>
            <w:tcW w:w="276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293D58" w14:textId="77777777" w:rsidR="00AE0BA4" w:rsidRPr="000E221D" w:rsidRDefault="00AE0BA4">
            <w:pPr>
              <w:jc w:val="center"/>
              <w:rPr>
                <w:b/>
                <w:sz w:val="20"/>
                <w:lang w:val="en-US"/>
              </w:rPr>
            </w:pPr>
            <w:r w:rsidRPr="000E221D">
              <w:rPr>
                <w:b/>
                <w:sz w:val="20"/>
                <w:lang w:val="en-US"/>
              </w:rPr>
              <w:t>GABA</w:t>
            </w:r>
          </w:p>
        </w:tc>
        <w:tc>
          <w:tcPr>
            <w:tcW w:w="276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230C25" w14:textId="77777777" w:rsidR="00AE0BA4" w:rsidRPr="000E221D" w:rsidRDefault="00AE0BA4">
            <w:pPr>
              <w:ind w:firstLine="340"/>
              <w:jc w:val="center"/>
              <w:rPr>
                <w:b/>
                <w:sz w:val="20"/>
                <w:lang w:val="en-US"/>
              </w:rPr>
            </w:pPr>
            <w:r w:rsidRPr="000E221D">
              <w:rPr>
                <w:b/>
                <w:sz w:val="20"/>
                <w:lang w:val="en-US"/>
              </w:rPr>
              <w:t>Glycine</w:t>
            </w:r>
          </w:p>
        </w:tc>
        <w:tc>
          <w:tcPr>
            <w:tcW w:w="276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95C39B" w14:textId="77777777" w:rsidR="00AE0BA4" w:rsidRPr="000E221D" w:rsidRDefault="00AE0BA4">
            <w:pPr>
              <w:jc w:val="center"/>
              <w:rPr>
                <w:b/>
                <w:sz w:val="20"/>
                <w:lang w:val="en-US"/>
              </w:rPr>
            </w:pPr>
            <w:r w:rsidRPr="000E221D">
              <w:rPr>
                <w:b/>
                <w:sz w:val="20"/>
                <w:lang w:val="en-US"/>
              </w:rPr>
              <w:t>Taurine</w:t>
            </w:r>
          </w:p>
        </w:tc>
      </w:tr>
      <w:tr w:rsidR="00AE0BA4" w:rsidRPr="000E221D" w14:paraId="19B63793" w14:textId="77777777" w:rsidTr="000E221D">
        <w:tc>
          <w:tcPr>
            <w:tcW w:w="84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5A4905" w14:textId="77777777" w:rsidR="00AE0BA4" w:rsidRPr="000E221D" w:rsidRDefault="00AE0BA4">
            <w:pPr>
              <w:rPr>
                <w:b/>
                <w:sz w:val="20"/>
                <w:lang w:val="en-US"/>
              </w:rPr>
            </w:pPr>
          </w:p>
        </w:tc>
        <w:tc>
          <w:tcPr>
            <w:tcW w:w="13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AFF84B" w14:textId="77777777" w:rsidR="00AE0BA4" w:rsidRPr="000E221D" w:rsidRDefault="00AE0BA4">
            <w:pPr>
              <w:jc w:val="center"/>
              <w:rPr>
                <w:b/>
                <w:sz w:val="20"/>
                <w:lang w:val="en-US"/>
              </w:rPr>
            </w:pPr>
            <w:r w:rsidRPr="000E221D">
              <w:rPr>
                <w:b/>
                <w:sz w:val="20"/>
                <w:lang w:val="en-US"/>
              </w:rPr>
              <w:t>Control</w:t>
            </w:r>
          </w:p>
        </w:tc>
        <w:tc>
          <w:tcPr>
            <w:tcW w:w="13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D526EC" w14:textId="77777777" w:rsidR="00AE0BA4" w:rsidRPr="000E221D" w:rsidRDefault="00AE0BA4">
            <w:pPr>
              <w:jc w:val="center"/>
              <w:rPr>
                <w:b/>
                <w:sz w:val="20"/>
                <w:lang w:val="en-US"/>
              </w:rPr>
            </w:pPr>
            <w:r w:rsidRPr="000E221D">
              <w:rPr>
                <w:b/>
                <w:sz w:val="20"/>
                <w:lang w:val="en-US"/>
              </w:rPr>
              <w:t>Treated</w:t>
            </w:r>
          </w:p>
        </w:tc>
        <w:tc>
          <w:tcPr>
            <w:tcW w:w="13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42DEC3" w14:textId="77777777" w:rsidR="00AE0BA4" w:rsidRPr="000E221D" w:rsidRDefault="00AE0BA4">
            <w:pPr>
              <w:jc w:val="center"/>
              <w:rPr>
                <w:b/>
                <w:sz w:val="20"/>
                <w:lang w:val="en-US"/>
              </w:rPr>
            </w:pPr>
            <w:r w:rsidRPr="000E221D">
              <w:rPr>
                <w:b/>
                <w:sz w:val="20"/>
                <w:lang w:val="en-US"/>
              </w:rPr>
              <w:t>Control</w:t>
            </w:r>
          </w:p>
        </w:tc>
        <w:tc>
          <w:tcPr>
            <w:tcW w:w="138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68AD11" w14:textId="77777777" w:rsidR="00AE0BA4" w:rsidRPr="000E221D" w:rsidRDefault="00AE0BA4">
            <w:pPr>
              <w:jc w:val="center"/>
              <w:rPr>
                <w:b/>
                <w:sz w:val="20"/>
                <w:lang w:val="en-US"/>
              </w:rPr>
            </w:pPr>
            <w:r w:rsidRPr="000E221D">
              <w:rPr>
                <w:b/>
                <w:sz w:val="20"/>
                <w:lang w:val="en-US"/>
              </w:rPr>
              <w:t>Treated</w:t>
            </w:r>
          </w:p>
        </w:tc>
        <w:tc>
          <w:tcPr>
            <w:tcW w:w="13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C430ED" w14:textId="77777777" w:rsidR="00AE0BA4" w:rsidRPr="000E221D" w:rsidRDefault="00AE0BA4">
            <w:pPr>
              <w:jc w:val="center"/>
              <w:rPr>
                <w:b/>
                <w:sz w:val="20"/>
                <w:lang w:val="en-US"/>
              </w:rPr>
            </w:pPr>
            <w:r w:rsidRPr="000E221D">
              <w:rPr>
                <w:b/>
                <w:sz w:val="20"/>
                <w:lang w:val="en-US"/>
              </w:rPr>
              <w:t>Control</w:t>
            </w:r>
          </w:p>
        </w:tc>
        <w:tc>
          <w:tcPr>
            <w:tcW w:w="13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95E671" w14:textId="77777777" w:rsidR="00AE0BA4" w:rsidRPr="000E221D" w:rsidRDefault="00AE0BA4">
            <w:pPr>
              <w:jc w:val="center"/>
              <w:rPr>
                <w:b/>
                <w:sz w:val="20"/>
                <w:lang w:val="en-US"/>
              </w:rPr>
            </w:pPr>
            <w:r w:rsidRPr="000E221D">
              <w:rPr>
                <w:b/>
                <w:sz w:val="20"/>
                <w:lang w:val="en-US"/>
              </w:rPr>
              <w:t>Treated</w:t>
            </w:r>
          </w:p>
        </w:tc>
      </w:tr>
      <w:tr w:rsidR="00AE0BA4" w:rsidRPr="000E221D" w14:paraId="1F3713E6" w14:textId="77777777" w:rsidTr="00AE0BA4">
        <w:tc>
          <w:tcPr>
            <w:tcW w:w="846" w:type="dxa"/>
            <w:tcBorders>
              <w:top w:val="single" w:sz="4" w:space="0" w:color="auto"/>
              <w:left w:val="single" w:sz="4" w:space="0" w:color="auto"/>
              <w:bottom w:val="single" w:sz="4" w:space="0" w:color="auto"/>
              <w:right w:val="single" w:sz="4" w:space="0" w:color="auto"/>
            </w:tcBorders>
            <w:vAlign w:val="center"/>
            <w:hideMark/>
          </w:tcPr>
          <w:p w14:paraId="7E7EB08E" w14:textId="77777777" w:rsidR="00AE0BA4" w:rsidRPr="000E221D" w:rsidRDefault="00AE0BA4">
            <w:pPr>
              <w:jc w:val="center"/>
              <w:rPr>
                <w:sz w:val="20"/>
                <w:lang w:val="en-US"/>
              </w:rPr>
            </w:pPr>
            <w:r w:rsidRPr="000E221D">
              <w:rPr>
                <w:sz w:val="20"/>
                <w:lang w:val="en-US"/>
              </w:rPr>
              <w:t>P1</w:t>
            </w:r>
          </w:p>
          <w:p w14:paraId="5D483397" w14:textId="77777777" w:rsidR="00AE0BA4" w:rsidRPr="000E221D" w:rsidRDefault="00AE0BA4">
            <w:pPr>
              <w:jc w:val="center"/>
              <w:rPr>
                <w:sz w:val="20"/>
                <w:lang w:val="en-US"/>
              </w:rPr>
            </w:pPr>
            <w:r w:rsidRPr="000E221D">
              <w:rPr>
                <w:sz w:val="20"/>
                <w:lang w:val="en-US"/>
              </w:rPr>
              <w:t>P3</w:t>
            </w:r>
          </w:p>
          <w:p w14:paraId="35F0195F" w14:textId="77777777" w:rsidR="00AE0BA4" w:rsidRPr="000E221D" w:rsidRDefault="00AE0BA4">
            <w:pPr>
              <w:jc w:val="center"/>
              <w:rPr>
                <w:sz w:val="20"/>
                <w:lang w:val="en-US"/>
              </w:rPr>
            </w:pPr>
            <w:r w:rsidRPr="000E221D">
              <w:rPr>
                <w:sz w:val="20"/>
                <w:lang w:val="en-US"/>
              </w:rPr>
              <w:t>P7</w:t>
            </w:r>
          </w:p>
          <w:p w14:paraId="570A3278" w14:textId="77777777" w:rsidR="00AE0BA4" w:rsidRPr="000E221D" w:rsidRDefault="00AE0BA4">
            <w:pPr>
              <w:jc w:val="center"/>
              <w:rPr>
                <w:sz w:val="20"/>
                <w:lang w:val="en-US"/>
              </w:rPr>
            </w:pPr>
            <w:r w:rsidRPr="000E221D">
              <w:rPr>
                <w:sz w:val="20"/>
                <w:lang w:val="en-US"/>
              </w:rPr>
              <w:t>P11</w:t>
            </w:r>
          </w:p>
          <w:p w14:paraId="3D3F0115" w14:textId="77777777" w:rsidR="00AE0BA4" w:rsidRPr="000E221D" w:rsidRDefault="00AE0BA4">
            <w:pPr>
              <w:jc w:val="center"/>
              <w:rPr>
                <w:sz w:val="20"/>
                <w:lang w:val="en-US"/>
              </w:rPr>
            </w:pPr>
            <w:r w:rsidRPr="000E221D">
              <w:rPr>
                <w:sz w:val="20"/>
                <w:lang w:val="en-US"/>
              </w:rPr>
              <w:t>P15</w:t>
            </w:r>
          </w:p>
          <w:p w14:paraId="35195427" w14:textId="77777777" w:rsidR="00AE0BA4" w:rsidRPr="000E221D" w:rsidRDefault="00AE0BA4">
            <w:pPr>
              <w:jc w:val="center"/>
              <w:rPr>
                <w:sz w:val="20"/>
                <w:lang w:val="en-US"/>
              </w:rPr>
            </w:pPr>
            <w:r w:rsidRPr="000E221D">
              <w:rPr>
                <w:sz w:val="20"/>
                <w:lang w:val="en-US"/>
              </w:rPr>
              <w:t>P30</w:t>
            </w:r>
          </w:p>
        </w:tc>
        <w:tc>
          <w:tcPr>
            <w:tcW w:w="1380" w:type="dxa"/>
            <w:tcBorders>
              <w:top w:val="single" w:sz="4" w:space="0" w:color="auto"/>
              <w:left w:val="single" w:sz="4" w:space="0" w:color="auto"/>
              <w:bottom w:val="single" w:sz="4" w:space="0" w:color="auto"/>
              <w:right w:val="single" w:sz="4" w:space="0" w:color="auto"/>
            </w:tcBorders>
            <w:vAlign w:val="center"/>
            <w:hideMark/>
          </w:tcPr>
          <w:p w14:paraId="27BE279F" w14:textId="77777777" w:rsidR="00AE0BA4" w:rsidRPr="000E221D" w:rsidRDefault="00AE0BA4">
            <w:pPr>
              <w:rPr>
                <w:sz w:val="20"/>
                <w:lang w:val="en-US"/>
              </w:rPr>
            </w:pPr>
            <w:r w:rsidRPr="000E221D">
              <w:rPr>
                <w:sz w:val="20"/>
                <w:lang w:val="en-US"/>
              </w:rPr>
              <w:t>1.02 ± 0.11</w:t>
            </w:r>
          </w:p>
          <w:p w14:paraId="4502D53B" w14:textId="77777777" w:rsidR="00AE0BA4" w:rsidRPr="000E221D" w:rsidRDefault="00AE0BA4">
            <w:pPr>
              <w:rPr>
                <w:sz w:val="20"/>
                <w:lang w:val="en-US"/>
              </w:rPr>
            </w:pPr>
            <w:r w:rsidRPr="000E221D">
              <w:rPr>
                <w:sz w:val="20"/>
                <w:lang w:val="en-US"/>
              </w:rPr>
              <w:t>3.04 ± 0.35</w:t>
            </w:r>
          </w:p>
          <w:p w14:paraId="18BB0371" w14:textId="77777777" w:rsidR="00AE0BA4" w:rsidRPr="000E221D" w:rsidRDefault="00AE0BA4">
            <w:pPr>
              <w:rPr>
                <w:sz w:val="20"/>
                <w:lang w:val="en-US"/>
              </w:rPr>
            </w:pPr>
            <w:r w:rsidRPr="000E221D">
              <w:rPr>
                <w:sz w:val="20"/>
                <w:lang w:val="en-US"/>
              </w:rPr>
              <w:t>2.60 ± 0.39</w:t>
            </w:r>
          </w:p>
          <w:p w14:paraId="597FB2B5" w14:textId="77777777" w:rsidR="00AE0BA4" w:rsidRPr="000E221D" w:rsidRDefault="00AE0BA4">
            <w:pPr>
              <w:rPr>
                <w:sz w:val="20"/>
                <w:lang w:val="en-US"/>
              </w:rPr>
            </w:pPr>
            <w:r w:rsidRPr="000E221D">
              <w:rPr>
                <w:sz w:val="20"/>
                <w:lang w:val="en-US"/>
              </w:rPr>
              <w:t>1.42 ± 0.23</w:t>
            </w:r>
          </w:p>
          <w:p w14:paraId="12F7AD7D" w14:textId="77777777" w:rsidR="00AE0BA4" w:rsidRPr="000E221D" w:rsidRDefault="00AE0BA4">
            <w:pPr>
              <w:rPr>
                <w:sz w:val="20"/>
                <w:lang w:val="en-US"/>
              </w:rPr>
            </w:pPr>
            <w:r w:rsidRPr="000E221D">
              <w:rPr>
                <w:sz w:val="20"/>
                <w:lang w:val="en-US"/>
              </w:rPr>
              <w:t>1.91 ± 0.31</w:t>
            </w:r>
          </w:p>
          <w:p w14:paraId="42C73ED2" w14:textId="77777777" w:rsidR="00AE0BA4" w:rsidRPr="000E221D" w:rsidRDefault="00AE0BA4">
            <w:pPr>
              <w:rPr>
                <w:sz w:val="20"/>
                <w:lang w:val="en-US"/>
              </w:rPr>
            </w:pPr>
            <w:r w:rsidRPr="000E221D">
              <w:rPr>
                <w:sz w:val="20"/>
                <w:lang w:val="en-US"/>
              </w:rPr>
              <w:t>4.91 ± 0.69</w:t>
            </w:r>
          </w:p>
        </w:tc>
        <w:tc>
          <w:tcPr>
            <w:tcW w:w="1381" w:type="dxa"/>
            <w:tcBorders>
              <w:top w:val="single" w:sz="4" w:space="0" w:color="auto"/>
              <w:left w:val="single" w:sz="4" w:space="0" w:color="auto"/>
              <w:bottom w:val="single" w:sz="4" w:space="0" w:color="auto"/>
              <w:right w:val="single" w:sz="4" w:space="0" w:color="auto"/>
            </w:tcBorders>
            <w:vAlign w:val="center"/>
            <w:hideMark/>
          </w:tcPr>
          <w:p w14:paraId="70C1D0C8" w14:textId="77777777" w:rsidR="00AE0BA4" w:rsidRPr="000E221D" w:rsidRDefault="00AE0BA4">
            <w:pPr>
              <w:rPr>
                <w:sz w:val="20"/>
                <w:lang w:val="en-US"/>
              </w:rPr>
            </w:pPr>
            <w:r w:rsidRPr="000E221D">
              <w:rPr>
                <w:sz w:val="20"/>
                <w:lang w:val="en-US"/>
              </w:rPr>
              <w:t>1.00 ± 0.19</w:t>
            </w:r>
          </w:p>
          <w:p w14:paraId="56738855" w14:textId="77777777" w:rsidR="00AE0BA4" w:rsidRPr="000E221D" w:rsidRDefault="00AE0BA4">
            <w:pPr>
              <w:rPr>
                <w:sz w:val="20"/>
                <w:lang w:val="en-US"/>
              </w:rPr>
            </w:pPr>
            <w:r w:rsidRPr="000E221D">
              <w:rPr>
                <w:sz w:val="20"/>
                <w:lang w:val="en-US"/>
              </w:rPr>
              <w:t>0.33 ± 0.08</w:t>
            </w:r>
          </w:p>
          <w:p w14:paraId="29421280" w14:textId="77777777" w:rsidR="00AE0BA4" w:rsidRPr="000E221D" w:rsidRDefault="00AE0BA4">
            <w:pPr>
              <w:rPr>
                <w:sz w:val="20"/>
                <w:lang w:val="en-US"/>
              </w:rPr>
            </w:pPr>
            <w:r w:rsidRPr="000E221D">
              <w:rPr>
                <w:sz w:val="20"/>
                <w:lang w:val="en-US"/>
              </w:rPr>
              <w:t>2.44 ± 0.47</w:t>
            </w:r>
          </w:p>
          <w:p w14:paraId="66CC885F" w14:textId="77777777" w:rsidR="00AE0BA4" w:rsidRPr="000E221D" w:rsidRDefault="00AE0BA4">
            <w:pPr>
              <w:rPr>
                <w:sz w:val="20"/>
                <w:lang w:val="en-US"/>
              </w:rPr>
            </w:pPr>
            <w:r w:rsidRPr="000E221D">
              <w:rPr>
                <w:sz w:val="20"/>
                <w:lang w:val="en-US"/>
              </w:rPr>
              <w:t>1.34 ± 0.26</w:t>
            </w:r>
          </w:p>
          <w:p w14:paraId="4F98967A" w14:textId="77777777" w:rsidR="00AE0BA4" w:rsidRPr="000E221D" w:rsidRDefault="00AE0BA4">
            <w:pPr>
              <w:rPr>
                <w:sz w:val="20"/>
                <w:lang w:val="en-US"/>
              </w:rPr>
            </w:pPr>
            <w:r w:rsidRPr="000E221D">
              <w:rPr>
                <w:sz w:val="20"/>
                <w:lang w:val="en-US"/>
              </w:rPr>
              <w:t>2.00 ± 0.33</w:t>
            </w:r>
          </w:p>
          <w:p w14:paraId="2BD1AABA" w14:textId="77777777" w:rsidR="00AE0BA4" w:rsidRPr="000E221D" w:rsidRDefault="00AE0BA4">
            <w:pPr>
              <w:rPr>
                <w:sz w:val="20"/>
                <w:lang w:val="en-US"/>
              </w:rPr>
            </w:pPr>
            <w:r w:rsidRPr="000E221D">
              <w:rPr>
                <w:sz w:val="20"/>
                <w:lang w:val="en-US"/>
              </w:rPr>
              <w:t>5.44 ± 1.39</w:t>
            </w:r>
          </w:p>
        </w:tc>
        <w:tc>
          <w:tcPr>
            <w:tcW w:w="1381" w:type="dxa"/>
            <w:tcBorders>
              <w:top w:val="single" w:sz="4" w:space="0" w:color="auto"/>
              <w:left w:val="single" w:sz="4" w:space="0" w:color="auto"/>
              <w:bottom w:val="single" w:sz="4" w:space="0" w:color="auto"/>
              <w:right w:val="single" w:sz="4" w:space="0" w:color="auto"/>
            </w:tcBorders>
            <w:vAlign w:val="center"/>
            <w:hideMark/>
          </w:tcPr>
          <w:p w14:paraId="258F6455" w14:textId="77777777" w:rsidR="00AE0BA4" w:rsidRPr="000E221D" w:rsidRDefault="00AE0BA4">
            <w:pPr>
              <w:rPr>
                <w:sz w:val="20"/>
                <w:lang w:val="en-US"/>
              </w:rPr>
            </w:pPr>
            <w:r w:rsidRPr="000E221D">
              <w:rPr>
                <w:sz w:val="20"/>
                <w:lang w:val="en-US"/>
              </w:rPr>
              <w:t>2.41 ± 0.20</w:t>
            </w:r>
          </w:p>
          <w:p w14:paraId="0908E4A7" w14:textId="77777777" w:rsidR="00AE0BA4" w:rsidRPr="000E221D" w:rsidRDefault="00AE0BA4">
            <w:pPr>
              <w:rPr>
                <w:sz w:val="20"/>
                <w:lang w:val="en-US"/>
              </w:rPr>
            </w:pPr>
            <w:r w:rsidRPr="000E221D">
              <w:rPr>
                <w:sz w:val="20"/>
                <w:lang w:val="en-US"/>
              </w:rPr>
              <w:t>7.99 ± 1.74</w:t>
            </w:r>
          </w:p>
          <w:p w14:paraId="353890FE" w14:textId="77777777" w:rsidR="00AE0BA4" w:rsidRPr="000E221D" w:rsidRDefault="00AE0BA4">
            <w:pPr>
              <w:rPr>
                <w:sz w:val="20"/>
                <w:lang w:val="en-US"/>
              </w:rPr>
            </w:pPr>
            <w:r w:rsidRPr="000E221D">
              <w:rPr>
                <w:sz w:val="20"/>
                <w:lang w:val="en-US"/>
              </w:rPr>
              <w:t>2.72 ± 0.45</w:t>
            </w:r>
          </w:p>
          <w:p w14:paraId="561F2E33" w14:textId="77777777" w:rsidR="00AE0BA4" w:rsidRPr="000E221D" w:rsidRDefault="00AE0BA4">
            <w:pPr>
              <w:rPr>
                <w:sz w:val="20"/>
                <w:lang w:val="en-US"/>
              </w:rPr>
            </w:pPr>
            <w:r w:rsidRPr="000E221D">
              <w:rPr>
                <w:sz w:val="20"/>
                <w:lang w:val="en-US"/>
              </w:rPr>
              <w:t>1.25 ± 0.29</w:t>
            </w:r>
          </w:p>
          <w:p w14:paraId="053C30C6" w14:textId="77777777" w:rsidR="00AE0BA4" w:rsidRPr="000E221D" w:rsidRDefault="00AE0BA4">
            <w:pPr>
              <w:rPr>
                <w:sz w:val="20"/>
                <w:lang w:val="en-US"/>
              </w:rPr>
            </w:pPr>
            <w:r w:rsidRPr="000E221D">
              <w:rPr>
                <w:sz w:val="20"/>
                <w:lang w:val="en-US"/>
              </w:rPr>
              <w:t>1.63 ± 0.17</w:t>
            </w:r>
          </w:p>
          <w:p w14:paraId="7127D206" w14:textId="77777777" w:rsidR="00AE0BA4" w:rsidRPr="000E221D" w:rsidRDefault="00AE0BA4">
            <w:pPr>
              <w:rPr>
                <w:sz w:val="20"/>
                <w:lang w:val="en-US"/>
              </w:rPr>
            </w:pPr>
            <w:r w:rsidRPr="000E221D">
              <w:rPr>
                <w:sz w:val="20"/>
                <w:lang w:val="en-US"/>
              </w:rPr>
              <w:t>2.89 ± 0.56</w:t>
            </w:r>
          </w:p>
        </w:tc>
        <w:tc>
          <w:tcPr>
            <w:tcW w:w="1380" w:type="dxa"/>
            <w:tcBorders>
              <w:top w:val="single" w:sz="4" w:space="0" w:color="auto"/>
              <w:left w:val="single" w:sz="4" w:space="0" w:color="auto"/>
              <w:bottom w:val="single" w:sz="4" w:space="0" w:color="auto"/>
              <w:right w:val="single" w:sz="4" w:space="0" w:color="auto"/>
            </w:tcBorders>
            <w:vAlign w:val="center"/>
            <w:hideMark/>
          </w:tcPr>
          <w:p w14:paraId="1FB135EE" w14:textId="77777777" w:rsidR="00AE0BA4" w:rsidRPr="000E221D" w:rsidRDefault="00AE0BA4">
            <w:pPr>
              <w:rPr>
                <w:sz w:val="20"/>
                <w:lang w:val="en-US"/>
              </w:rPr>
            </w:pPr>
            <w:r w:rsidRPr="000E221D">
              <w:rPr>
                <w:sz w:val="20"/>
                <w:lang w:val="en-US"/>
              </w:rPr>
              <w:t>1.61 ± 0.25</w:t>
            </w:r>
          </w:p>
          <w:p w14:paraId="6C6EA7C7" w14:textId="77777777" w:rsidR="00AE0BA4" w:rsidRPr="000E221D" w:rsidRDefault="00AE0BA4">
            <w:pPr>
              <w:rPr>
                <w:sz w:val="20"/>
                <w:lang w:val="en-US"/>
              </w:rPr>
            </w:pPr>
            <w:r w:rsidRPr="000E221D">
              <w:rPr>
                <w:sz w:val="20"/>
                <w:lang w:val="en-US"/>
              </w:rPr>
              <w:t>1.87 ± 0.36</w:t>
            </w:r>
          </w:p>
          <w:p w14:paraId="6C275F99" w14:textId="77777777" w:rsidR="00AE0BA4" w:rsidRPr="000E221D" w:rsidRDefault="00AE0BA4">
            <w:pPr>
              <w:rPr>
                <w:sz w:val="20"/>
                <w:lang w:val="en-US"/>
              </w:rPr>
            </w:pPr>
            <w:r w:rsidRPr="000E221D">
              <w:rPr>
                <w:sz w:val="20"/>
                <w:lang w:val="en-US"/>
              </w:rPr>
              <w:t>6.14 ± 1.39</w:t>
            </w:r>
          </w:p>
          <w:p w14:paraId="3D8B5669" w14:textId="77777777" w:rsidR="00AE0BA4" w:rsidRPr="000E221D" w:rsidRDefault="00AE0BA4">
            <w:pPr>
              <w:rPr>
                <w:sz w:val="20"/>
                <w:lang w:val="en-US"/>
              </w:rPr>
            </w:pPr>
            <w:r w:rsidRPr="000E221D">
              <w:rPr>
                <w:sz w:val="20"/>
                <w:lang w:val="en-US"/>
              </w:rPr>
              <w:t>1.43 ± 0.31</w:t>
            </w:r>
          </w:p>
          <w:p w14:paraId="257ECE4A" w14:textId="77777777" w:rsidR="00AE0BA4" w:rsidRPr="000E221D" w:rsidRDefault="00AE0BA4">
            <w:pPr>
              <w:rPr>
                <w:sz w:val="20"/>
                <w:lang w:val="en-US"/>
              </w:rPr>
            </w:pPr>
            <w:r w:rsidRPr="000E221D">
              <w:rPr>
                <w:sz w:val="20"/>
                <w:lang w:val="en-US"/>
              </w:rPr>
              <w:t>2.01 ± 0.43</w:t>
            </w:r>
          </w:p>
          <w:p w14:paraId="0CBCC60D" w14:textId="77777777" w:rsidR="00AE0BA4" w:rsidRPr="000E221D" w:rsidRDefault="00AE0BA4">
            <w:pPr>
              <w:rPr>
                <w:sz w:val="20"/>
                <w:lang w:val="en-US"/>
              </w:rPr>
            </w:pPr>
            <w:r w:rsidRPr="000E221D">
              <w:rPr>
                <w:sz w:val="20"/>
                <w:lang w:val="en-US"/>
              </w:rPr>
              <w:t>2.67 ± 0.35</w:t>
            </w:r>
          </w:p>
        </w:tc>
        <w:tc>
          <w:tcPr>
            <w:tcW w:w="1381" w:type="dxa"/>
            <w:tcBorders>
              <w:top w:val="single" w:sz="4" w:space="0" w:color="auto"/>
              <w:left w:val="single" w:sz="4" w:space="0" w:color="auto"/>
              <w:bottom w:val="single" w:sz="4" w:space="0" w:color="auto"/>
              <w:right w:val="single" w:sz="4" w:space="0" w:color="auto"/>
            </w:tcBorders>
            <w:vAlign w:val="center"/>
            <w:hideMark/>
          </w:tcPr>
          <w:p w14:paraId="41069A0B" w14:textId="77777777" w:rsidR="00AE0BA4" w:rsidRPr="000E221D" w:rsidRDefault="00AE0BA4">
            <w:pPr>
              <w:rPr>
                <w:sz w:val="20"/>
                <w:lang w:val="en-US"/>
              </w:rPr>
            </w:pPr>
            <w:r w:rsidRPr="000E221D">
              <w:rPr>
                <w:sz w:val="20"/>
                <w:lang w:val="en-US"/>
              </w:rPr>
              <w:t>19.65 ± 2.50</w:t>
            </w:r>
          </w:p>
          <w:p w14:paraId="3550701D" w14:textId="77777777" w:rsidR="00AE0BA4" w:rsidRPr="000E221D" w:rsidRDefault="00AE0BA4">
            <w:pPr>
              <w:rPr>
                <w:sz w:val="20"/>
                <w:lang w:val="en-US"/>
              </w:rPr>
            </w:pPr>
            <w:r w:rsidRPr="000E221D">
              <w:rPr>
                <w:sz w:val="20"/>
                <w:lang w:val="en-US"/>
              </w:rPr>
              <w:t>40.82 ± 8.29</w:t>
            </w:r>
          </w:p>
          <w:p w14:paraId="69E9D363" w14:textId="77777777" w:rsidR="00AE0BA4" w:rsidRPr="000E221D" w:rsidRDefault="00AE0BA4">
            <w:pPr>
              <w:rPr>
                <w:sz w:val="20"/>
                <w:lang w:val="en-US"/>
              </w:rPr>
            </w:pPr>
            <w:r w:rsidRPr="000E221D">
              <w:rPr>
                <w:sz w:val="20"/>
                <w:lang w:val="en-US"/>
              </w:rPr>
              <w:t>25.78 ± 4.01</w:t>
            </w:r>
          </w:p>
          <w:p w14:paraId="4A5F6869" w14:textId="77777777" w:rsidR="00AE0BA4" w:rsidRPr="000E221D" w:rsidRDefault="00AE0BA4">
            <w:pPr>
              <w:rPr>
                <w:sz w:val="20"/>
                <w:lang w:val="en-US"/>
              </w:rPr>
            </w:pPr>
            <w:r w:rsidRPr="000E221D">
              <w:rPr>
                <w:sz w:val="20"/>
                <w:lang w:val="en-US"/>
              </w:rPr>
              <w:t>14.03 ± 2.56</w:t>
            </w:r>
          </w:p>
          <w:p w14:paraId="4935701E" w14:textId="77777777" w:rsidR="00AE0BA4" w:rsidRPr="000E221D" w:rsidRDefault="00AE0BA4">
            <w:pPr>
              <w:rPr>
                <w:sz w:val="20"/>
                <w:lang w:val="en-US"/>
              </w:rPr>
            </w:pPr>
            <w:r w:rsidRPr="000E221D">
              <w:rPr>
                <w:sz w:val="20"/>
                <w:lang w:val="en-US"/>
              </w:rPr>
              <w:t>7.07 ± 1.05</w:t>
            </w:r>
          </w:p>
          <w:p w14:paraId="221AFEED" w14:textId="77777777" w:rsidR="00AE0BA4" w:rsidRPr="000E221D" w:rsidRDefault="00AE0BA4">
            <w:pPr>
              <w:rPr>
                <w:sz w:val="20"/>
                <w:lang w:val="en-US"/>
              </w:rPr>
            </w:pPr>
            <w:r w:rsidRPr="000E221D">
              <w:rPr>
                <w:sz w:val="20"/>
                <w:lang w:val="en-US"/>
              </w:rPr>
              <w:t>5.38 ± 0.86</w:t>
            </w:r>
          </w:p>
        </w:tc>
        <w:tc>
          <w:tcPr>
            <w:tcW w:w="1381" w:type="dxa"/>
            <w:tcBorders>
              <w:top w:val="single" w:sz="4" w:space="0" w:color="auto"/>
              <w:left w:val="single" w:sz="4" w:space="0" w:color="auto"/>
              <w:bottom w:val="single" w:sz="4" w:space="0" w:color="auto"/>
              <w:right w:val="single" w:sz="4" w:space="0" w:color="auto"/>
            </w:tcBorders>
            <w:vAlign w:val="center"/>
            <w:hideMark/>
          </w:tcPr>
          <w:p w14:paraId="00B27D47" w14:textId="77777777" w:rsidR="00AE0BA4" w:rsidRPr="000E221D" w:rsidRDefault="00AE0BA4">
            <w:pPr>
              <w:rPr>
                <w:sz w:val="20"/>
                <w:lang w:val="en-US"/>
              </w:rPr>
            </w:pPr>
            <w:r w:rsidRPr="000E221D">
              <w:rPr>
                <w:sz w:val="20"/>
                <w:lang w:val="en-US"/>
              </w:rPr>
              <w:t>16.43 ± 2.00</w:t>
            </w:r>
          </w:p>
          <w:p w14:paraId="5A7CC297" w14:textId="77777777" w:rsidR="00AE0BA4" w:rsidRPr="000E221D" w:rsidRDefault="00AE0BA4">
            <w:pPr>
              <w:rPr>
                <w:sz w:val="20"/>
                <w:lang w:val="en-US"/>
              </w:rPr>
            </w:pPr>
            <w:r w:rsidRPr="000E221D">
              <w:rPr>
                <w:sz w:val="20"/>
                <w:lang w:val="en-US"/>
              </w:rPr>
              <w:t>16.54 ± 1.98</w:t>
            </w:r>
          </w:p>
          <w:p w14:paraId="7F4204BA" w14:textId="77777777" w:rsidR="00AE0BA4" w:rsidRPr="000E221D" w:rsidRDefault="00AE0BA4">
            <w:pPr>
              <w:rPr>
                <w:sz w:val="20"/>
                <w:lang w:val="en-US"/>
              </w:rPr>
            </w:pPr>
            <w:r w:rsidRPr="000E221D">
              <w:rPr>
                <w:sz w:val="20"/>
                <w:lang w:val="en-US"/>
              </w:rPr>
              <w:t>22.23 ± 3.36</w:t>
            </w:r>
          </w:p>
          <w:p w14:paraId="22BC5220" w14:textId="77777777" w:rsidR="00AE0BA4" w:rsidRPr="000E221D" w:rsidRDefault="00AE0BA4">
            <w:pPr>
              <w:rPr>
                <w:sz w:val="20"/>
                <w:lang w:val="en-US"/>
              </w:rPr>
            </w:pPr>
            <w:r w:rsidRPr="000E221D">
              <w:rPr>
                <w:sz w:val="20"/>
                <w:lang w:val="en-US"/>
              </w:rPr>
              <w:t>8.76 ± 0.56</w:t>
            </w:r>
          </w:p>
          <w:p w14:paraId="2DA76786" w14:textId="77777777" w:rsidR="00AE0BA4" w:rsidRPr="000E221D" w:rsidRDefault="00AE0BA4">
            <w:pPr>
              <w:rPr>
                <w:sz w:val="20"/>
                <w:lang w:val="en-US"/>
              </w:rPr>
            </w:pPr>
            <w:r w:rsidRPr="000E221D">
              <w:rPr>
                <w:sz w:val="20"/>
                <w:lang w:val="en-US"/>
              </w:rPr>
              <w:t>10.43 ± 2.15</w:t>
            </w:r>
          </w:p>
          <w:p w14:paraId="0A3B479D" w14:textId="77777777" w:rsidR="00AE0BA4" w:rsidRPr="000E221D" w:rsidRDefault="00AE0BA4">
            <w:pPr>
              <w:rPr>
                <w:sz w:val="20"/>
                <w:lang w:val="en-US"/>
              </w:rPr>
            </w:pPr>
            <w:r w:rsidRPr="000E221D">
              <w:rPr>
                <w:sz w:val="20"/>
                <w:lang w:val="en-US"/>
              </w:rPr>
              <w:t>6.09 ± 0.68</w:t>
            </w:r>
          </w:p>
        </w:tc>
      </w:tr>
    </w:tbl>
    <w:p w14:paraId="1F032B6F" w14:textId="77777777" w:rsidR="00AE0BA4" w:rsidRDefault="00AE0BA4" w:rsidP="00AE0BA4">
      <w:pPr>
        <w:rPr>
          <w:lang w:val="en-US"/>
        </w:rPr>
      </w:pPr>
      <w:r>
        <w:rPr>
          <w:lang w:val="en-US"/>
        </w:rPr>
        <w:t xml:space="preserve">GABA: </w:t>
      </w:r>
      <w:r>
        <w:rPr>
          <w:lang w:val="en-US"/>
        </w:rPr>
        <w:sym w:font="Symbol" w:char="F067"/>
      </w:r>
      <w:r>
        <w:rPr>
          <w:lang w:val="en-US"/>
        </w:rPr>
        <w:t xml:space="preserve">-amino butyric acid; </w:t>
      </w:r>
    </w:p>
    <w:p w14:paraId="57A602BC" w14:textId="77777777" w:rsidR="00AE0BA4" w:rsidRDefault="00AE0BA4" w:rsidP="00AE0BA4">
      <w:pPr>
        <w:jc w:val="right"/>
        <w:rPr>
          <w:lang w:val="en-US"/>
        </w:rPr>
      </w:pPr>
    </w:p>
    <w:p w14:paraId="16C3D618" w14:textId="77777777" w:rsidR="00AE0BA4" w:rsidRDefault="00AE0BA4" w:rsidP="00AE0BA4">
      <w:pPr>
        <w:rPr>
          <w:lang w:val="en-US"/>
        </w:rPr>
      </w:pPr>
      <w:r>
        <w:rPr>
          <w:lang w:val="en-US"/>
        </w:rPr>
        <w:t xml:space="preserve">Significant alterations of cerebellar cortex synaptic circuitry caused by prenatal exposition of the animals to paraquat were observed in this study. Variations in the levels of excitatory neurotransmitters, aspartate and glutamate showed important changes in the magnitude of peak excitatory innervation periods of Purkinje cells: first, between P2-P5, when multiple climbing fibers from the inferior olivary complex innervate Purkinje cell dendritic trees, and second, between P 11-P15, when granule cell parallel fibers establish numerous synaptic contacts on Purkinje cell dendritic spines (Sotelo 2004; Welsh </w:t>
      </w:r>
      <w:r>
        <w:rPr>
          <w:i/>
          <w:lang w:val="en-US"/>
        </w:rPr>
        <w:t>et al</w:t>
      </w:r>
      <w:r w:rsidR="00120920">
        <w:rPr>
          <w:i/>
          <w:lang w:val="en-US"/>
        </w:rPr>
        <w:t>,</w:t>
      </w:r>
      <w:r>
        <w:rPr>
          <w:lang w:val="en-US"/>
        </w:rPr>
        <w:t xml:space="preserve"> 1995). Most notably affected was the period of excitatory innervation of the growing Purkinje cell dendrites by the afferent climbing fibres, which occurs around P3. The treated group showed significantly decreased levels of aspartate and glutamate with respect to the control group. These results indicated a marked degeneration of Purkinje cells which could have been induced by their exposure to the toxic effects of paraquat during the period when they are being generated (Sotelo 2004). </w:t>
      </w:r>
    </w:p>
    <w:p w14:paraId="71F90A7E" w14:textId="77777777" w:rsidR="00AE0BA4" w:rsidRDefault="00AE0BA4" w:rsidP="00AE0BA4">
      <w:pPr>
        <w:rPr>
          <w:lang w:val="en-US"/>
        </w:rPr>
      </w:pPr>
    </w:p>
    <w:p w14:paraId="7A147151" w14:textId="77777777" w:rsidR="00AE0BA4" w:rsidRDefault="00AE0BA4" w:rsidP="00AE0BA4">
      <w:pPr>
        <w:rPr>
          <w:lang w:val="en-US"/>
        </w:rPr>
      </w:pPr>
      <w:r>
        <w:rPr>
          <w:lang w:val="en-US"/>
        </w:rPr>
        <w:lastRenderedPageBreak/>
        <w:t>During the first postnatal week, the pattern of change in GABA levels of the paraquat exposed group indicated a 4-day delay in development of GABAergic neurons as compared with that of the controls.</w:t>
      </w:r>
    </w:p>
    <w:p w14:paraId="7D4C1FD7" w14:textId="77777777" w:rsidR="00AE0BA4" w:rsidRDefault="00AE0BA4" w:rsidP="00AE0BA4">
      <w:pPr>
        <w:rPr>
          <w:lang w:val="en-US"/>
        </w:rPr>
      </w:pPr>
    </w:p>
    <w:p w14:paraId="6C6E7F34" w14:textId="77777777" w:rsidR="00AE0BA4" w:rsidRDefault="00AE0BA4" w:rsidP="00AE0BA4">
      <w:pPr>
        <w:rPr>
          <w:lang w:val="en-US"/>
        </w:rPr>
      </w:pPr>
      <w:r>
        <w:rPr>
          <w:lang w:val="en-US"/>
        </w:rPr>
        <w:t xml:space="preserve">The patterns of variation in glycine levels of paraquat exposed pups are similar to those observed in the case of GABA. There was a delay in glycine ontogenesis in paraquat exposed mice. While showing the same chronology as that of control, glycine levels were lower than control. </w:t>
      </w:r>
    </w:p>
    <w:p w14:paraId="6612D0B8" w14:textId="77777777" w:rsidR="00AE0BA4" w:rsidRDefault="00AE0BA4" w:rsidP="00AE0BA4">
      <w:pPr>
        <w:rPr>
          <w:lang w:val="en-US"/>
        </w:rPr>
      </w:pPr>
    </w:p>
    <w:p w14:paraId="7ADE1328" w14:textId="77777777" w:rsidR="00AE0BA4" w:rsidRDefault="00AE0BA4" w:rsidP="00AE0BA4">
      <w:pPr>
        <w:rPr>
          <w:lang w:val="en-US"/>
        </w:rPr>
      </w:pPr>
      <w:r>
        <w:rPr>
          <w:lang w:val="en-US"/>
        </w:rPr>
        <w:t>With respect to the inhibitory neurotransmitter taurine, high concentrations were detected during the first stages of postnatal development, both in the control and treated group. Significant reductions in taurine levels with respect to control were observed at P3 and P11 in paraquat exposed pups. During this period, deficiency in taurine could be affecting the growth of Purkinje cell dendritic trees and impairing granule cell migration from the external germinal layer to their final location at the internal granular layer. These events are two fundamental processes that define cerebellar morphogenesis. It has been documented that, when granule cell population is altered, the Purkinje cell dendritic tree shows abnormal morphology, indicating direct influence of granule cells on the growth of Purkinje cell dendrites.</w:t>
      </w:r>
    </w:p>
    <w:p w14:paraId="3491F073" w14:textId="77777777" w:rsidR="00AE0BA4" w:rsidRDefault="00AE0BA4" w:rsidP="00AE0BA4">
      <w:pPr>
        <w:rPr>
          <w:lang w:val="en-US"/>
        </w:rPr>
      </w:pPr>
    </w:p>
    <w:p w14:paraId="5DC23CA0" w14:textId="77777777" w:rsidR="00AE0BA4" w:rsidRDefault="00AE0BA4" w:rsidP="00AE0BA4">
      <w:pPr>
        <w:rPr>
          <w:lang w:val="en-US"/>
        </w:rPr>
      </w:pPr>
      <w:r>
        <w:rPr>
          <w:i/>
          <w:lang w:val="en-US"/>
        </w:rPr>
        <w:t>Conclusion:</w:t>
      </w:r>
      <w:r>
        <w:rPr>
          <w:lang w:val="en-US"/>
        </w:rPr>
        <w:t xml:space="preserve"> Modulation of the basic cerebellar circuitry by the intrinsic neuronal elements, as well as those extrinsic to the cerebellum, occurred with prenatal exposure to paraquat administered to pregnant dams as 5 ip injections of 10 mg/kg bw every 48 hours between gestation days 12 and 20, causing alterations in the normal chronology and magnitude of excitatory and inhibitory synaptic transmissions in the developing mouse cerebellar cortex.</w:t>
      </w:r>
    </w:p>
    <w:p w14:paraId="36A3390D" w14:textId="77777777" w:rsidR="002B2CFC" w:rsidRPr="002B2CFC" w:rsidRDefault="002B2CFC" w:rsidP="002B2CFC">
      <w:pPr>
        <w:rPr>
          <w:szCs w:val="24"/>
          <w:lang w:val="en-US" w:eastAsia="en-US"/>
        </w:rPr>
      </w:pPr>
    </w:p>
    <w:p w14:paraId="2ED06F6E" w14:textId="77777777" w:rsidR="002B2CFC" w:rsidRPr="002B2CFC" w:rsidRDefault="002B2CFC" w:rsidP="002B2CFC">
      <w:pPr>
        <w:rPr>
          <w:b/>
          <w:color w:val="000000"/>
          <w:szCs w:val="24"/>
          <w:lang w:val="en-US" w:eastAsia="en-US"/>
        </w:rPr>
      </w:pPr>
      <w:r w:rsidRPr="002B2CFC">
        <w:rPr>
          <w:b/>
          <w:color w:val="000000"/>
          <w:szCs w:val="24"/>
          <w:lang w:val="en-US" w:eastAsia="en-US"/>
        </w:rPr>
        <w:t>Perry TL, Yong VW, Wall RA &amp; Jones K (1986) Paraquat and two endogenous analogues of the neurotoxic substance N-methyl-4-phenyl-1,2,3,6-tetrahydropyridine do not damage dopaminergic nigrostriatal neurons in the mouse. Neurosci Lett 69: 285-289.</w:t>
      </w:r>
    </w:p>
    <w:p w14:paraId="0D4FA249" w14:textId="77777777" w:rsidR="002B2CFC" w:rsidRPr="002B2CFC" w:rsidRDefault="002B2CFC" w:rsidP="002B2CFC">
      <w:pPr>
        <w:rPr>
          <w:szCs w:val="24"/>
          <w:lang w:val="en-US" w:eastAsia="en-US"/>
        </w:rPr>
      </w:pPr>
    </w:p>
    <w:p w14:paraId="43117D65" w14:textId="77777777" w:rsidR="002B2CFC" w:rsidRPr="002B2CFC" w:rsidRDefault="002B2CFC" w:rsidP="002B2CFC">
      <w:pPr>
        <w:rPr>
          <w:szCs w:val="24"/>
          <w:lang w:val="en-US" w:eastAsia="en-US"/>
        </w:rPr>
      </w:pPr>
      <w:r w:rsidRPr="002B2CFC">
        <w:rPr>
          <w:szCs w:val="24"/>
          <w:lang w:val="en-US" w:eastAsia="en-US"/>
        </w:rPr>
        <w:t xml:space="preserve">A study was undertaken to compare the effect of repeated sc injections of the MTD of paraquat, reduced paraquat, MPTP (N-methyl-4-phenyl-1,2,3,6-tetrahydropyridine, single dose only) and two MPTP analogues, on striatal levels of </w:t>
      </w:r>
      <w:r w:rsidR="00011149">
        <w:rPr>
          <w:szCs w:val="24"/>
          <w:lang w:val="en-US" w:eastAsia="en-US"/>
        </w:rPr>
        <w:t>DA</w:t>
      </w:r>
      <w:r w:rsidRPr="002B2CFC">
        <w:rPr>
          <w:szCs w:val="24"/>
          <w:lang w:val="en-US" w:eastAsia="en-US"/>
        </w:rPr>
        <w:t xml:space="preserve">, DOPAC and HVA in mice. </w:t>
      </w:r>
    </w:p>
    <w:p w14:paraId="11047259" w14:textId="77777777" w:rsidR="00212568" w:rsidRDefault="00212568" w:rsidP="002B2CFC">
      <w:pPr>
        <w:rPr>
          <w:szCs w:val="24"/>
          <w:lang w:val="en-US" w:eastAsia="en-US"/>
        </w:rPr>
      </w:pPr>
    </w:p>
    <w:p w14:paraId="72A36DF6" w14:textId="77777777" w:rsidR="00212568" w:rsidRDefault="00212568" w:rsidP="00212568">
      <w:r>
        <w:t>Paraquat (unspecified purity and source) was injected sc into C57 black mice (sex, age, body weight and source unspecified) on 3 occasions, each separated by 3-day intervals, at doses of 0 (n=44) or 14.5 mg/kg bw (n=7) (equivalent to 10.44 mg/kg bw paraquat cation). The vehicle and dose volume were unspecified. The dose selection was based on the MTD of 14.5 mg/kg bw which was determined during preliminary experiments. A separate group of 10 mice were injected sc with between 7.3 to 116.3 mg/kg bw/d reduced paraquat (1,1’-dimethyl-1,1’,2,2’,3,3’,6,6’-octahydro-4,4’bipyridine) over 6 days. Nine mice received a sc injection of 40 to 160 mg/kg bw/d MTIQ (N-methyl-1,2,3,4-tetrahydroisoquinoline) over 8 days. MTHBC (2-methyl-1,2,3,4-tetrahydro-</w:t>
      </w:r>
      <w:r>
        <w:sym w:font="Symbol" w:char="F062"/>
      </w:r>
      <w:r>
        <w:t>-carboline) was injected sc into 6 mice at 40 mg/kg bw on a single day, and then 80 mg/kg bw/d for the next 3 days. A group of 34 mice received a single 40 mg/kg bw sc injection of MPTP (unspecified source). Reduced paraquat, MTIQ and MTHBC were all synthesised on site. All surviving mice were sacrificed one month after the last injection by cervical dislocation. Striata were dissected out immediately and stored at -70</w:t>
      </w:r>
      <w:r>
        <w:sym w:font="Symbol" w:char="F0B0"/>
      </w:r>
      <w:r>
        <w:t xml:space="preserve">C until analysed. Striatal concentrations of </w:t>
      </w:r>
      <w:r w:rsidR="00011149">
        <w:t>DA</w:t>
      </w:r>
      <w:r>
        <w:t>, DOPAC and HVA were measured by HPLC.</w:t>
      </w:r>
    </w:p>
    <w:p w14:paraId="02BE67F6" w14:textId="77777777" w:rsidR="00212568" w:rsidRDefault="00212568" w:rsidP="00212568"/>
    <w:p w14:paraId="5DA709EE" w14:textId="77777777" w:rsidR="00212568" w:rsidRDefault="00212568" w:rsidP="00212568">
      <w:r>
        <w:t>During an undescribed preliminary experiment, paraquat caused rapid weight loss and death. In contrast, reduced paraquat did not cause any clinical signs or affect body weight. Mice injected with the highest dose of MTIQ (160 mg/kg bw) appeared ‘markedly sedated’ for 3 h after injection. Convulsions and death occurred in a single mouse within 15 minutes of an injection of 200 mg/kg bw MTIQ. No behavioural abnormalities were reported following a single injection of 40 mg/kg bw MTHBC, but sedation, ataxia, tremors and infrequent clonic convulsions (unspecified incidences) were observed at 80 mg/kg bw. There were no reported clinical signs following injection of 40 mg/kg bw MPTP.</w:t>
      </w:r>
    </w:p>
    <w:p w14:paraId="6C34C6D4" w14:textId="77777777" w:rsidR="00212568" w:rsidRDefault="00212568" w:rsidP="00212568"/>
    <w:p w14:paraId="3FBC9BEA" w14:textId="2C43ACE6" w:rsidR="00212568" w:rsidRDefault="00212568" w:rsidP="00212568">
      <w:r>
        <w:t xml:space="preserve">There was a slight though statistically significant elevation (p&lt;0.001, test unspecified) in striatal </w:t>
      </w:r>
      <w:r w:rsidR="00011149">
        <w:t>DA</w:t>
      </w:r>
      <w:r>
        <w:t xml:space="preserve"> following paraquat administration, while DOPAC and HVA levels were unaffected (see </w:t>
      </w:r>
      <w:r w:rsidR="00897462">
        <w:fldChar w:fldCharType="begin"/>
      </w:r>
      <w:r w:rsidR="00BA33FB">
        <w:instrText xml:space="preserve"> REF _Ref410309231 \h </w:instrText>
      </w:r>
      <w:r w:rsidR="00897462">
        <w:fldChar w:fldCharType="separate"/>
      </w:r>
      <w:r w:rsidR="000E54B2">
        <w:t xml:space="preserve">Table </w:t>
      </w:r>
      <w:r w:rsidR="000E54B2">
        <w:rPr>
          <w:noProof/>
        </w:rPr>
        <w:t>50</w:t>
      </w:r>
      <w:r w:rsidR="00897462">
        <w:fldChar w:fldCharType="end"/>
      </w:r>
      <w:r>
        <w:t xml:space="preserve"> </w:t>
      </w:r>
      <w:r w:rsidR="003A31EB">
        <w:fldChar w:fldCharType="begin"/>
      </w:r>
      <w:r w:rsidR="003A31EB">
        <w:instrText xml:space="preserve"> REF _Ref459038763 \p </w:instrText>
      </w:r>
      <w:r w:rsidR="003A31EB">
        <w:fldChar w:fldCharType="separate"/>
      </w:r>
      <w:r w:rsidR="000E54B2">
        <w:t>below</w:t>
      </w:r>
      <w:r w:rsidR="003A31EB">
        <w:fldChar w:fldCharType="end"/>
      </w:r>
      <w:r>
        <w:t xml:space="preserve">). As the magnitude of this effect was small, and given that MPTP caused a large and statistically significant (p&lt;0.001, test unspecified) depression in striatal </w:t>
      </w:r>
      <w:r w:rsidR="00011149">
        <w:t>DA</w:t>
      </w:r>
      <w:r>
        <w:t xml:space="preserve">, DOPAC and HVA levels, this finding was not considered to be toxicological significant. Reduced paraquat, MTIQ and MTHBC had no effect on striatal levels of </w:t>
      </w:r>
      <w:r w:rsidR="00011149">
        <w:t>DA</w:t>
      </w:r>
      <w:r>
        <w:t>, DOPAC or HVA.</w:t>
      </w:r>
    </w:p>
    <w:p w14:paraId="41B6453C" w14:textId="77777777" w:rsidR="00212568" w:rsidRDefault="00212568" w:rsidP="00212568">
      <w:pPr>
        <w:pStyle w:val="BodyText2"/>
      </w:pPr>
    </w:p>
    <w:p w14:paraId="088AF7DA" w14:textId="77777777" w:rsidR="00BA33FB" w:rsidRDefault="00BA33FB" w:rsidP="009D0D8F">
      <w:pPr>
        <w:pStyle w:val="Caption"/>
        <w:keepNext/>
        <w:spacing w:after="120"/>
      </w:pPr>
      <w:bookmarkStart w:id="180" w:name="_Ref410309231"/>
      <w:bookmarkStart w:id="181" w:name="_Ref459038763"/>
      <w:r>
        <w:t xml:space="preserve">Table </w:t>
      </w:r>
      <w:r w:rsidR="00897462">
        <w:fldChar w:fldCharType="begin"/>
      </w:r>
      <w:r>
        <w:instrText xml:space="preserve"> SEQ Table \* ARABIC </w:instrText>
      </w:r>
      <w:r w:rsidR="00897462">
        <w:fldChar w:fldCharType="separate"/>
      </w:r>
      <w:r w:rsidR="000E54B2">
        <w:rPr>
          <w:noProof/>
        </w:rPr>
        <w:t>50</w:t>
      </w:r>
      <w:r w:rsidR="00897462">
        <w:fldChar w:fldCharType="end"/>
      </w:r>
      <w:bookmarkEnd w:id="180"/>
      <w:r>
        <w:t xml:space="preserve">. </w:t>
      </w:r>
      <w:r w:rsidRPr="00126EBD">
        <w:t>Striatal neurochemical concentrations (</w:t>
      </w:r>
      <w:r w:rsidR="00694227">
        <w:t>µ</w:t>
      </w:r>
      <w:r w:rsidRPr="00126EBD">
        <w:t>g/g wet weight) in mice following sc injection of paraquat, MPTP or MPTP analogues</w:t>
      </w:r>
      <w:bookmarkEnd w:id="18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7"/>
        <w:gridCol w:w="450"/>
        <w:gridCol w:w="1701"/>
        <w:gridCol w:w="1417"/>
        <w:gridCol w:w="1985"/>
        <w:gridCol w:w="1842"/>
      </w:tblGrid>
      <w:tr w:rsidR="00212568" w14:paraId="5F4C3DC9" w14:textId="77777777" w:rsidTr="000E221D">
        <w:tc>
          <w:tcPr>
            <w:tcW w:w="1677" w:type="dxa"/>
            <w:shd w:val="clear" w:color="auto" w:fill="BFBFBF" w:themeFill="background1" w:themeFillShade="BF"/>
            <w:vAlign w:val="center"/>
          </w:tcPr>
          <w:p w14:paraId="56530CA2" w14:textId="77777777" w:rsidR="00212568" w:rsidRDefault="00212568" w:rsidP="00212568">
            <w:pPr>
              <w:rPr>
                <w:b/>
                <w:sz w:val="20"/>
              </w:rPr>
            </w:pPr>
            <w:r>
              <w:rPr>
                <w:b/>
                <w:sz w:val="20"/>
              </w:rPr>
              <w:t>Treatment</w:t>
            </w:r>
          </w:p>
        </w:tc>
        <w:tc>
          <w:tcPr>
            <w:tcW w:w="450" w:type="dxa"/>
            <w:shd w:val="clear" w:color="auto" w:fill="BFBFBF" w:themeFill="background1" w:themeFillShade="BF"/>
            <w:vAlign w:val="center"/>
          </w:tcPr>
          <w:p w14:paraId="4B1883A9" w14:textId="77777777" w:rsidR="00212568" w:rsidRDefault="00212568" w:rsidP="00212568">
            <w:pPr>
              <w:jc w:val="center"/>
              <w:rPr>
                <w:b/>
                <w:sz w:val="20"/>
              </w:rPr>
            </w:pPr>
            <w:r>
              <w:rPr>
                <w:b/>
                <w:sz w:val="20"/>
              </w:rPr>
              <w:t>n</w:t>
            </w:r>
          </w:p>
        </w:tc>
        <w:tc>
          <w:tcPr>
            <w:tcW w:w="1701" w:type="dxa"/>
            <w:shd w:val="clear" w:color="auto" w:fill="BFBFBF" w:themeFill="background1" w:themeFillShade="BF"/>
            <w:vAlign w:val="center"/>
          </w:tcPr>
          <w:p w14:paraId="067FB7F3" w14:textId="77777777" w:rsidR="00212568" w:rsidRDefault="00212568" w:rsidP="00212568">
            <w:pPr>
              <w:jc w:val="center"/>
              <w:rPr>
                <w:b/>
                <w:sz w:val="20"/>
              </w:rPr>
            </w:pPr>
            <w:r>
              <w:rPr>
                <w:b/>
                <w:sz w:val="20"/>
              </w:rPr>
              <w:t>Cumulative dose</w:t>
            </w:r>
          </w:p>
          <w:p w14:paraId="6CC098AD" w14:textId="77777777" w:rsidR="00212568" w:rsidRDefault="00212568" w:rsidP="00212568">
            <w:pPr>
              <w:jc w:val="center"/>
              <w:rPr>
                <w:b/>
                <w:sz w:val="20"/>
              </w:rPr>
            </w:pPr>
            <w:r>
              <w:rPr>
                <w:b/>
                <w:sz w:val="20"/>
              </w:rPr>
              <w:t>(mg/kg bw)</w:t>
            </w:r>
          </w:p>
        </w:tc>
        <w:tc>
          <w:tcPr>
            <w:tcW w:w="1417" w:type="dxa"/>
            <w:shd w:val="clear" w:color="auto" w:fill="BFBFBF" w:themeFill="background1" w:themeFillShade="BF"/>
            <w:vAlign w:val="center"/>
          </w:tcPr>
          <w:p w14:paraId="33AE15EA" w14:textId="77777777" w:rsidR="00212568" w:rsidRDefault="00011149" w:rsidP="00212568">
            <w:pPr>
              <w:jc w:val="center"/>
              <w:rPr>
                <w:b/>
                <w:sz w:val="20"/>
              </w:rPr>
            </w:pPr>
            <w:r>
              <w:rPr>
                <w:b/>
                <w:sz w:val="20"/>
              </w:rPr>
              <w:t>DA</w:t>
            </w:r>
          </w:p>
        </w:tc>
        <w:tc>
          <w:tcPr>
            <w:tcW w:w="1985" w:type="dxa"/>
            <w:shd w:val="clear" w:color="auto" w:fill="BFBFBF" w:themeFill="background1" w:themeFillShade="BF"/>
            <w:vAlign w:val="center"/>
          </w:tcPr>
          <w:p w14:paraId="388B8F98" w14:textId="77777777" w:rsidR="00212568" w:rsidRDefault="00212568" w:rsidP="00212568">
            <w:pPr>
              <w:jc w:val="center"/>
              <w:rPr>
                <w:b/>
                <w:sz w:val="20"/>
              </w:rPr>
            </w:pPr>
            <w:r>
              <w:rPr>
                <w:b/>
                <w:sz w:val="20"/>
              </w:rPr>
              <w:t>DOPAC</w:t>
            </w:r>
          </w:p>
        </w:tc>
        <w:tc>
          <w:tcPr>
            <w:tcW w:w="1842" w:type="dxa"/>
            <w:shd w:val="clear" w:color="auto" w:fill="BFBFBF" w:themeFill="background1" w:themeFillShade="BF"/>
            <w:vAlign w:val="center"/>
          </w:tcPr>
          <w:p w14:paraId="5D108F09" w14:textId="77777777" w:rsidR="00212568" w:rsidRDefault="00212568" w:rsidP="00212568">
            <w:pPr>
              <w:jc w:val="center"/>
              <w:rPr>
                <w:b/>
                <w:sz w:val="20"/>
              </w:rPr>
            </w:pPr>
            <w:r>
              <w:rPr>
                <w:b/>
                <w:sz w:val="20"/>
              </w:rPr>
              <w:t>HVA</w:t>
            </w:r>
          </w:p>
        </w:tc>
      </w:tr>
      <w:tr w:rsidR="00212568" w14:paraId="4A91CF4B" w14:textId="77777777" w:rsidTr="00212568">
        <w:tc>
          <w:tcPr>
            <w:tcW w:w="1677" w:type="dxa"/>
          </w:tcPr>
          <w:p w14:paraId="0AEB28FB" w14:textId="77777777" w:rsidR="00212568" w:rsidRDefault="00212568" w:rsidP="00212568">
            <w:pPr>
              <w:rPr>
                <w:sz w:val="20"/>
              </w:rPr>
            </w:pPr>
            <w:r>
              <w:rPr>
                <w:sz w:val="20"/>
              </w:rPr>
              <w:t>Control</w:t>
            </w:r>
          </w:p>
        </w:tc>
        <w:tc>
          <w:tcPr>
            <w:tcW w:w="450" w:type="dxa"/>
          </w:tcPr>
          <w:p w14:paraId="7A8FDA4E" w14:textId="77777777" w:rsidR="00212568" w:rsidRDefault="00212568" w:rsidP="00212568">
            <w:pPr>
              <w:jc w:val="center"/>
              <w:rPr>
                <w:sz w:val="20"/>
              </w:rPr>
            </w:pPr>
            <w:r>
              <w:rPr>
                <w:sz w:val="20"/>
              </w:rPr>
              <w:t>44</w:t>
            </w:r>
          </w:p>
        </w:tc>
        <w:tc>
          <w:tcPr>
            <w:tcW w:w="1701" w:type="dxa"/>
          </w:tcPr>
          <w:p w14:paraId="7BB6DA38" w14:textId="77777777" w:rsidR="00212568" w:rsidRDefault="00212568" w:rsidP="00212568">
            <w:pPr>
              <w:jc w:val="center"/>
              <w:rPr>
                <w:sz w:val="20"/>
              </w:rPr>
            </w:pPr>
          </w:p>
        </w:tc>
        <w:tc>
          <w:tcPr>
            <w:tcW w:w="1417" w:type="dxa"/>
          </w:tcPr>
          <w:p w14:paraId="30DE8829" w14:textId="77777777" w:rsidR="00212568" w:rsidRDefault="00212568" w:rsidP="00212568">
            <w:pPr>
              <w:jc w:val="center"/>
              <w:rPr>
                <w:sz w:val="20"/>
              </w:rPr>
            </w:pPr>
            <w:r>
              <w:rPr>
                <w:sz w:val="20"/>
              </w:rPr>
              <w:t xml:space="preserve">11.3 </w:t>
            </w:r>
            <w:r>
              <w:rPr>
                <w:sz w:val="20"/>
                <w:u w:val="single"/>
              </w:rPr>
              <w:t>+</w:t>
            </w:r>
            <w:r>
              <w:rPr>
                <w:sz w:val="20"/>
              </w:rPr>
              <w:t xml:space="preserve"> 0.4</w:t>
            </w:r>
          </w:p>
        </w:tc>
        <w:tc>
          <w:tcPr>
            <w:tcW w:w="1985" w:type="dxa"/>
          </w:tcPr>
          <w:p w14:paraId="641A636F" w14:textId="77777777" w:rsidR="00212568" w:rsidRDefault="00212568" w:rsidP="00212568">
            <w:pPr>
              <w:jc w:val="center"/>
              <w:rPr>
                <w:sz w:val="20"/>
              </w:rPr>
            </w:pPr>
            <w:r>
              <w:rPr>
                <w:sz w:val="20"/>
              </w:rPr>
              <w:t xml:space="preserve">1.0 </w:t>
            </w:r>
            <w:r>
              <w:rPr>
                <w:sz w:val="20"/>
                <w:u w:val="single"/>
              </w:rPr>
              <w:t>+</w:t>
            </w:r>
            <w:r>
              <w:rPr>
                <w:sz w:val="20"/>
              </w:rPr>
              <w:t xml:space="preserve"> 0</w:t>
            </w:r>
          </w:p>
        </w:tc>
        <w:tc>
          <w:tcPr>
            <w:tcW w:w="1842" w:type="dxa"/>
          </w:tcPr>
          <w:p w14:paraId="636591A8" w14:textId="77777777" w:rsidR="00212568" w:rsidRDefault="00212568" w:rsidP="00212568">
            <w:pPr>
              <w:jc w:val="center"/>
              <w:rPr>
                <w:sz w:val="20"/>
              </w:rPr>
            </w:pPr>
            <w:r>
              <w:rPr>
                <w:sz w:val="20"/>
              </w:rPr>
              <w:t xml:space="preserve">1.3 </w:t>
            </w:r>
            <w:r>
              <w:rPr>
                <w:sz w:val="20"/>
                <w:u w:val="single"/>
              </w:rPr>
              <w:t>+</w:t>
            </w:r>
            <w:r>
              <w:rPr>
                <w:sz w:val="20"/>
              </w:rPr>
              <w:t xml:space="preserve"> 0.1</w:t>
            </w:r>
          </w:p>
        </w:tc>
      </w:tr>
      <w:tr w:rsidR="00212568" w14:paraId="654EF98D" w14:textId="77777777" w:rsidTr="00212568">
        <w:tc>
          <w:tcPr>
            <w:tcW w:w="1677" w:type="dxa"/>
          </w:tcPr>
          <w:p w14:paraId="56CA5459" w14:textId="77777777" w:rsidR="00212568" w:rsidRDefault="00212568" w:rsidP="00212568">
            <w:pPr>
              <w:rPr>
                <w:sz w:val="20"/>
              </w:rPr>
            </w:pPr>
            <w:r>
              <w:rPr>
                <w:sz w:val="20"/>
              </w:rPr>
              <w:t>MPTP</w:t>
            </w:r>
          </w:p>
        </w:tc>
        <w:tc>
          <w:tcPr>
            <w:tcW w:w="450" w:type="dxa"/>
          </w:tcPr>
          <w:p w14:paraId="2B12CDF3" w14:textId="77777777" w:rsidR="00212568" w:rsidRDefault="00212568" w:rsidP="00212568">
            <w:pPr>
              <w:jc w:val="center"/>
              <w:rPr>
                <w:sz w:val="20"/>
              </w:rPr>
            </w:pPr>
            <w:r>
              <w:rPr>
                <w:sz w:val="20"/>
              </w:rPr>
              <w:t>34</w:t>
            </w:r>
          </w:p>
        </w:tc>
        <w:tc>
          <w:tcPr>
            <w:tcW w:w="1701" w:type="dxa"/>
          </w:tcPr>
          <w:p w14:paraId="0B73A12C" w14:textId="77777777" w:rsidR="00212568" w:rsidRDefault="00212568" w:rsidP="00212568">
            <w:pPr>
              <w:jc w:val="center"/>
              <w:rPr>
                <w:sz w:val="20"/>
              </w:rPr>
            </w:pPr>
            <w:r>
              <w:rPr>
                <w:sz w:val="20"/>
              </w:rPr>
              <w:t>40</w:t>
            </w:r>
          </w:p>
        </w:tc>
        <w:tc>
          <w:tcPr>
            <w:tcW w:w="1417" w:type="dxa"/>
          </w:tcPr>
          <w:p w14:paraId="6DFAC9CE" w14:textId="77777777" w:rsidR="00212568" w:rsidRDefault="00212568" w:rsidP="00212568">
            <w:pPr>
              <w:jc w:val="center"/>
              <w:rPr>
                <w:sz w:val="20"/>
              </w:rPr>
            </w:pPr>
            <w:r>
              <w:rPr>
                <w:sz w:val="20"/>
              </w:rPr>
              <w:t xml:space="preserve">1.3 </w:t>
            </w:r>
            <w:r>
              <w:rPr>
                <w:sz w:val="20"/>
                <w:u w:val="single"/>
              </w:rPr>
              <w:t>+</w:t>
            </w:r>
            <w:r>
              <w:rPr>
                <w:sz w:val="20"/>
              </w:rPr>
              <w:t xml:space="preserve"> 0.1*</w:t>
            </w:r>
          </w:p>
        </w:tc>
        <w:tc>
          <w:tcPr>
            <w:tcW w:w="1985" w:type="dxa"/>
          </w:tcPr>
          <w:p w14:paraId="491CE636" w14:textId="77777777" w:rsidR="00212568" w:rsidRDefault="00212568" w:rsidP="00212568">
            <w:pPr>
              <w:jc w:val="center"/>
              <w:rPr>
                <w:sz w:val="20"/>
              </w:rPr>
            </w:pPr>
            <w:r>
              <w:rPr>
                <w:sz w:val="20"/>
              </w:rPr>
              <w:t xml:space="preserve">0.2 </w:t>
            </w:r>
            <w:r>
              <w:rPr>
                <w:sz w:val="20"/>
                <w:u w:val="single"/>
              </w:rPr>
              <w:t>+</w:t>
            </w:r>
            <w:r>
              <w:rPr>
                <w:sz w:val="20"/>
              </w:rPr>
              <w:t xml:space="preserve"> 0*</w:t>
            </w:r>
          </w:p>
        </w:tc>
        <w:tc>
          <w:tcPr>
            <w:tcW w:w="1842" w:type="dxa"/>
          </w:tcPr>
          <w:p w14:paraId="74B8818D" w14:textId="77777777" w:rsidR="00212568" w:rsidRDefault="00212568" w:rsidP="00212568">
            <w:pPr>
              <w:jc w:val="center"/>
              <w:rPr>
                <w:sz w:val="20"/>
              </w:rPr>
            </w:pPr>
            <w:r>
              <w:rPr>
                <w:sz w:val="20"/>
              </w:rPr>
              <w:t xml:space="preserve">0.5 </w:t>
            </w:r>
            <w:r>
              <w:rPr>
                <w:sz w:val="20"/>
                <w:u w:val="single"/>
              </w:rPr>
              <w:t>+</w:t>
            </w:r>
            <w:r>
              <w:rPr>
                <w:sz w:val="20"/>
              </w:rPr>
              <w:t xml:space="preserve"> 0*</w:t>
            </w:r>
          </w:p>
        </w:tc>
      </w:tr>
      <w:tr w:rsidR="00212568" w14:paraId="1C9D47CF" w14:textId="77777777" w:rsidTr="00212568">
        <w:tc>
          <w:tcPr>
            <w:tcW w:w="1677" w:type="dxa"/>
          </w:tcPr>
          <w:p w14:paraId="21C895D4" w14:textId="77777777" w:rsidR="00212568" w:rsidRDefault="00212568" w:rsidP="00212568">
            <w:pPr>
              <w:rPr>
                <w:sz w:val="20"/>
              </w:rPr>
            </w:pPr>
            <w:r>
              <w:rPr>
                <w:sz w:val="20"/>
              </w:rPr>
              <w:t>Paraquat</w:t>
            </w:r>
          </w:p>
        </w:tc>
        <w:tc>
          <w:tcPr>
            <w:tcW w:w="450" w:type="dxa"/>
          </w:tcPr>
          <w:p w14:paraId="2728A64E" w14:textId="77777777" w:rsidR="00212568" w:rsidRDefault="00212568" w:rsidP="00212568">
            <w:pPr>
              <w:jc w:val="center"/>
              <w:rPr>
                <w:sz w:val="20"/>
              </w:rPr>
            </w:pPr>
            <w:r>
              <w:rPr>
                <w:sz w:val="20"/>
              </w:rPr>
              <w:t>7</w:t>
            </w:r>
          </w:p>
        </w:tc>
        <w:tc>
          <w:tcPr>
            <w:tcW w:w="1701" w:type="dxa"/>
          </w:tcPr>
          <w:p w14:paraId="5D80D254" w14:textId="77777777" w:rsidR="00212568" w:rsidRDefault="00212568" w:rsidP="00212568">
            <w:pPr>
              <w:jc w:val="center"/>
              <w:rPr>
                <w:sz w:val="20"/>
              </w:rPr>
            </w:pPr>
            <w:r>
              <w:rPr>
                <w:sz w:val="20"/>
              </w:rPr>
              <w:t>44</w:t>
            </w:r>
          </w:p>
        </w:tc>
        <w:tc>
          <w:tcPr>
            <w:tcW w:w="1417" w:type="dxa"/>
          </w:tcPr>
          <w:p w14:paraId="3211D21C" w14:textId="77777777" w:rsidR="00212568" w:rsidRDefault="00212568" w:rsidP="00212568">
            <w:pPr>
              <w:jc w:val="center"/>
              <w:rPr>
                <w:sz w:val="20"/>
              </w:rPr>
            </w:pPr>
            <w:r>
              <w:rPr>
                <w:sz w:val="20"/>
              </w:rPr>
              <w:t xml:space="preserve">14.5 </w:t>
            </w:r>
            <w:r>
              <w:rPr>
                <w:sz w:val="20"/>
                <w:u w:val="single"/>
              </w:rPr>
              <w:t>+</w:t>
            </w:r>
            <w:r>
              <w:rPr>
                <w:sz w:val="20"/>
              </w:rPr>
              <w:t xml:space="preserve"> 0.4*</w:t>
            </w:r>
          </w:p>
        </w:tc>
        <w:tc>
          <w:tcPr>
            <w:tcW w:w="1985" w:type="dxa"/>
          </w:tcPr>
          <w:p w14:paraId="70B63DBB" w14:textId="77777777" w:rsidR="00212568" w:rsidRDefault="00212568" w:rsidP="00212568">
            <w:pPr>
              <w:jc w:val="center"/>
              <w:rPr>
                <w:sz w:val="20"/>
              </w:rPr>
            </w:pPr>
            <w:r>
              <w:rPr>
                <w:sz w:val="20"/>
              </w:rPr>
              <w:t xml:space="preserve">0.8 </w:t>
            </w:r>
            <w:r>
              <w:rPr>
                <w:sz w:val="20"/>
                <w:u w:val="single"/>
              </w:rPr>
              <w:t>+</w:t>
            </w:r>
            <w:r>
              <w:rPr>
                <w:sz w:val="20"/>
              </w:rPr>
              <w:t xml:space="preserve"> 0</w:t>
            </w:r>
          </w:p>
        </w:tc>
        <w:tc>
          <w:tcPr>
            <w:tcW w:w="1842" w:type="dxa"/>
          </w:tcPr>
          <w:p w14:paraId="1A6B2CAA" w14:textId="77777777" w:rsidR="00212568" w:rsidRDefault="00212568" w:rsidP="00212568">
            <w:pPr>
              <w:jc w:val="center"/>
              <w:rPr>
                <w:sz w:val="20"/>
              </w:rPr>
            </w:pPr>
            <w:r>
              <w:rPr>
                <w:sz w:val="20"/>
              </w:rPr>
              <w:t xml:space="preserve">1.3 </w:t>
            </w:r>
            <w:r>
              <w:rPr>
                <w:sz w:val="20"/>
                <w:u w:val="single"/>
              </w:rPr>
              <w:t>+</w:t>
            </w:r>
            <w:r>
              <w:rPr>
                <w:sz w:val="20"/>
              </w:rPr>
              <w:t xml:space="preserve"> 0.1</w:t>
            </w:r>
          </w:p>
        </w:tc>
      </w:tr>
      <w:tr w:rsidR="00212568" w14:paraId="0D89AC08" w14:textId="77777777" w:rsidTr="00212568">
        <w:tc>
          <w:tcPr>
            <w:tcW w:w="1677" w:type="dxa"/>
          </w:tcPr>
          <w:p w14:paraId="58D87FB4" w14:textId="77777777" w:rsidR="00212568" w:rsidRDefault="00212568" w:rsidP="00212568">
            <w:pPr>
              <w:rPr>
                <w:sz w:val="20"/>
              </w:rPr>
            </w:pPr>
            <w:r>
              <w:rPr>
                <w:sz w:val="20"/>
              </w:rPr>
              <w:t>Reduced paraquat</w:t>
            </w:r>
          </w:p>
        </w:tc>
        <w:tc>
          <w:tcPr>
            <w:tcW w:w="450" w:type="dxa"/>
          </w:tcPr>
          <w:p w14:paraId="04A7FC61" w14:textId="77777777" w:rsidR="00212568" w:rsidRDefault="00212568" w:rsidP="00212568">
            <w:pPr>
              <w:jc w:val="center"/>
              <w:rPr>
                <w:sz w:val="20"/>
              </w:rPr>
            </w:pPr>
            <w:r>
              <w:rPr>
                <w:sz w:val="20"/>
              </w:rPr>
              <w:t>10</w:t>
            </w:r>
          </w:p>
        </w:tc>
        <w:tc>
          <w:tcPr>
            <w:tcW w:w="1701" w:type="dxa"/>
          </w:tcPr>
          <w:p w14:paraId="3B89BC80" w14:textId="77777777" w:rsidR="00212568" w:rsidRDefault="00212568" w:rsidP="00212568">
            <w:pPr>
              <w:jc w:val="center"/>
              <w:rPr>
                <w:sz w:val="20"/>
              </w:rPr>
            </w:pPr>
            <w:r>
              <w:rPr>
                <w:sz w:val="20"/>
              </w:rPr>
              <w:t>342</w:t>
            </w:r>
          </w:p>
        </w:tc>
        <w:tc>
          <w:tcPr>
            <w:tcW w:w="1417" w:type="dxa"/>
          </w:tcPr>
          <w:p w14:paraId="2E115B3C" w14:textId="77777777" w:rsidR="00212568" w:rsidRDefault="00212568" w:rsidP="00212568">
            <w:pPr>
              <w:jc w:val="center"/>
              <w:rPr>
                <w:sz w:val="20"/>
              </w:rPr>
            </w:pPr>
            <w:r>
              <w:rPr>
                <w:sz w:val="20"/>
              </w:rPr>
              <w:t xml:space="preserve">12.7 </w:t>
            </w:r>
            <w:r>
              <w:rPr>
                <w:sz w:val="20"/>
                <w:u w:val="single"/>
              </w:rPr>
              <w:t>+</w:t>
            </w:r>
            <w:r>
              <w:rPr>
                <w:sz w:val="20"/>
              </w:rPr>
              <w:t xml:space="preserve"> 0.7</w:t>
            </w:r>
          </w:p>
        </w:tc>
        <w:tc>
          <w:tcPr>
            <w:tcW w:w="1985" w:type="dxa"/>
          </w:tcPr>
          <w:p w14:paraId="6AE5D361" w14:textId="77777777" w:rsidR="00212568" w:rsidRDefault="00212568" w:rsidP="00212568">
            <w:pPr>
              <w:jc w:val="center"/>
              <w:rPr>
                <w:sz w:val="20"/>
              </w:rPr>
            </w:pPr>
            <w:r>
              <w:rPr>
                <w:sz w:val="20"/>
              </w:rPr>
              <w:t xml:space="preserve">0.8 </w:t>
            </w:r>
            <w:r>
              <w:rPr>
                <w:sz w:val="20"/>
                <w:u w:val="single"/>
              </w:rPr>
              <w:t>+</w:t>
            </w:r>
            <w:r>
              <w:rPr>
                <w:sz w:val="20"/>
              </w:rPr>
              <w:t xml:space="preserve"> 0</w:t>
            </w:r>
          </w:p>
        </w:tc>
        <w:tc>
          <w:tcPr>
            <w:tcW w:w="1842" w:type="dxa"/>
          </w:tcPr>
          <w:p w14:paraId="0DEB0E20" w14:textId="77777777" w:rsidR="00212568" w:rsidRDefault="00212568" w:rsidP="00212568">
            <w:pPr>
              <w:jc w:val="center"/>
              <w:rPr>
                <w:sz w:val="20"/>
              </w:rPr>
            </w:pPr>
            <w:r>
              <w:rPr>
                <w:sz w:val="20"/>
              </w:rPr>
              <w:t xml:space="preserve">1.3 </w:t>
            </w:r>
            <w:r>
              <w:rPr>
                <w:sz w:val="20"/>
                <w:u w:val="single"/>
              </w:rPr>
              <w:t>+</w:t>
            </w:r>
            <w:r>
              <w:rPr>
                <w:sz w:val="20"/>
              </w:rPr>
              <w:t xml:space="preserve"> 0.1</w:t>
            </w:r>
          </w:p>
        </w:tc>
      </w:tr>
      <w:tr w:rsidR="00212568" w14:paraId="6199F860" w14:textId="77777777" w:rsidTr="00212568">
        <w:tc>
          <w:tcPr>
            <w:tcW w:w="1677" w:type="dxa"/>
          </w:tcPr>
          <w:p w14:paraId="7599708A" w14:textId="77777777" w:rsidR="00212568" w:rsidRDefault="00212568" w:rsidP="00212568">
            <w:pPr>
              <w:rPr>
                <w:sz w:val="20"/>
              </w:rPr>
            </w:pPr>
            <w:r>
              <w:rPr>
                <w:sz w:val="20"/>
              </w:rPr>
              <w:t>MTIQ</w:t>
            </w:r>
          </w:p>
        </w:tc>
        <w:tc>
          <w:tcPr>
            <w:tcW w:w="450" w:type="dxa"/>
          </w:tcPr>
          <w:p w14:paraId="1A7F62D5" w14:textId="77777777" w:rsidR="00212568" w:rsidRDefault="00212568" w:rsidP="00212568">
            <w:pPr>
              <w:jc w:val="center"/>
              <w:rPr>
                <w:sz w:val="20"/>
              </w:rPr>
            </w:pPr>
            <w:r>
              <w:rPr>
                <w:sz w:val="20"/>
              </w:rPr>
              <w:t>9</w:t>
            </w:r>
          </w:p>
        </w:tc>
        <w:tc>
          <w:tcPr>
            <w:tcW w:w="1701" w:type="dxa"/>
          </w:tcPr>
          <w:p w14:paraId="23FF533B" w14:textId="77777777" w:rsidR="00212568" w:rsidRDefault="00212568" w:rsidP="00212568">
            <w:pPr>
              <w:jc w:val="center"/>
              <w:rPr>
                <w:sz w:val="20"/>
              </w:rPr>
            </w:pPr>
            <w:r>
              <w:rPr>
                <w:sz w:val="20"/>
              </w:rPr>
              <w:t>1040</w:t>
            </w:r>
          </w:p>
        </w:tc>
        <w:tc>
          <w:tcPr>
            <w:tcW w:w="1417" w:type="dxa"/>
          </w:tcPr>
          <w:p w14:paraId="1528CDB6" w14:textId="77777777" w:rsidR="00212568" w:rsidRDefault="00212568" w:rsidP="00212568">
            <w:pPr>
              <w:jc w:val="center"/>
              <w:rPr>
                <w:sz w:val="20"/>
              </w:rPr>
            </w:pPr>
            <w:r>
              <w:rPr>
                <w:sz w:val="20"/>
              </w:rPr>
              <w:t xml:space="preserve">14.3 </w:t>
            </w:r>
            <w:r>
              <w:rPr>
                <w:sz w:val="20"/>
                <w:u w:val="single"/>
              </w:rPr>
              <w:t>+</w:t>
            </w:r>
            <w:r>
              <w:rPr>
                <w:sz w:val="20"/>
              </w:rPr>
              <w:t xml:space="preserve"> 0.3</w:t>
            </w:r>
          </w:p>
        </w:tc>
        <w:tc>
          <w:tcPr>
            <w:tcW w:w="1985" w:type="dxa"/>
          </w:tcPr>
          <w:p w14:paraId="59687956" w14:textId="77777777" w:rsidR="00212568" w:rsidRDefault="00212568" w:rsidP="00212568">
            <w:pPr>
              <w:jc w:val="center"/>
              <w:rPr>
                <w:sz w:val="20"/>
              </w:rPr>
            </w:pPr>
            <w:r>
              <w:rPr>
                <w:sz w:val="20"/>
              </w:rPr>
              <w:t xml:space="preserve">0.8 </w:t>
            </w:r>
            <w:r>
              <w:rPr>
                <w:sz w:val="20"/>
                <w:u w:val="single"/>
              </w:rPr>
              <w:t>+</w:t>
            </w:r>
            <w:r>
              <w:rPr>
                <w:sz w:val="20"/>
              </w:rPr>
              <w:t xml:space="preserve"> 0</w:t>
            </w:r>
          </w:p>
        </w:tc>
        <w:tc>
          <w:tcPr>
            <w:tcW w:w="1842" w:type="dxa"/>
          </w:tcPr>
          <w:p w14:paraId="1803B741" w14:textId="77777777" w:rsidR="00212568" w:rsidRDefault="00212568" w:rsidP="00212568">
            <w:pPr>
              <w:jc w:val="center"/>
              <w:rPr>
                <w:sz w:val="20"/>
              </w:rPr>
            </w:pPr>
            <w:r>
              <w:rPr>
                <w:sz w:val="20"/>
              </w:rPr>
              <w:t xml:space="preserve">1.2 </w:t>
            </w:r>
            <w:r>
              <w:rPr>
                <w:sz w:val="20"/>
                <w:u w:val="single"/>
              </w:rPr>
              <w:t>+</w:t>
            </w:r>
            <w:r>
              <w:rPr>
                <w:sz w:val="20"/>
              </w:rPr>
              <w:t xml:space="preserve"> 0.1</w:t>
            </w:r>
          </w:p>
        </w:tc>
      </w:tr>
      <w:tr w:rsidR="00212568" w14:paraId="3297430D" w14:textId="77777777" w:rsidTr="00212568">
        <w:tc>
          <w:tcPr>
            <w:tcW w:w="1677" w:type="dxa"/>
          </w:tcPr>
          <w:p w14:paraId="6ADA6AD1" w14:textId="77777777" w:rsidR="00212568" w:rsidRDefault="00212568" w:rsidP="00212568">
            <w:pPr>
              <w:rPr>
                <w:sz w:val="20"/>
              </w:rPr>
            </w:pPr>
            <w:r>
              <w:rPr>
                <w:sz w:val="20"/>
              </w:rPr>
              <w:t>MTHBC</w:t>
            </w:r>
          </w:p>
        </w:tc>
        <w:tc>
          <w:tcPr>
            <w:tcW w:w="450" w:type="dxa"/>
          </w:tcPr>
          <w:p w14:paraId="5840BC00" w14:textId="77777777" w:rsidR="00212568" w:rsidRDefault="00212568" w:rsidP="00212568">
            <w:pPr>
              <w:jc w:val="center"/>
              <w:rPr>
                <w:sz w:val="20"/>
              </w:rPr>
            </w:pPr>
            <w:r>
              <w:rPr>
                <w:sz w:val="20"/>
              </w:rPr>
              <w:t>6</w:t>
            </w:r>
          </w:p>
        </w:tc>
        <w:tc>
          <w:tcPr>
            <w:tcW w:w="1701" w:type="dxa"/>
          </w:tcPr>
          <w:p w14:paraId="46793161" w14:textId="77777777" w:rsidR="00212568" w:rsidRDefault="00212568" w:rsidP="00212568">
            <w:pPr>
              <w:jc w:val="center"/>
              <w:rPr>
                <w:sz w:val="20"/>
              </w:rPr>
            </w:pPr>
            <w:r>
              <w:rPr>
                <w:sz w:val="20"/>
              </w:rPr>
              <w:t>280</w:t>
            </w:r>
          </w:p>
        </w:tc>
        <w:tc>
          <w:tcPr>
            <w:tcW w:w="1417" w:type="dxa"/>
          </w:tcPr>
          <w:p w14:paraId="326826DD" w14:textId="77777777" w:rsidR="00212568" w:rsidRDefault="00212568" w:rsidP="00212568">
            <w:pPr>
              <w:jc w:val="center"/>
              <w:rPr>
                <w:sz w:val="20"/>
              </w:rPr>
            </w:pPr>
            <w:r>
              <w:rPr>
                <w:sz w:val="20"/>
              </w:rPr>
              <w:t xml:space="preserve">13.8 </w:t>
            </w:r>
            <w:r>
              <w:rPr>
                <w:sz w:val="20"/>
                <w:u w:val="single"/>
              </w:rPr>
              <w:t>+</w:t>
            </w:r>
            <w:r>
              <w:rPr>
                <w:sz w:val="20"/>
              </w:rPr>
              <w:t xml:space="preserve"> 0.8</w:t>
            </w:r>
          </w:p>
        </w:tc>
        <w:tc>
          <w:tcPr>
            <w:tcW w:w="1985" w:type="dxa"/>
          </w:tcPr>
          <w:p w14:paraId="60A7B0D8" w14:textId="77777777" w:rsidR="00212568" w:rsidRDefault="00212568" w:rsidP="00212568">
            <w:pPr>
              <w:jc w:val="center"/>
              <w:rPr>
                <w:sz w:val="20"/>
              </w:rPr>
            </w:pPr>
            <w:r>
              <w:rPr>
                <w:sz w:val="20"/>
              </w:rPr>
              <w:t xml:space="preserve">0.8 </w:t>
            </w:r>
            <w:r>
              <w:rPr>
                <w:sz w:val="20"/>
                <w:u w:val="single"/>
              </w:rPr>
              <w:t>+</w:t>
            </w:r>
            <w:r>
              <w:rPr>
                <w:sz w:val="20"/>
              </w:rPr>
              <w:t xml:space="preserve"> 0.1</w:t>
            </w:r>
          </w:p>
        </w:tc>
        <w:tc>
          <w:tcPr>
            <w:tcW w:w="1842" w:type="dxa"/>
          </w:tcPr>
          <w:p w14:paraId="1C383007" w14:textId="77777777" w:rsidR="00212568" w:rsidRDefault="00212568" w:rsidP="00212568">
            <w:pPr>
              <w:jc w:val="center"/>
              <w:rPr>
                <w:sz w:val="20"/>
              </w:rPr>
            </w:pPr>
            <w:r>
              <w:rPr>
                <w:sz w:val="20"/>
              </w:rPr>
              <w:t xml:space="preserve">1.3 </w:t>
            </w:r>
            <w:r>
              <w:rPr>
                <w:sz w:val="20"/>
                <w:u w:val="single"/>
              </w:rPr>
              <w:t>+</w:t>
            </w:r>
            <w:r>
              <w:rPr>
                <w:sz w:val="20"/>
              </w:rPr>
              <w:t xml:space="preserve"> 0.1</w:t>
            </w:r>
          </w:p>
        </w:tc>
      </w:tr>
    </w:tbl>
    <w:p w14:paraId="6FF420A3" w14:textId="77777777" w:rsidR="00212568" w:rsidRDefault="00212568" w:rsidP="00212568">
      <w:pPr>
        <w:rPr>
          <w:sz w:val="20"/>
        </w:rPr>
      </w:pPr>
      <w:r>
        <w:rPr>
          <w:sz w:val="20"/>
        </w:rPr>
        <w:t xml:space="preserve">Results expressed as mean </w:t>
      </w:r>
      <w:r>
        <w:rPr>
          <w:sz w:val="20"/>
          <w:u w:val="single"/>
        </w:rPr>
        <w:t>+</w:t>
      </w:r>
      <w:r>
        <w:rPr>
          <w:sz w:val="20"/>
        </w:rPr>
        <w:t xml:space="preserve"> 1 SEM; MTIQ = N-methyl-1,2,3,4-tetrahydroisoquinoline; MTHBC = 2-methyl-1,2,3,4-tetrahydro-</w:t>
      </w:r>
      <w:r>
        <w:rPr>
          <w:sz w:val="20"/>
        </w:rPr>
        <w:sym w:font="Symbol" w:char="F062"/>
      </w:r>
      <w:r>
        <w:rPr>
          <w:sz w:val="20"/>
        </w:rPr>
        <w:t>-carboline;</w:t>
      </w:r>
      <w:r>
        <w:t xml:space="preserve"> </w:t>
      </w:r>
      <w:r>
        <w:rPr>
          <w:sz w:val="20"/>
        </w:rPr>
        <w:t>* p&lt;0.001</w:t>
      </w:r>
    </w:p>
    <w:p w14:paraId="03950208" w14:textId="77777777" w:rsidR="00212568" w:rsidRDefault="00212568" w:rsidP="00212568"/>
    <w:p w14:paraId="067BA747" w14:textId="77777777" w:rsidR="00212568" w:rsidRDefault="00212568" w:rsidP="00212568">
      <w:r>
        <w:t xml:space="preserve">In summary, repeated sc injection of paraquat into C57 black mice at the MTD (14.5 mg/kg bw; equivalent to 10.44 mg/kg bw paraquat cation) did not perturb striatal levels of </w:t>
      </w:r>
      <w:r w:rsidR="00011149">
        <w:t>DA</w:t>
      </w:r>
      <w:r>
        <w:t>, DOPAC or HVA. In contrast, MPTP was found to significantly reduce all 3 neurochemicals. These findings suggested that paraquat did not damage nigrostriatal neurons in the mouse. The main shortcomings of this study were the uneven sample sizes, the use of a single dose, the lack of quantitative clinical signs and that the concentration of paraquat in the brain was not measured.</w:t>
      </w:r>
    </w:p>
    <w:p w14:paraId="66B9E1C2" w14:textId="77777777" w:rsidR="002B2CFC" w:rsidRPr="002B2CFC" w:rsidRDefault="002B2CFC" w:rsidP="002B2CFC">
      <w:pPr>
        <w:rPr>
          <w:szCs w:val="24"/>
          <w:lang w:val="en-US" w:eastAsia="en-US"/>
        </w:rPr>
      </w:pPr>
    </w:p>
    <w:p w14:paraId="0416C02C" w14:textId="77777777" w:rsidR="002B2CFC" w:rsidRPr="002B2CFC" w:rsidRDefault="002B2CFC" w:rsidP="002B2CFC">
      <w:pPr>
        <w:rPr>
          <w:b/>
          <w:szCs w:val="24"/>
          <w:lang w:eastAsia="en-US"/>
        </w:rPr>
      </w:pPr>
      <w:r w:rsidRPr="002B2CFC">
        <w:rPr>
          <w:b/>
          <w:szCs w:val="24"/>
          <w:lang w:eastAsia="en-US"/>
        </w:rPr>
        <w:t>Rojo AI, Cavada C, de Sagarra MR &amp; Cuadrado A (2007) Chronic inhalation of rotenone or paraquat does not induce Parkinson's disease symptoms in mice or rats. Exp Neurol. 208(1):120-6.</w:t>
      </w:r>
    </w:p>
    <w:p w14:paraId="77D712A6" w14:textId="77777777" w:rsidR="002B2CFC" w:rsidRPr="002B2CFC" w:rsidRDefault="002B2CFC" w:rsidP="002B2CFC">
      <w:pPr>
        <w:rPr>
          <w:szCs w:val="24"/>
          <w:lang w:val="en-US" w:eastAsia="en-US"/>
        </w:rPr>
      </w:pPr>
    </w:p>
    <w:p w14:paraId="10F37321" w14:textId="77777777" w:rsidR="00212568" w:rsidRDefault="00397F81" w:rsidP="00212568">
      <w:pPr>
        <w:rPr>
          <w:color w:val="000000"/>
          <w:szCs w:val="24"/>
        </w:rPr>
      </w:pPr>
      <w:r>
        <w:rPr>
          <w:szCs w:val="24"/>
          <w:lang w:val="en-US" w:eastAsia="en-US"/>
        </w:rPr>
        <w:t>This paperinvestigated</w:t>
      </w:r>
      <w:r w:rsidR="002B2CFC" w:rsidRPr="002B2CFC">
        <w:rPr>
          <w:szCs w:val="24"/>
          <w:lang w:val="en-US" w:eastAsia="en-US"/>
        </w:rPr>
        <w:t xml:space="preserve"> the induction of Parkinson’s disease symptoms in mice and rats following the intranasal inoculation of </w:t>
      </w:r>
      <w:r w:rsidR="008C6051">
        <w:rPr>
          <w:szCs w:val="24"/>
          <w:lang w:val="en-US" w:eastAsia="en-US"/>
        </w:rPr>
        <w:t>paraquat, rotenone or MPTP</w:t>
      </w:r>
      <w:r w:rsidR="002B2CFC" w:rsidRPr="002B2CFC">
        <w:rPr>
          <w:szCs w:val="24"/>
          <w:lang w:val="en-US" w:eastAsia="en-US"/>
        </w:rPr>
        <w:t xml:space="preserve"> </w:t>
      </w:r>
      <w:r w:rsidR="008C6051">
        <w:rPr>
          <w:szCs w:val="24"/>
          <w:lang w:val="en-US" w:eastAsia="en-US"/>
        </w:rPr>
        <w:t xml:space="preserve">daily for </w:t>
      </w:r>
      <w:r w:rsidR="002B2CFC" w:rsidRPr="002B2CFC">
        <w:rPr>
          <w:szCs w:val="24"/>
          <w:lang w:val="en-US" w:eastAsia="en-US"/>
        </w:rPr>
        <w:t>30 days</w:t>
      </w:r>
      <w:r w:rsidR="008C6051">
        <w:rPr>
          <w:szCs w:val="24"/>
          <w:lang w:val="en-US" w:eastAsia="en-US"/>
        </w:rPr>
        <w:t xml:space="preserve"> </w:t>
      </w:r>
      <w:r w:rsidR="002B2CFC" w:rsidRPr="002B2CFC">
        <w:rPr>
          <w:szCs w:val="24"/>
          <w:lang w:val="en-US" w:eastAsia="en-US"/>
        </w:rPr>
        <w:t xml:space="preserve">. </w:t>
      </w:r>
      <w:r w:rsidR="00212568">
        <w:rPr>
          <w:color w:val="000000"/>
          <w:szCs w:val="24"/>
        </w:rPr>
        <w:t>Th</w:t>
      </w:r>
      <w:r w:rsidR="004C5889">
        <w:rPr>
          <w:color w:val="000000"/>
          <w:szCs w:val="24"/>
        </w:rPr>
        <w:t>e study authors stated this methodology</w:t>
      </w:r>
      <w:r w:rsidR="00212568">
        <w:rPr>
          <w:color w:val="000000"/>
          <w:szCs w:val="24"/>
        </w:rPr>
        <w:t xml:space="preserve"> provided a new model to test the parkinsonian potential of neurotoxins based on chronic inhalation. This review considers this study only in respect of paraquat </w:t>
      </w:r>
      <w:r w:rsidR="006E5589">
        <w:rPr>
          <w:color w:val="000000"/>
          <w:szCs w:val="24"/>
        </w:rPr>
        <w:t>and MPTP as a positive control</w:t>
      </w:r>
    </w:p>
    <w:p w14:paraId="6694602C" w14:textId="77777777" w:rsidR="005E54CD" w:rsidRDefault="005E54CD" w:rsidP="004C5889">
      <w:pPr>
        <w:rPr>
          <w:szCs w:val="24"/>
          <w:lang w:val="en-US" w:eastAsia="en-US"/>
        </w:rPr>
      </w:pPr>
    </w:p>
    <w:p w14:paraId="39D8E987" w14:textId="77777777" w:rsidR="000E54B2" w:rsidRDefault="000E54B2" w:rsidP="004C5889">
      <w:pPr>
        <w:rPr>
          <w:szCs w:val="24"/>
          <w:lang w:val="en-US" w:eastAsia="en-US"/>
        </w:rPr>
      </w:pPr>
    </w:p>
    <w:p w14:paraId="653A781C" w14:textId="77777777" w:rsidR="004C5889" w:rsidRPr="000E54B2" w:rsidRDefault="004C5889" w:rsidP="004C5889">
      <w:pPr>
        <w:rPr>
          <w:i/>
          <w:szCs w:val="24"/>
          <w:lang w:val="en-US" w:eastAsia="en-US"/>
        </w:rPr>
      </w:pPr>
      <w:r w:rsidRPr="000E54B2">
        <w:rPr>
          <w:i/>
          <w:szCs w:val="24"/>
          <w:lang w:val="en-US" w:eastAsia="en-US"/>
        </w:rPr>
        <w:lastRenderedPageBreak/>
        <w:t>Part 1 Mice</w:t>
      </w:r>
    </w:p>
    <w:p w14:paraId="0F1EBB3E" w14:textId="77777777" w:rsidR="00212568" w:rsidRDefault="00212568" w:rsidP="00212568">
      <w:pPr>
        <w:rPr>
          <w:i/>
          <w:color w:val="000000"/>
          <w:szCs w:val="24"/>
        </w:rPr>
      </w:pPr>
    </w:p>
    <w:p w14:paraId="2901F0AC" w14:textId="77777777" w:rsidR="00212568" w:rsidRDefault="00212568" w:rsidP="00212568">
      <w:pPr>
        <w:rPr>
          <w:color w:val="000000"/>
          <w:szCs w:val="24"/>
          <w:lang w:val="en-US"/>
        </w:rPr>
      </w:pPr>
      <w:r>
        <w:rPr>
          <w:color w:val="000000"/>
          <w:szCs w:val="24"/>
        </w:rPr>
        <w:t xml:space="preserve">Eight week old male C57BL/6 mice (Charles River Breeding Laboratories International Inc, MA) were housed in a controlled environment. Food and water were provided </w:t>
      </w:r>
      <w:r>
        <w:rPr>
          <w:i/>
          <w:color w:val="000000"/>
          <w:szCs w:val="24"/>
        </w:rPr>
        <w:t>ad libitum</w:t>
      </w:r>
      <w:r>
        <w:rPr>
          <w:color w:val="000000"/>
          <w:szCs w:val="24"/>
        </w:rPr>
        <w:t>. Solutions of paraquat in saline at concentrations of 25, 50 and 75 mg/mL to provide doses of 10, 20 and 30 mg/kg bw</w:t>
      </w:r>
      <w:r w:rsidR="006E5589">
        <w:rPr>
          <w:rStyle w:val="FootnoteReference"/>
          <w:color w:val="000000"/>
          <w:szCs w:val="24"/>
        </w:rPr>
        <w:footnoteReference w:id="5"/>
      </w:r>
      <w:r>
        <w:rPr>
          <w:color w:val="000000"/>
          <w:szCs w:val="24"/>
        </w:rPr>
        <w:t xml:space="preserve"> respectively were used. </w:t>
      </w:r>
      <w:r>
        <w:rPr>
          <w:color w:val="000000"/>
          <w:szCs w:val="24"/>
          <w:lang w:val="en-US"/>
        </w:rPr>
        <w:t>Mice were inoculated intranasally. Briefly, animals were held by the neck and were laid upside down with a finger under the neck to limit liquid flow down the trachea. 10 µL of paraquat solution was slowly inoculated with a micropipette (about 15 s) in one nasal cavity. Afterwards, the animals were immobilized in this position for about 10 s by gently pulling the tail and after 2-3 min the same procedure was repeated in the other nostril. This procedure was repeated daily for 30 days</w:t>
      </w:r>
      <w:r w:rsidR="0000221A">
        <w:rPr>
          <w:color w:val="000000"/>
          <w:szCs w:val="24"/>
          <w:lang w:val="en-US"/>
        </w:rPr>
        <w:t xml:space="preserve">. </w:t>
      </w:r>
      <w:r w:rsidR="00397F81">
        <w:rPr>
          <w:color w:val="000000"/>
          <w:szCs w:val="24"/>
          <w:lang w:val="en-US"/>
        </w:rPr>
        <w:t>O</w:t>
      </w:r>
      <w:r w:rsidR="0000221A">
        <w:rPr>
          <w:color w:val="000000"/>
          <w:szCs w:val="24"/>
          <w:lang w:val="en-US"/>
        </w:rPr>
        <w:t>ther groups of mice were administered MPTP at 30 or 60 mg/kg bw/d</w:t>
      </w:r>
      <w:r w:rsidR="006E5589">
        <w:rPr>
          <w:rStyle w:val="FootnoteReference"/>
          <w:color w:val="000000"/>
          <w:szCs w:val="24"/>
          <w:lang w:val="en-US"/>
        </w:rPr>
        <w:footnoteReference w:id="6"/>
      </w:r>
      <w:r w:rsidR="0000221A">
        <w:rPr>
          <w:color w:val="000000"/>
          <w:szCs w:val="24"/>
          <w:lang w:val="en-US"/>
        </w:rPr>
        <w:t xml:space="preserve"> as positive controls, by the same method</w:t>
      </w:r>
      <w:r>
        <w:rPr>
          <w:color w:val="000000"/>
          <w:szCs w:val="24"/>
          <w:lang w:val="en-US"/>
        </w:rPr>
        <w:t xml:space="preserve">. </w:t>
      </w:r>
    </w:p>
    <w:p w14:paraId="4A7AC456" w14:textId="77777777" w:rsidR="00212568" w:rsidRDefault="00212568" w:rsidP="00212568">
      <w:pPr>
        <w:rPr>
          <w:color w:val="000000"/>
          <w:szCs w:val="24"/>
        </w:rPr>
      </w:pPr>
    </w:p>
    <w:p w14:paraId="62CAE684" w14:textId="77777777" w:rsidR="00212568" w:rsidRDefault="00212568" w:rsidP="00212568">
      <w:pPr>
        <w:rPr>
          <w:color w:val="000000"/>
          <w:szCs w:val="24"/>
        </w:rPr>
      </w:pPr>
      <w:r>
        <w:rPr>
          <w:i/>
          <w:color w:val="000000"/>
          <w:szCs w:val="24"/>
        </w:rPr>
        <w:t xml:space="preserve">Results: </w:t>
      </w:r>
    </w:p>
    <w:p w14:paraId="1CFA368A" w14:textId="77777777" w:rsidR="00212568" w:rsidRDefault="00212568" w:rsidP="00212568">
      <w:pPr>
        <w:rPr>
          <w:color w:val="000000"/>
          <w:szCs w:val="24"/>
        </w:rPr>
      </w:pPr>
    </w:p>
    <w:p w14:paraId="460B04C7" w14:textId="77777777" w:rsidR="00212568" w:rsidRDefault="00A80789" w:rsidP="00212568">
      <w:pPr>
        <w:rPr>
          <w:color w:val="000000"/>
          <w:szCs w:val="24"/>
          <w:lang w:val="en-US"/>
        </w:rPr>
      </w:pPr>
      <w:r>
        <w:rPr>
          <w:i/>
          <w:color w:val="000000"/>
          <w:szCs w:val="24"/>
        </w:rPr>
        <w:t>Behavioural effects:</w:t>
      </w:r>
      <w:r w:rsidR="00212568">
        <w:rPr>
          <w:color w:val="000000"/>
          <w:szCs w:val="24"/>
        </w:rPr>
        <w:t>A</w:t>
      </w:r>
      <w:r w:rsidR="00212568">
        <w:rPr>
          <w:color w:val="000000"/>
          <w:szCs w:val="24"/>
          <w:lang w:val="en-US"/>
        </w:rPr>
        <w:t xml:space="preserve">mbulatory activity was examined weekly in an open field test. To avoid interference with the possible short-term effects of paraquat after inoculation, motor activity was analysed before administration of the daily dose. </w:t>
      </w:r>
    </w:p>
    <w:p w14:paraId="2FC32C6C" w14:textId="77777777" w:rsidR="00212568" w:rsidRDefault="00212568" w:rsidP="00212568">
      <w:pPr>
        <w:rPr>
          <w:color w:val="000000"/>
          <w:szCs w:val="24"/>
          <w:lang w:val="en-US"/>
        </w:rPr>
      </w:pPr>
    </w:p>
    <w:p w14:paraId="6D8BF4D0" w14:textId="77777777" w:rsidR="00212568" w:rsidRDefault="00212568" w:rsidP="00212568">
      <w:pPr>
        <w:rPr>
          <w:color w:val="000000"/>
          <w:szCs w:val="24"/>
          <w:lang w:val="en-US"/>
        </w:rPr>
      </w:pPr>
      <w:r>
        <w:rPr>
          <w:color w:val="000000"/>
          <w:szCs w:val="24"/>
          <w:lang w:val="en-US"/>
        </w:rPr>
        <w:t xml:space="preserve">Mice that received daily nasal inoculations of 10, 20 and 30 mg/kg bw paraquat did not show behavioral changes immediately after inoculation. However, after one week of daily infusions with 20 or 30 mg/kg paraquat mice developed strong hypokinesia. Loss of motor activity at 20 mg/kg/day was shown by the number of rears dropping from 35 on day 0 to 8 on day 30. </w:t>
      </w:r>
    </w:p>
    <w:p w14:paraId="2D3BB7A4" w14:textId="77777777" w:rsidR="00212568" w:rsidRDefault="00212568" w:rsidP="00212568">
      <w:pPr>
        <w:rPr>
          <w:color w:val="000000"/>
          <w:szCs w:val="24"/>
          <w:lang w:val="en-US"/>
        </w:rPr>
      </w:pPr>
    </w:p>
    <w:p w14:paraId="6700CD97" w14:textId="77777777" w:rsidR="00212568" w:rsidRDefault="00212568" w:rsidP="00212568">
      <w:pPr>
        <w:rPr>
          <w:color w:val="000000"/>
          <w:szCs w:val="24"/>
          <w:lang w:val="en-US"/>
        </w:rPr>
      </w:pPr>
      <w:r>
        <w:rPr>
          <w:color w:val="000000"/>
          <w:szCs w:val="24"/>
          <w:lang w:val="en-US"/>
        </w:rPr>
        <w:t xml:space="preserve">In addition these mice exhibited curved position, agitated breathing and weight loss, cyanotic feet and mouth, and lung damage. About one-third of the animals given 30 mg/kg bw/d paraquat died during the first week of treatment and another third developed truncal dystonia and fast rotation when they were suspended by the tail. This fast rotation is characteristic of vestibular dysfunction. It was speculated that paraquat might be reaching the inner ear though the Eustachian tube. </w:t>
      </w:r>
    </w:p>
    <w:p w14:paraId="24DC10D8" w14:textId="77777777" w:rsidR="0000221A" w:rsidRDefault="0000221A" w:rsidP="00212568">
      <w:pPr>
        <w:rPr>
          <w:color w:val="000000"/>
          <w:szCs w:val="24"/>
          <w:lang w:val="en-US"/>
        </w:rPr>
      </w:pPr>
    </w:p>
    <w:p w14:paraId="297EF308" w14:textId="77777777" w:rsidR="0000221A" w:rsidRDefault="0000221A" w:rsidP="00212568">
      <w:pPr>
        <w:rPr>
          <w:color w:val="000000"/>
          <w:szCs w:val="24"/>
          <w:lang w:val="en-US"/>
        </w:rPr>
      </w:pPr>
      <w:r>
        <w:rPr>
          <w:color w:val="000000"/>
          <w:szCs w:val="24"/>
          <w:lang w:val="en-US"/>
        </w:rPr>
        <w:t xml:space="preserve">Mice receiving MPTP at 30 or 60 mg/kg bw/d exhibited piloerection, salivation, tremor and smooth rigidity shortly after administration, and reduced motor activity </w:t>
      </w:r>
      <w:r w:rsidR="0012067E">
        <w:rPr>
          <w:color w:val="000000"/>
          <w:szCs w:val="24"/>
          <w:lang w:val="en-US"/>
        </w:rPr>
        <w:t xml:space="preserve">achieving statistical significance </w:t>
      </w:r>
      <w:r w:rsidR="000C79A2">
        <w:rPr>
          <w:color w:val="000000"/>
          <w:szCs w:val="24"/>
          <w:lang w:val="en-US"/>
        </w:rPr>
        <w:t>by</w:t>
      </w:r>
      <w:r w:rsidR="0012067E">
        <w:rPr>
          <w:color w:val="000000"/>
          <w:szCs w:val="24"/>
          <w:lang w:val="en-US"/>
        </w:rPr>
        <w:t xml:space="preserve"> the end of the treatment period.</w:t>
      </w:r>
    </w:p>
    <w:p w14:paraId="063E351A" w14:textId="77777777" w:rsidR="00A80789" w:rsidRDefault="00A80789" w:rsidP="00212568">
      <w:pPr>
        <w:rPr>
          <w:color w:val="000000"/>
          <w:szCs w:val="24"/>
          <w:lang w:val="en-US"/>
        </w:rPr>
      </w:pPr>
    </w:p>
    <w:p w14:paraId="1B87ECF5" w14:textId="77777777" w:rsidR="00212568" w:rsidRDefault="00897462" w:rsidP="00212568">
      <w:pPr>
        <w:rPr>
          <w:color w:val="000000"/>
          <w:szCs w:val="24"/>
          <w:lang w:val="en-US"/>
        </w:rPr>
      </w:pPr>
      <w:r w:rsidRPr="005E54CD">
        <w:rPr>
          <w:i/>
          <w:color w:val="000000"/>
          <w:szCs w:val="24"/>
          <w:lang w:val="en-US"/>
        </w:rPr>
        <w:t xml:space="preserve">Striatal levels </w:t>
      </w:r>
      <w:r w:rsidR="00A80789">
        <w:rPr>
          <w:i/>
          <w:color w:val="000000"/>
          <w:szCs w:val="24"/>
          <w:lang w:val="en-US"/>
        </w:rPr>
        <w:t xml:space="preserve">of </w:t>
      </w:r>
      <w:r w:rsidRPr="005E54CD">
        <w:rPr>
          <w:i/>
          <w:color w:val="000000"/>
          <w:szCs w:val="24"/>
          <w:lang w:val="en-US"/>
        </w:rPr>
        <w:t>DA and DOPAC:</w:t>
      </w:r>
      <w:r w:rsidR="0012067E">
        <w:rPr>
          <w:color w:val="000000"/>
          <w:szCs w:val="24"/>
          <w:lang w:val="en-US"/>
        </w:rPr>
        <w:t>S</w:t>
      </w:r>
      <w:r w:rsidR="00212568">
        <w:rPr>
          <w:color w:val="000000"/>
          <w:szCs w:val="24"/>
          <w:lang w:val="en-US"/>
        </w:rPr>
        <w:t xml:space="preserve">triatal levels of </w:t>
      </w:r>
      <w:r w:rsidR="00011149">
        <w:rPr>
          <w:color w:val="000000"/>
          <w:szCs w:val="24"/>
          <w:lang w:val="en-US"/>
        </w:rPr>
        <w:t>DA</w:t>
      </w:r>
      <w:r w:rsidR="00212568">
        <w:rPr>
          <w:color w:val="000000"/>
          <w:szCs w:val="24"/>
          <w:lang w:val="en-US"/>
        </w:rPr>
        <w:t xml:space="preserve"> and  DOPAC were determined by HPLC. Mice given 20 mg/kg</w:t>
      </w:r>
      <w:r w:rsidR="004A505D">
        <w:rPr>
          <w:color w:val="000000"/>
          <w:szCs w:val="24"/>
          <w:lang w:val="en-US"/>
        </w:rPr>
        <w:t xml:space="preserve"> bw</w:t>
      </w:r>
      <w:r w:rsidR="00212568">
        <w:rPr>
          <w:color w:val="000000"/>
          <w:szCs w:val="24"/>
          <w:lang w:val="en-US"/>
        </w:rPr>
        <w:t>/day intranasal inoculations of paraquat did not show a significant difference from saline inoculated control mice.</w:t>
      </w:r>
      <w:r w:rsidR="0012067E">
        <w:rPr>
          <w:color w:val="000000"/>
          <w:szCs w:val="24"/>
          <w:lang w:val="en-US"/>
        </w:rPr>
        <w:t xml:space="preserve"> MPTP by contrast resulted in a significant reduction in DA and DOPAC levels in the striatum at 30 or 60 mg/kg bw.</w:t>
      </w:r>
      <w:r w:rsidR="00212568">
        <w:rPr>
          <w:color w:val="000000"/>
          <w:szCs w:val="24"/>
          <w:lang w:val="en-US"/>
        </w:rPr>
        <w:t xml:space="preserve"> </w:t>
      </w:r>
    </w:p>
    <w:p w14:paraId="489A238F" w14:textId="77777777" w:rsidR="00212568" w:rsidRDefault="00212568" w:rsidP="00212568">
      <w:pPr>
        <w:rPr>
          <w:color w:val="000000"/>
          <w:szCs w:val="24"/>
          <w:lang w:val="en-US"/>
        </w:rPr>
      </w:pPr>
    </w:p>
    <w:p w14:paraId="5C52F366" w14:textId="77777777" w:rsidR="00A80789" w:rsidRDefault="00897462" w:rsidP="00212568">
      <w:pPr>
        <w:rPr>
          <w:color w:val="000000"/>
          <w:szCs w:val="24"/>
          <w:lang w:val="en-US"/>
        </w:rPr>
      </w:pPr>
      <w:r w:rsidRPr="005E54CD">
        <w:rPr>
          <w:i/>
          <w:color w:val="000000"/>
          <w:szCs w:val="24"/>
          <w:lang w:val="en-US"/>
        </w:rPr>
        <w:t>TH immunoreactivity</w:t>
      </w:r>
      <w:r w:rsidR="00A80789">
        <w:rPr>
          <w:color w:val="000000"/>
          <w:szCs w:val="24"/>
          <w:lang w:val="en-US"/>
        </w:rPr>
        <w:t xml:space="preserve">: The levels of TH immunoreactivity, as a </w:t>
      </w:r>
      <w:r w:rsidR="000C79A2">
        <w:rPr>
          <w:color w:val="000000"/>
          <w:szCs w:val="24"/>
          <w:lang w:val="en-US"/>
        </w:rPr>
        <w:t xml:space="preserve">measurement of the number of </w:t>
      </w:r>
      <w:r w:rsidR="00A80789">
        <w:rPr>
          <w:color w:val="000000"/>
          <w:szCs w:val="24"/>
          <w:lang w:val="en-US"/>
        </w:rPr>
        <w:t>dopaminergic neurons</w:t>
      </w:r>
      <w:r w:rsidR="000C79A2">
        <w:rPr>
          <w:color w:val="000000"/>
          <w:szCs w:val="24"/>
          <w:lang w:val="en-US"/>
        </w:rPr>
        <w:t>,</w:t>
      </w:r>
      <w:r w:rsidR="00A80789">
        <w:rPr>
          <w:color w:val="000000"/>
          <w:szCs w:val="24"/>
          <w:lang w:val="en-US"/>
        </w:rPr>
        <w:t xml:space="preserve"> was not significantly different in either the striatum or SN in</w:t>
      </w:r>
      <w:r w:rsidR="000C79A2">
        <w:rPr>
          <w:color w:val="000000"/>
          <w:szCs w:val="24"/>
          <w:lang w:val="en-US"/>
        </w:rPr>
        <w:t xml:space="preserve"> </w:t>
      </w:r>
      <w:r w:rsidR="00A80789">
        <w:rPr>
          <w:color w:val="000000"/>
          <w:szCs w:val="24"/>
          <w:lang w:val="en-US"/>
        </w:rPr>
        <w:t xml:space="preserve">mice </w:t>
      </w:r>
      <w:r w:rsidR="00A80789">
        <w:rPr>
          <w:color w:val="000000"/>
          <w:szCs w:val="24"/>
          <w:lang w:val="en-US"/>
        </w:rPr>
        <w:lastRenderedPageBreak/>
        <w:t>treated with 20 mg/kg</w:t>
      </w:r>
      <w:r w:rsidR="000C79A2">
        <w:rPr>
          <w:color w:val="000000"/>
          <w:szCs w:val="24"/>
          <w:lang w:val="en-US"/>
        </w:rPr>
        <w:t xml:space="preserve"> bw/d paraquat</w:t>
      </w:r>
      <w:r w:rsidR="00A80789">
        <w:rPr>
          <w:color w:val="000000"/>
          <w:szCs w:val="24"/>
          <w:lang w:val="en-US"/>
        </w:rPr>
        <w:t>.</w:t>
      </w:r>
      <w:r w:rsidR="000C79A2">
        <w:rPr>
          <w:color w:val="000000"/>
          <w:szCs w:val="24"/>
          <w:lang w:val="en-US"/>
        </w:rPr>
        <w:t xml:space="preserve"> The brains of mice treated with MPTP had 20-30% less TH</w:t>
      </w:r>
      <w:r w:rsidRPr="005E54CD">
        <w:rPr>
          <w:color w:val="000000"/>
          <w:szCs w:val="24"/>
          <w:vertAlign w:val="superscript"/>
          <w:lang w:val="en-US"/>
        </w:rPr>
        <w:t>+</w:t>
      </w:r>
      <w:r w:rsidR="000C79A2">
        <w:rPr>
          <w:color w:val="000000"/>
          <w:szCs w:val="24"/>
          <w:lang w:val="en-US"/>
        </w:rPr>
        <w:t xml:space="preserve"> neurons than controls, indicative of damage.</w:t>
      </w:r>
    </w:p>
    <w:p w14:paraId="755070B6" w14:textId="77777777" w:rsidR="001E4FA9" w:rsidRDefault="001E4FA9" w:rsidP="00212568">
      <w:pPr>
        <w:rPr>
          <w:color w:val="000000"/>
          <w:szCs w:val="24"/>
          <w:lang w:val="en-US"/>
        </w:rPr>
      </w:pPr>
    </w:p>
    <w:p w14:paraId="2A00DC19" w14:textId="77777777" w:rsidR="001E4FA9" w:rsidRDefault="00897462" w:rsidP="00212568">
      <w:pPr>
        <w:rPr>
          <w:color w:val="000000"/>
          <w:szCs w:val="24"/>
          <w:lang w:val="en-US"/>
        </w:rPr>
      </w:pPr>
      <w:r w:rsidRPr="005E54CD">
        <w:rPr>
          <w:i/>
          <w:color w:val="000000"/>
          <w:szCs w:val="24"/>
          <w:lang w:val="en-US"/>
        </w:rPr>
        <w:t>Concentration in olfactory bulb, striatum or ventral midbrain</w:t>
      </w:r>
      <w:r w:rsidR="001E4FA9">
        <w:rPr>
          <w:color w:val="000000"/>
          <w:szCs w:val="24"/>
          <w:lang w:val="en-US"/>
        </w:rPr>
        <w:t>: Paraquat was detected only in the olfactory bulb, 10 minutes after a single intranasal dose</w:t>
      </w:r>
      <w:r w:rsidR="007A42D9">
        <w:rPr>
          <w:color w:val="000000"/>
          <w:szCs w:val="24"/>
          <w:lang w:val="en-US"/>
        </w:rPr>
        <w:t xml:space="preserve"> of 20 mg/kg bw</w:t>
      </w:r>
      <w:r w:rsidR="001E4FA9">
        <w:rPr>
          <w:color w:val="000000"/>
          <w:szCs w:val="24"/>
          <w:lang w:val="en-US"/>
        </w:rPr>
        <w:t xml:space="preserve">. MPTP </w:t>
      </w:r>
      <w:r w:rsidR="007A42D9">
        <w:rPr>
          <w:color w:val="000000"/>
          <w:szCs w:val="24"/>
          <w:lang w:val="en-US"/>
        </w:rPr>
        <w:t xml:space="preserve">(60 mg/kg bw) </w:t>
      </w:r>
      <w:r w:rsidR="001E4FA9">
        <w:rPr>
          <w:color w:val="000000"/>
          <w:szCs w:val="24"/>
          <w:lang w:val="en-US"/>
        </w:rPr>
        <w:t>by contrast was detected in all three areas of the brain tested.</w:t>
      </w:r>
    </w:p>
    <w:p w14:paraId="7E0866CC" w14:textId="77777777" w:rsidR="000C79A2" w:rsidRDefault="000C79A2" w:rsidP="00212568">
      <w:pPr>
        <w:rPr>
          <w:color w:val="000000"/>
          <w:szCs w:val="24"/>
          <w:lang w:val="en-US"/>
        </w:rPr>
      </w:pPr>
    </w:p>
    <w:p w14:paraId="235C9766" w14:textId="77777777" w:rsidR="00212568" w:rsidRDefault="00212568" w:rsidP="00212568">
      <w:pPr>
        <w:rPr>
          <w:color w:val="000000"/>
          <w:szCs w:val="24"/>
          <w:lang w:val="en-US"/>
        </w:rPr>
      </w:pPr>
      <w:r>
        <w:rPr>
          <w:i/>
          <w:color w:val="000000"/>
          <w:szCs w:val="24"/>
          <w:lang w:val="en-US"/>
        </w:rPr>
        <w:t>Conclusion:</w:t>
      </w:r>
      <w:r>
        <w:rPr>
          <w:color w:val="000000"/>
          <w:szCs w:val="24"/>
          <w:lang w:val="en-US"/>
        </w:rPr>
        <w:t xml:space="preserve"> In this study, it was observed that paraquat produced strong hypokinesia in mice within less than one week of treatment. However, since there was no decrease in striatal </w:t>
      </w:r>
      <w:r w:rsidR="00011149">
        <w:rPr>
          <w:color w:val="000000"/>
          <w:szCs w:val="24"/>
          <w:lang w:val="en-US"/>
        </w:rPr>
        <w:t>DA</w:t>
      </w:r>
      <w:r>
        <w:rPr>
          <w:color w:val="000000"/>
          <w:szCs w:val="24"/>
          <w:lang w:val="en-US"/>
        </w:rPr>
        <w:t xml:space="preserve"> or DOPAC nor in </w:t>
      </w:r>
      <w:r w:rsidR="001875D7">
        <w:rPr>
          <w:color w:val="000000"/>
          <w:szCs w:val="24"/>
          <w:lang w:val="en-US"/>
        </w:rPr>
        <w:t>TH-ir</w:t>
      </w:r>
      <w:r>
        <w:rPr>
          <w:color w:val="000000"/>
          <w:szCs w:val="24"/>
          <w:lang w:val="en-US"/>
        </w:rPr>
        <w:t xml:space="preserve">, the motor deficit could not be correlated with nigrostriatal damage but rather with weakness due to systemic poisoning. </w:t>
      </w:r>
      <w:r w:rsidR="007A42D9">
        <w:rPr>
          <w:color w:val="000000"/>
          <w:szCs w:val="24"/>
          <w:lang w:val="en-US"/>
        </w:rPr>
        <w:t xml:space="preserve">Paraquat was detected only in the olfactory bulb and not other areas of the brain of mice shortly following a single intranasal </w:t>
      </w:r>
      <w:r w:rsidR="000067AA">
        <w:rPr>
          <w:color w:val="000000"/>
          <w:szCs w:val="24"/>
          <w:lang w:val="en-US"/>
        </w:rPr>
        <w:t>administration</w:t>
      </w:r>
      <w:r w:rsidR="007A42D9">
        <w:rPr>
          <w:color w:val="000000"/>
          <w:szCs w:val="24"/>
          <w:lang w:val="en-US"/>
        </w:rPr>
        <w:t>, suggesting a limited ability to reach the nigostriatial system when admistered by this route.</w:t>
      </w:r>
    </w:p>
    <w:p w14:paraId="3228DE20" w14:textId="77777777" w:rsidR="00212568" w:rsidRDefault="00212568" w:rsidP="00212568">
      <w:pPr>
        <w:rPr>
          <w:color w:val="000000"/>
          <w:szCs w:val="24"/>
          <w:lang w:val="en-US"/>
        </w:rPr>
      </w:pPr>
    </w:p>
    <w:p w14:paraId="64DE42B2" w14:textId="77777777" w:rsidR="00212568" w:rsidRDefault="00212568" w:rsidP="00212568">
      <w:pPr>
        <w:rPr>
          <w:color w:val="000000"/>
          <w:szCs w:val="24"/>
          <w:lang w:val="en-US"/>
        </w:rPr>
      </w:pPr>
      <w:r>
        <w:rPr>
          <w:color w:val="000000"/>
          <w:szCs w:val="24"/>
          <w:lang w:val="en-US"/>
        </w:rPr>
        <w:t>Intranasal inoculation of paraquat does not result in significant dopaminergic damage at the doses used in this study.</w:t>
      </w:r>
      <w:r w:rsidR="00C27FE7">
        <w:rPr>
          <w:color w:val="000000"/>
          <w:szCs w:val="24"/>
          <w:lang w:val="en-US"/>
        </w:rPr>
        <w:t xml:space="preserve"> </w:t>
      </w:r>
    </w:p>
    <w:p w14:paraId="3DB19509" w14:textId="77777777" w:rsidR="00212568" w:rsidRDefault="00212568" w:rsidP="002B2CFC">
      <w:pPr>
        <w:rPr>
          <w:szCs w:val="24"/>
          <w:lang w:val="en-US" w:eastAsia="en-US"/>
        </w:rPr>
      </w:pPr>
    </w:p>
    <w:p w14:paraId="3EAE0533" w14:textId="5183B2FD" w:rsidR="00212568" w:rsidRPr="000E54B2" w:rsidRDefault="00212568" w:rsidP="002B2CFC">
      <w:pPr>
        <w:rPr>
          <w:i/>
          <w:szCs w:val="24"/>
          <w:lang w:val="en-US" w:eastAsia="en-US"/>
        </w:rPr>
      </w:pPr>
      <w:r w:rsidRPr="000E54B2">
        <w:rPr>
          <w:i/>
          <w:szCs w:val="24"/>
          <w:lang w:val="en-US" w:eastAsia="en-US"/>
        </w:rPr>
        <w:t>Part 2 rats</w:t>
      </w:r>
    </w:p>
    <w:p w14:paraId="350A5DAE" w14:textId="77777777" w:rsidR="00212568" w:rsidRDefault="00212568" w:rsidP="00212568">
      <w:pPr>
        <w:rPr>
          <w:i/>
          <w:color w:val="000000"/>
          <w:szCs w:val="24"/>
        </w:rPr>
      </w:pPr>
    </w:p>
    <w:p w14:paraId="69B8A21E" w14:textId="77777777" w:rsidR="00212568" w:rsidRDefault="00212568" w:rsidP="00212568">
      <w:pPr>
        <w:rPr>
          <w:color w:val="000000"/>
          <w:szCs w:val="24"/>
          <w:lang w:val="en-US"/>
        </w:rPr>
      </w:pPr>
      <w:r>
        <w:rPr>
          <w:color w:val="000000"/>
          <w:szCs w:val="24"/>
        </w:rPr>
        <w:t>Eight week old male Sprague-Dawley rats (Charles River Breeding Laboratories International Inc, MA)</w:t>
      </w:r>
      <w:r w:rsidR="004A505D">
        <w:rPr>
          <w:color w:val="000000"/>
          <w:szCs w:val="24"/>
        </w:rPr>
        <w:t xml:space="preserve"> were investigated in the study</w:t>
      </w:r>
      <w:r>
        <w:rPr>
          <w:color w:val="000000"/>
          <w:szCs w:val="24"/>
        </w:rPr>
        <w:t>. Solutions of paraquat in saline at concentrations of 25, 50 and 75 mg/mL to provide doses of 10, 20 and 30 mg/kg bw respectively were prepared for the study but results were reported only for the lower dose in rats. Rats</w:t>
      </w:r>
      <w:r>
        <w:rPr>
          <w:color w:val="000000"/>
          <w:szCs w:val="24"/>
          <w:lang w:val="en-US"/>
        </w:rPr>
        <w:t xml:space="preserve"> were inoculated intranasally. Rats were </w:t>
      </w:r>
      <w:r w:rsidR="00875774">
        <w:rPr>
          <w:color w:val="000000"/>
          <w:szCs w:val="24"/>
          <w:lang w:val="en-US"/>
        </w:rPr>
        <w:t>anaesthetised</w:t>
      </w:r>
      <w:r>
        <w:rPr>
          <w:color w:val="000000"/>
          <w:szCs w:val="24"/>
          <w:lang w:val="en-US"/>
        </w:rPr>
        <w:t xml:space="preserve"> (4% halothane and 40% O</w:t>
      </w:r>
      <w:r>
        <w:rPr>
          <w:color w:val="000000"/>
          <w:szCs w:val="24"/>
          <w:vertAlign w:val="subscript"/>
          <w:lang w:val="en-US"/>
        </w:rPr>
        <w:t>2</w:t>
      </w:r>
      <w:r>
        <w:rPr>
          <w:color w:val="000000"/>
          <w:szCs w:val="24"/>
          <w:lang w:val="en-US"/>
        </w:rPr>
        <w:t xml:space="preserve"> and then lowered to 1.5 halothane and 40% O</w:t>
      </w:r>
      <w:r>
        <w:rPr>
          <w:color w:val="000000"/>
          <w:szCs w:val="24"/>
          <w:vertAlign w:val="subscript"/>
          <w:lang w:val="en-US"/>
        </w:rPr>
        <w:t>2</w:t>
      </w:r>
      <w:r>
        <w:rPr>
          <w:color w:val="000000"/>
          <w:szCs w:val="24"/>
          <w:lang w:val="en-US"/>
        </w:rPr>
        <w:t>) and were laid upside down with a pillow under the neck to limit liquid flow down the trachea. Thirty µL paraquat solution was slowly inoculated in each nasal cavity in aliquots of 6 µL at 2 min intervals. Afterwards the rats were kept in this position for 10 min. This procedure was repeated every day for 30 days.</w:t>
      </w:r>
    </w:p>
    <w:p w14:paraId="6B3044CB" w14:textId="77777777" w:rsidR="00212568" w:rsidRDefault="00212568" w:rsidP="00212568">
      <w:pPr>
        <w:rPr>
          <w:color w:val="000000"/>
          <w:szCs w:val="24"/>
          <w:lang w:val="en-US"/>
        </w:rPr>
      </w:pPr>
    </w:p>
    <w:p w14:paraId="35CC0F2A" w14:textId="77777777" w:rsidR="00212568" w:rsidRDefault="00212568" w:rsidP="00212568">
      <w:pPr>
        <w:rPr>
          <w:color w:val="000000"/>
          <w:szCs w:val="24"/>
        </w:rPr>
      </w:pPr>
      <w:r>
        <w:rPr>
          <w:i/>
          <w:color w:val="000000"/>
          <w:szCs w:val="24"/>
        </w:rPr>
        <w:t xml:space="preserve">Results: </w:t>
      </w:r>
    </w:p>
    <w:p w14:paraId="706E9BFE" w14:textId="77777777" w:rsidR="00212568" w:rsidRDefault="00212568" w:rsidP="00212568">
      <w:pPr>
        <w:rPr>
          <w:color w:val="000000"/>
          <w:szCs w:val="24"/>
        </w:rPr>
      </w:pPr>
    </w:p>
    <w:p w14:paraId="5E634207" w14:textId="77777777" w:rsidR="00212568" w:rsidRDefault="00212568" w:rsidP="00212568">
      <w:pPr>
        <w:rPr>
          <w:color w:val="000000"/>
          <w:szCs w:val="24"/>
        </w:rPr>
      </w:pPr>
      <w:r>
        <w:rPr>
          <w:iCs/>
          <w:color w:val="000000"/>
          <w:szCs w:val="24"/>
          <w:lang w:val="en-US"/>
        </w:rPr>
        <w:t>As in mice there was no progressive nigrostriatal dopaminergic degeneration following chronic nasal exposure to paraquat: Paraquat was detected only in the olfactory bulb. At 10 mg/kg bw/d, in some rats</w:t>
      </w:r>
      <w:r>
        <w:rPr>
          <w:color w:val="000000"/>
          <w:szCs w:val="24"/>
          <w:lang w:val="en-US"/>
        </w:rPr>
        <w:t xml:space="preserve">, paraquat provoked a strong diffuse peroxidase reaction in the olfactory bulb and frontal cortex but TH-specific staining was similar to control saline inoculated rats. Paraquat had no effect on brain acetylcholinesterase levels. </w:t>
      </w:r>
    </w:p>
    <w:p w14:paraId="20E8EFF8" w14:textId="77777777" w:rsidR="00212568" w:rsidRDefault="00212568" w:rsidP="00212568">
      <w:pPr>
        <w:rPr>
          <w:color w:val="000000"/>
          <w:szCs w:val="24"/>
        </w:rPr>
      </w:pPr>
    </w:p>
    <w:p w14:paraId="234AC660" w14:textId="77777777" w:rsidR="00212568" w:rsidRDefault="00212568" w:rsidP="00212568">
      <w:pPr>
        <w:rPr>
          <w:color w:val="000000"/>
          <w:szCs w:val="24"/>
          <w:lang w:val="en-US"/>
        </w:rPr>
      </w:pPr>
      <w:r>
        <w:rPr>
          <w:i/>
          <w:color w:val="000000"/>
          <w:szCs w:val="24"/>
          <w:lang w:val="en-US"/>
        </w:rPr>
        <w:t>Conclusion:</w:t>
      </w:r>
      <w:r>
        <w:rPr>
          <w:color w:val="000000"/>
          <w:szCs w:val="24"/>
          <w:lang w:val="en-US"/>
        </w:rPr>
        <w:t xml:space="preserve"> Intranasal inoculation of paraquat does not result in significant dopaminergic damage </w:t>
      </w:r>
      <w:r w:rsidR="004A505D">
        <w:rPr>
          <w:color w:val="000000"/>
          <w:szCs w:val="24"/>
          <w:lang w:val="en-US"/>
        </w:rPr>
        <w:t xml:space="preserve">in rats </w:t>
      </w:r>
      <w:r>
        <w:rPr>
          <w:color w:val="000000"/>
          <w:szCs w:val="24"/>
          <w:lang w:val="en-US"/>
        </w:rPr>
        <w:t>at 10 mg/kg bw/d.</w:t>
      </w:r>
    </w:p>
    <w:p w14:paraId="06A91D15" w14:textId="77777777" w:rsidR="008C151D" w:rsidRDefault="008C151D" w:rsidP="00212568">
      <w:pPr>
        <w:rPr>
          <w:color w:val="000000"/>
          <w:szCs w:val="24"/>
          <w:lang w:val="en-US"/>
        </w:rPr>
      </w:pPr>
    </w:p>
    <w:p w14:paraId="116E0446" w14:textId="447670AC" w:rsidR="004D6C19" w:rsidRDefault="008C151D" w:rsidP="00212568">
      <w:pPr>
        <w:rPr>
          <w:color w:val="000000"/>
          <w:szCs w:val="24"/>
          <w:lang w:val="en-US" w:eastAsia="en-US"/>
        </w:rPr>
      </w:pPr>
      <w:r>
        <w:rPr>
          <w:color w:val="000000"/>
          <w:szCs w:val="24"/>
          <w:lang w:val="en-US" w:eastAsia="en-US"/>
        </w:rPr>
        <w:t>OCS note: Intran</w:t>
      </w:r>
      <w:r w:rsidR="00897462" w:rsidRPr="005E54CD">
        <w:rPr>
          <w:color w:val="000000"/>
          <w:szCs w:val="24"/>
          <w:lang w:val="en-US" w:eastAsia="en-US"/>
        </w:rPr>
        <w:t xml:space="preserve">asal instillation is not a standard </w:t>
      </w:r>
      <w:r>
        <w:rPr>
          <w:color w:val="000000"/>
          <w:szCs w:val="24"/>
          <w:lang w:val="en-US" w:eastAsia="en-US"/>
        </w:rPr>
        <w:t xml:space="preserve">route of </w:t>
      </w:r>
      <w:r w:rsidR="00897462" w:rsidRPr="005E54CD">
        <w:rPr>
          <w:color w:val="000000"/>
          <w:szCs w:val="24"/>
          <w:lang w:val="en-US" w:eastAsia="en-US"/>
        </w:rPr>
        <w:t>administration in animal studies. However, th</w:t>
      </w:r>
      <w:r>
        <w:rPr>
          <w:color w:val="000000"/>
          <w:szCs w:val="24"/>
          <w:lang w:val="en-US" w:eastAsia="en-US"/>
        </w:rPr>
        <w:t xml:space="preserve">is </w:t>
      </w:r>
      <w:r w:rsidR="00897462" w:rsidRPr="005E54CD">
        <w:rPr>
          <w:color w:val="000000"/>
          <w:szCs w:val="24"/>
          <w:lang w:val="en-US" w:eastAsia="en-US"/>
        </w:rPr>
        <w:t xml:space="preserve">study was not designed for regulatory purposes but to investigate whether paraquat might lead to development of PD when in contact with relevant sites of potential human absorption following exposure. The nasal mucosa would be a site of potential contact and absorption in humans following inhalation of paraquat. While recognising that the absorption is limited to a specific area of the respiratory tract, the study provided no evidence that paraquat might lead to the development of PD in rats and mice following absorption via </w:t>
      </w:r>
      <w:r w:rsidR="00897462" w:rsidRPr="005E54CD">
        <w:rPr>
          <w:color w:val="000000"/>
          <w:szCs w:val="24"/>
          <w:lang w:val="en-US" w:eastAsia="en-US"/>
        </w:rPr>
        <w:lastRenderedPageBreak/>
        <w:t xml:space="preserve">the nasal mucosa, even at dose levels producing severe systemic toxicity. The findings of this study are consistent with those seen in rodents following oral and dermal administration. Therefore although a non-standard study, paraquat did not induce neurotoxicity via the </w:t>
      </w:r>
      <w:r w:rsidR="006A7AC7">
        <w:rPr>
          <w:color w:val="000000"/>
          <w:szCs w:val="24"/>
          <w:lang w:val="en-US" w:eastAsia="en-US"/>
        </w:rPr>
        <w:t xml:space="preserve">the </w:t>
      </w:r>
      <w:r w:rsidR="00897462" w:rsidRPr="005E54CD">
        <w:rPr>
          <w:color w:val="000000"/>
          <w:szCs w:val="24"/>
          <w:lang w:val="en-US" w:eastAsia="en-US"/>
        </w:rPr>
        <w:t>i</w:t>
      </w:r>
      <w:r w:rsidR="006A7AC7">
        <w:rPr>
          <w:color w:val="000000"/>
          <w:szCs w:val="24"/>
          <w:lang w:val="en-US" w:eastAsia="en-US"/>
        </w:rPr>
        <w:t>ntran</w:t>
      </w:r>
      <w:r w:rsidR="006A7AC7" w:rsidRPr="005E54CD">
        <w:rPr>
          <w:color w:val="000000"/>
          <w:szCs w:val="24"/>
          <w:lang w:val="en-US" w:eastAsia="en-US"/>
        </w:rPr>
        <w:t>asal instillation</w:t>
      </w:r>
      <w:r w:rsidR="00897462" w:rsidRPr="005E54CD">
        <w:rPr>
          <w:color w:val="000000"/>
          <w:szCs w:val="24"/>
          <w:lang w:val="en-US" w:eastAsia="en-US"/>
        </w:rPr>
        <w:t xml:space="preserve"> route of exposure in this animal model designed to investigate PD potential of chemicals.</w:t>
      </w:r>
    </w:p>
    <w:p w14:paraId="44A6B1F2" w14:textId="77777777" w:rsidR="00212568" w:rsidRPr="002B2CFC" w:rsidRDefault="00212568" w:rsidP="002B2CFC">
      <w:pPr>
        <w:rPr>
          <w:szCs w:val="24"/>
          <w:lang w:val="en-US" w:eastAsia="en-US"/>
        </w:rPr>
      </w:pPr>
    </w:p>
    <w:p w14:paraId="4A055EF4" w14:textId="77777777" w:rsidR="002B2CFC" w:rsidRPr="002B2CFC" w:rsidRDefault="002B2CFC" w:rsidP="002B2CFC">
      <w:pPr>
        <w:rPr>
          <w:b/>
          <w:szCs w:val="24"/>
          <w:u w:val="single"/>
          <w:lang w:eastAsia="en-US"/>
        </w:rPr>
      </w:pPr>
      <w:r w:rsidRPr="002B2CFC">
        <w:rPr>
          <w:b/>
          <w:szCs w:val="24"/>
          <w:lang w:eastAsia="en-US"/>
        </w:rPr>
        <w:t xml:space="preserve">Shimizu K, Matsubara K, Ohtaki K, Fujimaru S, Saito O, Shiono H (2003) Paraquat induces long-lasting dopamine overflow through the excitotoxic pathway in the striatum of freely moving rats. </w:t>
      </w:r>
      <w:r w:rsidRPr="004D6C19">
        <w:rPr>
          <w:b/>
          <w:i/>
          <w:szCs w:val="24"/>
          <w:lang w:eastAsia="en-US"/>
        </w:rPr>
        <w:t>Brain Res</w:t>
      </w:r>
      <w:r w:rsidRPr="002B2CFC">
        <w:rPr>
          <w:b/>
          <w:szCs w:val="24"/>
          <w:lang w:eastAsia="en-US"/>
        </w:rPr>
        <w:t>. 27;976(2):243-52.</w:t>
      </w:r>
    </w:p>
    <w:p w14:paraId="4B18841E" w14:textId="77777777" w:rsidR="00123786" w:rsidRDefault="00123786" w:rsidP="002B2CFC">
      <w:pPr>
        <w:rPr>
          <w:szCs w:val="24"/>
          <w:lang w:val="en-US" w:eastAsia="en-US"/>
        </w:rPr>
      </w:pPr>
    </w:p>
    <w:p w14:paraId="069145B3" w14:textId="77777777" w:rsidR="00123786" w:rsidRDefault="00123786" w:rsidP="00123786">
      <w:pPr>
        <w:rPr>
          <w:lang w:val="en-US"/>
        </w:rPr>
      </w:pPr>
      <w:r>
        <w:rPr>
          <w:lang w:val="en-US"/>
        </w:rPr>
        <w:t xml:space="preserve">These authors had previously shown that paraquat penetrates the blood-brain barrier and is taken up by neural cells (Shimizu </w:t>
      </w:r>
      <w:r w:rsidRPr="0058670C">
        <w:rPr>
          <w:i/>
          <w:lang w:val="en-US"/>
        </w:rPr>
        <w:t>et al</w:t>
      </w:r>
      <w:r w:rsidR="00120920">
        <w:rPr>
          <w:i/>
          <w:lang w:val="en-US"/>
        </w:rPr>
        <w:t>,</w:t>
      </w:r>
      <w:r>
        <w:rPr>
          <w:lang w:val="en-US"/>
        </w:rPr>
        <w:t xml:space="preserve"> 2001). In this study, the </w:t>
      </w:r>
      <w:r>
        <w:rPr>
          <w:i/>
          <w:lang w:val="en-US"/>
        </w:rPr>
        <w:t>in vivo</w:t>
      </w:r>
      <w:r>
        <w:rPr>
          <w:lang w:val="en-US"/>
        </w:rPr>
        <w:t xml:space="preserve"> toxic mechanism of paraquat to </w:t>
      </w:r>
      <w:r w:rsidR="00011149">
        <w:rPr>
          <w:lang w:val="en-US"/>
        </w:rPr>
        <w:t>DA</w:t>
      </w:r>
      <w:r>
        <w:rPr>
          <w:lang w:val="en-US"/>
        </w:rPr>
        <w:t xml:space="preserve"> neurons was examined. Ultimately it was suggested that paraquat activated the excitotoxic pathway to lead to a vulnerability of dopaminergic neurons and terminals in the midbrain and in the striatum of the brain, a mechanism which could be involved in the pathogenesis of Parkinson’s disease.</w:t>
      </w:r>
    </w:p>
    <w:p w14:paraId="0E2B8C7E" w14:textId="77777777" w:rsidR="00123786" w:rsidRDefault="00123786" w:rsidP="00123786">
      <w:pPr>
        <w:rPr>
          <w:lang w:val="en-US"/>
        </w:rPr>
      </w:pPr>
    </w:p>
    <w:p w14:paraId="37B9748C" w14:textId="77777777" w:rsidR="00123786" w:rsidRDefault="00123786" w:rsidP="00123786">
      <w:pPr>
        <w:rPr>
          <w:lang w:val="en-US"/>
        </w:rPr>
      </w:pPr>
      <w:r>
        <w:rPr>
          <w:lang w:val="en-US"/>
        </w:rPr>
        <w:t xml:space="preserve">Paraquat dichloride was obtained from Tokyo Chemical Industry (Tokyo, Japan). MPP + iodide, L-deprenyl and dizocilpine (MK-801) were purchased from Research Biochemicals International (Natick, MA, USA). 1-Octanesulfonic acid was obtained from Nacalai Tesque (Kyoto, Japan). GBR-12909, </w:t>
      </w:r>
      <w:r w:rsidR="00011149">
        <w:rPr>
          <w:lang w:val="en-US"/>
        </w:rPr>
        <w:t>DA</w:t>
      </w:r>
      <w:r>
        <w:rPr>
          <w:lang w:val="en-US"/>
        </w:rPr>
        <w:t>, norepinephrine, DOPAC, HVA, 5-HTAA, 5-HT were obtained from Sigma (St Louis, MO, USA). The other reagents were of analytical or HPLC grade, and were from Wako (Osaka, Japan).</w:t>
      </w:r>
    </w:p>
    <w:p w14:paraId="60B8F03B" w14:textId="77777777" w:rsidR="00123786" w:rsidRDefault="00123786" w:rsidP="00123786">
      <w:pPr>
        <w:rPr>
          <w:lang w:val="en-US"/>
        </w:rPr>
      </w:pPr>
    </w:p>
    <w:p w14:paraId="31E4EB50" w14:textId="77777777" w:rsidR="00123786" w:rsidRDefault="00123786" w:rsidP="00123786">
      <w:pPr>
        <w:rPr>
          <w:i/>
          <w:iCs/>
          <w:lang w:val="en-US"/>
        </w:rPr>
      </w:pPr>
      <w:r>
        <w:rPr>
          <w:lang w:val="en-US"/>
        </w:rPr>
        <w:t xml:space="preserve">Paraquat dichloride (10 mg/kg sc, equal to 40 µmol) was given to male Wistar rats (8 weeks old, 210-260 g; SLC, Shizuoka, Japan) once a day for 5 days. Monoamine concentrations in eight regions of brain were determined 2 days after the 5-day treatment with paraquat. Paraquat affected </w:t>
      </w:r>
      <w:r w:rsidR="00011149">
        <w:rPr>
          <w:lang w:val="en-US"/>
        </w:rPr>
        <w:t>DA</w:t>
      </w:r>
      <w:r>
        <w:rPr>
          <w:lang w:val="en-US"/>
        </w:rPr>
        <w:t xml:space="preserve"> and its acidic metabolites in the striatum, midbrain and cortex. </w:t>
      </w:r>
      <w:r w:rsidR="00011149">
        <w:rPr>
          <w:lang w:val="en-US"/>
        </w:rPr>
        <w:t>DA</w:t>
      </w:r>
      <w:r>
        <w:rPr>
          <w:lang w:val="en-US"/>
        </w:rPr>
        <w:t xml:space="preserve"> content in the striatum was reduced to 70% of that in control rats (p &lt; 0.05). The HVA level was 80% of control value in the striatum (p &lt; 0.01). Paraquat reduced DOPAC and HVA contents to 40-60% and 25-50% compared with the control in the midbrain and cortex </w:t>
      </w:r>
      <w:r>
        <w:rPr>
          <w:iCs/>
          <w:lang w:val="en-US"/>
        </w:rPr>
        <w:t>(p &lt; 0.05</w:t>
      </w:r>
      <w:r>
        <w:rPr>
          <w:i/>
          <w:iCs/>
          <w:lang w:val="en-US"/>
        </w:rPr>
        <w:t>).</w:t>
      </w:r>
    </w:p>
    <w:p w14:paraId="36243AC6" w14:textId="77777777" w:rsidR="00123786" w:rsidRDefault="00123786" w:rsidP="00123786">
      <w:pPr>
        <w:rPr>
          <w:lang w:val="en-US"/>
        </w:rPr>
      </w:pPr>
    </w:p>
    <w:p w14:paraId="26EF882F" w14:textId="77777777" w:rsidR="00123786" w:rsidRDefault="00123786" w:rsidP="00123786">
      <w:pPr>
        <w:rPr>
          <w:lang w:val="en-US"/>
        </w:rPr>
      </w:pPr>
      <w:r>
        <w:rPr>
          <w:lang w:val="en-US"/>
        </w:rPr>
        <w:t xml:space="preserve">When paraquat was administered to the striatum of the brain through a microdialysis probe, a significant amount of paraquat was detected in the ipsilateral but not contralateral striata after a sequential 180-min washout with Ringer's solution. Treatment with 50 µM GBR-12909 (a selective </w:t>
      </w:r>
      <w:r w:rsidR="00011149">
        <w:rPr>
          <w:lang w:val="en-US"/>
        </w:rPr>
        <w:t>DAT</w:t>
      </w:r>
      <w:r>
        <w:rPr>
          <w:lang w:val="en-US"/>
        </w:rPr>
        <w:t xml:space="preserve"> inhibitor) significantly inhibited the striatal uptake of paraquat (p &lt; 0.02).</w:t>
      </w:r>
    </w:p>
    <w:p w14:paraId="4E484D23" w14:textId="77777777" w:rsidR="00123786" w:rsidRDefault="00123786" w:rsidP="00123786">
      <w:pPr>
        <w:rPr>
          <w:lang w:val="en-US"/>
        </w:rPr>
      </w:pPr>
    </w:p>
    <w:p w14:paraId="46C41E4B" w14:textId="77777777" w:rsidR="00123786" w:rsidRDefault="00123786" w:rsidP="00123786">
      <w:pPr>
        <w:rPr>
          <w:lang w:val="en-US"/>
        </w:rPr>
      </w:pPr>
      <w:r>
        <w:rPr>
          <w:spacing w:val="3"/>
          <w:szCs w:val="24"/>
        </w:rPr>
        <w:t>In measuring the glutamate efflux induced by paraquat it was observed that t</w:t>
      </w:r>
      <w:r>
        <w:rPr>
          <w:lang w:val="en-US"/>
        </w:rPr>
        <w:t xml:space="preserve">he perfusion of paraquat increased the extracellular levels of glutamate in the striatum in a dose-dependent manner (p </w:t>
      </w:r>
      <w:r>
        <w:rPr>
          <w:iCs/>
          <w:lang w:val="en-US"/>
        </w:rPr>
        <w:t xml:space="preserve">&lt; 0.05). </w:t>
      </w:r>
      <w:r>
        <w:rPr>
          <w:lang w:val="en-US"/>
        </w:rPr>
        <w:t>The perfusion of 50 µM paraquat elevated the striatal levels of glutamate to 180% of the basal value. The extent of glutamate elevation was small, and the increased level returned to the basal level shortly after the termination of paraquat perfusion.</w:t>
      </w:r>
    </w:p>
    <w:p w14:paraId="6CCAF045" w14:textId="77777777" w:rsidR="00123786" w:rsidRDefault="00123786" w:rsidP="00123786">
      <w:pPr>
        <w:rPr>
          <w:lang w:val="en-US"/>
        </w:rPr>
      </w:pPr>
    </w:p>
    <w:p w14:paraId="40707CC7" w14:textId="77777777" w:rsidR="00123786" w:rsidRDefault="00123786" w:rsidP="00123786">
      <w:pPr>
        <w:rPr>
          <w:lang w:val="en-US"/>
        </w:rPr>
      </w:pPr>
      <w:r>
        <w:rPr>
          <w:lang w:val="en-US"/>
        </w:rPr>
        <w:t>Paraquat (50 µM) increased the extracellular levels of NO</w:t>
      </w:r>
      <w:r>
        <w:rPr>
          <w:i/>
          <w:vertAlign w:val="subscript"/>
          <w:lang w:val="en-US"/>
        </w:rPr>
        <w:t>x</w:t>
      </w:r>
      <w:r>
        <w:rPr>
          <w:vertAlign w:val="superscript"/>
          <w:lang w:val="en-US"/>
        </w:rPr>
        <w:t>-</w:t>
      </w:r>
      <w:r>
        <w:rPr>
          <w:lang w:val="en-US"/>
        </w:rPr>
        <w:t xml:space="preserve"> in the striatum (p </w:t>
      </w:r>
      <w:r>
        <w:rPr>
          <w:i/>
          <w:iCs/>
          <w:lang w:val="en-US"/>
        </w:rPr>
        <w:t>&lt;</w:t>
      </w:r>
      <w:r>
        <w:rPr>
          <w:iCs/>
          <w:lang w:val="en-US"/>
        </w:rPr>
        <w:t xml:space="preserve"> 0.01). </w:t>
      </w:r>
      <w:r>
        <w:rPr>
          <w:lang w:val="en-US"/>
        </w:rPr>
        <w:t>The extent of elevation of NO</w:t>
      </w:r>
      <w:r>
        <w:rPr>
          <w:i/>
          <w:vertAlign w:val="subscript"/>
          <w:lang w:val="en-US"/>
        </w:rPr>
        <w:t>x</w:t>
      </w:r>
      <w:r>
        <w:rPr>
          <w:vertAlign w:val="superscript"/>
          <w:lang w:val="en-US"/>
        </w:rPr>
        <w:t>-</w:t>
      </w:r>
      <w:r>
        <w:rPr>
          <w:lang w:val="en-US"/>
        </w:rPr>
        <w:t xml:space="preserve"> levels was small; however, this increase continued at least 3 h after termination of paraquat perfusion.</w:t>
      </w:r>
    </w:p>
    <w:p w14:paraId="366FC5EB" w14:textId="77777777" w:rsidR="00123786" w:rsidRDefault="00123786" w:rsidP="00123786">
      <w:pPr>
        <w:rPr>
          <w:lang w:val="en-US"/>
        </w:rPr>
      </w:pPr>
    </w:p>
    <w:p w14:paraId="7908AA39" w14:textId="77777777" w:rsidR="00123786" w:rsidRDefault="00123786" w:rsidP="00123786">
      <w:pPr>
        <w:rPr>
          <w:lang w:val="en-US"/>
        </w:rPr>
      </w:pPr>
      <w:r>
        <w:rPr>
          <w:lang w:val="en-US"/>
        </w:rPr>
        <w:lastRenderedPageBreak/>
        <w:t xml:space="preserve">Paraquat increased the extracellular levels of </w:t>
      </w:r>
      <w:r w:rsidR="00011149">
        <w:rPr>
          <w:lang w:val="en-US"/>
        </w:rPr>
        <w:t>DA</w:t>
      </w:r>
      <w:r>
        <w:rPr>
          <w:lang w:val="en-US"/>
        </w:rPr>
        <w:t xml:space="preserve"> in the striatum in a dose-dependent manner (p &lt; 0.01). Although the extent of </w:t>
      </w:r>
      <w:r w:rsidR="00011149">
        <w:rPr>
          <w:lang w:val="en-US"/>
        </w:rPr>
        <w:t>DA</w:t>
      </w:r>
      <w:r>
        <w:rPr>
          <w:lang w:val="en-US"/>
        </w:rPr>
        <w:t xml:space="preserve"> efflux induced by paraquat was small, it is noteworthy that </w:t>
      </w:r>
      <w:r w:rsidR="00011149">
        <w:rPr>
          <w:lang w:val="en-US"/>
        </w:rPr>
        <w:t>DA</w:t>
      </w:r>
      <w:r>
        <w:rPr>
          <w:lang w:val="en-US"/>
        </w:rPr>
        <w:t xml:space="preserve"> overflow was continuously evoked more than 24 h after the paraquat perfusion. The perfusion with paraquat did not affect the extracellular DOPAC level. </w:t>
      </w:r>
    </w:p>
    <w:p w14:paraId="5C775573" w14:textId="77777777" w:rsidR="00123786" w:rsidRDefault="00123786" w:rsidP="00123786">
      <w:pPr>
        <w:rPr>
          <w:lang w:val="en-US"/>
        </w:rPr>
      </w:pPr>
    </w:p>
    <w:p w14:paraId="691609A5" w14:textId="77777777" w:rsidR="00123786" w:rsidRDefault="00123786" w:rsidP="00123786">
      <w:pPr>
        <w:rPr>
          <w:lang w:val="en-US"/>
        </w:rPr>
      </w:pPr>
      <w:r>
        <w:rPr>
          <w:lang w:val="en-US"/>
        </w:rPr>
        <w:t xml:space="preserve">Paraquat induced a long-lasting </w:t>
      </w:r>
      <w:r w:rsidR="00011149">
        <w:rPr>
          <w:lang w:val="en-US"/>
        </w:rPr>
        <w:t>DA</w:t>
      </w:r>
      <w:r>
        <w:rPr>
          <w:lang w:val="en-US"/>
        </w:rPr>
        <w:t xml:space="preserve"> overflow that was observed at 24 h after its perfusion for 1 h. This effect of paraquat was inhibited by treatment with N</w:t>
      </w:r>
      <w:r>
        <w:rPr>
          <w:vertAlign w:val="superscript"/>
          <w:lang w:val="en-US"/>
        </w:rPr>
        <w:t>G</w:t>
      </w:r>
      <w:r>
        <w:rPr>
          <w:lang w:val="en-US"/>
        </w:rPr>
        <w:t>-nitro-</w:t>
      </w:r>
      <w:r>
        <w:rPr>
          <w:sz w:val="16"/>
          <w:szCs w:val="16"/>
          <w:lang w:val="en-US"/>
        </w:rPr>
        <w:t>L</w:t>
      </w:r>
      <w:r>
        <w:rPr>
          <w:szCs w:val="24"/>
          <w:lang w:val="en-US"/>
        </w:rPr>
        <w:t>-arginine methyl ester (</w:t>
      </w:r>
      <w:r>
        <w:rPr>
          <w:sz w:val="16"/>
          <w:szCs w:val="16"/>
          <w:lang w:val="en-US"/>
        </w:rPr>
        <w:t>L</w:t>
      </w:r>
      <w:r>
        <w:rPr>
          <w:lang w:val="en-US"/>
        </w:rPr>
        <w:t xml:space="preserve">-NAME), dizocilpine (MK-801, 6,7-dinitroquinoxaline-2,3-dione (DNQX) and </w:t>
      </w:r>
      <w:r>
        <w:rPr>
          <w:sz w:val="16"/>
          <w:szCs w:val="16"/>
          <w:lang w:val="en-US"/>
        </w:rPr>
        <w:t>L</w:t>
      </w:r>
      <w:r>
        <w:rPr>
          <w:lang w:val="en-US"/>
        </w:rPr>
        <w:t xml:space="preserve">-deprenyl (p &lt; 0.01). </w:t>
      </w:r>
    </w:p>
    <w:p w14:paraId="0D7CFC3A" w14:textId="77777777" w:rsidR="00123786" w:rsidRDefault="00123786" w:rsidP="00123786">
      <w:pPr>
        <w:rPr>
          <w:lang w:val="en-US"/>
        </w:rPr>
      </w:pPr>
    </w:p>
    <w:p w14:paraId="0EE4E529" w14:textId="77777777" w:rsidR="00123786" w:rsidRDefault="00123786" w:rsidP="00123786">
      <w:pPr>
        <w:rPr>
          <w:lang w:val="en-US"/>
        </w:rPr>
      </w:pPr>
      <w:r>
        <w:rPr>
          <w:i/>
          <w:lang w:val="en-US"/>
        </w:rPr>
        <w:t>Conclusion:</w:t>
      </w:r>
    </w:p>
    <w:p w14:paraId="7E38102F" w14:textId="77777777" w:rsidR="00123786" w:rsidRDefault="00123786" w:rsidP="00123786">
      <w:pPr>
        <w:rPr>
          <w:lang w:val="en-US"/>
        </w:rPr>
      </w:pPr>
    </w:p>
    <w:p w14:paraId="47D1E76A" w14:textId="77777777" w:rsidR="00123786" w:rsidRDefault="00123786" w:rsidP="00123786">
      <w:pPr>
        <w:rPr>
          <w:lang w:val="en-US"/>
        </w:rPr>
      </w:pPr>
      <w:r>
        <w:rPr>
          <w:lang w:val="en-US"/>
        </w:rPr>
        <w:t>Paraquat stimulated glutamate efflux from neural cells or inhibited the glutamate uptake system, and initiates a cascade of excitotoxic reactions leading to damage of dopaminergic terminals. The mechanism involves glutamate induced activation of non-NMDA receptors, resulting in activation of NMDA receptors. The activation of NMDA receptor channels results in a massive influx of Ca</w:t>
      </w:r>
      <w:r>
        <w:rPr>
          <w:vertAlign w:val="superscript"/>
          <w:lang w:val="en-US"/>
        </w:rPr>
        <w:t>2+</w:t>
      </w:r>
      <w:r>
        <w:rPr>
          <w:lang w:val="en-US"/>
        </w:rPr>
        <w:t xml:space="preserve"> into the cells. The entry of Ca</w:t>
      </w:r>
      <w:r>
        <w:rPr>
          <w:vertAlign w:val="superscript"/>
          <w:lang w:val="en-US"/>
        </w:rPr>
        <w:t>2+</w:t>
      </w:r>
      <w:r>
        <w:rPr>
          <w:lang w:val="en-US"/>
        </w:rPr>
        <w:t xml:space="preserve"> into cells stimulates NOS. </w:t>
      </w:r>
    </w:p>
    <w:p w14:paraId="5AA7AF96" w14:textId="77777777" w:rsidR="00123786" w:rsidRDefault="00123786" w:rsidP="00123786">
      <w:pPr>
        <w:rPr>
          <w:lang w:val="en-US"/>
        </w:rPr>
      </w:pPr>
    </w:p>
    <w:p w14:paraId="6E0804C7" w14:textId="77777777" w:rsidR="00123786" w:rsidRDefault="00123786" w:rsidP="00123786">
      <w:pPr>
        <w:rPr>
          <w:lang w:val="en-US"/>
        </w:rPr>
      </w:pPr>
      <w:r>
        <w:rPr>
          <w:lang w:val="en-US"/>
        </w:rPr>
        <w:t xml:space="preserve">It was suggested that released NO would diffuse to dopaminergic terminals and induce mitochondrial dysfunction, causing continuous and long-lasting </w:t>
      </w:r>
      <w:r w:rsidR="00011149">
        <w:rPr>
          <w:lang w:val="en-US"/>
        </w:rPr>
        <w:t>DA</w:t>
      </w:r>
      <w:r>
        <w:rPr>
          <w:lang w:val="en-US"/>
        </w:rPr>
        <w:t xml:space="preserve"> overflow.</w:t>
      </w:r>
    </w:p>
    <w:p w14:paraId="44AC26BA" w14:textId="77777777" w:rsidR="00123786" w:rsidRDefault="00123786" w:rsidP="00123786">
      <w:pPr>
        <w:rPr>
          <w:lang w:val="en-US"/>
        </w:rPr>
      </w:pPr>
    </w:p>
    <w:p w14:paraId="1B567EB8" w14:textId="77777777" w:rsidR="00123786" w:rsidRDefault="00123786" w:rsidP="00123786">
      <w:pPr>
        <w:rPr>
          <w:lang w:val="en-US"/>
        </w:rPr>
      </w:pPr>
      <w:r>
        <w:rPr>
          <w:lang w:val="en-US"/>
        </w:rPr>
        <w:t xml:space="preserve">The authors concluded that paraquat could be considered an exogenous neurotoxicant involved in the aetiology of Parkinson’s disease, or at least, exposure to low levels of paraquat for </w:t>
      </w:r>
      <w:r w:rsidR="00875774">
        <w:rPr>
          <w:lang w:val="en-US"/>
        </w:rPr>
        <w:t>a long</w:t>
      </w:r>
      <w:r>
        <w:rPr>
          <w:lang w:val="en-US"/>
        </w:rPr>
        <w:t xml:space="preserve"> time would make dopaminergic neurons vulnerable to oxidative stress and cell death.</w:t>
      </w:r>
    </w:p>
    <w:p w14:paraId="604827D1" w14:textId="77777777" w:rsidR="00123786" w:rsidRPr="002B2CFC" w:rsidRDefault="00123786" w:rsidP="002B2CFC">
      <w:pPr>
        <w:rPr>
          <w:szCs w:val="24"/>
          <w:lang w:val="en-US" w:eastAsia="en-US"/>
        </w:rPr>
      </w:pPr>
    </w:p>
    <w:p w14:paraId="4B2C67FF" w14:textId="77777777" w:rsidR="002B2CFC" w:rsidRPr="002B2CFC" w:rsidRDefault="002B2CFC" w:rsidP="002B2CFC">
      <w:pPr>
        <w:rPr>
          <w:b/>
          <w:szCs w:val="24"/>
          <w:lang w:eastAsia="en-US"/>
        </w:rPr>
      </w:pPr>
      <w:r w:rsidRPr="002B2CFC">
        <w:rPr>
          <w:b/>
          <w:szCs w:val="24"/>
          <w:lang w:eastAsia="en-US"/>
        </w:rPr>
        <w:t xml:space="preserve">Tawara T, Fukushima T, Hojo N, Isobe A, Shiwaku K, Setogawa T &amp; Yamane Y (1996) Effects of paraquat on mitochondrial electron transport system and catecholamine contents in rat brain. </w:t>
      </w:r>
      <w:r w:rsidRPr="004D6C19">
        <w:rPr>
          <w:b/>
          <w:i/>
          <w:szCs w:val="24"/>
          <w:lang w:eastAsia="en-US"/>
        </w:rPr>
        <w:t>Arch Toxicol</w:t>
      </w:r>
      <w:r w:rsidRPr="002B2CFC">
        <w:rPr>
          <w:b/>
          <w:szCs w:val="24"/>
          <w:lang w:eastAsia="en-US"/>
        </w:rPr>
        <w:t xml:space="preserve"> 70: 585-589.</w:t>
      </w:r>
    </w:p>
    <w:p w14:paraId="019E9122" w14:textId="77777777" w:rsidR="002B2CFC" w:rsidRPr="002B2CFC" w:rsidRDefault="002B2CFC" w:rsidP="002B2CFC">
      <w:pPr>
        <w:rPr>
          <w:szCs w:val="24"/>
          <w:lang w:val="en-US" w:eastAsia="en-US"/>
        </w:rPr>
      </w:pPr>
    </w:p>
    <w:p w14:paraId="3B32839E" w14:textId="77777777" w:rsidR="002B2CFC" w:rsidRDefault="002B2CFC" w:rsidP="002B2CFC">
      <w:pPr>
        <w:rPr>
          <w:szCs w:val="24"/>
          <w:lang w:val="en-US" w:eastAsia="en-US"/>
        </w:rPr>
      </w:pPr>
      <w:r w:rsidRPr="002B2CFC">
        <w:rPr>
          <w:szCs w:val="24"/>
          <w:lang w:val="en-US" w:eastAsia="en-US"/>
        </w:rPr>
        <w:t xml:space="preserve">A range of experiments were performed to determine the effect of </w:t>
      </w:r>
      <w:r w:rsidR="00E700C6">
        <w:rPr>
          <w:szCs w:val="24"/>
          <w:lang w:val="en-US" w:eastAsia="en-US"/>
        </w:rPr>
        <w:t xml:space="preserve"> a single intravenous dose of </w:t>
      </w:r>
      <w:r w:rsidRPr="002B2CFC">
        <w:rPr>
          <w:szCs w:val="24"/>
          <w:lang w:val="en-US" w:eastAsia="en-US"/>
        </w:rPr>
        <w:t xml:space="preserve"> paraquat on complex I activity (NADH: ubiquinone oxidoreductase), lipid peroxidation and catecholamines in rat brain. </w:t>
      </w:r>
    </w:p>
    <w:p w14:paraId="1BF01C11" w14:textId="77777777" w:rsidR="00123786" w:rsidRDefault="00123786" w:rsidP="002B2CFC">
      <w:pPr>
        <w:rPr>
          <w:szCs w:val="24"/>
          <w:lang w:val="en-US" w:eastAsia="en-US"/>
        </w:rPr>
      </w:pPr>
    </w:p>
    <w:p w14:paraId="65718B0B" w14:textId="77777777" w:rsidR="00123786" w:rsidRDefault="00123786" w:rsidP="00123786">
      <w:r>
        <w:t xml:space="preserve">Paraquat (unspecified purity and batch no. Sigma, USA) in sterile physiological saline was injected into the tail vein of 8-week old male SD rats (unspecified body weight) Japan Clea, Tokyo, Japan) at 20 mg/kg bw/d for 5 days (equivalent to 14.4 mg/kg bw/d paraquat cation). Control animals were injected with an equivalent volume of sterile physiological saline. Rats were sacrificed at an unspecified time by microwave irradiation, their brains immediately removed and striata isolated according to the technique of Glowinski and Iversen (1966). The concentrations of </w:t>
      </w:r>
      <w:r w:rsidR="00011149">
        <w:t>DA</w:t>
      </w:r>
      <w:r>
        <w:t xml:space="preserve"> and norepinephrine were measured by HPLC. Rats were sacrificed by decapitation after the last injection of paraquat and their brains, lungs and livers immediately removed. Lipid peroxidation was measured according to the method of malondialdehyde production (Ohkawa </w:t>
      </w:r>
      <w:r w:rsidRPr="0058670C">
        <w:rPr>
          <w:i/>
        </w:rPr>
        <w:t>et al</w:t>
      </w:r>
      <w:r w:rsidR="00120920">
        <w:rPr>
          <w:i/>
        </w:rPr>
        <w:t>,</w:t>
      </w:r>
      <w:r>
        <w:t xml:space="preserve"> 1979). Rats were sacrificed by decapitation after the last injection of paraquat and their brains, lungs and livers immediately removed. Submitochondrial particles were purified according to the method of Turrens and Boveris (1980) and assayed for complex I activity (ie NADH: ubiquinone oxidoreductase)) using the NADH:ferricyanide reaction (NFR assay) or the NADH:ubiquitone reaction (NQR assay).</w:t>
      </w:r>
    </w:p>
    <w:p w14:paraId="4FF02127" w14:textId="77777777" w:rsidR="00123786" w:rsidRDefault="00123786" w:rsidP="00123786"/>
    <w:p w14:paraId="4A34AE2F" w14:textId="687A8256" w:rsidR="00123786" w:rsidRDefault="00123786" w:rsidP="00123786">
      <w:r>
        <w:lastRenderedPageBreak/>
        <w:t xml:space="preserve">Paraquat-treated mice had a significantly (p&lt;0.001, t-test) lower concentration of striatal </w:t>
      </w:r>
      <w:r w:rsidR="00011149">
        <w:t>DA</w:t>
      </w:r>
      <w:r>
        <w:t xml:space="preserve"> (6.14 + 0.81 </w:t>
      </w:r>
      <w:r>
        <w:sym w:font="Symbol" w:char="F06D"/>
      </w:r>
      <w:r>
        <w:t xml:space="preserve">g/g tissue) than the control (8.76 </w:t>
      </w:r>
      <w:r>
        <w:rPr>
          <w:u w:val="single"/>
        </w:rPr>
        <w:t>+</w:t>
      </w:r>
      <w:r>
        <w:t xml:space="preserve"> 0.49 </w:t>
      </w:r>
      <w:r>
        <w:sym w:font="Symbol" w:char="F06D"/>
      </w:r>
      <w:r>
        <w:t xml:space="preserve">g/g). There was no treatment-related effect on the concentration of striatal norepinephrine. Lipid peroxidation was significantly higher (p&lt;0.05, t-test) in the brain (1.6-fold higher) and liver (1.8-fold higher), but not the plasma, of paraquat-treated rats compared to the control (see </w:t>
      </w:r>
      <w:r w:rsidR="00897462">
        <w:fldChar w:fldCharType="begin"/>
      </w:r>
      <w:r w:rsidR="00BA33FB">
        <w:instrText xml:space="preserve"> REF _Ref410309316 \h </w:instrText>
      </w:r>
      <w:r w:rsidR="00897462">
        <w:fldChar w:fldCharType="separate"/>
      </w:r>
      <w:r w:rsidR="000E54B2">
        <w:t xml:space="preserve">Table </w:t>
      </w:r>
      <w:r w:rsidR="000E54B2">
        <w:rPr>
          <w:noProof/>
        </w:rPr>
        <w:t>51</w:t>
      </w:r>
      <w:r w:rsidR="00897462">
        <w:fldChar w:fldCharType="end"/>
      </w:r>
      <w:r>
        <w:t xml:space="preserve"> </w:t>
      </w:r>
      <w:r w:rsidR="003A31EB">
        <w:fldChar w:fldCharType="begin"/>
      </w:r>
      <w:r w:rsidR="003A31EB">
        <w:instrText xml:space="preserve"> REF _Ref459038796 \p </w:instrText>
      </w:r>
      <w:r w:rsidR="003A31EB">
        <w:fldChar w:fldCharType="separate"/>
      </w:r>
      <w:r w:rsidR="000E54B2">
        <w:t>below</w:t>
      </w:r>
      <w:r w:rsidR="003A31EB">
        <w:fldChar w:fldCharType="end"/>
      </w:r>
      <w:r>
        <w:t>).</w:t>
      </w:r>
    </w:p>
    <w:p w14:paraId="620B12D2" w14:textId="77777777" w:rsidR="00123786" w:rsidRDefault="00123786" w:rsidP="00123786"/>
    <w:p w14:paraId="5DDDE2A5" w14:textId="77777777" w:rsidR="00BA33FB" w:rsidRDefault="00BA33FB" w:rsidP="009D0D8F">
      <w:pPr>
        <w:pStyle w:val="Caption"/>
        <w:keepNext/>
        <w:spacing w:after="120"/>
      </w:pPr>
      <w:bookmarkStart w:id="182" w:name="_Ref410309316"/>
      <w:bookmarkStart w:id="183" w:name="_Ref459038796"/>
      <w:r>
        <w:t xml:space="preserve">Table </w:t>
      </w:r>
      <w:r w:rsidR="00897462">
        <w:fldChar w:fldCharType="begin"/>
      </w:r>
      <w:r>
        <w:instrText xml:space="preserve"> SEQ Table \* ARABIC </w:instrText>
      </w:r>
      <w:r w:rsidR="00897462">
        <w:fldChar w:fldCharType="separate"/>
      </w:r>
      <w:r w:rsidR="000E54B2">
        <w:rPr>
          <w:noProof/>
        </w:rPr>
        <w:t>51</w:t>
      </w:r>
      <w:r w:rsidR="00897462">
        <w:fldChar w:fldCharType="end"/>
      </w:r>
      <w:bookmarkEnd w:id="182"/>
      <w:r>
        <w:t xml:space="preserve">. </w:t>
      </w:r>
      <w:r w:rsidRPr="00EA3EE6">
        <w:t>Effect of 5 x 20 mg/kg bw/d iv injections of paraquat on lipid peroxidation (pmol/mg protein) in the brain, liver and serum of rats.</w:t>
      </w:r>
      <w:bookmarkEnd w:id="18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2"/>
        <w:gridCol w:w="2310"/>
        <w:gridCol w:w="2310"/>
        <w:gridCol w:w="2250"/>
      </w:tblGrid>
      <w:tr w:rsidR="00123786" w14:paraId="4B97B86A" w14:textId="77777777" w:rsidTr="000E221D">
        <w:tc>
          <w:tcPr>
            <w:tcW w:w="2202" w:type="dxa"/>
            <w:shd w:val="clear" w:color="auto" w:fill="BFBFBF" w:themeFill="background1" w:themeFillShade="BF"/>
          </w:tcPr>
          <w:p w14:paraId="244CC469" w14:textId="77777777" w:rsidR="00123786" w:rsidRDefault="00123786" w:rsidP="00DC07C7">
            <w:pPr>
              <w:rPr>
                <w:b/>
                <w:sz w:val="20"/>
              </w:rPr>
            </w:pPr>
            <w:r>
              <w:rPr>
                <w:b/>
                <w:sz w:val="20"/>
              </w:rPr>
              <w:t>Group</w:t>
            </w:r>
          </w:p>
        </w:tc>
        <w:tc>
          <w:tcPr>
            <w:tcW w:w="2310" w:type="dxa"/>
            <w:shd w:val="clear" w:color="auto" w:fill="BFBFBF" w:themeFill="background1" w:themeFillShade="BF"/>
          </w:tcPr>
          <w:p w14:paraId="3017BC46" w14:textId="77777777" w:rsidR="00123786" w:rsidRDefault="00123786" w:rsidP="00DC07C7">
            <w:pPr>
              <w:jc w:val="center"/>
              <w:rPr>
                <w:b/>
                <w:sz w:val="20"/>
              </w:rPr>
            </w:pPr>
            <w:r>
              <w:rPr>
                <w:b/>
                <w:sz w:val="20"/>
              </w:rPr>
              <w:t>Brain</w:t>
            </w:r>
          </w:p>
        </w:tc>
        <w:tc>
          <w:tcPr>
            <w:tcW w:w="2310" w:type="dxa"/>
            <w:shd w:val="clear" w:color="auto" w:fill="BFBFBF" w:themeFill="background1" w:themeFillShade="BF"/>
          </w:tcPr>
          <w:p w14:paraId="199E91E3" w14:textId="77777777" w:rsidR="00123786" w:rsidRDefault="00123786" w:rsidP="00DC07C7">
            <w:pPr>
              <w:jc w:val="center"/>
              <w:rPr>
                <w:b/>
                <w:sz w:val="20"/>
              </w:rPr>
            </w:pPr>
            <w:r>
              <w:rPr>
                <w:b/>
                <w:sz w:val="20"/>
              </w:rPr>
              <w:t>Liver</w:t>
            </w:r>
          </w:p>
        </w:tc>
        <w:tc>
          <w:tcPr>
            <w:tcW w:w="2250" w:type="dxa"/>
            <w:shd w:val="clear" w:color="auto" w:fill="BFBFBF" w:themeFill="background1" w:themeFillShade="BF"/>
          </w:tcPr>
          <w:p w14:paraId="734F7DBD" w14:textId="77777777" w:rsidR="00123786" w:rsidRDefault="00123786" w:rsidP="00DC07C7">
            <w:pPr>
              <w:jc w:val="center"/>
              <w:rPr>
                <w:b/>
                <w:sz w:val="20"/>
              </w:rPr>
            </w:pPr>
            <w:r>
              <w:rPr>
                <w:b/>
                <w:sz w:val="20"/>
              </w:rPr>
              <w:t>Serum</w:t>
            </w:r>
          </w:p>
        </w:tc>
      </w:tr>
      <w:tr w:rsidR="00123786" w14:paraId="1841FE47" w14:textId="77777777" w:rsidTr="00DC07C7">
        <w:tc>
          <w:tcPr>
            <w:tcW w:w="2202" w:type="dxa"/>
          </w:tcPr>
          <w:p w14:paraId="168AA4FC" w14:textId="77777777" w:rsidR="00123786" w:rsidRDefault="00123786" w:rsidP="00DC07C7">
            <w:pPr>
              <w:pStyle w:val="CommentText"/>
            </w:pPr>
            <w:r>
              <w:t>Control (n=3)</w:t>
            </w:r>
          </w:p>
        </w:tc>
        <w:tc>
          <w:tcPr>
            <w:tcW w:w="2310" w:type="dxa"/>
          </w:tcPr>
          <w:p w14:paraId="5FE80F4B" w14:textId="77777777" w:rsidR="00123786" w:rsidRDefault="00123786" w:rsidP="00DC07C7">
            <w:pPr>
              <w:jc w:val="center"/>
              <w:rPr>
                <w:sz w:val="20"/>
              </w:rPr>
            </w:pPr>
            <w:r>
              <w:rPr>
                <w:sz w:val="20"/>
              </w:rPr>
              <w:t xml:space="preserve">40.1 </w:t>
            </w:r>
            <w:r>
              <w:rPr>
                <w:sz w:val="20"/>
                <w:u w:val="single"/>
              </w:rPr>
              <w:t>+</w:t>
            </w:r>
            <w:r>
              <w:rPr>
                <w:sz w:val="20"/>
              </w:rPr>
              <w:t xml:space="preserve"> 4.7</w:t>
            </w:r>
          </w:p>
        </w:tc>
        <w:tc>
          <w:tcPr>
            <w:tcW w:w="2310" w:type="dxa"/>
          </w:tcPr>
          <w:p w14:paraId="649F8F7A" w14:textId="77777777" w:rsidR="00123786" w:rsidRDefault="00123786" w:rsidP="00DC07C7">
            <w:pPr>
              <w:jc w:val="center"/>
              <w:rPr>
                <w:sz w:val="20"/>
              </w:rPr>
            </w:pPr>
            <w:r>
              <w:rPr>
                <w:sz w:val="20"/>
              </w:rPr>
              <w:t xml:space="preserve">51.3 </w:t>
            </w:r>
            <w:r>
              <w:rPr>
                <w:sz w:val="20"/>
                <w:u w:val="single"/>
              </w:rPr>
              <w:t>+</w:t>
            </w:r>
            <w:r>
              <w:rPr>
                <w:sz w:val="20"/>
              </w:rPr>
              <w:t xml:space="preserve"> 7.1</w:t>
            </w:r>
          </w:p>
        </w:tc>
        <w:tc>
          <w:tcPr>
            <w:tcW w:w="2250" w:type="dxa"/>
          </w:tcPr>
          <w:p w14:paraId="5850365A" w14:textId="77777777" w:rsidR="00123786" w:rsidRDefault="00123786" w:rsidP="00DC07C7">
            <w:pPr>
              <w:jc w:val="center"/>
              <w:rPr>
                <w:sz w:val="20"/>
              </w:rPr>
            </w:pPr>
            <w:r>
              <w:rPr>
                <w:sz w:val="20"/>
              </w:rPr>
              <w:t xml:space="preserve">2.47 </w:t>
            </w:r>
            <w:r>
              <w:rPr>
                <w:sz w:val="20"/>
                <w:u w:val="single"/>
              </w:rPr>
              <w:t>+</w:t>
            </w:r>
            <w:r>
              <w:rPr>
                <w:sz w:val="20"/>
              </w:rPr>
              <w:t xml:space="preserve"> 0.93</w:t>
            </w:r>
          </w:p>
        </w:tc>
      </w:tr>
      <w:tr w:rsidR="00123786" w14:paraId="040BEDC1" w14:textId="77777777" w:rsidTr="00DC07C7">
        <w:tc>
          <w:tcPr>
            <w:tcW w:w="2202" w:type="dxa"/>
          </w:tcPr>
          <w:p w14:paraId="36C4ACA1" w14:textId="77777777" w:rsidR="00123786" w:rsidRDefault="00123786" w:rsidP="00DC07C7">
            <w:pPr>
              <w:rPr>
                <w:sz w:val="20"/>
              </w:rPr>
            </w:pPr>
            <w:r>
              <w:rPr>
                <w:sz w:val="20"/>
              </w:rPr>
              <w:t>Paraquat (n=3)</w:t>
            </w:r>
          </w:p>
        </w:tc>
        <w:tc>
          <w:tcPr>
            <w:tcW w:w="2310" w:type="dxa"/>
          </w:tcPr>
          <w:p w14:paraId="321F773A" w14:textId="77777777" w:rsidR="00123786" w:rsidRDefault="00123786" w:rsidP="00DC07C7">
            <w:pPr>
              <w:jc w:val="center"/>
              <w:rPr>
                <w:sz w:val="20"/>
              </w:rPr>
            </w:pPr>
            <w:r>
              <w:rPr>
                <w:sz w:val="20"/>
              </w:rPr>
              <w:t xml:space="preserve">63.7 </w:t>
            </w:r>
            <w:r>
              <w:rPr>
                <w:sz w:val="20"/>
                <w:u w:val="single"/>
              </w:rPr>
              <w:t>+</w:t>
            </w:r>
            <w:r>
              <w:rPr>
                <w:sz w:val="20"/>
              </w:rPr>
              <w:t xml:space="preserve"> 4.0*</w:t>
            </w:r>
          </w:p>
        </w:tc>
        <w:tc>
          <w:tcPr>
            <w:tcW w:w="2310" w:type="dxa"/>
          </w:tcPr>
          <w:p w14:paraId="7C2DC4A2" w14:textId="77777777" w:rsidR="00123786" w:rsidRDefault="00123786" w:rsidP="00DC07C7">
            <w:pPr>
              <w:jc w:val="center"/>
              <w:rPr>
                <w:sz w:val="20"/>
              </w:rPr>
            </w:pPr>
            <w:r>
              <w:rPr>
                <w:sz w:val="20"/>
              </w:rPr>
              <w:t xml:space="preserve">92.2 </w:t>
            </w:r>
            <w:r>
              <w:rPr>
                <w:sz w:val="20"/>
                <w:u w:val="single"/>
              </w:rPr>
              <w:t>+</w:t>
            </w:r>
            <w:r>
              <w:rPr>
                <w:sz w:val="20"/>
              </w:rPr>
              <w:t xml:space="preserve"> 6.6*</w:t>
            </w:r>
          </w:p>
        </w:tc>
        <w:tc>
          <w:tcPr>
            <w:tcW w:w="2250" w:type="dxa"/>
          </w:tcPr>
          <w:p w14:paraId="02DD6F85" w14:textId="77777777" w:rsidR="00123786" w:rsidRDefault="00123786" w:rsidP="00DC07C7">
            <w:pPr>
              <w:jc w:val="center"/>
              <w:rPr>
                <w:sz w:val="20"/>
              </w:rPr>
            </w:pPr>
            <w:r>
              <w:rPr>
                <w:sz w:val="20"/>
              </w:rPr>
              <w:t>2.10 + 0.44</w:t>
            </w:r>
          </w:p>
        </w:tc>
      </w:tr>
    </w:tbl>
    <w:p w14:paraId="58ACAD93" w14:textId="77777777" w:rsidR="00123786" w:rsidRDefault="00123786" w:rsidP="00123786">
      <w:pPr>
        <w:rPr>
          <w:sz w:val="20"/>
        </w:rPr>
      </w:pPr>
      <w:r>
        <w:rPr>
          <w:sz w:val="20"/>
        </w:rPr>
        <w:t xml:space="preserve">Results expressed as mean </w:t>
      </w:r>
      <w:r>
        <w:rPr>
          <w:sz w:val="20"/>
          <w:u w:val="single"/>
        </w:rPr>
        <w:t>+</w:t>
      </w:r>
      <w:r>
        <w:rPr>
          <w:sz w:val="20"/>
        </w:rPr>
        <w:t xml:space="preserve"> 1 SD; * p&lt;0.05</w:t>
      </w:r>
    </w:p>
    <w:p w14:paraId="738BD487" w14:textId="77777777" w:rsidR="00123786" w:rsidRDefault="00123786" w:rsidP="00123786"/>
    <w:p w14:paraId="566544CA" w14:textId="13D4B66D" w:rsidR="00123786" w:rsidRDefault="00123786" w:rsidP="00123786">
      <w:r>
        <w:t xml:space="preserve">Complex I activity was significantly inhibited (p&lt;0.01-0.05, t-test) in the brain and liver of paraquat-treated rats using either the NFR or NQR assay (see </w:t>
      </w:r>
      <w:r w:rsidR="00897462">
        <w:fldChar w:fldCharType="begin"/>
      </w:r>
      <w:r w:rsidR="00BA33FB">
        <w:instrText xml:space="preserve"> REF _Ref410309352 \h </w:instrText>
      </w:r>
      <w:r w:rsidR="00897462">
        <w:fldChar w:fldCharType="separate"/>
      </w:r>
      <w:r w:rsidR="000E54B2">
        <w:t xml:space="preserve">Table </w:t>
      </w:r>
      <w:r w:rsidR="000E54B2">
        <w:rPr>
          <w:noProof/>
        </w:rPr>
        <w:t>52</w:t>
      </w:r>
      <w:r w:rsidR="00897462">
        <w:fldChar w:fldCharType="end"/>
      </w:r>
      <w:r>
        <w:t xml:space="preserve"> </w:t>
      </w:r>
      <w:r w:rsidR="003A31EB">
        <w:fldChar w:fldCharType="begin"/>
      </w:r>
      <w:r w:rsidR="003A31EB">
        <w:instrText xml:space="preserve"> REF _Ref459038813 \p </w:instrText>
      </w:r>
      <w:r w:rsidR="003A31EB">
        <w:fldChar w:fldCharType="separate"/>
      </w:r>
      <w:r w:rsidR="000E54B2">
        <w:t>below</w:t>
      </w:r>
      <w:r w:rsidR="003A31EB">
        <w:fldChar w:fldCharType="end"/>
      </w:r>
      <w:r>
        <w:t>).</w:t>
      </w:r>
    </w:p>
    <w:p w14:paraId="060CDC11" w14:textId="77777777" w:rsidR="00123786" w:rsidRDefault="00123786" w:rsidP="00123786"/>
    <w:p w14:paraId="3663341F" w14:textId="77777777" w:rsidR="00BA33FB" w:rsidRDefault="00BA33FB" w:rsidP="009D0D8F">
      <w:pPr>
        <w:pStyle w:val="Caption"/>
        <w:keepNext/>
        <w:spacing w:after="120"/>
      </w:pPr>
      <w:bookmarkStart w:id="184" w:name="_Ref410309352"/>
      <w:bookmarkStart w:id="185" w:name="_Ref459038813"/>
      <w:r>
        <w:t xml:space="preserve">Table </w:t>
      </w:r>
      <w:r w:rsidR="00897462">
        <w:fldChar w:fldCharType="begin"/>
      </w:r>
      <w:r>
        <w:instrText xml:space="preserve"> SEQ Table \* ARABIC </w:instrText>
      </w:r>
      <w:r w:rsidR="00897462">
        <w:fldChar w:fldCharType="separate"/>
      </w:r>
      <w:r w:rsidR="000E54B2">
        <w:rPr>
          <w:noProof/>
        </w:rPr>
        <w:t>52</w:t>
      </w:r>
      <w:r w:rsidR="00897462">
        <w:fldChar w:fldCharType="end"/>
      </w:r>
      <w:bookmarkEnd w:id="184"/>
      <w:r>
        <w:t xml:space="preserve">. </w:t>
      </w:r>
      <w:r w:rsidRPr="00656ACC">
        <w:t>Effect of 5 x 20 mg/kg bw/d iv injections of paraquat on complex I activity (IU/mg protein) in the brain and liver of rats.</w:t>
      </w:r>
      <w:bookmarkEnd w:id="18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3080"/>
        <w:gridCol w:w="3020"/>
      </w:tblGrid>
      <w:tr w:rsidR="00123786" w14:paraId="4B3A33BC" w14:textId="77777777" w:rsidTr="000E221D">
        <w:tc>
          <w:tcPr>
            <w:tcW w:w="2972" w:type="dxa"/>
            <w:shd w:val="clear" w:color="auto" w:fill="BFBFBF" w:themeFill="background1" w:themeFillShade="BF"/>
          </w:tcPr>
          <w:p w14:paraId="16D348BB" w14:textId="77777777" w:rsidR="00123786" w:rsidRDefault="00123786" w:rsidP="00DC07C7">
            <w:pPr>
              <w:rPr>
                <w:sz w:val="22"/>
              </w:rPr>
            </w:pPr>
          </w:p>
        </w:tc>
        <w:tc>
          <w:tcPr>
            <w:tcW w:w="3080" w:type="dxa"/>
            <w:shd w:val="clear" w:color="auto" w:fill="BFBFBF" w:themeFill="background1" w:themeFillShade="BF"/>
          </w:tcPr>
          <w:p w14:paraId="4299DBA4" w14:textId="77777777" w:rsidR="00123786" w:rsidRDefault="00123786" w:rsidP="00DC07C7">
            <w:pPr>
              <w:jc w:val="center"/>
              <w:rPr>
                <w:b/>
                <w:sz w:val="20"/>
              </w:rPr>
            </w:pPr>
            <w:r>
              <w:rPr>
                <w:b/>
                <w:sz w:val="20"/>
              </w:rPr>
              <w:t>NFR assay</w:t>
            </w:r>
          </w:p>
        </w:tc>
        <w:tc>
          <w:tcPr>
            <w:tcW w:w="3020" w:type="dxa"/>
            <w:shd w:val="clear" w:color="auto" w:fill="BFBFBF" w:themeFill="background1" w:themeFillShade="BF"/>
          </w:tcPr>
          <w:p w14:paraId="238BF4C7" w14:textId="77777777" w:rsidR="00123786" w:rsidRDefault="00123786" w:rsidP="00DC07C7">
            <w:pPr>
              <w:jc w:val="center"/>
              <w:rPr>
                <w:b/>
                <w:sz w:val="20"/>
              </w:rPr>
            </w:pPr>
            <w:r>
              <w:rPr>
                <w:b/>
                <w:sz w:val="20"/>
              </w:rPr>
              <w:t>NQR assay</w:t>
            </w:r>
          </w:p>
        </w:tc>
      </w:tr>
      <w:tr w:rsidR="00123786" w14:paraId="24E5CD03" w14:textId="77777777" w:rsidTr="000E221D">
        <w:trPr>
          <w:cantSplit/>
        </w:trPr>
        <w:tc>
          <w:tcPr>
            <w:tcW w:w="9072" w:type="dxa"/>
            <w:gridSpan w:val="3"/>
            <w:shd w:val="clear" w:color="auto" w:fill="D9D9D9" w:themeFill="background1" w:themeFillShade="D9"/>
          </w:tcPr>
          <w:p w14:paraId="12DF8B0A" w14:textId="77777777" w:rsidR="00123786" w:rsidRPr="000E221D" w:rsidRDefault="00123786" w:rsidP="00DC07C7">
            <w:pPr>
              <w:rPr>
                <w:i/>
                <w:sz w:val="20"/>
              </w:rPr>
            </w:pPr>
            <w:r w:rsidRPr="000E221D">
              <w:rPr>
                <w:i/>
                <w:sz w:val="20"/>
              </w:rPr>
              <w:t>Brain</w:t>
            </w:r>
          </w:p>
        </w:tc>
      </w:tr>
      <w:tr w:rsidR="00123786" w14:paraId="67920119" w14:textId="77777777" w:rsidTr="00DC07C7">
        <w:tc>
          <w:tcPr>
            <w:tcW w:w="2972" w:type="dxa"/>
          </w:tcPr>
          <w:p w14:paraId="1EF69F6B" w14:textId="77777777" w:rsidR="00123786" w:rsidRPr="000E221D" w:rsidRDefault="00123786" w:rsidP="00DC07C7">
            <w:pPr>
              <w:rPr>
                <w:sz w:val="20"/>
              </w:rPr>
            </w:pPr>
            <w:r w:rsidRPr="000E221D">
              <w:rPr>
                <w:sz w:val="20"/>
              </w:rPr>
              <w:t>Control</w:t>
            </w:r>
          </w:p>
        </w:tc>
        <w:tc>
          <w:tcPr>
            <w:tcW w:w="3080" w:type="dxa"/>
          </w:tcPr>
          <w:p w14:paraId="764E8F9A" w14:textId="77777777" w:rsidR="00123786" w:rsidRPr="000E221D" w:rsidRDefault="00123786" w:rsidP="00DC07C7">
            <w:pPr>
              <w:jc w:val="center"/>
              <w:rPr>
                <w:sz w:val="20"/>
              </w:rPr>
            </w:pPr>
            <w:r w:rsidRPr="000E221D">
              <w:rPr>
                <w:sz w:val="20"/>
              </w:rPr>
              <w:t xml:space="preserve">3.67 </w:t>
            </w:r>
            <w:r w:rsidRPr="000E221D">
              <w:rPr>
                <w:sz w:val="20"/>
                <w:u w:val="single"/>
              </w:rPr>
              <w:t>+</w:t>
            </w:r>
            <w:r w:rsidRPr="000E221D">
              <w:rPr>
                <w:sz w:val="20"/>
              </w:rPr>
              <w:t xml:space="preserve"> 0.29</w:t>
            </w:r>
          </w:p>
        </w:tc>
        <w:tc>
          <w:tcPr>
            <w:tcW w:w="3020" w:type="dxa"/>
          </w:tcPr>
          <w:p w14:paraId="3EE80EF1" w14:textId="77777777" w:rsidR="00123786" w:rsidRPr="000E221D" w:rsidRDefault="00123786" w:rsidP="00DC07C7">
            <w:pPr>
              <w:jc w:val="center"/>
              <w:rPr>
                <w:sz w:val="20"/>
              </w:rPr>
            </w:pPr>
            <w:r w:rsidRPr="000E221D">
              <w:rPr>
                <w:sz w:val="20"/>
              </w:rPr>
              <w:t xml:space="preserve">2.06 </w:t>
            </w:r>
            <w:r w:rsidRPr="000E221D">
              <w:rPr>
                <w:sz w:val="20"/>
                <w:u w:val="single"/>
              </w:rPr>
              <w:t>+</w:t>
            </w:r>
            <w:r w:rsidRPr="000E221D">
              <w:rPr>
                <w:sz w:val="20"/>
              </w:rPr>
              <w:t xml:space="preserve"> 0.28</w:t>
            </w:r>
          </w:p>
        </w:tc>
      </w:tr>
      <w:tr w:rsidR="00123786" w14:paraId="716A80D2" w14:textId="77777777" w:rsidTr="00DC07C7">
        <w:tc>
          <w:tcPr>
            <w:tcW w:w="2972" w:type="dxa"/>
          </w:tcPr>
          <w:p w14:paraId="67411C35" w14:textId="77777777" w:rsidR="00123786" w:rsidRPr="000E221D" w:rsidRDefault="00123786" w:rsidP="00DC07C7">
            <w:pPr>
              <w:rPr>
                <w:sz w:val="20"/>
              </w:rPr>
            </w:pPr>
            <w:r w:rsidRPr="000E221D">
              <w:rPr>
                <w:sz w:val="20"/>
              </w:rPr>
              <w:t>Paraquat</w:t>
            </w:r>
          </w:p>
        </w:tc>
        <w:tc>
          <w:tcPr>
            <w:tcW w:w="3080" w:type="dxa"/>
          </w:tcPr>
          <w:p w14:paraId="47E40E52" w14:textId="77777777" w:rsidR="00123786" w:rsidRPr="000E221D" w:rsidRDefault="00123786" w:rsidP="00DC07C7">
            <w:pPr>
              <w:jc w:val="center"/>
              <w:rPr>
                <w:sz w:val="20"/>
              </w:rPr>
            </w:pPr>
            <w:r w:rsidRPr="000E221D">
              <w:rPr>
                <w:sz w:val="20"/>
              </w:rPr>
              <w:t xml:space="preserve">2.53 </w:t>
            </w:r>
            <w:r w:rsidRPr="000E221D">
              <w:rPr>
                <w:sz w:val="20"/>
                <w:u w:val="single"/>
              </w:rPr>
              <w:t>+</w:t>
            </w:r>
            <w:r w:rsidRPr="000E221D">
              <w:rPr>
                <w:sz w:val="20"/>
              </w:rPr>
              <w:t xml:space="preserve"> 0.20*</w:t>
            </w:r>
          </w:p>
        </w:tc>
        <w:tc>
          <w:tcPr>
            <w:tcW w:w="3020" w:type="dxa"/>
          </w:tcPr>
          <w:p w14:paraId="13063D4D" w14:textId="77777777" w:rsidR="00123786" w:rsidRPr="000E221D" w:rsidRDefault="00123786" w:rsidP="00DC07C7">
            <w:pPr>
              <w:jc w:val="center"/>
              <w:rPr>
                <w:sz w:val="20"/>
              </w:rPr>
            </w:pPr>
            <w:r w:rsidRPr="000E221D">
              <w:rPr>
                <w:sz w:val="20"/>
              </w:rPr>
              <w:t xml:space="preserve">1.15 </w:t>
            </w:r>
            <w:r w:rsidRPr="000E221D">
              <w:rPr>
                <w:sz w:val="20"/>
                <w:u w:val="single"/>
              </w:rPr>
              <w:t>+</w:t>
            </w:r>
            <w:r w:rsidRPr="000E221D">
              <w:rPr>
                <w:sz w:val="20"/>
              </w:rPr>
              <w:t xml:space="preserve"> 0.09*</w:t>
            </w:r>
          </w:p>
        </w:tc>
      </w:tr>
      <w:tr w:rsidR="00123786" w14:paraId="3FA07DD5" w14:textId="77777777" w:rsidTr="000E221D">
        <w:trPr>
          <w:cantSplit/>
        </w:trPr>
        <w:tc>
          <w:tcPr>
            <w:tcW w:w="9072" w:type="dxa"/>
            <w:gridSpan w:val="3"/>
            <w:shd w:val="clear" w:color="auto" w:fill="D9D9D9" w:themeFill="background1" w:themeFillShade="D9"/>
          </w:tcPr>
          <w:p w14:paraId="1DDCEDEE" w14:textId="77777777" w:rsidR="00123786" w:rsidRPr="000E221D" w:rsidRDefault="00123786" w:rsidP="00DC07C7">
            <w:pPr>
              <w:rPr>
                <w:i/>
                <w:sz w:val="20"/>
              </w:rPr>
            </w:pPr>
            <w:r w:rsidRPr="000E221D">
              <w:rPr>
                <w:i/>
                <w:sz w:val="20"/>
              </w:rPr>
              <w:t>Liver</w:t>
            </w:r>
          </w:p>
        </w:tc>
      </w:tr>
      <w:tr w:rsidR="00123786" w14:paraId="59FD5E95" w14:textId="77777777" w:rsidTr="00DC07C7">
        <w:tc>
          <w:tcPr>
            <w:tcW w:w="2972" w:type="dxa"/>
          </w:tcPr>
          <w:p w14:paraId="0B081AF7" w14:textId="77777777" w:rsidR="00123786" w:rsidRPr="000E221D" w:rsidRDefault="00123786" w:rsidP="00DC07C7">
            <w:pPr>
              <w:rPr>
                <w:sz w:val="20"/>
              </w:rPr>
            </w:pPr>
            <w:r w:rsidRPr="000E221D">
              <w:rPr>
                <w:sz w:val="20"/>
              </w:rPr>
              <w:t>Control</w:t>
            </w:r>
          </w:p>
        </w:tc>
        <w:tc>
          <w:tcPr>
            <w:tcW w:w="3080" w:type="dxa"/>
          </w:tcPr>
          <w:p w14:paraId="50FF2D40" w14:textId="77777777" w:rsidR="00123786" w:rsidRPr="000E221D" w:rsidRDefault="00123786" w:rsidP="00DC07C7">
            <w:pPr>
              <w:jc w:val="center"/>
              <w:rPr>
                <w:sz w:val="20"/>
              </w:rPr>
            </w:pPr>
            <w:r w:rsidRPr="000E221D">
              <w:rPr>
                <w:sz w:val="20"/>
              </w:rPr>
              <w:t xml:space="preserve">6.75 </w:t>
            </w:r>
            <w:r w:rsidRPr="000E221D">
              <w:rPr>
                <w:sz w:val="20"/>
                <w:u w:val="single"/>
              </w:rPr>
              <w:t>+</w:t>
            </w:r>
            <w:r w:rsidRPr="000E221D">
              <w:rPr>
                <w:sz w:val="20"/>
              </w:rPr>
              <w:t xml:space="preserve"> 0.43</w:t>
            </w:r>
          </w:p>
        </w:tc>
        <w:tc>
          <w:tcPr>
            <w:tcW w:w="3020" w:type="dxa"/>
          </w:tcPr>
          <w:p w14:paraId="6877E0F1" w14:textId="77777777" w:rsidR="00123786" w:rsidRPr="000E221D" w:rsidRDefault="00123786" w:rsidP="00DC07C7">
            <w:pPr>
              <w:jc w:val="center"/>
              <w:rPr>
                <w:sz w:val="20"/>
              </w:rPr>
            </w:pPr>
            <w:r w:rsidRPr="000E221D">
              <w:rPr>
                <w:sz w:val="20"/>
              </w:rPr>
              <w:t xml:space="preserve">2.42 </w:t>
            </w:r>
            <w:r w:rsidRPr="000E221D">
              <w:rPr>
                <w:sz w:val="20"/>
                <w:u w:val="single"/>
              </w:rPr>
              <w:t>+</w:t>
            </w:r>
            <w:r w:rsidRPr="000E221D">
              <w:rPr>
                <w:sz w:val="20"/>
              </w:rPr>
              <w:t xml:space="preserve"> 0.02</w:t>
            </w:r>
          </w:p>
        </w:tc>
      </w:tr>
      <w:tr w:rsidR="00123786" w14:paraId="0122A6C4" w14:textId="77777777" w:rsidTr="00DC07C7">
        <w:tc>
          <w:tcPr>
            <w:tcW w:w="2972" w:type="dxa"/>
          </w:tcPr>
          <w:p w14:paraId="68225C95" w14:textId="77777777" w:rsidR="00123786" w:rsidRPr="000E221D" w:rsidRDefault="00123786" w:rsidP="00DC07C7">
            <w:pPr>
              <w:rPr>
                <w:sz w:val="20"/>
              </w:rPr>
            </w:pPr>
            <w:r w:rsidRPr="000E221D">
              <w:rPr>
                <w:sz w:val="20"/>
              </w:rPr>
              <w:t>Paraquat</w:t>
            </w:r>
          </w:p>
        </w:tc>
        <w:tc>
          <w:tcPr>
            <w:tcW w:w="3080" w:type="dxa"/>
          </w:tcPr>
          <w:p w14:paraId="0946B3E6" w14:textId="77777777" w:rsidR="00123786" w:rsidRPr="000E221D" w:rsidRDefault="00123786" w:rsidP="00DC07C7">
            <w:pPr>
              <w:jc w:val="center"/>
              <w:rPr>
                <w:sz w:val="20"/>
              </w:rPr>
            </w:pPr>
            <w:r w:rsidRPr="000E221D">
              <w:rPr>
                <w:sz w:val="20"/>
              </w:rPr>
              <w:t xml:space="preserve">4.10 </w:t>
            </w:r>
            <w:r w:rsidRPr="000E221D">
              <w:rPr>
                <w:sz w:val="20"/>
                <w:u w:val="single"/>
              </w:rPr>
              <w:t>+</w:t>
            </w:r>
            <w:r w:rsidRPr="000E221D">
              <w:rPr>
                <w:sz w:val="20"/>
              </w:rPr>
              <w:t xml:space="preserve"> 0.17*</w:t>
            </w:r>
          </w:p>
        </w:tc>
        <w:tc>
          <w:tcPr>
            <w:tcW w:w="3020" w:type="dxa"/>
          </w:tcPr>
          <w:p w14:paraId="78702404" w14:textId="77777777" w:rsidR="00123786" w:rsidRPr="000E221D" w:rsidRDefault="00123786" w:rsidP="00DC07C7">
            <w:pPr>
              <w:jc w:val="center"/>
              <w:rPr>
                <w:sz w:val="20"/>
              </w:rPr>
            </w:pPr>
            <w:r w:rsidRPr="000E221D">
              <w:rPr>
                <w:sz w:val="20"/>
              </w:rPr>
              <w:t xml:space="preserve">1.05 </w:t>
            </w:r>
            <w:r w:rsidRPr="000E221D">
              <w:rPr>
                <w:sz w:val="20"/>
                <w:u w:val="single"/>
              </w:rPr>
              <w:t>+</w:t>
            </w:r>
            <w:r w:rsidRPr="000E221D">
              <w:rPr>
                <w:sz w:val="20"/>
              </w:rPr>
              <w:t xml:space="preserve"> 0.16**</w:t>
            </w:r>
          </w:p>
        </w:tc>
      </w:tr>
    </w:tbl>
    <w:p w14:paraId="296463AD" w14:textId="77777777" w:rsidR="00123786" w:rsidRDefault="00123786" w:rsidP="00123786">
      <w:pPr>
        <w:rPr>
          <w:sz w:val="20"/>
        </w:rPr>
      </w:pPr>
      <w:r>
        <w:rPr>
          <w:sz w:val="20"/>
        </w:rPr>
        <w:t xml:space="preserve">Results expressed as mean </w:t>
      </w:r>
      <w:r>
        <w:rPr>
          <w:sz w:val="20"/>
          <w:u w:val="single"/>
        </w:rPr>
        <w:t>+</w:t>
      </w:r>
      <w:r>
        <w:rPr>
          <w:sz w:val="20"/>
        </w:rPr>
        <w:t xml:space="preserve"> 1 SD; * p&lt;0.05; ** p&lt;0.01.</w:t>
      </w:r>
    </w:p>
    <w:p w14:paraId="0B50BFB7" w14:textId="77777777" w:rsidR="00123786" w:rsidRDefault="00123786" w:rsidP="00123786"/>
    <w:p w14:paraId="33D7829F" w14:textId="77777777" w:rsidR="00123786" w:rsidRDefault="00123786" w:rsidP="00123786">
      <w:r>
        <w:t xml:space="preserve">In summary, paraquat administered iv to male SD rats at 20 mg/kg bw/d (equivalent to 14.4 </w:t>
      </w:r>
      <w:r w:rsidRPr="00BE3886">
        <w:t xml:space="preserve">mg/kg bw/d paraquat cation) over 5 days reduced striatal </w:t>
      </w:r>
      <w:r w:rsidR="00011149">
        <w:t>DA</w:t>
      </w:r>
      <w:r w:rsidRPr="00BE3886">
        <w:t xml:space="preserve"> levels, increased lipid peroxidation and inhibited complex I activity in the brain (and liver). </w:t>
      </w:r>
      <w:r w:rsidRPr="001B41CA">
        <w:t xml:space="preserve">Parallels can be drawn with the neurotoxicity of MPTP which reduces striatal </w:t>
      </w:r>
      <w:r w:rsidR="00011149">
        <w:t>DA</w:t>
      </w:r>
      <w:r w:rsidRPr="001B41CA">
        <w:t xml:space="preserve"> and inhibits complex I activity.</w:t>
      </w:r>
    </w:p>
    <w:p w14:paraId="6DBAD341" w14:textId="77777777" w:rsidR="00123786" w:rsidRPr="002B2CFC" w:rsidRDefault="00123786" w:rsidP="002B2CFC">
      <w:pPr>
        <w:rPr>
          <w:szCs w:val="24"/>
          <w:lang w:val="en-US" w:eastAsia="en-US"/>
        </w:rPr>
      </w:pPr>
    </w:p>
    <w:p w14:paraId="334763BB" w14:textId="77777777" w:rsidR="002B2CFC" w:rsidRPr="002B2CFC" w:rsidRDefault="002B2CFC" w:rsidP="002B2CFC">
      <w:pPr>
        <w:rPr>
          <w:szCs w:val="24"/>
          <w:lang w:eastAsia="en-US"/>
        </w:rPr>
      </w:pPr>
    </w:p>
    <w:bookmarkEnd w:id="1"/>
    <w:bookmarkEnd w:id="2"/>
    <w:bookmarkEnd w:id="166"/>
    <w:p w14:paraId="54C9C996" w14:textId="36A57CD9" w:rsidR="0005512A" w:rsidRPr="00CE588E" w:rsidRDefault="0005512A" w:rsidP="0005512A"/>
    <w:p w14:paraId="5C47525D" w14:textId="77777777" w:rsidR="00123786" w:rsidRDefault="00123786">
      <w:r>
        <w:br w:type="page"/>
      </w:r>
    </w:p>
    <w:p w14:paraId="372F8F94" w14:textId="268F22AC" w:rsidR="00436573" w:rsidRDefault="001272EC" w:rsidP="005E54CD">
      <w:pPr>
        <w:pStyle w:val="Heading1"/>
        <w:numPr>
          <w:ilvl w:val="0"/>
          <w:numId w:val="17"/>
        </w:numPr>
      </w:pPr>
      <w:bookmarkStart w:id="186" w:name="_Ref421028174"/>
      <w:bookmarkStart w:id="187" w:name="_Toc459108333"/>
      <w:bookmarkStart w:id="188" w:name="_Ref420934724"/>
      <w:bookmarkStart w:id="189" w:name="_Ref420934765"/>
      <w:bookmarkStart w:id="190" w:name="_Ref420996283"/>
      <w:bookmarkStart w:id="191" w:name="_Ref420996294"/>
      <w:bookmarkStart w:id="192" w:name="_Ref420996605"/>
      <w:r w:rsidRPr="009E40A8">
        <w:lastRenderedPageBreak/>
        <w:t>A</w:t>
      </w:r>
      <w:r>
        <w:t xml:space="preserve">dditional Study Detail from </w:t>
      </w:r>
      <w:r w:rsidR="00D765BA">
        <w:t>Unp</w:t>
      </w:r>
      <w:r>
        <w:t>ublished Papers Discussed in this Supplement</w:t>
      </w:r>
      <w:bookmarkEnd w:id="186"/>
      <w:bookmarkEnd w:id="187"/>
      <w:r>
        <w:t xml:space="preserve"> </w:t>
      </w:r>
      <w:bookmarkEnd w:id="188"/>
      <w:bookmarkEnd w:id="189"/>
      <w:bookmarkEnd w:id="190"/>
      <w:bookmarkEnd w:id="191"/>
      <w:bookmarkEnd w:id="192"/>
    </w:p>
    <w:p w14:paraId="36A3F9C8" w14:textId="77777777" w:rsidR="00E21D62" w:rsidRDefault="00E21D62" w:rsidP="00E21D62">
      <w:pPr>
        <w:rPr>
          <w:szCs w:val="24"/>
          <w:lang w:val="en-US" w:eastAsia="en-US"/>
        </w:rPr>
      </w:pPr>
    </w:p>
    <w:p w14:paraId="4BB23F67" w14:textId="77777777" w:rsidR="00E21D62" w:rsidRDefault="00E21D62" w:rsidP="00E21D62">
      <w:pPr>
        <w:rPr>
          <w:szCs w:val="24"/>
          <w:lang w:val="en-US" w:eastAsia="en-US"/>
        </w:rPr>
      </w:pPr>
      <w:r>
        <w:rPr>
          <w:szCs w:val="24"/>
          <w:lang w:val="en-US" w:eastAsia="en-US"/>
        </w:rPr>
        <w:t>The following three studies are specialist reports conducted as part of:</w:t>
      </w:r>
    </w:p>
    <w:p w14:paraId="103732C7" w14:textId="77777777" w:rsidR="00E21D62" w:rsidRDefault="00E21D62" w:rsidP="00E21D62">
      <w:pPr>
        <w:rPr>
          <w:szCs w:val="24"/>
          <w:lang w:val="en-US" w:eastAsia="en-US"/>
        </w:rPr>
      </w:pPr>
    </w:p>
    <w:p w14:paraId="30A3C666" w14:textId="77777777" w:rsidR="00E21D62" w:rsidRPr="002B2CFC" w:rsidRDefault="00E21D62" w:rsidP="00E21D62">
      <w:pPr>
        <w:keepNext/>
        <w:keepLines/>
        <w:rPr>
          <w:b/>
          <w:szCs w:val="24"/>
          <w:lang w:val="en-US" w:eastAsia="en-US"/>
        </w:rPr>
      </w:pPr>
      <w:r>
        <w:rPr>
          <w:b/>
          <w:szCs w:val="24"/>
          <w:lang w:val="en-US" w:eastAsia="en-US"/>
        </w:rPr>
        <w:t>"</w:t>
      </w:r>
      <w:r w:rsidRPr="002B2CFC">
        <w:rPr>
          <w:b/>
          <w:szCs w:val="24"/>
          <w:lang w:val="en-US" w:eastAsia="en-US"/>
        </w:rPr>
        <w:t>Beck MJ (2013) Subchronic (91-day) dietary study to assess the effects of paraquat dichloride on dopaminergic neurons in C57BL/6J mice. Study No./Report No.: WIL-639158. Task No.: TK0000969. Unpublished</w:t>
      </w:r>
      <w:r>
        <w:rPr>
          <w:b/>
          <w:szCs w:val="24"/>
          <w:lang w:val="en-US" w:eastAsia="en-US"/>
        </w:rPr>
        <w:t>.\</w:t>
      </w:r>
      <w:r w:rsidRPr="002B2CFC">
        <w:rPr>
          <w:b/>
          <w:szCs w:val="24"/>
          <w:lang w:val="en-US" w:eastAsia="en-US"/>
        </w:rPr>
        <w:t xml:space="preserve"> Report date: January 24, 2013</w:t>
      </w:r>
      <w:r>
        <w:rPr>
          <w:b/>
          <w:szCs w:val="24"/>
          <w:lang w:val="en-US" w:eastAsia="en-US"/>
        </w:rPr>
        <w:t>"</w:t>
      </w:r>
    </w:p>
    <w:p w14:paraId="15FF032F" w14:textId="77777777" w:rsidR="00E21D62" w:rsidRDefault="00E21D62" w:rsidP="00E21D62">
      <w:pPr>
        <w:rPr>
          <w:szCs w:val="24"/>
          <w:lang w:val="en-US" w:eastAsia="en-US"/>
        </w:rPr>
      </w:pPr>
    </w:p>
    <w:p w14:paraId="7329EA87" w14:textId="77777777" w:rsidR="00E21D62" w:rsidRDefault="00E21D62" w:rsidP="00E21D62">
      <w:pPr>
        <w:rPr>
          <w:szCs w:val="24"/>
          <w:lang w:val="en-US" w:eastAsia="en-US"/>
        </w:rPr>
      </w:pPr>
      <w:r>
        <w:rPr>
          <w:szCs w:val="24"/>
          <w:lang w:val="en-US" w:eastAsia="en-US"/>
        </w:rPr>
        <w:t>The findings are included in the Beck (2013) report, but additional details presented in this Appendix.</w:t>
      </w:r>
    </w:p>
    <w:p w14:paraId="2A172FAF" w14:textId="77777777" w:rsidR="002F03FC" w:rsidRDefault="002F03FC" w:rsidP="00E21D62">
      <w:pPr>
        <w:rPr>
          <w:szCs w:val="24"/>
          <w:lang w:val="en-US" w:eastAsia="en-US"/>
        </w:rPr>
      </w:pPr>
    </w:p>
    <w:p w14:paraId="568D231E" w14:textId="77777777" w:rsidR="00E21D62" w:rsidRDefault="00E21D62" w:rsidP="00E21D62">
      <w:pPr>
        <w:rPr>
          <w:szCs w:val="24"/>
          <w:lang w:val="en-US" w:eastAsia="en-US"/>
        </w:rPr>
      </w:pPr>
    </w:p>
    <w:p w14:paraId="7F8907DE" w14:textId="013A4591" w:rsidR="00E21D62" w:rsidRPr="005E54CD" w:rsidRDefault="00897462" w:rsidP="00E21D62">
      <w:pPr>
        <w:pStyle w:val="ListParagraph"/>
        <w:numPr>
          <w:ilvl w:val="0"/>
          <w:numId w:val="15"/>
        </w:numPr>
        <w:rPr>
          <w:rFonts w:ascii="Times New Roman" w:hAnsi="Times New Roman"/>
          <w:sz w:val="24"/>
          <w:szCs w:val="24"/>
          <w:lang w:val="en-US" w:eastAsia="en-US"/>
        </w:rPr>
      </w:pPr>
      <w:bookmarkStart w:id="193" w:name="_Ref420928363"/>
      <w:r w:rsidRPr="005E54CD">
        <w:rPr>
          <w:rFonts w:ascii="Times New Roman" w:hAnsi="Times New Roman"/>
          <w:sz w:val="24"/>
          <w:szCs w:val="24"/>
          <w:lang w:val="en-US" w:eastAsia="en-US"/>
        </w:rPr>
        <w:t xml:space="preserve">Stereology assessment </w:t>
      </w:r>
      <w:r w:rsidRPr="005E54CD">
        <w:rPr>
          <w:rFonts w:ascii="Times New Roman" w:eastAsia="Calibri" w:hAnsi="Times New Roman"/>
          <w:sz w:val="24"/>
          <w:szCs w:val="24"/>
          <w:lang w:val="en-US" w:eastAsia="en-US"/>
        </w:rPr>
        <w:t>of Beck (2013) study</w:t>
      </w:r>
      <w:r w:rsidRPr="005E54CD">
        <w:rPr>
          <w:rFonts w:ascii="Times New Roman" w:hAnsi="Times New Roman"/>
          <w:sz w:val="24"/>
          <w:szCs w:val="24"/>
          <w:lang w:val="en-US" w:eastAsia="en-US"/>
        </w:rPr>
        <w:t xml:space="preserve"> (Subset I):</w:t>
      </w:r>
      <w:bookmarkEnd w:id="193"/>
    </w:p>
    <w:p w14:paraId="46FFC4E9" w14:textId="77777777" w:rsidR="00E21D62" w:rsidRPr="002B2CFC" w:rsidRDefault="00E21D62" w:rsidP="00E21D62">
      <w:pPr>
        <w:rPr>
          <w:szCs w:val="24"/>
          <w:lang w:val="en-US" w:eastAsia="en-US"/>
        </w:rPr>
      </w:pPr>
    </w:p>
    <w:p w14:paraId="5D3202D2" w14:textId="77777777" w:rsidR="00E21D62" w:rsidRPr="002B2CFC" w:rsidRDefault="00E21D62" w:rsidP="00E21D62">
      <w:pPr>
        <w:keepNext/>
        <w:keepLines/>
        <w:rPr>
          <w:b/>
          <w:szCs w:val="24"/>
          <w:lang w:val="en-US" w:eastAsia="en-US"/>
        </w:rPr>
      </w:pPr>
      <w:r w:rsidRPr="002B2CFC">
        <w:rPr>
          <w:b/>
          <w:szCs w:val="24"/>
          <w:lang w:val="en-US" w:eastAsia="en-US"/>
        </w:rPr>
        <w:t xml:space="preserve">Wolf JC (2013) Final stereology report: </w:t>
      </w:r>
      <w:r w:rsidRPr="002B2CFC">
        <w:rPr>
          <w:b/>
          <w:i/>
          <w:szCs w:val="24"/>
          <w:lang w:val="en-US" w:eastAsia="en-US"/>
        </w:rPr>
        <w:t>Subchronic (91-day) dietary study to assess the effects of paraquat dichloride on dopaminergic neurons in C57BL/6J mice</w:t>
      </w:r>
      <w:r w:rsidRPr="002B2CFC">
        <w:rPr>
          <w:b/>
          <w:szCs w:val="24"/>
          <w:lang w:val="en-US" w:eastAsia="en-US"/>
        </w:rPr>
        <w:t>. Study No.: WIL-639158. EPL Reference No.: 140-123. Unpublished, Report date: January 17, 2013</w:t>
      </w:r>
    </w:p>
    <w:p w14:paraId="62A32CDF" w14:textId="77777777" w:rsidR="00E21D62" w:rsidRPr="002B2CFC" w:rsidRDefault="00E21D62" w:rsidP="00E21D62">
      <w:pPr>
        <w:rPr>
          <w:szCs w:val="24"/>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668"/>
        <w:gridCol w:w="5307"/>
      </w:tblGrid>
      <w:tr w:rsidR="00E21D62" w:rsidRPr="002B2CFC" w14:paraId="514E28DA" w14:textId="77777777" w:rsidTr="00822CE8">
        <w:trPr>
          <w:cantSplit/>
          <w:jc w:val="center"/>
        </w:trPr>
        <w:tc>
          <w:tcPr>
            <w:tcW w:w="1668" w:type="dxa"/>
          </w:tcPr>
          <w:p w14:paraId="28FD4725" w14:textId="77777777" w:rsidR="00E21D62" w:rsidRPr="002B2CFC" w:rsidRDefault="00E21D62" w:rsidP="00822CE8">
            <w:pPr>
              <w:keepNext/>
              <w:keepLines/>
              <w:rPr>
                <w:sz w:val="20"/>
              </w:rPr>
            </w:pPr>
            <w:r w:rsidRPr="002B2CFC">
              <w:rPr>
                <w:sz w:val="20"/>
              </w:rPr>
              <w:t>Test Compound*:</w:t>
            </w:r>
          </w:p>
        </w:tc>
        <w:tc>
          <w:tcPr>
            <w:tcW w:w="5307" w:type="dxa"/>
          </w:tcPr>
          <w:p w14:paraId="179F3202" w14:textId="77777777" w:rsidR="00E21D62" w:rsidRPr="002B2CFC" w:rsidRDefault="00E21D62" w:rsidP="00822CE8">
            <w:pPr>
              <w:keepNext/>
              <w:keepLines/>
              <w:rPr>
                <w:color w:val="FF0000"/>
                <w:sz w:val="20"/>
              </w:rPr>
            </w:pPr>
            <w:r w:rsidRPr="002B2CFC">
              <w:rPr>
                <w:sz w:val="20"/>
              </w:rPr>
              <w:t>Paraquat dichloride (purity: 99.9%)</w:t>
            </w:r>
          </w:p>
        </w:tc>
      </w:tr>
      <w:tr w:rsidR="00E21D62" w:rsidRPr="002B2CFC" w14:paraId="7B2B0AF6" w14:textId="77777777" w:rsidTr="00822CE8">
        <w:trPr>
          <w:cantSplit/>
          <w:jc w:val="center"/>
        </w:trPr>
        <w:tc>
          <w:tcPr>
            <w:tcW w:w="1668" w:type="dxa"/>
          </w:tcPr>
          <w:p w14:paraId="3E8220E4" w14:textId="77777777" w:rsidR="00E21D62" w:rsidRPr="002B2CFC" w:rsidRDefault="00E21D62" w:rsidP="00822CE8">
            <w:pPr>
              <w:keepNext/>
              <w:keepLines/>
              <w:rPr>
                <w:sz w:val="20"/>
              </w:rPr>
            </w:pPr>
            <w:r w:rsidRPr="002B2CFC">
              <w:rPr>
                <w:sz w:val="20"/>
              </w:rPr>
              <w:t>Batch:*</w:t>
            </w:r>
          </w:p>
        </w:tc>
        <w:tc>
          <w:tcPr>
            <w:tcW w:w="5307" w:type="dxa"/>
          </w:tcPr>
          <w:p w14:paraId="2134A1AC" w14:textId="77777777" w:rsidR="00E21D62" w:rsidRPr="002B2CFC" w:rsidRDefault="00E21D62" w:rsidP="00822CE8">
            <w:pPr>
              <w:keepNext/>
              <w:keepLines/>
              <w:rPr>
                <w:color w:val="FF0000"/>
                <w:sz w:val="20"/>
              </w:rPr>
            </w:pPr>
            <w:r w:rsidRPr="002B2CFC">
              <w:rPr>
                <w:sz w:val="20"/>
              </w:rPr>
              <w:t>ASJ10083-03 [WIL ID No. 110018]</w:t>
            </w:r>
          </w:p>
        </w:tc>
      </w:tr>
      <w:tr w:rsidR="00E21D62" w:rsidRPr="002B2CFC" w14:paraId="5450C46A" w14:textId="77777777" w:rsidTr="00822CE8">
        <w:trPr>
          <w:cantSplit/>
          <w:jc w:val="center"/>
        </w:trPr>
        <w:tc>
          <w:tcPr>
            <w:tcW w:w="1668" w:type="dxa"/>
          </w:tcPr>
          <w:p w14:paraId="3D508A82" w14:textId="77777777" w:rsidR="00E21D62" w:rsidRPr="002B2CFC" w:rsidRDefault="00E21D62" w:rsidP="00822CE8">
            <w:pPr>
              <w:keepNext/>
              <w:keepLines/>
              <w:rPr>
                <w:sz w:val="20"/>
              </w:rPr>
            </w:pPr>
            <w:r w:rsidRPr="002B2CFC">
              <w:rPr>
                <w:sz w:val="20"/>
              </w:rPr>
              <w:t>Test Species:*</w:t>
            </w:r>
          </w:p>
        </w:tc>
        <w:tc>
          <w:tcPr>
            <w:tcW w:w="5307" w:type="dxa"/>
          </w:tcPr>
          <w:p w14:paraId="55DE82E7" w14:textId="77777777" w:rsidR="00E21D62" w:rsidRPr="002B2CFC" w:rsidRDefault="00E21D62" w:rsidP="00822CE8">
            <w:pPr>
              <w:keepNext/>
              <w:keepLines/>
              <w:rPr>
                <w:color w:val="FF0000"/>
                <w:sz w:val="20"/>
              </w:rPr>
            </w:pPr>
            <w:r w:rsidRPr="002B2CFC">
              <w:rPr>
                <w:sz w:val="20"/>
              </w:rPr>
              <w:t xml:space="preserve">C57BL/6J mice, </w:t>
            </w:r>
            <w:r w:rsidRPr="002B2CFC">
              <w:rPr>
                <w:b/>
                <w:sz w:val="20"/>
              </w:rPr>
              <w:t>stereological assessment</w:t>
            </w:r>
            <w:r w:rsidRPr="002B2CFC">
              <w:rPr>
                <w:sz w:val="20"/>
              </w:rPr>
              <w:t>: 20/sex/dose,</w:t>
            </w:r>
            <w:r>
              <w:rPr>
                <w:sz w:val="20"/>
              </w:rPr>
              <w:t xml:space="preserve"> </w:t>
            </w:r>
            <w:r w:rsidRPr="002B2CFC">
              <w:rPr>
                <w:sz w:val="20"/>
              </w:rPr>
              <w:t>age: approximately 10 weeks, bw: 18.0 – 26.8 g for males and 14.9 – 21.1 g for females; source: The Jackson Laboratory, Bar Harbor, ME, USA</w:t>
            </w:r>
          </w:p>
        </w:tc>
      </w:tr>
      <w:tr w:rsidR="00E21D62" w:rsidRPr="002B2CFC" w14:paraId="56C046E1" w14:textId="77777777" w:rsidTr="00822CE8">
        <w:trPr>
          <w:cantSplit/>
          <w:jc w:val="center"/>
        </w:trPr>
        <w:tc>
          <w:tcPr>
            <w:tcW w:w="1668" w:type="dxa"/>
          </w:tcPr>
          <w:p w14:paraId="398BF0F2" w14:textId="77777777" w:rsidR="00E21D62" w:rsidRPr="002B2CFC" w:rsidRDefault="00E21D62" w:rsidP="00822CE8">
            <w:pPr>
              <w:keepNext/>
              <w:keepLines/>
              <w:rPr>
                <w:sz w:val="20"/>
              </w:rPr>
            </w:pPr>
            <w:r w:rsidRPr="002B2CFC">
              <w:rPr>
                <w:sz w:val="20"/>
              </w:rPr>
              <w:t>Study Duration:*</w:t>
            </w:r>
          </w:p>
        </w:tc>
        <w:tc>
          <w:tcPr>
            <w:tcW w:w="5307" w:type="dxa"/>
          </w:tcPr>
          <w:p w14:paraId="48A756F8" w14:textId="77777777" w:rsidR="00E21D62" w:rsidRPr="002B2CFC" w:rsidRDefault="00E21D62" w:rsidP="00822CE8">
            <w:pPr>
              <w:keepNext/>
              <w:keepLines/>
              <w:rPr>
                <w:color w:val="FF0000"/>
                <w:sz w:val="20"/>
              </w:rPr>
            </w:pPr>
            <w:r w:rsidRPr="002B2CFC">
              <w:rPr>
                <w:sz w:val="20"/>
              </w:rPr>
              <w:t>July 12, 2011 – January 17, 2013</w:t>
            </w:r>
          </w:p>
        </w:tc>
      </w:tr>
      <w:tr w:rsidR="00E21D62" w:rsidRPr="002B2CFC" w14:paraId="0793C318" w14:textId="77777777" w:rsidTr="00822CE8">
        <w:trPr>
          <w:cantSplit/>
          <w:jc w:val="center"/>
        </w:trPr>
        <w:tc>
          <w:tcPr>
            <w:tcW w:w="1668" w:type="dxa"/>
          </w:tcPr>
          <w:p w14:paraId="296BF6F6" w14:textId="77777777" w:rsidR="00E21D62" w:rsidRPr="002B2CFC" w:rsidRDefault="00E21D62" w:rsidP="00822CE8">
            <w:pPr>
              <w:keepNext/>
              <w:keepLines/>
              <w:rPr>
                <w:sz w:val="20"/>
              </w:rPr>
            </w:pPr>
            <w:r w:rsidRPr="002B2CFC">
              <w:rPr>
                <w:sz w:val="20"/>
              </w:rPr>
              <w:t>Laboratory:</w:t>
            </w:r>
          </w:p>
        </w:tc>
        <w:tc>
          <w:tcPr>
            <w:tcW w:w="5307" w:type="dxa"/>
          </w:tcPr>
          <w:p w14:paraId="2DEE1150" w14:textId="77777777" w:rsidR="00E21D62" w:rsidRPr="002B2CFC" w:rsidRDefault="00E21D62" w:rsidP="00822CE8">
            <w:pPr>
              <w:keepNext/>
              <w:keepLines/>
              <w:rPr>
                <w:sz w:val="20"/>
              </w:rPr>
            </w:pPr>
            <w:r w:rsidRPr="002B2CFC">
              <w:rPr>
                <w:sz w:val="20"/>
              </w:rPr>
              <w:t>Experimental Pathology Laboratories (EPL), 45600 Terminal Drive, Sterling, VA 20166  (stereology)</w:t>
            </w:r>
          </w:p>
          <w:p w14:paraId="211AEAA7" w14:textId="77777777" w:rsidR="00E21D62" w:rsidRPr="002B2CFC" w:rsidRDefault="00E21D62" w:rsidP="00822CE8">
            <w:pPr>
              <w:keepNext/>
              <w:keepLines/>
              <w:rPr>
                <w:sz w:val="20"/>
              </w:rPr>
            </w:pPr>
          </w:p>
          <w:p w14:paraId="20A8D22D" w14:textId="77777777" w:rsidR="00E21D62" w:rsidRPr="002B2CFC" w:rsidRDefault="00E21D62" w:rsidP="00822CE8">
            <w:pPr>
              <w:keepNext/>
              <w:keepLines/>
              <w:rPr>
                <w:sz w:val="20"/>
              </w:rPr>
            </w:pPr>
            <w:r w:rsidRPr="002B2CFC">
              <w:rPr>
                <w:sz w:val="20"/>
              </w:rPr>
              <w:t>Sielken &amp;Associates Consulting, Inc. 3833 Texas Av, Suite 230, Bryan, TX 77802 USA (statistical analyses of stereology data)</w:t>
            </w:r>
          </w:p>
        </w:tc>
      </w:tr>
      <w:tr w:rsidR="00E21D62" w:rsidRPr="002B2CFC" w14:paraId="59A02263" w14:textId="77777777" w:rsidTr="00822CE8">
        <w:trPr>
          <w:cantSplit/>
          <w:jc w:val="center"/>
        </w:trPr>
        <w:tc>
          <w:tcPr>
            <w:tcW w:w="1668" w:type="dxa"/>
          </w:tcPr>
          <w:p w14:paraId="4AB032C7" w14:textId="77777777" w:rsidR="00E21D62" w:rsidRPr="002B2CFC" w:rsidRDefault="00E21D62" w:rsidP="00822CE8">
            <w:pPr>
              <w:keepNext/>
              <w:keepLines/>
              <w:rPr>
                <w:sz w:val="20"/>
              </w:rPr>
            </w:pPr>
            <w:r w:rsidRPr="002B2CFC">
              <w:rPr>
                <w:sz w:val="20"/>
              </w:rPr>
              <w:t>GLP &amp; QA:</w:t>
            </w:r>
          </w:p>
        </w:tc>
        <w:tc>
          <w:tcPr>
            <w:tcW w:w="5307" w:type="dxa"/>
          </w:tcPr>
          <w:p w14:paraId="6498EBEF" w14:textId="77777777" w:rsidR="00E21D62" w:rsidRPr="002B2CFC" w:rsidRDefault="00E21D62" w:rsidP="00822CE8">
            <w:pPr>
              <w:keepNext/>
              <w:keepLines/>
              <w:rPr>
                <w:color w:val="FF0000"/>
                <w:sz w:val="20"/>
              </w:rPr>
            </w:pPr>
            <w:r w:rsidRPr="002B2CFC">
              <w:rPr>
                <w:sz w:val="20"/>
              </w:rPr>
              <w:t xml:space="preserve">Yes </w:t>
            </w:r>
          </w:p>
        </w:tc>
      </w:tr>
      <w:tr w:rsidR="00E21D62" w:rsidRPr="002B2CFC" w14:paraId="4D579EE8" w14:textId="77777777" w:rsidTr="00822CE8">
        <w:trPr>
          <w:cantSplit/>
          <w:jc w:val="center"/>
        </w:trPr>
        <w:tc>
          <w:tcPr>
            <w:tcW w:w="1668" w:type="dxa"/>
          </w:tcPr>
          <w:p w14:paraId="6F5425C0" w14:textId="77777777" w:rsidR="00E21D62" w:rsidRPr="002B2CFC" w:rsidRDefault="00E21D62" w:rsidP="00822CE8">
            <w:pPr>
              <w:keepNext/>
              <w:keepLines/>
              <w:rPr>
                <w:sz w:val="20"/>
              </w:rPr>
            </w:pPr>
            <w:r w:rsidRPr="002B2CFC">
              <w:rPr>
                <w:sz w:val="20"/>
              </w:rPr>
              <w:t>Guidelines:</w:t>
            </w:r>
          </w:p>
        </w:tc>
        <w:tc>
          <w:tcPr>
            <w:tcW w:w="5307" w:type="dxa"/>
          </w:tcPr>
          <w:p w14:paraId="0A392546" w14:textId="77777777" w:rsidR="00E21D62" w:rsidRPr="002B2CFC" w:rsidRDefault="00E21D62" w:rsidP="00822CE8">
            <w:pPr>
              <w:keepNext/>
              <w:keepLines/>
              <w:rPr>
                <w:color w:val="FF0000"/>
                <w:sz w:val="20"/>
              </w:rPr>
            </w:pPr>
            <w:r w:rsidRPr="002B2CFC">
              <w:rPr>
                <w:sz w:val="20"/>
              </w:rPr>
              <w:t>Not applicable</w:t>
            </w:r>
          </w:p>
        </w:tc>
      </w:tr>
    </w:tbl>
    <w:p w14:paraId="35781821" w14:textId="77777777" w:rsidR="00E21D62" w:rsidRPr="002B2CFC" w:rsidRDefault="00E21D62" w:rsidP="00E21D62">
      <w:pPr>
        <w:keepNext/>
        <w:keepLines/>
        <w:ind w:left="720"/>
        <w:rPr>
          <w:sz w:val="20"/>
        </w:rPr>
      </w:pPr>
      <w:r w:rsidRPr="002B2CFC">
        <w:rPr>
          <w:sz w:val="20"/>
        </w:rPr>
        <w:t>*In-life component conducted by WIL Research Laboratories, LLC, 1047 George Road, Ashland, OH 44805-8946 USA (performing laboratory)</w:t>
      </w:r>
    </w:p>
    <w:p w14:paraId="5B426867" w14:textId="77777777" w:rsidR="00E21D62" w:rsidRPr="002B2CFC" w:rsidRDefault="00E21D62" w:rsidP="00E21D62">
      <w:pPr>
        <w:rPr>
          <w:szCs w:val="24"/>
          <w:lang w:val="en-US" w:eastAsia="en-US"/>
        </w:rPr>
      </w:pP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456"/>
        <w:gridCol w:w="1398"/>
        <w:gridCol w:w="2517"/>
        <w:gridCol w:w="3356"/>
      </w:tblGrid>
      <w:tr w:rsidR="00E21D62" w:rsidRPr="002B2CFC" w14:paraId="5F893A3C" w14:textId="77777777" w:rsidTr="00822CE8">
        <w:trPr>
          <w:cantSplit/>
        </w:trPr>
        <w:tc>
          <w:tcPr>
            <w:tcW w:w="834" w:type="pct"/>
            <w:tcBorders>
              <w:top w:val="single" w:sz="4" w:space="0" w:color="auto"/>
              <w:left w:val="single" w:sz="4" w:space="0" w:color="auto"/>
              <w:bottom w:val="single" w:sz="4" w:space="0" w:color="auto"/>
              <w:right w:val="single" w:sz="4" w:space="0" w:color="auto"/>
            </w:tcBorders>
            <w:shd w:val="clear" w:color="auto" w:fill="BFBFBF"/>
          </w:tcPr>
          <w:p w14:paraId="1DAC1D06" w14:textId="77777777" w:rsidR="00E21D62" w:rsidRPr="002B2CFC" w:rsidRDefault="00E21D62" w:rsidP="00822CE8">
            <w:pPr>
              <w:keepNext/>
              <w:keepLines/>
              <w:rPr>
                <w:b/>
                <w:bCs/>
                <w:sz w:val="20"/>
              </w:rPr>
            </w:pPr>
            <w:r w:rsidRPr="002B2CFC">
              <w:rPr>
                <w:b/>
                <w:bCs/>
                <w:sz w:val="20"/>
              </w:rPr>
              <w:t>Dosing method</w:t>
            </w:r>
          </w:p>
        </w:tc>
        <w:tc>
          <w:tcPr>
            <w:tcW w:w="801" w:type="pct"/>
            <w:tcBorders>
              <w:top w:val="single" w:sz="4" w:space="0" w:color="auto"/>
              <w:left w:val="single" w:sz="4" w:space="0" w:color="auto"/>
              <w:bottom w:val="single" w:sz="4" w:space="0" w:color="auto"/>
              <w:right w:val="single" w:sz="4" w:space="0" w:color="auto"/>
            </w:tcBorders>
            <w:shd w:val="clear" w:color="auto" w:fill="BFBFBF"/>
          </w:tcPr>
          <w:p w14:paraId="6EE22E57" w14:textId="77777777" w:rsidR="00E21D62" w:rsidRPr="002B2CFC" w:rsidRDefault="00E21D62" w:rsidP="00822CE8">
            <w:pPr>
              <w:keepNext/>
              <w:keepLines/>
              <w:rPr>
                <w:b/>
                <w:bCs/>
                <w:sz w:val="20"/>
              </w:rPr>
            </w:pPr>
            <w:r w:rsidRPr="002B2CFC">
              <w:rPr>
                <w:b/>
                <w:bCs/>
                <w:sz w:val="20"/>
              </w:rPr>
              <w:t>Vehicle</w:t>
            </w:r>
          </w:p>
        </w:tc>
        <w:tc>
          <w:tcPr>
            <w:tcW w:w="1442" w:type="pct"/>
            <w:tcBorders>
              <w:top w:val="single" w:sz="4" w:space="0" w:color="auto"/>
              <w:left w:val="single" w:sz="4" w:space="0" w:color="auto"/>
              <w:bottom w:val="single" w:sz="4" w:space="0" w:color="auto"/>
              <w:right w:val="single" w:sz="4" w:space="0" w:color="auto"/>
            </w:tcBorders>
            <w:shd w:val="clear" w:color="auto" w:fill="BFBFBF"/>
          </w:tcPr>
          <w:p w14:paraId="7618C486" w14:textId="77777777" w:rsidR="00E21D62" w:rsidRPr="002B2CFC" w:rsidRDefault="00E21D62" w:rsidP="00822CE8">
            <w:pPr>
              <w:keepNext/>
              <w:keepLines/>
              <w:rPr>
                <w:b/>
                <w:bCs/>
                <w:sz w:val="20"/>
              </w:rPr>
            </w:pPr>
            <w:r w:rsidRPr="002B2CFC">
              <w:rPr>
                <w:b/>
                <w:bCs/>
                <w:sz w:val="20"/>
              </w:rPr>
              <w:t>Dosing / observation</w:t>
            </w:r>
          </w:p>
          <w:p w14:paraId="2F3851E0" w14:textId="77777777" w:rsidR="00E21D62" w:rsidRPr="002B2CFC" w:rsidRDefault="00E21D62" w:rsidP="00822CE8">
            <w:pPr>
              <w:keepNext/>
              <w:keepLines/>
              <w:rPr>
                <w:b/>
                <w:bCs/>
                <w:sz w:val="20"/>
              </w:rPr>
            </w:pPr>
            <w:r w:rsidRPr="002B2CFC">
              <w:rPr>
                <w:b/>
                <w:bCs/>
                <w:sz w:val="20"/>
              </w:rPr>
              <w:t>period</w:t>
            </w:r>
          </w:p>
        </w:tc>
        <w:tc>
          <w:tcPr>
            <w:tcW w:w="1923" w:type="pct"/>
            <w:tcBorders>
              <w:top w:val="single" w:sz="4" w:space="0" w:color="auto"/>
              <w:left w:val="single" w:sz="4" w:space="0" w:color="auto"/>
              <w:bottom w:val="single" w:sz="4" w:space="0" w:color="auto"/>
              <w:right w:val="single" w:sz="4" w:space="0" w:color="auto"/>
            </w:tcBorders>
            <w:shd w:val="clear" w:color="auto" w:fill="BFBFBF"/>
          </w:tcPr>
          <w:p w14:paraId="1EA9C855" w14:textId="77777777" w:rsidR="00E21D62" w:rsidRPr="002B2CFC" w:rsidRDefault="00E21D62" w:rsidP="00822CE8">
            <w:pPr>
              <w:keepNext/>
              <w:keepLines/>
              <w:rPr>
                <w:b/>
                <w:bCs/>
                <w:sz w:val="20"/>
              </w:rPr>
            </w:pPr>
            <w:r w:rsidRPr="002B2CFC">
              <w:rPr>
                <w:b/>
                <w:bCs/>
                <w:sz w:val="20"/>
              </w:rPr>
              <w:t xml:space="preserve">Doses tested </w:t>
            </w:r>
          </w:p>
          <w:p w14:paraId="72772311" w14:textId="77777777" w:rsidR="00E21D62" w:rsidRPr="002B2CFC" w:rsidRDefault="00E21D62" w:rsidP="00822CE8">
            <w:pPr>
              <w:keepNext/>
              <w:keepLines/>
              <w:rPr>
                <w:b/>
                <w:bCs/>
                <w:sz w:val="20"/>
              </w:rPr>
            </w:pPr>
            <w:r w:rsidRPr="002B2CFC">
              <w:rPr>
                <w:b/>
                <w:bCs/>
                <w:sz w:val="20"/>
              </w:rPr>
              <w:t>(ppm)</w:t>
            </w:r>
          </w:p>
        </w:tc>
      </w:tr>
      <w:tr w:rsidR="00E21D62" w:rsidRPr="002B2CFC" w14:paraId="77422582" w14:textId="77777777" w:rsidTr="00822CE8">
        <w:trPr>
          <w:cantSplit/>
        </w:trPr>
        <w:tc>
          <w:tcPr>
            <w:tcW w:w="834" w:type="pct"/>
            <w:tcBorders>
              <w:top w:val="single" w:sz="4" w:space="0" w:color="auto"/>
              <w:left w:val="single" w:sz="4" w:space="0" w:color="auto"/>
              <w:bottom w:val="single" w:sz="4" w:space="0" w:color="auto"/>
              <w:right w:val="single" w:sz="4" w:space="0" w:color="auto"/>
            </w:tcBorders>
            <w:vAlign w:val="center"/>
          </w:tcPr>
          <w:p w14:paraId="2E8C01C4" w14:textId="77777777" w:rsidR="00E21D62" w:rsidRPr="002B2CFC" w:rsidRDefault="00E21D62" w:rsidP="00822CE8">
            <w:pPr>
              <w:keepNext/>
              <w:keepLines/>
              <w:jc w:val="left"/>
              <w:rPr>
                <w:sz w:val="20"/>
              </w:rPr>
            </w:pPr>
            <w:r w:rsidRPr="002B2CFC">
              <w:rPr>
                <w:sz w:val="20"/>
              </w:rPr>
              <w:t>Dietary</w:t>
            </w:r>
          </w:p>
        </w:tc>
        <w:tc>
          <w:tcPr>
            <w:tcW w:w="801" w:type="pct"/>
            <w:tcBorders>
              <w:top w:val="single" w:sz="4" w:space="0" w:color="auto"/>
              <w:left w:val="single" w:sz="4" w:space="0" w:color="auto"/>
              <w:bottom w:val="single" w:sz="4" w:space="0" w:color="auto"/>
              <w:right w:val="single" w:sz="4" w:space="0" w:color="auto"/>
            </w:tcBorders>
            <w:vAlign w:val="center"/>
          </w:tcPr>
          <w:p w14:paraId="4C2C7A3E" w14:textId="77777777" w:rsidR="00E21D62" w:rsidRPr="002B2CFC" w:rsidRDefault="00E21D62" w:rsidP="00822CE8">
            <w:pPr>
              <w:keepNext/>
              <w:keepLines/>
              <w:jc w:val="left"/>
              <w:rPr>
                <w:sz w:val="20"/>
              </w:rPr>
            </w:pPr>
            <w:r w:rsidRPr="002B2CFC">
              <w:rPr>
                <w:sz w:val="20"/>
              </w:rPr>
              <w:t>None</w:t>
            </w:r>
          </w:p>
        </w:tc>
        <w:tc>
          <w:tcPr>
            <w:tcW w:w="1442" w:type="pct"/>
            <w:tcBorders>
              <w:top w:val="single" w:sz="4" w:space="0" w:color="auto"/>
              <w:left w:val="single" w:sz="4" w:space="0" w:color="auto"/>
              <w:bottom w:val="single" w:sz="4" w:space="0" w:color="auto"/>
              <w:right w:val="single" w:sz="4" w:space="0" w:color="auto"/>
            </w:tcBorders>
            <w:vAlign w:val="center"/>
          </w:tcPr>
          <w:p w14:paraId="615A85A5" w14:textId="77777777" w:rsidR="00E21D62" w:rsidRPr="002B2CFC" w:rsidRDefault="00E21D62" w:rsidP="00822CE8">
            <w:pPr>
              <w:keepNext/>
              <w:keepLines/>
              <w:jc w:val="left"/>
              <w:rPr>
                <w:sz w:val="20"/>
              </w:rPr>
            </w:pPr>
            <w:r w:rsidRPr="002B2CFC">
              <w:rPr>
                <w:sz w:val="20"/>
              </w:rPr>
              <w:t>Continuously in the diet for 13-weeks</w:t>
            </w:r>
          </w:p>
        </w:tc>
        <w:tc>
          <w:tcPr>
            <w:tcW w:w="1923" w:type="pct"/>
            <w:tcBorders>
              <w:top w:val="single" w:sz="4" w:space="0" w:color="auto"/>
              <w:left w:val="single" w:sz="4" w:space="0" w:color="auto"/>
              <w:bottom w:val="single" w:sz="4" w:space="0" w:color="auto"/>
              <w:right w:val="single" w:sz="4" w:space="0" w:color="auto"/>
            </w:tcBorders>
            <w:vAlign w:val="center"/>
          </w:tcPr>
          <w:p w14:paraId="68C60513" w14:textId="77777777" w:rsidR="00E21D62" w:rsidRPr="002B2CFC" w:rsidRDefault="00E21D62" w:rsidP="00822CE8">
            <w:pPr>
              <w:keepNext/>
              <w:keepLines/>
              <w:jc w:val="left"/>
              <w:rPr>
                <w:sz w:val="20"/>
              </w:rPr>
            </w:pPr>
            <w:r w:rsidRPr="002B2CFC">
              <w:rPr>
                <w:sz w:val="20"/>
              </w:rPr>
              <w:t>0, 10, 50</w:t>
            </w:r>
          </w:p>
          <w:p w14:paraId="0FBD8698" w14:textId="77777777" w:rsidR="00E21D62" w:rsidRPr="002B2CFC" w:rsidRDefault="00E21D62" w:rsidP="00822CE8">
            <w:pPr>
              <w:keepNext/>
              <w:keepLines/>
              <w:jc w:val="left"/>
              <w:rPr>
                <w:sz w:val="20"/>
              </w:rPr>
            </w:pPr>
          </w:p>
          <w:p w14:paraId="74E11CC7" w14:textId="77777777" w:rsidR="00E21D62" w:rsidRPr="00C33BE1" w:rsidRDefault="00E21D62" w:rsidP="00822CE8">
            <w:pPr>
              <w:keepNext/>
              <w:keepLines/>
              <w:jc w:val="left"/>
              <w:rPr>
                <w:i/>
                <w:sz w:val="20"/>
              </w:rPr>
            </w:pPr>
            <w:r w:rsidRPr="002B2CFC">
              <w:rPr>
                <w:sz w:val="20"/>
              </w:rPr>
              <w:t>(</w:t>
            </w:r>
            <w:r w:rsidRPr="002B2CFC">
              <w:rPr>
                <w:i/>
                <w:sz w:val="20"/>
              </w:rPr>
              <w:t>Calculated average</w:t>
            </w:r>
            <w:r w:rsidRPr="00C33BE1">
              <w:rPr>
                <w:i/>
                <w:sz w:val="20"/>
              </w:rPr>
              <w:t xml:space="preserve"> paraquat dichloride:</w:t>
            </w:r>
          </w:p>
          <w:p w14:paraId="7B19FAE5" w14:textId="77777777" w:rsidR="00E21D62" w:rsidRPr="002B2CFC" w:rsidRDefault="00E21D62" w:rsidP="00822CE8">
            <w:pPr>
              <w:keepNext/>
              <w:keepLines/>
              <w:jc w:val="left"/>
              <w:rPr>
                <w:sz w:val="20"/>
              </w:rPr>
            </w:pPr>
            <w:r w:rsidRPr="002B2CFC">
              <w:rPr>
                <w:sz w:val="20"/>
              </w:rPr>
              <w:t>Males: 0, 2.4, 14.1 mg/kg bw/d</w:t>
            </w:r>
          </w:p>
          <w:p w14:paraId="2EBB2618" w14:textId="77777777" w:rsidR="00E21D62" w:rsidRDefault="00E21D62" w:rsidP="00822CE8">
            <w:pPr>
              <w:keepNext/>
              <w:keepLines/>
              <w:jc w:val="left"/>
              <w:rPr>
                <w:sz w:val="20"/>
              </w:rPr>
            </w:pPr>
            <w:r w:rsidRPr="002B2CFC">
              <w:rPr>
                <w:sz w:val="20"/>
              </w:rPr>
              <w:t xml:space="preserve">Females: 0, 3.7, 21.5 mg/kg bw/d) </w:t>
            </w:r>
          </w:p>
          <w:p w14:paraId="5CB126C8" w14:textId="77777777" w:rsidR="00E21D62" w:rsidRDefault="00E21D62" w:rsidP="00822CE8">
            <w:pPr>
              <w:keepNext/>
              <w:keepLines/>
              <w:jc w:val="left"/>
              <w:rPr>
                <w:sz w:val="20"/>
              </w:rPr>
            </w:pPr>
          </w:p>
          <w:p w14:paraId="1329AC1D" w14:textId="77777777" w:rsidR="00E21D62" w:rsidRPr="000102CE" w:rsidRDefault="00E21D62" w:rsidP="00822CE8">
            <w:pPr>
              <w:keepNext/>
              <w:keepLines/>
              <w:jc w:val="left"/>
              <w:rPr>
                <w:i/>
                <w:sz w:val="20"/>
              </w:rPr>
            </w:pPr>
            <w:r w:rsidRPr="002B2CFC">
              <w:rPr>
                <w:i/>
                <w:sz w:val="20"/>
              </w:rPr>
              <w:t>Calculated average</w:t>
            </w:r>
            <w:r w:rsidRPr="000102CE">
              <w:rPr>
                <w:i/>
                <w:sz w:val="20"/>
              </w:rPr>
              <w:t xml:space="preserve"> paraquat </w:t>
            </w:r>
            <w:r>
              <w:rPr>
                <w:i/>
                <w:sz w:val="20"/>
              </w:rPr>
              <w:t>ion</w:t>
            </w:r>
            <w:r w:rsidRPr="000102CE">
              <w:rPr>
                <w:i/>
                <w:sz w:val="20"/>
              </w:rPr>
              <w:t>:</w:t>
            </w:r>
          </w:p>
          <w:p w14:paraId="40BC85C3" w14:textId="77777777" w:rsidR="00E21D62" w:rsidRPr="002B2CFC" w:rsidRDefault="00E21D62" w:rsidP="00822CE8">
            <w:pPr>
              <w:keepNext/>
              <w:keepLines/>
              <w:jc w:val="left"/>
              <w:rPr>
                <w:sz w:val="20"/>
              </w:rPr>
            </w:pPr>
            <w:r w:rsidRPr="002B2CFC">
              <w:rPr>
                <w:sz w:val="20"/>
              </w:rPr>
              <w:t xml:space="preserve">Males: 0, </w:t>
            </w:r>
            <w:r>
              <w:rPr>
                <w:sz w:val="20"/>
              </w:rPr>
              <w:t>1.7</w:t>
            </w:r>
            <w:r w:rsidRPr="002B2CFC">
              <w:rPr>
                <w:sz w:val="20"/>
              </w:rPr>
              <w:t>, 1</w:t>
            </w:r>
            <w:r>
              <w:rPr>
                <w:sz w:val="20"/>
              </w:rPr>
              <w:t>0.2</w:t>
            </w:r>
            <w:r w:rsidRPr="002B2CFC">
              <w:rPr>
                <w:sz w:val="20"/>
              </w:rPr>
              <w:t xml:space="preserve"> mg/kg bw/d</w:t>
            </w:r>
          </w:p>
          <w:p w14:paraId="1B6470A5" w14:textId="77777777" w:rsidR="00E21D62" w:rsidRPr="002B2CFC" w:rsidRDefault="00E21D62" w:rsidP="00822CE8">
            <w:pPr>
              <w:keepNext/>
              <w:keepLines/>
              <w:jc w:val="left"/>
              <w:rPr>
                <w:sz w:val="20"/>
              </w:rPr>
            </w:pPr>
            <w:r w:rsidRPr="002B2CFC">
              <w:rPr>
                <w:sz w:val="20"/>
              </w:rPr>
              <w:t xml:space="preserve">Females: 0, </w:t>
            </w:r>
            <w:r>
              <w:rPr>
                <w:sz w:val="20"/>
              </w:rPr>
              <w:t>2</w:t>
            </w:r>
            <w:r w:rsidRPr="002B2CFC">
              <w:rPr>
                <w:sz w:val="20"/>
              </w:rPr>
              <w:t xml:space="preserve">.7, </w:t>
            </w:r>
            <w:r>
              <w:rPr>
                <w:sz w:val="20"/>
              </w:rPr>
              <w:t>15.6</w:t>
            </w:r>
            <w:r w:rsidRPr="002B2CFC">
              <w:rPr>
                <w:sz w:val="20"/>
              </w:rPr>
              <w:t xml:space="preserve"> mg/kg bw/d)</w:t>
            </w:r>
          </w:p>
        </w:tc>
      </w:tr>
      <w:tr w:rsidR="00E21D62" w:rsidRPr="002B2CFC" w14:paraId="0BA07F96" w14:textId="77777777" w:rsidTr="00822CE8">
        <w:trPr>
          <w:cantSplit/>
        </w:trPr>
        <w:tc>
          <w:tcPr>
            <w:tcW w:w="834" w:type="pct"/>
            <w:tcBorders>
              <w:top w:val="single" w:sz="4" w:space="0" w:color="auto"/>
              <w:left w:val="single" w:sz="4" w:space="0" w:color="auto"/>
              <w:bottom w:val="single" w:sz="4" w:space="0" w:color="auto"/>
              <w:right w:val="single" w:sz="4" w:space="0" w:color="auto"/>
            </w:tcBorders>
            <w:vAlign w:val="center"/>
          </w:tcPr>
          <w:p w14:paraId="3FA5D593" w14:textId="77777777" w:rsidR="00E21D62" w:rsidRDefault="00E21D62" w:rsidP="00822CE8">
            <w:pPr>
              <w:keepNext/>
              <w:keepLines/>
              <w:jc w:val="left"/>
              <w:rPr>
                <w:sz w:val="20"/>
              </w:rPr>
            </w:pPr>
            <w:r w:rsidRPr="002B2CFC">
              <w:rPr>
                <w:sz w:val="20"/>
              </w:rPr>
              <w:t>Positive control:</w:t>
            </w:r>
          </w:p>
          <w:p w14:paraId="57FF513A" w14:textId="77777777" w:rsidR="00E21D62" w:rsidRPr="002B2CFC" w:rsidRDefault="00E21D62" w:rsidP="00822CE8">
            <w:pPr>
              <w:keepNext/>
              <w:keepLines/>
              <w:jc w:val="left"/>
              <w:rPr>
                <w:sz w:val="20"/>
              </w:rPr>
            </w:pPr>
          </w:p>
          <w:p w14:paraId="78DBFC54" w14:textId="77777777" w:rsidR="00E21D62" w:rsidRPr="002B2CFC" w:rsidRDefault="00E21D62" w:rsidP="00822CE8">
            <w:pPr>
              <w:keepNext/>
              <w:keepLines/>
              <w:jc w:val="left"/>
              <w:rPr>
                <w:sz w:val="20"/>
              </w:rPr>
            </w:pPr>
            <w:r w:rsidRPr="002B2CFC">
              <w:rPr>
                <w:sz w:val="20"/>
              </w:rPr>
              <w:t>ip injection</w:t>
            </w:r>
          </w:p>
        </w:tc>
        <w:tc>
          <w:tcPr>
            <w:tcW w:w="801" w:type="pct"/>
            <w:tcBorders>
              <w:top w:val="single" w:sz="4" w:space="0" w:color="auto"/>
              <w:left w:val="single" w:sz="4" w:space="0" w:color="auto"/>
              <w:bottom w:val="single" w:sz="4" w:space="0" w:color="auto"/>
              <w:right w:val="single" w:sz="4" w:space="0" w:color="auto"/>
            </w:tcBorders>
            <w:vAlign w:val="center"/>
          </w:tcPr>
          <w:p w14:paraId="2A6C0FB0" w14:textId="77777777" w:rsidR="00E21D62" w:rsidRPr="002B2CFC" w:rsidRDefault="00E21D62" w:rsidP="00822CE8">
            <w:pPr>
              <w:keepNext/>
              <w:keepLines/>
              <w:jc w:val="left"/>
              <w:rPr>
                <w:sz w:val="20"/>
              </w:rPr>
            </w:pPr>
            <w:r w:rsidRPr="002B2CFC">
              <w:rPr>
                <w:sz w:val="20"/>
              </w:rPr>
              <w:t>0.9% sodium chloride for injection</w:t>
            </w:r>
          </w:p>
        </w:tc>
        <w:tc>
          <w:tcPr>
            <w:tcW w:w="1442" w:type="pct"/>
            <w:tcBorders>
              <w:top w:val="single" w:sz="4" w:space="0" w:color="auto"/>
              <w:left w:val="single" w:sz="4" w:space="0" w:color="auto"/>
              <w:bottom w:val="single" w:sz="4" w:space="0" w:color="auto"/>
              <w:right w:val="single" w:sz="4" w:space="0" w:color="auto"/>
            </w:tcBorders>
            <w:vAlign w:val="center"/>
          </w:tcPr>
          <w:p w14:paraId="0EA29F71" w14:textId="77777777" w:rsidR="00E21D62" w:rsidRPr="002B2CFC" w:rsidRDefault="00E21D62" w:rsidP="00822CE8">
            <w:pPr>
              <w:keepNext/>
              <w:keepLines/>
              <w:jc w:val="left"/>
              <w:rPr>
                <w:sz w:val="20"/>
              </w:rPr>
            </w:pPr>
            <w:r w:rsidRPr="002B2CFC">
              <w:rPr>
                <w:sz w:val="20"/>
              </w:rPr>
              <w:t>4 injections, approx. 2 hours apart 7 days prior to scheduled euthanasia</w:t>
            </w:r>
          </w:p>
        </w:tc>
        <w:tc>
          <w:tcPr>
            <w:tcW w:w="1923" w:type="pct"/>
            <w:tcBorders>
              <w:top w:val="single" w:sz="4" w:space="0" w:color="auto"/>
              <w:left w:val="single" w:sz="4" w:space="0" w:color="auto"/>
              <w:bottom w:val="single" w:sz="4" w:space="0" w:color="auto"/>
              <w:right w:val="single" w:sz="4" w:space="0" w:color="auto"/>
            </w:tcBorders>
            <w:vAlign w:val="center"/>
          </w:tcPr>
          <w:p w14:paraId="0FCB76FD" w14:textId="77777777" w:rsidR="00E21D62" w:rsidRPr="002B2CFC" w:rsidRDefault="00E21D62" w:rsidP="00822CE8">
            <w:pPr>
              <w:keepNext/>
              <w:keepLines/>
              <w:jc w:val="left"/>
              <w:rPr>
                <w:sz w:val="20"/>
              </w:rPr>
            </w:pPr>
            <w:r w:rsidRPr="002B2CFC">
              <w:rPr>
                <w:sz w:val="20"/>
              </w:rPr>
              <w:t>10 mg (free base)/kg/dose [4 mg/mL]) 1-methyl-4-phenyl-1,2,3,6- tetrahydropyridine hydrochloride (MPTP HCl)</w:t>
            </w:r>
          </w:p>
        </w:tc>
      </w:tr>
    </w:tbl>
    <w:p w14:paraId="274B4F65" w14:textId="77777777" w:rsidR="00E21D62" w:rsidRPr="002B2CFC" w:rsidRDefault="00E21D62" w:rsidP="00E21D62">
      <w:pPr>
        <w:rPr>
          <w:szCs w:val="24"/>
          <w:lang w:val="en-US" w:eastAsia="en-US"/>
        </w:rPr>
      </w:pPr>
    </w:p>
    <w:p w14:paraId="0F31AE7C" w14:textId="77777777" w:rsidR="00E21D62" w:rsidRPr="002B2CFC" w:rsidRDefault="00E21D62" w:rsidP="00E21D62">
      <w:pPr>
        <w:keepNext/>
        <w:rPr>
          <w:b/>
          <w:i/>
          <w:szCs w:val="24"/>
          <w:lang w:val="en-US" w:eastAsia="en-US"/>
        </w:rPr>
      </w:pPr>
      <w:r w:rsidRPr="002B2CFC">
        <w:rPr>
          <w:b/>
          <w:i/>
          <w:szCs w:val="24"/>
          <w:lang w:val="en-US" w:eastAsia="en-US"/>
        </w:rPr>
        <w:t>Method</w:t>
      </w:r>
    </w:p>
    <w:p w14:paraId="7FFF87E3" w14:textId="77777777" w:rsidR="00E21D62" w:rsidRPr="002B2CFC" w:rsidRDefault="00E21D62" w:rsidP="00E21D62">
      <w:pPr>
        <w:spacing w:before="120" w:after="120"/>
        <w:rPr>
          <w:szCs w:val="24"/>
        </w:rPr>
      </w:pPr>
      <w:r w:rsidRPr="002B2CFC">
        <w:rPr>
          <w:szCs w:val="24"/>
        </w:rPr>
        <w:t xml:space="preserve">This report presents the stereology analysis findings only, from the study titled </w:t>
      </w:r>
      <w:r w:rsidRPr="002B2CFC">
        <w:rPr>
          <w:i/>
          <w:szCs w:val="24"/>
        </w:rPr>
        <w:t xml:space="preserve">Subchronic (91-day) dietary study to assess the effects of paraquat dichloride on dopaminergic neurons in C57BL/6J mice (Beck, 2013). </w:t>
      </w:r>
      <w:r w:rsidRPr="002B2CFC">
        <w:rPr>
          <w:szCs w:val="24"/>
        </w:rPr>
        <w:t>In this study, male and female mice were administered paraquat dichloride in the diet continuously for 91-95 days at concentrations of 0, 10 or 50 ppm, to determine the effect(s) on dopaminergic neurons in the brains of mice. A positive control group received four intraperitoneal injections of 1-methyl-4-phenyl-1,2,3,6- tetrahydropyridine hydrochloride (MPTP HCl), approximately two hours apart (4 x 10 mg/kg bw)</w:t>
      </w:r>
      <w:r>
        <w:rPr>
          <w:szCs w:val="24"/>
        </w:rPr>
        <w:t xml:space="preserve"> seven days prior to scheduled euthanasia</w:t>
      </w:r>
      <w:r w:rsidRPr="002B2CFC">
        <w:rPr>
          <w:szCs w:val="24"/>
        </w:rPr>
        <w:t xml:space="preserve">.  </w:t>
      </w:r>
    </w:p>
    <w:p w14:paraId="090CFC31" w14:textId="77777777" w:rsidR="00E21D62" w:rsidRPr="002B2CFC" w:rsidRDefault="00E21D62" w:rsidP="00E21D62">
      <w:pPr>
        <w:rPr>
          <w:szCs w:val="24"/>
          <w:lang w:val="en-US" w:eastAsia="en-US"/>
        </w:rPr>
      </w:pPr>
      <w:r w:rsidRPr="002B2CFC">
        <w:rPr>
          <w:szCs w:val="24"/>
          <w:lang w:val="en-US" w:eastAsia="en-US"/>
        </w:rPr>
        <w:t>Further details of the method and study design can be found in Beck</w:t>
      </w:r>
      <w:r>
        <w:rPr>
          <w:szCs w:val="24"/>
          <w:lang w:val="en-US" w:eastAsia="en-US"/>
        </w:rPr>
        <w:t xml:space="preserve"> (</w:t>
      </w:r>
      <w:r w:rsidRPr="002B2CFC">
        <w:rPr>
          <w:szCs w:val="24"/>
          <w:lang w:val="en-US" w:eastAsia="en-US"/>
        </w:rPr>
        <w:t>2013</w:t>
      </w:r>
      <w:r>
        <w:rPr>
          <w:szCs w:val="24"/>
          <w:lang w:val="en-US" w:eastAsia="en-US"/>
        </w:rPr>
        <w:t>)</w:t>
      </w:r>
      <w:r w:rsidRPr="002B2CFC">
        <w:rPr>
          <w:szCs w:val="24"/>
          <w:lang w:val="en-US" w:eastAsia="en-US"/>
        </w:rPr>
        <w:t xml:space="preserve">. Stereology examined the potential effect of paraquat on </w:t>
      </w:r>
      <w:r>
        <w:rPr>
          <w:szCs w:val="24"/>
          <w:lang w:val="en-US" w:eastAsia="en-US"/>
        </w:rPr>
        <w:t xml:space="preserve">the numbers of </w:t>
      </w:r>
      <w:r w:rsidRPr="002B2CFC">
        <w:rPr>
          <w:szCs w:val="24"/>
          <w:lang w:val="en-US" w:eastAsia="en-US"/>
        </w:rPr>
        <w:t>dopaminergic neuron</w:t>
      </w:r>
      <w:r>
        <w:rPr>
          <w:szCs w:val="24"/>
          <w:lang w:val="en-US" w:eastAsia="en-US"/>
        </w:rPr>
        <w:t xml:space="preserve">s in the </w:t>
      </w:r>
      <w:r w:rsidRPr="002B2CFC">
        <w:rPr>
          <w:szCs w:val="24"/>
          <w:lang w:val="en-US" w:eastAsia="en-US"/>
        </w:rPr>
        <w:t xml:space="preserve">SN pc by specific immunostaining for TH which is a key enzyme in the production of </w:t>
      </w:r>
      <w:r w:rsidR="00011149">
        <w:rPr>
          <w:szCs w:val="24"/>
          <w:lang w:val="en-US" w:eastAsia="en-US"/>
        </w:rPr>
        <w:t>DA</w:t>
      </w:r>
      <w:r w:rsidRPr="002B2CFC">
        <w:rPr>
          <w:szCs w:val="24"/>
          <w:lang w:val="en-US" w:eastAsia="en-US"/>
        </w:rPr>
        <w:t xml:space="preserve">. </w:t>
      </w:r>
      <w:r>
        <w:rPr>
          <w:szCs w:val="24"/>
          <w:lang w:val="en-US" w:eastAsia="en-US"/>
        </w:rPr>
        <w:t xml:space="preserve"> T</w:t>
      </w:r>
      <w:r w:rsidRPr="002B2CFC">
        <w:rPr>
          <w:szCs w:val="24"/>
          <w:lang w:val="en-US" w:eastAsia="en-US"/>
        </w:rPr>
        <w:t>he number of TH</w:t>
      </w:r>
      <w:r w:rsidRPr="002B2CFC">
        <w:rPr>
          <w:szCs w:val="24"/>
          <w:vertAlign w:val="superscript"/>
          <w:lang w:val="en-US" w:eastAsia="en-US"/>
        </w:rPr>
        <w:t>+</w:t>
      </w:r>
      <w:r w:rsidRPr="002B2CFC">
        <w:rPr>
          <w:szCs w:val="24"/>
          <w:lang w:val="en-US" w:eastAsia="en-US"/>
        </w:rPr>
        <w:t xml:space="preserve"> dopaminergic neurons, the number of TH</w:t>
      </w:r>
      <w:r w:rsidRPr="002B2CFC">
        <w:rPr>
          <w:szCs w:val="24"/>
          <w:vertAlign w:val="superscript"/>
          <w:lang w:val="en-US" w:eastAsia="en-US"/>
        </w:rPr>
        <w:t>-</w:t>
      </w:r>
      <w:r w:rsidRPr="002B2CFC">
        <w:rPr>
          <w:szCs w:val="24"/>
          <w:lang w:val="en-US" w:eastAsia="en-US"/>
        </w:rPr>
        <w:t xml:space="preserve"> neurons, and a calculation of the total number of neurons (TH</w:t>
      </w:r>
      <w:r w:rsidRPr="002B2CFC">
        <w:rPr>
          <w:szCs w:val="24"/>
          <w:vertAlign w:val="superscript"/>
          <w:lang w:val="en-US" w:eastAsia="en-US"/>
        </w:rPr>
        <w:t>+</w:t>
      </w:r>
      <w:r w:rsidRPr="002B2CFC">
        <w:rPr>
          <w:szCs w:val="24"/>
          <w:lang w:val="en-US" w:eastAsia="en-US"/>
        </w:rPr>
        <w:t xml:space="preserve"> plus TH</w:t>
      </w:r>
      <w:r w:rsidRPr="002B2CFC">
        <w:rPr>
          <w:szCs w:val="24"/>
          <w:vertAlign w:val="superscript"/>
          <w:lang w:val="en-US" w:eastAsia="en-US"/>
        </w:rPr>
        <w:t>-</w:t>
      </w:r>
      <w:r w:rsidRPr="002B2CFC">
        <w:rPr>
          <w:szCs w:val="24"/>
          <w:lang w:val="en-US" w:eastAsia="en-US"/>
        </w:rPr>
        <w:t>) in the SN pc</w:t>
      </w:r>
      <w:r>
        <w:rPr>
          <w:szCs w:val="24"/>
          <w:lang w:val="en-US" w:eastAsia="en-US"/>
        </w:rPr>
        <w:t xml:space="preserve"> was determined</w:t>
      </w:r>
      <w:r w:rsidRPr="002B2CFC">
        <w:rPr>
          <w:szCs w:val="24"/>
          <w:lang w:val="en-US" w:eastAsia="en-US"/>
        </w:rPr>
        <w:t xml:space="preserve">. The total contour volume of the SN pc was also </w:t>
      </w:r>
      <w:r>
        <w:rPr>
          <w:szCs w:val="24"/>
          <w:lang w:val="en-US" w:eastAsia="en-US"/>
        </w:rPr>
        <w:t>measured</w:t>
      </w:r>
      <w:r w:rsidRPr="002B2CFC">
        <w:rPr>
          <w:szCs w:val="24"/>
          <w:lang w:val="en-US" w:eastAsia="en-US"/>
        </w:rPr>
        <w:t xml:space="preserve">. </w:t>
      </w:r>
    </w:p>
    <w:p w14:paraId="5233867E" w14:textId="77777777" w:rsidR="00E21D62" w:rsidRPr="002B2CFC" w:rsidRDefault="00E21D62" w:rsidP="00E21D62">
      <w:pPr>
        <w:rPr>
          <w:szCs w:val="24"/>
          <w:lang w:val="en-US" w:eastAsia="en-US"/>
        </w:rPr>
      </w:pPr>
    </w:p>
    <w:p w14:paraId="1DBB6D70" w14:textId="77777777" w:rsidR="00E21D62" w:rsidRPr="002B2CFC" w:rsidRDefault="00E21D62" w:rsidP="00E21D62">
      <w:pPr>
        <w:rPr>
          <w:szCs w:val="24"/>
          <w:u w:val="single"/>
          <w:lang w:val="en-US" w:eastAsia="en-US"/>
        </w:rPr>
      </w:pPr>
      <w:r w:rsidRPr="002B2CFC">
        <w:rPr>
          <w:szCs w:val="24"/>
          <w:u w:val="single"/>
          <w:lang w:val="en-US" w:eastAsia="en-US"/>
        </w:rPr>
        <w:t>Necropsy and brain tissue preparation:</w:t>
      </w:r>
    </w:p>
    <w:p w14:paraId="3A62171D" w14:textId="77777777" w:rsidR="00E21D62" w:rsidRDefault="00E21D62" w:rsidP="00E21D62">
      <w:pPr>
        <w:rPr>
          <w:szCs w:val="24"/>
          <w:lang w:val="en-US" w:eastAsia="en-US"/>
        </w:rPr>
      </w:pPr>
      <w:r w:rsidRPr="002B2CFC">
        <w:rPr>
          <w:szCs w:val="24"/>
          <w:lang w:val="en-US" w:eastAsia="en-US"/>
        </w:rPr>
        <w:t xml:space="preserve">All necropsies and brain perfusions were performed at the original performing laboratory (WIL Research Laboratories). </w:t>
      </w:r>
      <w:r>
        <w:rPr>
          <w:szCs w:val="24"/>
          <w:lang w:val="en-US" w:eastAsia="en-US"/>
        </w:rPr>
        <w:t xml:space="preserve">Whole brains from mice designated to Subset I were received at EPL for stereology analysis. Tissue was processed and cut into </w:t>
      </w:r>
      <w:r w:rsidRPr="002B2CFC">
        <w:rPr>
          <w:szCs w:val="24"/>
          <w:lang w:val="en-US" w:eastAsia="en-US"/>
        </w:rPr>
        <w:t>40 µm</w:t>
      </w:r>
      <w:r>
        <w:rPr>
          <w:szCs w:val="24"/>
          <w:lang w:val="en-US" w:eastAsia="en-US"/>
        </w:rPr>
        <w:t xml:space="preserve"> serial thicknesses by frozen section. This was directed </w:t>
      </w:r>
      <w:r w:rsidRPr="002B2CFC">
        <w:rPr>
          <w:szCs w:val="24"/>
          <w:lang w:val="en-US" w:eastAsia="en-US"/>
        </w:rPr>
        <w:t>through the coronal plane (i.e. transversely along the rostral-caudal axis)</w:t>
      </w:r>
      <w:r>
        <w:rPr>
          <w:szCs w:val="24"/>
          <w:lang w:val="en-US" w:eastAsia="en-US"/>
        </w:rPr>
        <w:t xml:space="preserve"> and sections placed  </w:t>
      </w:r>
      <w:r w:rsidRPr="002B2CFC">
        <w:rPr>
          <w:szCs w:val="24"/>
          <w:lang w:val="en-US" w:eastAsia="en-US"/>
        </w:rPr>
        <w:t>in wells with a matrix grid enabling every third section containing the SN pc to be selected.</w:t>
      </w:r>
    </w:p>
    <w:p w14:paraId="601D7A91" w14:textId="77777777" w:rsidR="00E21D62" w:rsidRPr="002B2CFC" w:rsidRDefault="00E21D62" w:rsidP="00E21D62">
      <w:pPr>
        <w:rPr>
          <w:szCs w:val="24"/>
          <w:lang w:val="en-US" w:eastAsia="en-US"/>
        </w:rPr>
      </w:pPr>
    </w:p>
    <w:p w14:paraId="65F3EE01" w14:textId="77777777" w:rsidR="00E21D62" w:rsidRPr="002B2CFC" w:rsidRDefault="00E21D62" w:rsidP="00E21D62">
      <w:pPr>
        <w:rPr>
          <w:szCs w:val="24"/>
          <w:lang w:val="en-US" w:eastAsia="en-US"/>
        </w:rPr>
      </w:pPr>
      <w:r w:rsidRPr="002B2CFC">
        <w:rPr>
          <w:szCs w:val="24"/>
          <w:lang w:val="en-US" w:eastAsia="en-US"/>
        </w:rPr>
        <w:t xml:space="preserve">Prior to staining, brain sections were suspended in phosphate buffered saline (PBS) free-floating mesh wells to maximise antibody penetration to both sides of the tissue. Following several PBS washes and quenching of endogenous peroxidase activity via immersion in hydrogen peroxide in PBS , non-specific binding of antibodies to targets was blocked by immersion in a solution of 10% normal goat serum in PBS and 1% bovine serum albumin. </w:t>
      </w:r>
    </w:p>
    <w:p w14:paraId="59FE9AB1" w14:textId="77777777" w:rsidR="00E21D62" w:rsidRPr="002B2CFC" w:rsidRDefault="00E21D62" w:rsidP="00E21D62">
      <w:pPr>
        <w:rPr>
          <w:szCs w:val="24"/>
          <w:lang w:val="en-US" w:eastAsia="en-US"/>
        </w:rPr>
      </w:pPr>
    </w:p>
    <w:p w14:paraId="17815B95" w14:textId="77777777" w:rsidR="00E21D62" w:rsidRPr="002B2CFC" w:rsidRDefault="00E21D62" w:rsidP="00E21D62">
      <w:pPr>
        <w:rPr>
          <w:szCs w:val="24"/>
          <w:u w:val="single"/>
          <w:lang w:val="en-US" w:eastAsia="en-US"/>
        </w:rPr>
      </w:pPr>
      <w:r w:rsidRPr="002B2CFC">
        <w:rPr>
          <w:szCs w:val="24"/>
          <w:u w:val="single"/>
          <w:lang w:val="en-US" w:eastAsia="en-US"/>
        </w:rPr>
        <w:t>Immunohistochemistry:</w:t>
      </w:r>
    </w:p>
    <w:p w14:paraId="58A33074" w14:textId="77777777" w:rsidR="00E21D62" w:rsidRPr="002B2CFC" w:rsidRDefault="00E21D62" w:rsidP="00E21D62">
      <w:pPr>
        <w:rPr>
          <w:szCs w:val="24"/>
          <w:lang w:val="en-US" w:eastAsia="en-US"/>
        </w:rPr>
      </w:pPr>
      <w:r w:rsidRPr="002B2CFC">
        <w:rPr>
          <w:szCs w:val="24"/>
          <w:lang w:val="en-US" w:eastAsia="en-US"/>
        </w:rPr>
        <w:t>Immunostaining was conducted according to a standard ABC method. Sections were incubated with the primary antibody (polyclonal anti-</w:t>
      </w:r>
      <w:r w:rsidR="001875D7">
        <w:rPr>
          <w:szCs w:val="24"/>
          <w:lang w:val="en-US" w:eastAsia="en-US"/>
        </w:rPr>
        <w:t>TH</w:t>
      </w:r>
      <w:r w:rsidRPr="002B2CFC">
        <w:rPr>
          <w:szCs w:val="24"/>
          <w:lang w:val="en-US" w:eastAsia="en-US"/>
        </w:rPr>
        <w:t xml:space="preserve"> antibody of rabbit origin, 1:1000) </w:t>
      </w:r>
      <w:r>
        <w:rPr>
          <w:szCs w:val="24"/>
          <w:lang w:val="en-US" w:eastAsia="en-US"/>
        </w:rPr>
        <w:t>initially,</w:t>
      </w:r>
      <w:r w:rsidRPr="002B2CFC">
        <w:rPr>
          <w:szCs w:val="24"/>
          <w:lang w:val="en-US" w:eastAsia="en-US"/>
        </w:rPr>
        <w:t xml:space="preserve"> followed by the secondary antibody (biotinylated goat anti-rabbit Ig G, 1:1000). Following incubationin an ABC solution, visualisation of the reaction was accomplished by immersion in 3,3-diaminobenzidine. Following a number of rinses and mounting onto slides, sections were counterstained (FD Cresyl Violet Solution).</w:t>
      </w:r>
    </w:p>
    <w:p w14:paraId="0786BD5E" w14:textId="77777777" w:rsidR="00E21D62" w:rsidRPr="002B2CFC" w:rsidRDefault="00E21D62" w:rsidP="00E21D62">
      <w:pPr>
        <w:rPr>
          <w:szCs w:val="24"/>
          <w:lang w:val="en-US" w:eastAsia="en-US"/>
        </w:rPr>
      </w:pPr>
    </w:p>
    <w:p w14:paraId="571B6FDA" w14:textId="77777777" w:rsidR="00E21D62" w:rsidRPr="002B2CFC" w:rsidRDefault="00E21D62" w:rsidP="00E21D62">
      <w:pPr>
        <w:rPr>
          <w:szCs w:val="24"/>
          <w:u w:val="single"/>
          <w:lang w:val="en-US" w:eastAsia="en-US"/>
        </w:rPr>
      </w:pPr>
      <w:r w:rsidRPr="002B2CFC">
        <w:rPr>
          <w:szCs w:val="24"/>
          <w:u w:val="single"/>
          <w:lang w:val="en-US" w:eastAsia="en-US"/>
        </w:rPr>
        <w:t>Stereology assessment:</w:t>
      </w:r>
    </w:p>
    <w:p w14:paraId="529EDA95" w14:textId="77777777" w:rsidR="00E21D62" w:rsidRDefault="00E21D62" w:rsidP="00E21D62">
      <w:pPr>
        <w:rPr>
          <w:szCs w:val="24"/>
          <w:lang w:val="en-US" w:eastAsia="en-US"/>
        </w:rPr>
      </w:pPr>
      <w:r w:rsidRPr="002B2CFC">
        <w:rPr>
          <w:szCs w:val="24"/>
          <w:lang w:val="en-US" w:eastAsia="en-US"/>
        </w:rPr>
        <w:t>Stereology assessments were conducted on prepared slides at EPL. Counts were made to estimate the number of TH</w:t>
      </w:r>
      <w:r w:rsidRPr="002B2CFC">
        <w:rPr>
          <w:szCs w:val="24"/>
          <w:vertAlign w:val="superscript"/>
          <w:lang w:val="en-US" w:eastAsia="en-US"/>
        </w:rPr>
        <w:t>+</w:t>
      </w:r>
      <w:r w:rsidRPr="002B2CFC">
        <w:rPr>
          <w:szCs w:val="24"/>
          <w:lang w:val="en-US" w:eastAsia="en-US"/>
        </w:rPr>
        <w:t>, TH</w:t>
      </w:r>
      <w:r w:rsidRPr="002B2CFC">
        <w:rPr>
          <w:szCs w:val="24"/>
          <w:vertAlign w:val="superscript"/>
          <w:lang w:val="en-US" w:eastAsia="en-US"/>
        </w:rPr>
        <w:t>-</w:t>
      </w:r>
      <w:r w:rsidRPr="002B2CFC">
        <w:rPr>
          <w:szCs w:val="24"/>
          <w:lang w:val="en-US" w:eastAsia="en-US"/>
        </w:rPr>
        <w:t xml:space="preserve"> neurons and the total number of neurons (TH</w:t>
      </w:r>
      <w:r w:rsidRPr="002B2CFC">
        <w:rPr>
          <w:szCs w:val="24"/>
          <w:vertAlign w:val="superscript"/>
          <w:lang w:val="en-US" w:eastAsia="en-US"/>
        </w:rPr>
        <w:t>+</w:t>
      </w:r>
      <w:r w:rsidRPr="002B2CFC">
        <w:rPr>
          <w:szCs w:val="24"/>
          <w:lang w:val="en-US" w:eastAsia="en-US"/>
        </w:rPr>
        <w:t xml:space="preserve"> plus TH</w:t>
      </w:r>
      <w:r w:rsidRPr="002B2CFC">
        <w:rPr>
          <w:szCs w:val="24"/>
          <w:vertAlign w:val="superscript"/>
          <w:lang w:val="en-US" w:eastAsia="en-US"/>
        </w:rPr>
        <w:t>-</w:t>
      </w:r>
      <w:r w:rsidRPr="002B2CFC">
        <w:rPr>
          <w:szCs w:val="24"/>
          <w:lang w:val="en-US" w:eastAsia="en-US"/>
        </w:rPr>
        <w:t xml:space="preserve">) in the SN pc. These estimations were made using the optical fractionator approach </w:t>
      </w:r>
      <w:r>
        <w:rPr>
          <w:szCs w:val="24"/>
          <w:lang w:val="en-US" w:eastAsia="en-US"/>
        </w:rPr>
        <w:t xml:space="preserve">using a </w:t>
      </w:r>
      <w:r w:rsidRPr="002B2CFC">
        <w:rPr>
          <w:szCs w:val="24"/>
          <w:lang w:val="en-US" w:eastAsia="en-US"/>
        </w:rPr>
        <w:t>systematic random sample methodology. According to OECD Guideline 20, the use of an efficient unbiased sampling technique is critical to maximise the usefulness of this assessment.</w:t>
      </w:r>
      <w:r>
        <w:rPr>
          <w:szCs w:val="24"/>
          <w:lang w:val="en-US" w:eastAsia="en-US"/>
        </w:rPr>
        <w:t>V</w:t>
      </w:r>
      <w:r w:rsidRPr="002B2CFC">
        <w:rPr>
          <w:szCs w:val="24"/>
          <w:lang w:val="en-US" w:eastAsia="en-US"/>
        </w:rPr>
        <w:t xml:space="preserve">irtual outlines of the right and left SN pc were drawn manually via a computer mouse. </w:t>
      </w:r>
      <w:r>
        <w:rPr>
          <w:szCs w:val="24"/>
          <w:lang w:val="en-US" w:eastAsia="en-US"/>
        </w:rPr>
        <w:t>To determine t</w:t>
      </w:r>
      <w:r w:rsidRPr="002B2CFC">
        <w:rPr>
          <w:szCs w:val="24"/>
          <w:lang w:val="en-US" w:eastAsia="en-US"/>
        </w:rPr>
        <w:t>he number of TH</w:t>
      </w:r>
      <w:r w:rsidRPr="002B2CFC">
        <w:rPr>
          <w:szCs w:val="24"/>
          <w:vertAlign w:val="superscript"/>
          <w:lang w:val="en-US" w:eastAsia="en-US"/>
        </w:rPr>
        <w:t>+</w:t>
      </w:r>
      <w:r w:rsidRPr="002B2CFC">
        <w:rPr>
          <w:szCs w:val="24"/>
          <w:lang w:val="en-US" w:eastAsia="en-US"/>
        </w:rPr>
        <w:t>/TH</w:t>
      </w:r>
      <w:r w:rsidRPr="002B2CFC">
        <w:rPr>
          <w:szCs w:val="24"/>
          <w:vertAlign w:val="superscript"/>
          <w:lang w:val="en-US" w:eastAsia="en-US"/>
        </w:rPr>
        <w:t>-</w:t>
      </w:r>
      <w:r>
        <w:rPr>
          <w:szCs w:val="24"/>
          <w:lang w:val="en-US" w:eastAsia="en-US"/>
        </w:rPr>
        <w:t xml:space="preserve">, </w:t>
      </w:r>
      <w:r w:rsidRPr="002B2CFC">
        <w:rPr>
          <w:szCs w:val="24"/>
          <w:lang w:val="en-US" w:eastAsia="en-US"/>
        </w:rPr>
        <w:t xml:space="preserve">images were overlaid with a virtual counting frame grid and neuronal cell bodies counted. Section thickness was measured at each counting site and a mean thickness per section calculated. An estimation of the number of TH neurons in the left and right SN pc was performed by software and </w:t>
      </w:r>
      <w:r>
        <w:rPr>
          <w:szCs w:val="24"/>
          <w:lang w:val="en-US" w:eastAsia="en-US"/>
        </w:rPr>
        <w:t>calculated as follows</w:t>
      </w:r>
      <w:r w:rsidRPr="002B2CFC">
        <w:rPr>
          <w:szCs w:val="24"/>
          <w:lang w:val="en-US" w:eastAsia="en-US"/>
        </w:rPr>
        <w:t>:</w:t>
      </w:r>
    </w:p>
    <w:p w14:paraId="33345E8C" w14:textId="77777777" w:rsidR="00E21D62" w:rsidRPr="002B2CFC" w:rsidRDefault="00E21D62" w:rsidP="00E21D62">
      <w:pPr>
        <w:rPr>
          <w:szCs w:val="24"/>
          <w:lang w:val="en-US" w:eastAsia="en-US"/>
        </w:rPr>
      </w:pPr>
    </w:p>
    <w:p w14:paraId="7B1BE138" w14:textId="77777777" w:rsidR="00E21D62" w:rsidRPr="002B2CFC" w:rsidRDefault="00E21D62" w:rsidP="00E21D62">
      <w:pPr>
        <w:rPr>
          <w:b/>
          <w:szCs w:val="24"/>
          <w:lang w:val="en-US" w:eastAsia="en-US"/>
        </w:rPr>
      </w:pPr>
      <w:r w:rsidRPr="002B2CFC">
        <w:rPr>
          <w:b/>
          <w:szCs w:val="24"/>
          <w:lang w:val="en-US" w:eastAsia="en-US"/>
        </w:rPr>
        <w:tab/>
        <w:t>N</w:t>
      </w:r>
      <w:r w:rsidRPr="002B2CFC">
        <w:rPr>
          <w:b/>
          <w:szCs w:val="24"/>
          <w:vertAlign w:val="subscript"/>
          <w:lang w:val="en-US" w:eastAsia="en-US"/>
        </w:rPr>
        <w:t>obj</w:t>
      </w:r>
      <w:r w:rsidRPr="002B2CFC">
        <w:rPr>
          <w:b/>
          <w:szCs w:val="24"/>
          <w:lang w:val="en-US" w:eastAsia="en-US"/>
        </w:rPr>
        <w:t>: 1/ssf  x 1/asf x 1/tsf x ΣQ</w:t>
      </w:r>
    </w:p>
    <w:p w14:paraId="779C22AB" w14:textId="77777777" w:rsidR="00E21D62" w:rsidRPr="002B2CFC" w:rsidRDefault="00E21D62" w:rsidP="00E21D62">
      <w:pPr>
        <w:ind w:firstLine="720"/>
        <w:rPr>
          <w:sz w:val="22"/>
          <w:szCs w:val="24"/>
          <w:lang w:val="en-US" w:eastAsia="en-US"/>
        </w:rPr>
      </w:pPr>
      <w:r w:rsidRPr="002B2CFC">
        <w:rPr>
          <w:sz w:val="22"/>
          <w:szCs w:val="24"/>
          <w:lang w:val="en-US" w:eastAsia="en-US"/>
        </w:rPr>
        <w:t>(N</w:t>
      </w:r>
      <w:r w:rsidRPr="002B2CFC">
        <w:rPr>
          <w:sz w:val="22"/>
          <w:szCs w:val="24"/>
          <w:vertAlign w:val="subscript"/>
          <w:lang w:val="en-US" w:eastAsia="en-US"/>
        </w:rPr>
        <w:t>obj</w:t>
      </w:r>
      <w:r w:rsidRPr="002B2CFC">
        <w:rPr>
          <w:sz w:val="22"/>
          <w:szCs w:val="24"/>
          <w:lang w:val="en-US" w:eastAsia="en-US"/>
        </w:rPr>
        <w:t>=</w:t>
      </w:r>
      <w:r w:rsidRPr="002B2CFC">
        <w:rPr>
          <w:sz w:val="22"/>
          <w:szCs w:val="24"/>
          <w:vertAlign w:val="subscript"/>
          <w:lang w:val="en-US" w:eastAsia="en-US"/>
        </w:rPr>
        <w:t xml:space="preserve"> </w:t>
      </w:r>
      <w:r w:rsidRPr="002B2CFC">
        <w:rPr>
          <w:sz w:val="22"/>
          <w:szCs w:val="24"/>
          <w:lang w:val="en-US" w:eastAsia="en-US"/>
        </w:rPr>
        <w:t>number of objects</w:t>
      </w:r>
    </w:p>
    <w:p w14:paraId="3BEAE7BE" w14:textId="77777777" w:rsidR="00E21D62" w:rsidRPr="002B2CFC" w:rsidRDefault="00E21D62" w:rsidP="00E21D62">
      <w:pPr>
        <w:ind w:left="720"/>
        <w:rPr>
          <w:sz w:val="22"/>
          <w:szCs w:val="24"/>
          <w:lang w:val="en-US" w:eastAsia="en-US"/>
        </w:rPr>
      </w:pPr>
      <w:r w:rsidRPr="002B2CFC">
        <w:rPr>
          <w:sz w:val="22"/>
          <w:szCs w:val="24"/>
          <w:lang w:val="en-US" w:eastAsia="en-US"/>
        </w:rPr>
        <w:t>ssf(section sampling fraction) = the number of SN pc sections evaluated/total number of SN pc sections microtomed</w:t>
      </w:r>
    </w:p>
    <w:p w14:paraId="3DC933F9" w14:textId="77777777" w:rsidR="00E21D62" w:rsidRPr="002B2CFC" w:rsidRDefault="00E21D62" w:rsidP="00E21D62">
      <w:pPr>
        <w:ind w:left="720"/>
        <w:rPr>
          <w:sz w:val="22"/>
          <w:szCs w:val="24"/>
          <w:lang w:val="en-US" w:eastAsia="en-US"/>
        </w:rPr>
      </w:pPr>
      <w:r w:rsidRPr="002B2CFC">
        <w:rPr>
          <w:sz w:val="22"/>
          <w:szCs w:val="24"/>
          <w:lang w:val="en-US" w:eastAsia="en-US"/>
        </w:rPr>
        <w:t>asf (area sampling fraction) = counting frame size (microns)/counting frame interval (microns)</w:t>
      </w:r>
    </w:p>
    <w:p w14:paraId="6ADBAA07" w14:textId="77777777" w:rsidR="00E21D62" w:rsidRPr="002B2CFC" w:rsidRDefault="00E21D62" w:rsidP="00E21D62">
      <w:pPr>
        <w:ind w:left="720"/>
        <w:rPr>
          <w:sz w:val="22"/>
          <w:szCs w:val="24"/>
          <w:lang w:val="en-US" w:eastAsia="en-US"/>
        </w:rPr>
      </w:pPr>
      <w:r w:rsidRPr="002B2CFC">
        <w:rPr>
          <w:sz w:val="22"/>
          <w:szCs w:val="24"/>
          <w:lang w:val="en-US" w:eastAsia="en-US"/>
        </w:rPr>
        <w:t>tsf (thickness sampling fraction) = dissector height (microns)/mean measure section thickness (microns)</w:t>
      </w:r>
    </w:p>
    <w:p w14:paraId="0816AED4" w14:textId="77777777" w:rsidR="00E21D62" w:rsidRPr="002B2CFC" w:rsidRDefault="00E21D62" w:rsidP="00E21D62">
      <w:pPr>
        <w:ind w:firstLine="720"/>
        <w:rPr>
          <w:sz w:val="22"/>
          <w:szCs w:val="24"/>
          <w:lang w:val="en-US" w:eastAsia="en-US"/>
        </w:rPr>
      </w:pPr>
      <w:r w:rsidRPr="002B2CFC">
        <w:rPr>
          <w:sz w:val="22"/>
          <w:szCs w:val="24"/>
          <w:lang w:val="en-US" w:eastAsia="en-US"/>
        </w:rPr>
        <w:t>ΣQ= the number of cells counted)</w:t>
      </w:r>
    </w:p>
    <w:p w14:paraId="693DBE39" w14:textId="77777777" w:rsidR="00E21D62" w:rsidRPr="002B2CFC" w:rsidRDefault="00E21D62" w:rsidP="00E21D62">
      <w:pPr>
        <w:ind w:firstLine="720"/>
        <w:rPr>
          <w:sz w:val="22"/>
          <w:szCs w:val="24"/>
          <w:lang w:val="en-US" w:eastAsia="en-US"/>
        </w:rPr>
      </w:pPr>
    </w:p>
    <w:p w14:paraId="00B78E4B" w14:textId="77777777" w:rsidR="00E21D62" w:rsidRPr="002B2CFC" w:rsidRDefault="00E21D62" w:rsidP="00E21D62">
      <w:pPr>
        <w:rPr>
          <w:szCs w:val="24"/>
          <w:lang w:val="en-US" w:eastAsia="en-US"/>
        </w:rPr>
      </w:pPr>
      <w:r w:rsidRPr="002B2CFC">
        <w:rPr>
          <w:szCs w:val="24"/>
          <w:lang w:val="en-US" w:eastAsia="en-US"/>
        </w:rPr>
        <w:t>In addition to neuronal cell counts and other</w:t>
      </w:r>
      <w:r>
        <w:rPr>
          <w:szCs w:val="24"/>
          <w:lang w:val="en-US" w:eastAsia="en-US"/>
        </w:rPr>
        <w:t xml:space="preserve"> </w:t>
      </w:r>
      <w:r w:rsidRPr="002B2CFC">
        <w:rPr>
          <w:szCs w:val="24"/>
          <w:lang w:val="en-US" w:eastAsia="en-US"/>
        </w:rPr>
        <w:t xml:space="preserve">details (eg. estimates of total area and volume of the SN pc), coefficient of error values were calculated and intra-study variability was assessed by including chromogenic-stained sections from two internal control animals. Results were subject to statistical analysis by </w:t>
      </w:r>
      <w:r>
        <w:rPr>
          <w:szCs w:val="24"/>
          <w:lang w:val="en-US" w:eastAsia="en-US"/>
        </w:rPr>
        <w:t>a</w:t>
      </w:r>
      <w:r w:rsidRPr="002B2CFC">
        <w:rPr>
          <w:szCs w:val="24"/>
          <w:lang w:val="en-US" w:eastAsia="en-US"/>
        </w:rPr>
        <w:t xml:space="preserve"> consultant (Sielken &amp; Associates Consulting). Analysis was performed on 4 endpoints (TH</w:t>
      </w:r>
      <w:r w:rsidRPr="002B2CFC">
        <w:rPr>
          <w:szCs w:val="24"/>
          <w:vertAlign w:val="superscript"/>
          <w:lang w:val="en-US" w:eastAsia="en-US"/>
        </w:rPr>
        <w:t>+</w:t>
      </w:r>
      <w:r w:rsidRPr="002B2CFC">
        <w:rPr>
          <w:szCs w:val="24"/>
          <w:lang w:val="en-US" w:eastAsia="en-US"/>
        </w:rPr>
        <w:t xml:space="preserve"> neurons, TH</w:t>
      </w:r>
      <w:r w:rsidRPr="002B2CFC">
        <w:rPr>
          <w:szCs w:val="24"/>
          <w:vertAlign w:val="superscript"/>
          <w:lang w:val="en-US" w:eastAsia="en-US"/>
        </w:rPr>
        <w:t>-</w:t>
      </w:r>
      <w:r w:rsidRPr="002B2CFC">
        <w:rPr>
          <w:szCs w:val="24"/>
          <w:lang w:val="en-US" w:eastAsia="en-US"/>
        </w:rPr>
        <w:t xml:space="preserve"> neurons, total neurons and total contour volume) and determined the sample mean and standard deviation, with a significant of 5% (Sielken RL, 2013).</w:t>
      </w:r>
    </w:p>
    <w:p w14:paraId="1CDA70D8" w14:textId="77777777" w:rsidR="00E21D62" w:rsidRPr="002B2CFC" w:rsidRDefault="00E21D62" w:rsidP="00E21D62">
      <w:pPr>
        <w:rPr>
          <w:szCs w:val="24"/>
          <w:lang w:val="en-US" w:eastAsia="en-US"/>
        </w:rPr>
      </w:pPr>
    </w:p>
    <w:p w14:paraId="0327DEA6" w14:textId="77777777" w:rsidR="00E21D62" w:rsidRPr="002B2CFC" w:rsidRDefault="00E21D62" w:rsidP="00E21D62">
      <w:pPr>
        <w:rPr>
          <w:b/>
          <w:i/>
          <w:szCs w:val="24"/>
          <w:lang w:val="en-US" w:eastAsia="en-US"/>
        </w:rPr>
      </w:pPr>
      <w:r w:rsidRPr="002B2CFC">
        <w:rPr>
          <w:b/>
          <w:i/>
          <w:szCs w:val="24"/>
          <w:lang w:val="en-US" w:eastAsia="en-US"/>
        </w:rPr>
        <w:t>Results</w:t>
      </w:r>
    </w:p>
    <w:p w14:paraId="2B952C8F" w14:textId="77777777" w:rsidR="00E21D62" w:rsidRPr="002B2CFC" w:rsidRDefault="00E21D62" w:rsidP="00E21D62">
      <w:pPr>
        <w:rPr>
          <w:b/>
          <w:i/>
          <w:szCs w:val="24"/>
          <w:lang w:val="en-US" w:eastAsia="en-US"/>
        </w:rPr>
      </w:pPr>
    </w:p>
    <w:p w14:paraId="14DB2629" w14:textId="77777777" w:rsidR="00E21D62" w:rsidRPr="002B2CFC" w:rsidRDefault="00E21D62" w:rsidP="00E21D62">
      <w:pPr>
        <w:rPr>
          <w:szCs w:val="24"/>
          <w:u w:val="single"/>
          <w:lang w:val="en-US" w:eastAsia="en-US"/>
        </w:rPr>
      </w:pPr>
      <w:r w:rsidRPr="002B2CFC">
        <w:rPr>
          <w:szCs w:val="24"/>
          <w:u w:val="single"/>
          <w:lang w:val="en-US" w:eastAsia="en-US"/>
        </w:rPr>
        <w:t>Slide preparation results</w:t>
      </w:r>
    </w:p>
    <w:p w14:paraId="3653A835" w14:textId="77777777" w:rsidR="00E21D62" w:rsidRPr="002B2CFC" w:rsidRDefault="00E21D62" w:rsidP="00E21D62">
      <w:pPr>
        <w:rPr>
          <w:szCs w:val="24"/>
          <w:lang w:val="en-US" w:eastAsia="en-US"/>
        </w:rPr>
      </w:pPr>
      <w:r w:rsidRPr="002B2CFC">
        <w:rPr>
          <w:szCs w:val="24"/>
          <w:lang w:val="en-US" w:eastAsia="en-US"/>
        </w:rPr>
        <w:t>Brains from 6 mice (4 M from positive control group and 2 F from the 50 ppm paraquat group) could not be counted for neuron numbers due to damage during the preparation of the brain and were not used.</w:t>
      </w:r>
    </w:p>
    <w:p w14:paraId="4268C904" w14:textId="77777777" w:rsidR="00E21D62" w:rsidRPr="002B2CFC" w:rsidRDefault="00E21D62" w:rsidP="00E21D62">
      <w:pPr>
        <w:rPr>
          <w:szCs w:val="24"/>
          <w:lang w:val="en-US" w:eastAsia="en-US"/>
        </w:rPr>
      </w:pPr>
    </w:p>
    <w:p w14:paraId="48F472D2" w14:textId="77777777" w:rsidR="00E21D62" w:rsidRPr="002B2CFC" w:rsidRDefault="00E21D62" w:rsidP="00E21D62">
      <w:pPr>
        <w:rPr>
          <w:szCs w:val="24"/>
          <w:u w:val="single"/>
          <w:lang w:val="en-US" w:eastAsia="en-US"/>
        </w:rPr>
      </w:pPr>
      <w:r w:rsidRPr="002B2CFC">
        <w:rPr>
          <w:szCs w:val="24"/>
          <w:u w:val="single"/>
          <w:lang w:val="en-US" w:eastAsia="en-US"/>
        </w:rPr>
        <w:t>General findings</w:t>
      </w:r>
    </w:p>
    <w:p w14:paraId="64E5D05B" w14:textId="77777777" w:rsidR="00E21D62" w:rsidRPr="002B2CFC" w:rsidRDefault="00E21D62" w:rsidP="00E21D62">
      <w:pPr>
        <w:rPr>
          <w:szCs w:val="24"/>
          <w:lang w:val="en-US" w:eastAsia="en-US"/>
        </w:rPr>
      </w:pPr>
      <w:r w:rsidRPr="002B2CFC">
        <w:rPr>
          <w:szCs w:val="24"/>
          <w:lang w:val="en-US" w:eastAsia="en-US"/>
        </w:rPr>
        <w:t xml:space="preserve">An overall assessment, in terms of mean number of sections evaluated, mean section thickness, mean number of sampling sites, mean coefficient of error values for TH neurons and mean total contour volume, showed very similar results between male and females. The mean section shrinkage was also similar (61.5% males </w:t>
      </w:r>
      <w:r w:rsidRPr="002B2CFC">
        <w:rPr>
          <w:i/>
          <w:szCs w:val="24"/>
          <w:lang w:val="en-US" w:eastAsia="en-US"/>
        </w:rPr>
        <w:t>vs</w:t>
      </w:r>
      <w:r w:rsidRPr="002B2CFC">
        <w:rPr>
          <w:szCs w:val="24"/>
          <w:lang w:val="en-US" w:eastAsia="en-US"/>
        </w:rPr>
        <w:t xml:space="preserve"> 60.5% females). As the mean coefficient of error values for males and females were less than 0.1, the study author stated that the stereological sampling was sufficiently rigorous.</w:t>
      </w:r>
    </w:p>
    <w:p w14:paraId="5F772CBE" w14:textId="77777777" w:rsidR="00E21D62" w:rsidRPr="002B2CFC" w:rsidRDefault="00E21D62" w:rsidP="00E21D62">
      <w:pPr>
        <w:rPr>
          <w:szCs w:val="24"/>
          <w:lang w:val="en-US" w:eastAsia="en-US"/>
        </w:rPr>
      </w:pPr>
    </w:p>
    <w:p w14:paraId="79FC4E43" w14:textId="77777777" w:rsidR="00E21D62" w:rsidRPr="002B2CFC" w:rsidRDefault="00E21D62" w:rsidP="00E21D62">
      <w:pPr>
        <w:rPr>
          <w:szCs w:val="24"/>
          <w:lang w:val="en-US" w:eastAsia="en-US"/>
        </w:rPr>
      </w:pPr>
      <w:r w:rsidRPr="002B2CFC">
        <w:rPr>
          <w:szCs w:val="24"/>
          <w:lang w:val="en-US" w:eastAsia="en-US"/>
        </w:rPr>
        <w:t>Two internal control animals were periodically</w:t>
      </w:r>
      <w:r>
        <w:rPr>
          <w:szCs w:val="24"/>
          <w:lang w:val="en-US" w:eastAsia="en-US"/>
        </w:rPr>
        <w:t xml:space="preserve"> rec</w:t>
      </w:r>
      <w:r w:rsidRPr="002B2CFC">
        <w:rPr>
          <w:szCs w:val="24"/>
          <w:lang w:val="en-US" w:eastAsia="en-US"/>
        </w:rPr>
        <w:t>ounted</w:t>
      </w:r>
      <w:r>
        <w:rPr>
          <w:szCs w:val="24"/>
          <w:lang w:val="en-US" w:eastAsia="en-US"/>
        </w:rPr>
        <w:t xml:space="preserve"> and it was found that the</w:t>
      </w:r>
      <w:r w:rsidRPr="002B2CFC">
        <w:rPr>
          <w:szCs w:val="24"/>
          <w:lang w:val="en-US" w:eastAsia="en-US"/>
        </w:rPr>
        <w:t xml:space="preserve"> variation in counts was similar to th</w:t>
      </w:r>
      <w:r>
        <w:rPr>
          <w:szCs w:val="24"/>
          <w:lang w:val="en-US" w:eastAsia="en-US"/>
        </w:rPr>
        <w:t>at in control specimens</w:t>
      </w:r>
      <w:r w:rsidRPr="002B2CFC">
        <w:rPr>
          <w:szCs w:val="24"/>
          <w:lang w:val="en-US" w:eastAsia="en-US"/>
        </w:rPr>
        <w:t>.</w:t>
      </w:r>
    </w:p>
    <w:p w14:paraId="5F5346FD" w14:textId="77777777" w:rsidR="00E21D62" w:rsidRPr="002B2CFC" w:rsidRDefault="00E21D62" w:rsidP="00E21D62">
      <w:pPr>
        <w:rPr>
          <w:szCs w:val="24"/>
          <w:lang w:val="en-US" w:eastAsia="en-US"/>
        </w:rPr>
      </w:pPr>
    </w:p>
    <w:p w14:paraId="18D7526C" w14:textId="77777777" w:rsidR="00E21D62" w:rsidRPr="002B2CFC" w:rsidRDefault="00E21D62" w:rsidP="00E21D62">
      <w:pPr>
        <w:rPr>
          <w:szCs w:val="24"/>
          <w:lang w:val="en-US" w:eastAsia="en-US"/>
        </w:rPr>
      </w:pPr>
      <w:r w:rsidRPr="002B2CFC">
        <w:rPr>
          <w:szCs w:val="24"/>
          <w:lang w:val="en-US" w:eastAsia="en-US"/>
        </w:rPr>
        <w:t>There was a correlation with the number of TH</w:t>
      </w:r>
      <w:r w:rsidRPr="002B2CFC">
        <w:rPr>
          <w:szCs w:val="24"/>
          <w:vertAlign w:val="superscript"/>
          <w:lang w:val="en-US" w:eastAsia="en-US"/>
        </w:rPr>
        <w:t>+/-</w:t>
      </w:r>
      <w:r w:rsidRPr="002B2CFC">
        <w:rPr>
          <w:szCs w:val="24"/>
          <w:lang w:val="en-US" w:eastAsia="en-US"/>
        </w:rPr>
        <w:t xml:space="preserve"> neurons with the thickness of the section (Z-depth), attributed to variable immunostain penetration for different thicknesses of tissue. For TH</w:t>
      </w:r>
      <w:r w:rsidRPr="002B2CFC">
        <w:rPr>
          <w:szCs w:val="24"/>
          <w:vertAlign w:val="superscript"/>
          <w:lang w:val="en-US" w:eastAsia="en-US"/>
        </w:rPr>
        <w:t>+</w:t>
      </w:r>
      <w:r w:rsidRPr="002B2CFC">
        <w:rPr>
          <w:szCs w:val="24"/>
          <w:lang w:val="en-US" w:eastAsia="en-US"/>
        </w:rPr>
        <w:t xml:space="preserve"> neurons, the mean number increased for thinner sections, but then decreased, with a peak in neuron numbers at a section thickness of 4 µm (Z-depth). However, for TH</w:t>
      </w:r>
      <w:r w:rsidRPr="002B2CFC">
        <w:rPr>
          <w:szCs w:val="24"/>
          <w:vertAlign w:val="superscript"/>
          <w:lang w:val="en-US" w:eastAsia="en-US"/>
        </w:rPr>
        <w:t>-</w:t>
      </w:r>
      <w:r w:rsidRPr="002B2CFC">
        <w:rPr>
          <w:szCs w:val="24"/>
          <w:lang w:val="en-US" w:eastAsia="en-US"/>
        </w:rPr>
        <w:t xml:space="preserve"> neurons stained with cresyl violet, the mean number progressively increased over Z-depths of 2 to 5 µm. </w:t>
      </w:r>
    </w:p>
    <w:p w14:paraId="1781AC0A" w14:textId="77777777" w:rsidR="00E21D62" w:rsidRPr="002B2CFC" w:rsidRDefault="00E21D62" w:rsidP="00E21D62">
      <w:pPr>
        <w:rPr>
          <w:szCs w:val="24"/>
          <w:lang w:val="en-US" w:eastAsia="en-US"/>
        </w:rPr>
      </w:pPr>
    </w:p>
    <w:p w14:paraId="64B1B4F3" w14:textId="77777777" w:rsidR="00E21D62" w:rsidRPr="002B2CFC" w:rsidRDefault="00E21D62" w:rsidP="00E21D62">
      <w:pPr>
        <w:rPr>
          <w:szCs w:val="24"/>
          <w:u w:val="single"/>
          <w:lang w:val="en-US" w:eastAsia="en-US"/>
        </w:rPr>
      </w:pPr>
      <w:r w:rsidRPr="002B2CFC">
        <w:rPr>
          <w:szCs w:val="24"/>
          <w:u w:val="single"/>
          <w:lang w:val="en-US" w:eastAsia="en-US"/>
        </w:rPr>
        <w:t>Stereology findings</w:t>
      </w:r>
    </w:p>
    <w:p w14:paraId="1077CCC2" w14:textId="77777777" w:rsidR="00E21D62" w:rsidRDefault="00E21D62" w:rsidP="00E21D62">
      <w:pPr>
        <w:rPr>
          <w:szCs w:val="24"/>
          <w:lang w:val="en-US" w:eastAsia="en-US"/>
        </w:rPr>
      </w:pPr>
      <w:r w:rsidRPr="002B2CFC">
        <w:rPr>
          <w:szCs w:val="24"/>
          <w:lang w:val="en-US" w:eastAsia="en-US"/>
        </w:rPr>
        <w:t>In male and female mice treated with paraquat (10 or 50 ppm), there was no significant treatment-related effects. The number of TH</w:t>
      </w:r>
      <w:r w:rsidRPr="002B2CFC">
        <w:rPr>
          <w:szCs w:val="24"/>
          <w:vertAlign w:val="superscript"/>
          <w:lang w:val="en-US" w:eastAsia="en-US"/>
        </w:rPr>
        <w:t>+</w:t>
      </w:r>
      <w:r w:rsidRPr="002B2CFC">
        <w:rPr>
          <w:szCs w:val="24"/>
          <w:lang w:val="en-US" w:eastAsia="en-US"/>
        </w:rPr>
        <w:t xml:space="preserve"> neurons, TH</w:t>
      </w:r>
      <w:r w:rsidRPr="002B2CFC">
        <w:rPr>
          <w:szCs w:val="24"/>
          <w:vertAlign w:val="superscript"/>
          <w:lang w:val="en-US" w:eastAsia="en-US"/>
        </w:rPr>
        <w:t>-</w:t>
      </w:r>
      <w:r w:rsidRPr="002B2CFC">
        <w:rPr>
          <w:szCs w:val="24"/>
          <w:lang w:val="en-US" w:eastAsia="en-US"/>
        </w:rPr>
        <w:t xml:space="preserve"> neurons, total neurons and total contour volumes of the SN pc were not statistically different from controls.</w:t>
      </w:r>
    </w:p>
    <w:p w14:paraId="5EF6F954" w14:textId="77777777" w:rsidR="00E21D62" w:rsidRPr="002B2CFC" w:rsidRDefault="00E21D62" w:rsidP="00E21D62">
      <w:pPr>
        <w:rPr>
          <w:szCs w:val="24"/>
          <w:lang w:val="en-US" w:eastAsia="en-US"/>
        </w:rPr>
      </w:pPr>
    </w:p>
    <w:p w14:paraId="43C7F6F6" w14:textId="7790B649" w:rsidR="00E21D62" w:rsidRPr="002B2CFC" w:rsidRDefault="00E21D62" w:rsidP="00E21D62">
      <w:pPr>
        <w:rPr>
          <w:szCs w:val="24"/>
          <w:lang w:val="en-US" w:eastAsia="en-US"/>
        </w:rPr>
      </w:pPr>
      <w:r w:rsidRPr="002B2CFC">
        <w:rPr>
          <w:szCs w:val="24"/>
          <w:lang w:val="en-US" w:eastAsia="en-US"/>
        </w:rPr>
        <w:t xml:space="preserve">In positive control male mice (MPTP), stereological analysis of </w:t>
      </w:r>
      <w:r w:rsidR="009E2A0B">
        <w:rPr>
          <w:szCs w:val="24"/>
          <w:lang w:val="en-US" w:eastAsia="en-US"/>
        </w:rPr>
        <w:t>TH</w:t>
      </w:r>
      <w:r w:rsidRPr="002B2CFC">
        <w:rPr>
          <w:szCs w:val="24"/>
          <w:lang w:val="en-US" w:eastAsia="en-US"/>
        </w:rPr>
        <w:t xml:space="preserve"> immunostained brain sections showed a statistically significant lower number (-10%) of TH</w:t>
      </w:r>
      <w:r w:rsidRPr="002B2CFC">
        <w:rPr>
          <w:szCs w:val="24"/>
          <w:vertAlign w:val="superscript"/>
          <w:lang w:val="en-US" w:eastAsia="en-US"/>
        </w:rPr>
        <w:t>+</w:t>
      </w:r>
      <w:r w:rsidRPr="002B2CFC">
        <w:rPr>
          <w:szCs w:val="24"/>
          <w:lang w:val="en-US" w:eastAsia="en-US"/>
        </w:rPr>
        <w:t xml:space="preserve"> neurons in the SN pc compared to controls . The number of TH</w:t>
      </w:r>
      <w:r w:rsidRPr="002B2CFC">
        <w:rPr>
          <w:szCs w:val="24"/>
          <w:vertAlign w:val="superscript"/>
          <w:lang w:val="en-US" w:eastAsia="en-US"/>
        </w:rPr>
        <w:t>-</w:t>
      </w:r>
      <w:r w:rsidRPr="002B2CFC">
        <w:rPr>
          <w:szCs w:val="24"/>
          <w:lang w:val="en-US" w:eastAsia="en-US"/>
        </w:rPr>
        <w:t xml:space="preserve"> neurons was slightly increased (1%) compared to controls, however the total number of neurons (TH</w:t>
      </w:r>
      <w:r w:rsidRPr="002B2CFC">
        <w:rPr>
          <w:szCs w:val="24"/>
          <w:vertAlign w:val="superscript"/>
          <w:lang w:val="en-US" w:eastAsia="en-US"/>
        </w:rPr>
        <w:t>+</w:t>
      </w:r>
      <w:r w:rsidRPr="002B2CFC">
        <w:rPr>
          <w:szCs w:val="24"/>
          <w:lang w:val="en-US" w:eastAsia="en-US"/>
        </w:rPr>
        <w:t xml:space="preserve"> + TH</w:t>
      </w:r>
      <w:r w:rsidRPr="002B2CFC">
        <w:rPr>
          <w:szCs w:val="24"/>
          <w:vertAlign w:val="superscript"/>
          <w:lang w:val="en-US" w:eastAsia="en-US"/>
        </w:rPr>
        <w:t>-</w:t>
      </w:r>
      <w:r w:rsidRPr="002B2CFC">
        <w:rPr>
          <w:szCs w:val="24"/>
          <w:lang w:val="en-US" w:eastAsia="en-US"/>
        </w:rPr>
        <w:t>) was reduced (-6%) but not statistically significantly so. The total contour volume was statistically significantly reduced (-9%).</w:t>
      </w:r>
    </w:p>
    <w:p w14:paraId="695A2756" w14:textId="77777777" w:rsidR="00E21D62" w:rsidRPr="002B2CFC" w:rsidRDefault="00E21D62" w:rsidP="00E21D62">
      <w:pPr>
        <w:rPr>
          <w:szCs w:val="24"/>
          <w:lang w:val="en-US" w:eastAsia="en-US"/>
        </w:rPr>
      </w:pPr>
    </w:p>
    <w:p w14:paraId="42A404A1" w14:textId="77777777" w:rsidR="00E21D62" w:rsidRPr="002B2CFC" w:rsidRDefault="00E21D62" w:rsidP="00E21D62">
      <w:pPr>
        <w:rPr>
          <w:szCs w:val="24"/>
          <w:lang w:val="en-US" w:eastAsia="en-US"/>
        </w:rPr>
      </w:pPr>
      <w:r w:rsidRPr="002B2CFC">
        <w:rPr>
          <w:szCs w:val="24"/>
          <w:lang w:val="en-US" w:eastAsia="en-US"/>
        </w:rPr>
        <w:t>In females in the positive control group (MPTP), the results reflected those in males with the number of TH</w:t>
      </w:r>
      <w:r w:rsidRPr="002B2CFC">
        <w:rPr>
          <w:szCs w:val="24"/>
          <w:vertAlign w:val="superscript"/>
          <w:lang w:val="en-US" w:eastAsia="en-US"/>
        </w:rPr>
        <w:t>+</w:t>
      </w:r>
      <w:r w:rsidRPr="002B2CFC">
        <w:rPr>
          <w:szCs w:val="24"/>
          <w:lang w:val="en-US" w:eastAsia="en-US"/>
        </w:rPr>
        <w:t xml:space="preserve"> neurons reduced (-5%), the number of TH</w:t>
      </w:r>
      <w:r w:rsidRPr="002B2CFC">
        <w:rPr>
          <w:szCs w:val="24"/>
          <w:vertAlign w:val="superscript"/>
          <w:lang w:val="en-US" w:eastAsia="en-US"/>
        </w:rPr>
        <w:t>-</w:t>
      </w:r>
      <w:r w:rsidRPr="002B2CFC">
        <w:rPr>
          <w:szCs w:val="24"/>
          <w:lang w:val="en-US" w:eastAsia="en-US"/>
        </w:rPr>
        <w:t xml:space="preserve"> neurons increased (4%), the total number of neurons reduced (-3%) and the total contour volume reduced (-3%) as compared to the negative controls. However, in females none of the results were statistically significant.</w:t>
      </w:r>
    </w:p>
    <w:p w14:paraId="29526E08" w14:textId="77777777" w:rsidR="00E21D62" w:rsidRPr="002B2CFC" w:rsidRDefault="00E21D62" w:rsidP="00E21D62">
      <w:pPr>
        <w:rPr>
          <w:szCs w:val="24"/>
          <w:lang w:val="en-US" w:eastAsia="en-US"/>
        </w:rPr>
      </w:pPr>
    </w:p>
    <w:p w14:paraId="5A53DEB4" w14:textId="77777777" w:rsidR="00E21D62" w:rsidRPr="002B2CFC" w:rsidRDefault="00E21D62" w:rsidP="00E21D62">
      <w:pPr>
        <w:keepNext/>
        <w:keepLines/>
        <w:spacing w:after="120"/>
        <w:rPr>
          <w:b/>
          <w:bCs/>
          <w:sz w:val="20"/>
          <w:lang w:val="en-US" w:eastAsia="en-US"/>
        </w:rPr>
      </w:pPr>
      <w:r w:rsidRPr="002B2CFC">
        <w:rPr>
          <w:b/>
          <w:bCs/>
          <w:sz w:val="20"/>
          <w:lang w:val="en-US" w:eastAsia="en-US"/>
        </w:rPr>
        <w:t xml:space="preserve">Table </w:t>
      </w:r>
      <w:r w:rsidR="00897462" w:rsidRPr="002B2CFC">
        <w:rPr>
          <w:b/>
          <w:bCs/>
          <w:sz w:val="20"/>
          <w:lang w:val="en-US" w:eastAsia="en-US"/>
        </w:rPr>
        <w:fldChar w:fldCharType="begin"/>
      </w:r>
      <w:r w:rsidRPr="002B2CFC">
        <w:rPr>
          <w:b/>
          <w:bCs/>
          <w:sz w:val="20"/>
          <w:lang w:val="en-US" w:eastAsia="en-US"/>
        </w:rPr>
        <w:instrText xml:space="preserve"> SEQ Table \* ARABIC </w:instrText>
      </w:r>
      <w:r w:rsidR="00897462" w:rsidRPr="002B2CFC">
        <w:rPr>
          <w:b/>
          <w:bCs/>
          <w:sz w:val="20"/>
          <w:lang w:val="en-US" w:eastAsia="en-US"/>
        </w:rPr>
        <w:fldChar w:fldCharType="separate"/>
      </w:r>
      <w:r w:rsidR="000E54B2">
        <w:rPr>
          <w:b/>
          <w:bCs/>
          <w:noProof/>
          <w:sz w:val="20"/>
          <w:lang w:val="en-US" w:eastAsia="en-US"/>
        </w:rPr>
        <w:t>53</w:t>
      </w:r>
      <w:r w:rsidR="00897462" w:rsidRPr="002B2CFC">
        <w:rPr>
          <w:b/>
          <w:bCs/>
          <w:sz w:val="20"/>
          <w:lang w:val="en-US" w:eastAsia="en-US"/>
        </w:rPr>
        <w:fldChar w:fldCharType="end"/>
      </w:r>
      <w:r w:rsidRPr="002B2CFC">
        <w:rPr>
          <w:b/>
          <w:bCs/>
          <w:sz w:val="20"/>
          <w:lang w:val="en-US" w:eastAsia="en-US"/>
        </w:rPr>
        <w:t xml:space="preserve">.Significant stereological findings in the </w:t>
      </w:r>
      <w:r w:rsidR="00A4092E">
        <w:rPr>
          <w:b/>
          <w:bCs/>
          <w:sz w:val="20"/>
          <w:lang w:val="en-US" w:eastAsia="en-US"/>
        </w:rPr>
        <w:t>SN pc</w:t>
      </w:r>
    </w:p>
    <w:tbl>
      <w:tblPr>
        <w:tblStyle w:val="TableGrid"/>
        <w:tblW w:w="0" w:type="auto"/>
        <w:tblLayout w:type="fixed"/>
        <w:tblLook w:val="04A0" w:firstRow="1" w:lastRow="0" w:firstColumn="1" w:lastColumn="0" w:noHBand="0" w:noVBand="1"/>
      </w:tblPr>
      <w:tblGrid>
        <w:gridCol w:w="817"/>
        <w:gridCol w:w="851"/>
        <w:gridCol w:w="850"/>
        <w:gridCol w:w="851"/>
        <w:gridCol w:w="850"/>
        <w:gridCol w:w="1276"/>
        <w:gridCol w:w="850"/>
        <w:gridCol w:w="851"/>
        <w:gridCol w:w="850"/>
        <w:gridCol w:w="1196"/>
      </w:tblGrid>
      <w:tr w:rsidR="00E21D62" w:rsidRPr="002B2CFC" w14:paraId="03D50DD6" w14:textId="77777777" w:rsidTr="00822CE8">
        <w:tc>
          <w:tcPr>
            <w:tcW w:w="817" w:type="dxa"/>
            <w:tcBorders>
              <w:bottom w:val="nil"/>
            </w:tcBorders>
            <w:shd w:val="clear" w:color="auto" w:fill="BFBFBF"/>
            <w:vAlign w:val="center"/>
          </w:tcPr>
          <w:p w14:paraId="5E938943" w14:textId="77777777" w:rsidR="00E21D62" w:rsidRPr="002B2CFC" w:rsidRDefault="00E21D62" w:rsidP="00822CE8">
            <w:pPr>
              <w:keepNext/>
              <w:keepLines/>
              <w:jc w:val="center"/>
              <w:rPr>
                <w:b/>
                <w:sz w:val="18"/>
                <w:szCs w:val="18"/>
                <w:lang w:val="en-US" w:eastAsia="en-US"/>
              </w:rPr>
            </w:pPr>
          </w:p>
        </w:tc>
        <w:tc>
          <w:tcPr>
            <w:tcW w:w="851" w:type="dxa"/>
            <w:tcBorders>
              <w:bottom w:val="nil"/>
            </w:tcBorders>
            <w:shd w:val="clear" w:color="auto" w:fill="BFBFBF"/>
            <w:vAlign w:val="center"/>
          </w:tcPr>
          <w:p w14:paraId="5D05C26E" w14:textId="77777777" w:rsidR="00E21D62" w:rsidRPr="002B2CFC" w:rsidRDefault="00E21D62" w:rsidP="00822CE8">
            <w:pPr>
              <w:keepNext/>
              <w:keepLines/>
              <w:jc w:val="center"/>
              <w:rPr>
                <w:b/>
                <w:sz w:val="18"/>
                <w:szCs w:val="18"/>
                <w:lang w:val="en-US" w:eastAsia="en-US"/>
              </w:rPr>
            </w:pPr>
          </w:p>
        </w:tc>
        <w:tc>
          <w:tcPr>
            <w:tcW w:w="3827" w:type="dxa"/>
            <w:gridSpan w:val="4"/>
            <w:tcBorders>
              <w:right w:val="single" w:sz="12" w:space="0" w:color="auto"/>
            </w:tcBorders>
            <w:shd w:val="clear" w:color="auto" w:fill="BFBFBF"/>
            <w:vAlign w:val="center"/>
          </w:tcPr>
          <w:p w14:paraId="4100CFCD" w14:textId="77777777" w:rsidR="00E21D62" w:rsidRPr="002B2CFC" w:rsidRDefault="00E21D62" w:rsidP="00822CE8">
            <w:pPr>
              <w:keepNext/>
              <w:keepLines/>
              <w:jc w:val="center"/>
              <w:rPr>
                <w:b/>
                <w:sz w:val="18"/>
                <w:szCs w:val="18"/>
                <w:lang w:val="en-US" w:eastAsia="en-US"/>
              </w:rPr>
            </w:pPr>
            <w:r w:rsidRPr="002B2CFC">
              <w:rPr>
                <w:b/>
                <w:sz w:val="18"/>
                <w:szCs w:val="18"/>
                <w:lang w:val="en-US" w:eastAsia="en-US"/>
              </w:rPr>
              <w:t>Males</w:t>
            </w:r>
          </w:p>
        </w:tc>
        <w:tc>
          <w:tcPr>
            <w:tcW w:w="3747" w:type="dxa"/>
            <w:gridSpan w:val="4"/>
            <w:tcBorders>
              <w:left w:val="single" w:sz="12" w:space="0" w:color="auto"/>
            </w:tcBorders>
            <w:shd w:val="clear" w:color="auto" w:fill="BFBFBF"/>
            <w:vAlign w:val="center"/>
          </w:tcPr>
          <w:p w14:paraId="5730BD25" w14:textId="77777777" w:rsidR="00E21D62" w:rsidRPr="002B2CFC" w:rsidRDefault="00E21D62" w:rsidP="00822CE8">
            <w:pPr>
              <w:keepNext/>
              <w:keepLines/>
              <w:jc w:val="center"/>
              <w:rPr>
                <w:b/>
                <w:sz w:val="18"/>
                <w:szCs w:val="18"/>
                <w:lang w:val="en-US" w:eastAsia="en-US"/>
              </w:rPr>
            </w:pPr>
            <w:r w:rsidRPr="002B2CFC">
              <w:rPr>
                <w:b/>
                <w:sz w:val="18"/>
                <w:szCs w:val="18"/>
                <w:lang w:val="en-US" w:eastAsia="en-US"/>
              </w:rPr>
              <w:t>Females</w:t>
            </w:r>
          </w:p>
        </w:tc>
      </w:tr>
      <w:tr w:rsidR="00E21D62" w:rsidRPr="002B2CFC" w14:paraId="40CA56EA" w14:textId="77777777" w:rsidTr="00822CE8">
        <w:tc>
          <w:tcPr>
            <w:tcW w:w="817" w:type="dxa"/>
            <w:tcBorders>
              <w:top w:val="nil"/>
            </w:tcBorders>
            <w:shd w:val="clear" w:color="auto" w:fill="BFBFBF"/>
          </w:tcPr>
          <w:p w14:paraId="1F80729B" w14:textId="77777777" w:rsidR="00E21D62" w:rsidRPr="002B2CFC" w:rsidRDefault="00E21D62" w:rsidP="00822CE8">
            <w:pPr>
              <w:keepNext/>
              <w:keepLines/>
              <w:rPr>
                <w:b/>
                <w:sz w:val="18"/>
                <w:szCs w:val="18"/>
                <w:lang w:val="en-US" w:eastAsia="en-US"/>
              </w:rPr>
            </w:pPr>
            <w:r w:rsidRPr="002B2CFC">
              <w:rPr>
                <w:b/>
                <w:sz w:val="18"/>
                <w:szCs w:val="18"/>
                <w:lang w:val="en-US" w:eastAsia="en-US"/>
              </w:rPr>
              <w:t>Group</w:t>
            </w:r>
          </w:p>
        </w:tc>
        <w:tc>
          <w:tcPr>
            <w:tcW w:w="851" w:type="dxa"/>
            <w:tcBorders>
              <w:top w:val="nil"/>
            </w:tcBorders>
            <w:shd w:val="clear" w:color="auto" w:fill="BFBFBF"/>
          </w:tcPr>
          <w:p w14:paraId="1DB97010" w14:textId="77777777" w:rsidR="00E21D62" w:rsidRPr="002B2CFC" w:rsidRDefault="00E21D62" w:rsidP="00822CE8">
            <w:pPr>
              <w:keepNext/>
              <w:keepLines/>
              <w:rPr>
                <w:b/>
                <w:sz w:val="18"/>
                <w:szCs w:val="18"/>
                <w:lang w:val="en-US" w:eastAsia="en-US"/>
              </w:rPr>
            </w:pPr>
          </w:p>
        </w:tc>
        <w:tc>
          <w:tcPr>
            <w:tcW w:w="850" w:type="dxa"/>
            <w:shd w:val="clear" w:color="auto" w:fill="BFBFBF"/>
          </w:tcPr>
          <w:p w14:paraId="6E0CE1CA" w14:textId="77777777" w:rsidR="00E21D62" w:rsidRPr="002B2CFC" w:rsidRDefault="00E21D62" w:rsidP="00822CE8">
            <w:pPr>
              <w:keepNext/>
              <w:keepLines/>
              <w:rPr>
                <w:b/>
                <w:sz w:val="18"/>
                <w:szCs w:val="18"/>
                <w:lang w:val="en-US" w:eastAsia="en-US"/>
              </w:rPr>
            </w:pPr>
            <w:r w:rsidRPr="002B2CFC">
              <w:rPr>
                <w:b/>
                <w:sz w:val="18"/>
                <w:szCs w:val="18"/>
                <w:lang w:val="en-US" w:eastAsia="en-US"/>
              </w:rPr>
              <w:t>TH</w:t>
            </w:r>
            <w:r w:rsidRPr="002B2CFC">
              <w:rPr>
                <w:b/>
                <w:sz w:val="18"/>
                <w:szCs w:val="18"/>
                <w:vertAlign w:val="superscript"/>
                <w:lang w:val="en-US" w:eastAsia="en-US"/>
              </w:rPr>
              <w:t>+</w:t>
            </w:r>
            <w:r w:rsidRPr="002B2CFC">
              <w:rPr>
                <w:b/>
                <w:sz w:val="18"/>
                <w:szCs w:val="18"/>
                <w:lang w:val="en-US" w:eastAsia="en-US"/>
              </w:rPr>
              <w:t xml:space="preserve"> neurons</w:t>
            </w:r>
          </w:p>
        </w:tc>
        <w:tc>
          <w:tcPr>
            <w:tcW w:w="851" w:type="dxa"/>
            <w:shd w:val="clear" w:color="auto" w:fill="BFBFBF"/>
          </w:tcPr>
          <w:p w14:paraId="7F3EE343" w14:textId="77777777" w:rsidR="00E21D62" w:rsidRPr="002B2CFC" w:rsidRDefault="00E21D62" w:rsidP="00822CE8">
            <w:pPr>
              <w:keepNext/>
              <w:keepLines/>
              <w:rPr>
                <w:b/>
                <w:sz w:val="18"/>
                <w:szCs w:val="18"/>
                <w:lang w:val="en-US" w:eastAsia="en-US"/>
              </w:rPr>
            </w:pPr>
            <w:r w:rsidRPr="002B2CFC">
              <w:rPr>
                <w:b/>
                <w:sz w:val="18"/>
                <w:szCs w:val="18"/>
                <w:lang w:val="en-US" w:eastAsia="en-US"/>
              </w:rPr>
              <w:t>TH</w:t>
            </w:r>
            <w:r w:rsidRPr="002B2CFC">
              <w:rPr>
                <w:b/>
                <w:sz w:val="18"/>
                <w:szCs w:val="18"/>
                <w:vertAlign w:val="superscript"/>
                <w:lang w:val="en-US" w:eastAsia="en-US"/>
              </w:rPr>
              <w:t xml:space="preserve">- </w:t>
            </w:r>
            <w:r w:rsidRPr="002B2CFC">
              <w:rPr>
                <w:b/>
                <w:sz w:val="18"/>
                <w:szCs w:val="18"/>
                <w:lang w:val="en-US" w:eastAsia="en-US"/>
              </w:rPr>
              <w:t>neurons</w:t>
            </w:r>
          </w:p>
        </w:tc>
        <w:tc>
          <w:tcPr>
            <w:tcW w:w="850" w:type="dxa"/>
            <w:shd w:val="clear" w:color="auto" w:fill="BFBFBF"/>
          </w:tcPr>
          <w:p w14:paraId="2AA17C4C" w14:textId="77777777" w:rsidR="00E21D62" w:rsidRPr="002B2CFC" w:rsidRDefault="00E21D62" w:rsidP="00822CE8">
            <w:pPr>
              <w:keepNext/>
              <w:keepLines/>
              <w:rPr>
                <w:b/>
                <w:sz w:val="18"/>
                <w:szCs w:val="18"/>
                <w:lang w:val="en-US" w:eastAsia="en-US"/>
              </w:rPr>
            </w:pPr>
            <w:r w:rsidRPr="002B2CFC">
              <w:rPr>
                <w:b/>
                <w:sz w:val="18"/>
                <w:szCs w:val="18"/>
                <w:lang w:val="en-US" w:eastAsia="en-US"/>
              </w:rPr>
              <w:t>Total neurons (TH</w:t>
            </w:r>
            <w:r w:rsidRPr="002B2CFC">
              <w:rPr>
                <w:b/>
                <w:sz w:val="18"/>
                <w:szCs w:val="18"/>
                <w:vertAlign w:val="superscript"/>
                <w:lang w:val="en-US" w:eastAsia="en-US"/>
              </w:rPr>
              <w:t>+</w:t>
            </w:r>
            <w:r w:rsidRPr="002B2CFC">
              <w:rPr>
                <w:b/>
                <w:sz w:val="18"/>
                <w:szCs w:val="18"/>
                <w:lang w:val="en-US" w:eastAsia="en-US"/>
              </w:rPr>
              <w:t xml:space="preserve"> &amp; TH</w:t>
            </w:r>
            <w:r w:rsidRPr="002B2CFC">
              <w:rPr>
                <w:b/>
                <w:sz w:val="18"/>
                <w:szCs w:val="18"/>
                <w:vertAlign w:val="superscript"/>
                <w:lang w:val="en-US" w:eastAsia="en-US"/>
              </w:rPr>
              <w:t>-</w:t>
            </w:r>
            <w:r w:rsidRPr="002B2CFC">
              <w:rPr>
                <w:b/>
                <w:sz w:val="18"/>
                <w:szCs w:val="18"/>
                <w:lang w:val="en-US" w:eastAsia="en-US"/>
              </w:rPr>
              <w:t>)</w:t>
            </w:r>
          </w:p>
        </w:tc>
        <w:tc>
          <w:tcPr>
            <w:tcW w:w="1276" w:type="dxa"/>
            <w:tcBorders>
              <w:right w:val="single" w:sz="12" w:space="0" w:color="auto"/>
            </w:tcBorders>
            <w:shd w:val="clear" w:color="auto" w:fill="BFBFBF"/>
          </w:tcPr>
          <w:p w14:paraId="102A4C4D" w14:textId="77777777" w:rsidR="00E21D62" w:rsidRPr="002B2CFC" w:rsidRDefault="00E21D62" w:rsidP="00822CE8">
            <w:pPr>
              <w:keepNext/>
              <w:keepLines/>
              <w:rPr>
                <w:b/>
                <w:sz w:val="18"/>
                <w:szCs w:val="18"/>
                <w:lang w:val="en-US" w:eastAsia="en-US"/>
              </w:rPr>
            </w:pPr>
            <w:r w:rsidRPr="002B2CFC">
              <w:rPr>
                <w:b/>
                <w:sz w:val="18"/>
                <w:szCs w:val="18"/>
                <w:lang w:val="en-US" w:eastAsia="en-US"/>
              </w:rPr>
              <w:t>Total contour volume (µm</w:t>
            </w:r>
            <w:r w:rsidRPr="002B2CFC">
              <w:rPr>
                <w:b/>
                <w:sz w:val="18"/>
                <w:szCs w:val="18"/>
                <w:vertAlign w:val="superscript"/>
                <w:lang w:val="en-US" w:eastAsia="en-US"/>
              </w:rPr>
              <w:t>3</w:t>
            </w:r>
            <w:r w:rsidRPr="002B2CFC">
              <w:rPr>
                <w:b/>
                <w:sz w:val="18"/>
                <w:szCs w:val="18"/>
                <w:lang w:val="en-US" w:eastAsia="en-US"/>
              </w:rPr>
              <w:t>)</w:t>
            </w:r>
          </w:p>
        </w:tc>
        <w:tc>
          <w:tcPr>
            <w:tcW w:w="850" w:type="dxa"/>
            <w:tcBorders>
              <w:left w:val="single" w:sz="12" w:space="0" w:color="auto"/>
            </w:tcBorders>
            <w:shd w:val="clear" w:color="auto" w:fill="BFBFBF"/>
          </w:tcPr>
          <w:p w14:paraId="41BDCD89" w14:textId="77777777" w:rsidR="00E21D62" w:rsidRPr="002B2CFC" w:rsidRDefault="00E21D62" w:rsidP="00822CE8">
            <w:pPr>
              <w:keepNext/>
              <w:keepLines/>
              <w:rPr>
                <w:b/>
                <w:sz w:val="18"/>
                <w:szCs w:val="18"/>
                <w:lang w:val="en-US" w:eastAsia="en-US"/>
              </w:rPr>
            </w:pPr>
            <w:r w:rsidRPr="002B2CFC">
              <w:rPr>
                <w:b/>
                <w:sz w:val="18"/>
                <w:szCs w:val="18"/>
                <w:lang w:val="en-US" w:eastAsia="en-US"/>
              </w:rPr>
              <w:t>TH</w:t>
            </w:r>
            <w:r w:rsidRPr="002B2CFC">
              <w:rPr>
                <w:b/>
                <w:sz w:val="18"/>
                <w:szCs w:val="18"/>
                <w:vertAlign w:val="superscript"/>
                <w:lang w:val="en-US" w:eastAsia="en-US"/>
              </w:rPr>
              <w:t>+</w:t>
            </w:r>
            <w:r w:rsidRPr="002B2CFC">
              <w:rPr>
                <w:b/>
                <w:sz w:val="18"/>
                <w:szCs w:val="18"/>
                <w:lang w:val="en-US" w:eastAsia="en-US"/>
              </w:rPr>
              <w:t xml:space="preserve"> neurons</w:t>
            </w:r>
          </w:p>
        </w:tc>
        <w:tc>
          <w:tcPr>
            <w:tcW w:w="851" w:type="dxa"/>
            <w:shd w:val="clear" w:color="auto" w:fill="BFBFBF"/>
          </w:tcPr>
          <w:p w14:paraId="2982D704" w14:textId="77777777" w:rsidR="00E21D62" w:rsidRPr="002B2CFC" w:rsidRDefault="00E21D62" w:rsidP="00822CE8">
            <w:pPr>
              <w:keepNext/>
              <w:keepLines/>
              <w:rPr>
                <w:b/>
                <w:sz w:val="18"/>
                <w:szCs w:val="18"/>
                <w:lang w:val="en-US" w:eastAsia="en-US"/>
              </w:rPr>
            </w:pPr>
            <w:r w:rsidRPr="002B2CFC">
              <w:rPr>
                <w:b/>
                <w:sz w:val="18"/>
                <w:szCs w:val="18"/>
                <w:lang w:val="en-US" w:eastAsia="en-US"/>
              </w:rPr>
              <w:t>TH</w:t>
            </w:r>
            <w:r w:rsidRPr="002B2CFC">
              <w:rPr>
                <w:b/>
                <w:sz w:val="18"/>
                <w:szCs w:val="18"/>
                <w:vertAlign w:val="superscript"/>
                <w:lang w:val="en-US" w:eastAsia="en-US"/>
              </w:rPr>
              <w:t xml:space="preserve">- </w:t>
            </w:r>
            <w:r w:rsidRPr="002B2CFC">
              <w:rPr>
                <w:b/>
                <w:sz w:val="18"/>
                <w:szCs w:val="18"/>
                <w:lang w:val="en-US" w:eastAsia="en-US"/>
              </w:rPr>
              <w:t>neurons</w:t>
            </w:r>
          </w:p>
        </w:tc>
        <w:tc>
          <w:tcPr>
            <w:tcW w:w="850" w:type="dxa"/>
            <w:shd w:val="clear" w:color="auto" w:fill="BFBFBF"/>
          </w:tcPr>
          <w:p w14:paraId="1B7F6A8E" w14:textId="77777777" w:rsidR="00E21D62" w:rsidRPr="002B2CFC" w:rsidRDefault="00E21D62" w:rsidP="00822CE8">
            <w:pPr>
              <w:keepNext/>
              <w:keepLines/>
              <w:rPr>
                <w:b/>
                <w:sz w:val="18"/>
                <w:szCs w:val="18"/>
                <w:lang w:val="en-US" w:eastAsia="en-US"/>
              </w:rPr>
            </w:pPr>
            <w:r w:rsidRPr="002B2CFC">
              <w:rPr>
                <w:b/>
                <w:sz w:val="18"/>
                <w:szCs w:val="18"/>
                <w:lang w:val="en-US" w:eastAsia="en-US"/>
              </w:rPr>
              <w:t>Total neurons (TH</w:t>
            </w:r>
            <w:r w:rsidRPr="002B2CFC">
              <w:rPr>
                <w:b/>
                <w:sz w:val="18"/>
                <w:szCs w:val="18"/>
                <w:vertAlign w:val="superscript"/>
                <w:lang w:val="en-US" w:eastAsia="en-US"/>
              </w:rPr>
              <w:t>+</w:t>
            </w:r>
            <w:r w:rsidRPr="002B2CFC">
              <w:rPr>
                <w:b/>
                <w:sz w:val="18"/>
                <w:szCs w:val="18"/>
                <w:lang w:val="en-US" w:eastAsia="en-US"/>
              </w:rPr>
              <w:t xml:space="preserve"> &amp; TH</w:t>
            </w:r>
            <w:r w:rsidRPr="002B2CFC">
              <w:rPr>
                <w:b/>
                <w:sz w:val="18"/>
                <w:szCs w:val="18"/>
                <w:vertAlign w:val="superscript"/>
                <w:lang w:val="en-US" w:eastAsia="en-US"/>
              </w:rPr>
              <w:t>-</w:t>
            </w:r>
            <w:r w:rsidRPr="002B2CFC">
              <w:rPr>
                <w:b/>
                <w:sz w:val="18"/>
                <w:szCs w:val="18"/>
                <w:lang w:val="en-US" w:eastAsia="en-US"/>
              </w:rPr>
              <w:t>)</w:t>
            </w:r>
          </w:p>
        </w:tc>
        <w:tc>
          <w:tcPr>
            <w:tcW w:w="1196" w:type="dxa"/>
            <w:shd w:val="clear" w:color="auto" w:fill="BFBFBF"/>
          </w:tcPr>
          <w:p w14:paraId="0227829C" w14:textId="77777777" w:rsidR="00E21D62" w:rsidRPr="002B2CFC" w:rsidRDefault="00E21D62" w:rsidP="00822CE8">
            <w:pPr>
              <w:keepNext/>
              <w:keepLines/>
              <w:rPr>
                <w:b/>
                <w:sz w:val="18"/>
                <w:szCs w:val="18"/>
                <w:lang w:val="en-US" w:eastAsia="en-US"/>
              </w:rPr>
            </w:pPr>
            <w:r w:rsidRPr="002B2CFC">
              <w:rPr>
                <w:b/>
                <w:sz w:val="18"/>
                <w:szCs w:val="18"/>
                <w:lang w:val="en-US" w:eastAsia="en-US"/>
              </w:rPr>
              <w:t>Total contour volume (µm</w:t>
            </w:r>
            <w:r w:rsidRPr="002B2CFC">
              <w:rPr>
                <w:b/>
                <w:sz w:val="18"/>
                <w:szCs w:val="18"/>
                <w:vertAlign w:val="superscript"/>
                <w:lang w:val="en-US" w:eastAsia="en-US"/>
              </w:rPr>
              <w:t>3</w:t>
            </w:r>
            <w:r w:rsidRPr="002B2CFC">
              <w:rPr>
                <w:b/>
                <w:sz w:val="18"/>
                <w:szCs w:val="18"/>
                <w:lang w:val="en-US" w:eastAsia="en-US"/>
              </w:rPr>
              <w:t>)</w:t>
            </w:r>
          </w:p>
        </w:tc>
      </w:tr>
      <w:tr w:rsidR="00E21D62" w:rsidRPr="002B2CFC" w14:paraId="391F0F7E" w14:textId="77777777" w:rsidTr="00822CE8">
        <w:tc>
          <w:tcPr>
            <w:tcW w:w="817" w:type="dxa"/>
            <w:vMerge w:val="restart"/>
            <w:vAlign w:val="center"/>
          </w:tcPr>
          <w:p w14:paraId="2D752A59" w14:textId="77777777" w:rsidR="00E21D62" w:rsidRPr="002B2CFC" w:rsidRDefault="00E21D62" w:rsidP="00822CE8">
            <w:pPr>
              <w:keepNext/>
              <w:keepLines/>
              <w:jc w:val="center"/>
              <w:rPr>
                <w:b/>
                <w:sz w:val="18"/>
                <w:szCs w:val="18"/>
                <w:lang w:val="en-US" w:eastAsia="en-US"/>
              </w:rPr>
            </w:pPr>
            <w:r w:rsidRPr="002B2CFC">
              <w:rPr>
                <w:b/>
                <w:sz w:val="18"/>
                <w:szCs w:val="18"/>
                <w:lang w:val="en-US" w:eastAsia="en-US"/>
              </w:rPr>
              <w:t>0 ppm</w:t>
            </w:r>
          </w:p>
        </w:tc>
        <w:tc>
          <w:tcPr>
            <w:tcW w:w="851" w:type="dxa"/>
          </w:tcPr>
          <w:p w14:paraId="02E672ED" w14:textId="77777777" w:rsidR="00E21D62" w:rsidRPr="002B2CFC" w:rsidRDefault="00E21D62" w:rsidP="00822CE8">
            <w:pPr>
              <w:keepNext/>
              <w:keepLines/>
              <w:rPr>
                <w:b/>
                <w:sz w:val="18"/>
                <w:szCs w:val="18"/>
                <w:lang w:val="en-US" w:eastAsia="en-US"/>
              </w:rPr>
            </w:pPr>
            <w:r w:rsidRPr="002B2CFC">
              <w:rPr>
                <w:b/>
                <w:sz w:val="18"/>
                <w:szCs w:val="18"/>
                <w:lang w:val="en-US" w:eastAsia="en-US"/>
              </w:rPr>
              <w:t>n</w:t>
            </w:r>
          </w:p>
        </w:tc>
        <w:tc>
          <w:tcPr>
            <w:tcW w:w="3827" w:type="dxa"/>
            <w:gridSpan w:val="4"/>
            <w:tcBorders>
              <w:right w:val="single" w:sz="12" w:space="0" w:color="auto"/>
            </w:tcBorders>
            <w:vAlign w:val="center"/>
          </w:tcPr>
          <w:p w14:paraId="5DD3925D" w14:textId="77777777" w:rsidR="00E21D62" w:rsidRPr="002B2CFC" w:rsidRDefault="00E21D62" w:rsidP="00822CE8">
            <w:pPr>
              <w:keepNext/>
              <w:keepLines/>
              <w:jc w:val="center"/>
              <w:rPr>
                <w:sz w:val="18"/>
                <w:szCs w:val="18"/>
                <w:lang w:val="en-US" w:eastAsia="en-US"/>
              </w:rPr>
            </w:pPr>
            <w:r w:rsidRPr="002B2CFC">
              <w:rPr>
                <w:sz w:val="18"/>
                <w:szCs w:val="18"/>
                <w:lang w:val="en-US" w:eastAsia="en-US"/>
              </w:rPr>
              <w:t>20</w:t>
            </w:r>
          </w:p>
        </w:tc>
        <w:tc>
          <w:tcPr>
            <w:tcW w:w="3747" w:type="dxa"/>
            <w:gridSpan w:val="4"/>
            <w:tcBorders>
              <w:left w:val="single" w:sz="12" w:space="0" w:color="auto"/>
            </w:tcBorders>
            <w:vAlign w:val="center"/>
          </w:tcPr>
          <w:p w14:paraId="18A2D055" w14:textId="77777777" w:rsidR="00E21D62" w:rsidRPr="002B2CFC" w:rsidRDefault="00E21D62" w:rsidP="00822CE8">
            <w:pPr>
              <w:keepNext/>
              <w:keepLines/>
              <w:jc w:val="center"/>
              <w:rPr>
                <w:sz w:val="18"/>
                <w:szCs w:val="18"/>
                <w:lang w:val="en-US" w:eastAsia="en-US"/>
              </w:rPr>
            </w:pPr>
            <w:r w:rsidRPr="002B2CFC">
              <w:rPr>
                <w:sz w:val="18"/>
                <w:szCs w:val="18"/>
                <w:lang w:val="en-US" w:eastAsia="en-US"/>
              </w:rPr>
              <w:t>20</w:t>
            </w:r>
          </w:p>
        </w:tc>
      </w:tr>
      <w:tr w:rsidR="00E21D62" w:rsidRPr="002B2CFC" w14:paraId="7E6E8163" w14:textId="77777777" w:rsidTr="00822CE8">
        <w:tc>
          <w:tcPr>
            <w:tcW w:w="817" w:type="dxa"/>
            <w:vMerge/>
            <w:vAlign w:val="center"/>
          </w:tcPr>
          <w:p w14:paraId="77A21A9B" w14:textId="77777777" w:rsidR="00E21D62" w:rsidRPr="002B2CFC" w:rsidRDefault="00E21D62" w:rsidP="00822CE8">
            <w:pPr>
              <w:keepNext/>
              <w:keepLines/>
              <w:jc w:val="center"/>
              <w:rPr>
                <w:b/>
                <w:sz w:val="18"/>
                <w:szCs w:val="18"/>
                <w:lang w:val="en-US" w:eastAsia="en-US"/>
              </w:rPr>
            </w:pPr>
          </w:p>
        </w:tc>
        <w:tc>
          <w:tcPr>
            <w:tcW w:w="851" w:type="dxa"/>
          </w:tcPr>
          <w:p w14:paraId="20E3913D" w14:textId="77777777" w:rsidR="00E21D62" w:rsidRPr="002B2CFC" w:rsidRDefault="00E21D62" w:rsidP="00822CE8">
            <w:pPr>
              <w:keepNext/>
              <w:keepLines/>
              <w:rPr>
                <w:b/>
                <w:sz w:val="18"/>
                <w:szCs w:val="18"/>
                <w:lang w:val="en-US" w:eastAsia="en-US"/>
              </w:rPr>
            </w:pPr>
            <w:r w:rsidRPr="002B2CFC">
              <w:rPr>
                <w:b/>
                <w:sz w:val="18"/>
                <w:szCs w:val="18"/>
                <w:lang w:val="en-US" w:eastAsia="en-US"/>
              </w:rPr>
              <w:t>Mean</w:t>
            </w:r>
          </w:p>
        </w:tc>
        <w:tc>
          <w:tcPr>
            <w:tcW w:w="850" w:type="dxa"/>
          </w:tcPr>
          <w:p w14:paraId="55479E69" w14:textId="77777777" w:rsidR="00E21D62" w:rsidRPr="002B2CFC" w:rsidRDefault="00E21D62" w:rsidP="00822CE8">
            <w:pPr>
              <w:keepNext/>
              <w:keepLines/>
              <w:rPr>
                <w:sz w:val="18"/>
                <w:szCs w:val="18"/>
                <w:lang w:val="en-US" w:eastAsia="en-US"/>
              </w:rPr>
            </w:pPr>
            <w:r w:rsidRPr="002B2CFC">
              <w:rPr>
                <w:sz w:val="18"/>
                <w:szCs w:val="18"/>
                <w:lang w:val="en-US" w:eastAsia="en-US"/>
              </w:rPr>
              <w:t>15,173</w:t>
            </w:r>
          </w:p>
        </w:tc>
        <w:tc>
          <w:tcPr>
            <w:tcW w:w="851" w:type="dxa"/>
          </w:tcPr>
          <w:p w14:paraId="37950666" w14:textId="77777777" w:rsidR="00E21D62" w:rsidRPr="002B2CFC" w:rsidRDefault="00E21D62" w:rsidP="00822CE8">
            <w:pPr>
              <w:keepNext/>
              <w:keepLines/>
              <w:rPr>
                <w:sz w:val="18"/>
                <w:szCs w:val="18"/>
                <w:lang w:val="en-US" w:eastAsia="en-US"/>
              </w:rPr>
            </w:pPr>
            <w:r w:rsidRPr="002B2CFC">
              <w:rPr>
                <w:sz w:val="18"/>
                <w:szCs w:val="18"/>
                <w:lang w:val="en-US" w:eastAsia="en-US"/>
              </w:rPr>
              <w:t>7,510</w:t>
            </w:r>
          </w:p>
        </w:tc>
        <w:tc>
          <w:tcPr>
            <w:tcW w:w="850" w:type="dxa"/>
          </w:tcPr>
          <w:p w14:paraId="6B23523D" w14:textId="77777777" w:rsidR="00E21D62" w:rsidRPr="002B2CFC" w:rsidRDefault="00E21D62" w:rsidP="00822CE8">
            <w:pPr>
              <w:keepNext/>
              <w:keepLines/>
              <w:rPr>
                <w:sz w:val="18"/>
                <w:szCs w:val="18"/>
                <w:lang w:val="en-US" w:eastAsia="en-US"/>
              </w:rPr>
            </w:pPr>
            <w:r w:rsidRPr="002B2CFC">
              <w:rPr>
                <w:sz w:val="18"/>
                <w:szCs w:val="18"/>
                <w:lang w:val="en-US" w:eastAsia="en-US"/>
              </w:rPr>
              <w:t>22,683</w:t>
            </w:r>
          </w:p>
        </w:tc>
        <w:tc>
          <w:tcPr>
            <w:tcW w:w="1276" w:type="dxa"/>
            <w:tcBorders>
              <w:right w:val="single" w:sz="12" w:space="0" w:color="auto"/>
            </w:tcBorders>
          </w:tcPr>
          <w:p w14:paraId="4516F089" w14:textId="77777777" w:rsidR="00E21D62" w:rsidRPr="002B2CFC" w:rsidRDefault="00E21D62" w:rsidP="00822CE8">
            <w:pPr>
              <w:keepNext/>
              <w:keepLines/>
              <w:rPr>
                <w:sz w:val="18"/>
                <w:szCs w:val="18"/>
                <w:lang w:val="en-US" w:eastAsia="en-US"/>
              </w:rPr>
            </w:pPr>
            <w:r w:rsidRPr="002B2CFC">
              <w:rPr>
                <w:sz w:val="18"/>
                <w:szCs w:val="18"/>
                <w:lang w:val="en-US" w:eastAsia="en-US"/>
              </w:rPr>
              <w:t>345,661,900</w:t>
            </w:r>
          </w:p>
        </w:tc>
        <w:tc>
          <w:tcPr>
            <w:tcW w:w="850" w:type="dxa"/>
            <w:tcBorders>
              <w:left w:val="single" w:sz="12" w:space="0" w:color="auto"/>
            </w:tcBorders>
          </w:tcPr>
          <w:p w14:paraId="1C1693B6" w14:textId="77777777" w:rsidR="00E21D62" w:rsidRPr="002B2CFC" w:rsidRDefault="00E21D62" w:rsidP="00822CE8">
            <w:pPr>
              <w:keepNext/>
              <w:keepLines/>
              <w:rPr>
                <w:sz w:val="18"/>
                <w:szCs w:val="18"/>
                <w:lang w:val="en-US" w:eastAsia="en-US"/>
              </w:rPr>
            </w:pPr>
            <w:r w:rsidRPr="002B2CFC">
              <w:rPr>
                <w:sz w:val="18"/>
                <w:szCs w:val="18"/>
                <w:lang w:val="en-US" w:eastAsia="en-US"/>
              </w:rPr>
              <w:t>14,813</w:t>
            </w:r>
          </w:p>
        </w:tc>
        <w:tc>
          <w:tcPr>
            <w:tcW w:w="851" w:type="dxa"/>
          </w:tcPr>
          <w:p w14:paraId="292D5BB9" w14:textId="77777777" w:rsidR="00E21D62" w:rsidRPr="002B2CFC" w:rsidRDefault="00E21D62" w:rsidP="00822CE8">
            <w:pPr>
              <w:keepNext/>
              <w:keepLines/>
              <w:rPr>
                <w:sz w:val="18"/>
                <w:szCs w:val="18"/>
                <w:lang w:val="en-US" w:eastAsia="en-US"/>
              </w:rPr>
            </w:pPr>
            <w:r w:rsidRPr="002B2CFC">
              <w:rPr>
                <w:sz w:val="18"/>
                <w:szCs w:val="18"/>
                <w:lang w:val="en-US" w:eastAsia="en-US"/>
              </w:rPr>
              <w:t>6,024</w:t>
            </w:r>
          </w:p>
        </w:tc>
        <w:tc>
          <w:tcPr>
            <w:tcW w:w="850" w:type="dxa"/>
          </w:tcPr>
          <w:p w14:paraId="4C24A14C" w14:textId="77777777" w:rsidR="00E21D62" w:rsidRPr="002B2CFC" w:rsidRDefault="00E21D62" w:rsidP="00822CE8">
            <w:pPr>
              <w:keepNext/>
              <w:keepLines/>
              <w:rPr>
                <w:sz w:val="18"/>
                <w:szCs w:val="18"/>
                <w:lang w:val="en-US" w:eastAsia="en-US"/>
              </w:rPr>
            </w:pPr>
            <w:r w:rsidRPr="002B2CFC">
              <w:rPr>
                <w:sz w:val="18"/>
                <w:szCs w:val="18"/>
                <w:lang w:val="en-US" w:eastAsia="en-US"/>
              </w:rPr>
              <w:t>20,838</w:t>
            </w:r>
          </w:p>
        </w:tc>
        <w:tc>
          <w:tcPr>
            <w:tcW w:w="1196" w:type="dxa"/>
          </w:tcPr>
          <w:p w14:paraId="344CB953" w14:textId="77777777" w:rsidR="00E21D62" w:rsidRPr="002B2CFC" w:rsidRDefault="00E21D62" w:rsidP="00822CE8">
            <w:pPr>
              <w:keepNext/>
              <w:keepLines/>
              <w:rPr>
                <w:sz w:val="18"/>
                <w:szCs w:val="18"/>
                <w:lang w:val="en-US" w:eastAsia="en-US"/>
              </w:rPr>
            </w:pPr>
            <w:r w:rsidRPr="002B2CFC">
              <w:rPr>
                <w:sz w:val="18"/>
                <w:szCs w:val="18"/>
                <w:lang w:val="en-US" w:eastAsia="en-US"/>
              </w:rPr>
              <w:t>339,634,150</w:t>
            </w:r>
          </w:p>
        </w:tc>
      </w:tr>
      <w:tr w:rsidR="00E21D62" w:rsidRPr="002B2CFC" w14:paraId="69DFA4BE" w14:textId="77777777" w:rsidTr="00822CE8">
        <w:tc>
          <w:tcPr>
            <w:tcW w:w="817" w:type="dxa"/>
            <w:vMerge/>
            <w:tcBorders>
              <w:bottom w:val="single" w:sz="12" w:space="0" w:color="auto"/>
            </w:tcBorders>
            <w:vAlign w:val="center"/>
          </w:tcPr>
          <w:p w14:paraId="7066A3CE" w14:textId="77777777" w:rsidR="00E21D62" w:rsidRPr="002B2CFC" w:rsidRDefault="00E21D62" w:rsidP="00822CE8">
            <w:pPr>
              <w:keepNext/>
              <w:keepLines/>
              <w:jc w:val="center"/>
              <w:rPr>
                <w:b/>
                <w:sz w:val="18"/>
                <w:szCs w:val="18"/>
                <w:lang w:val="en-US" w:eastAsia="en-US"/>
              </w:rPr>
            </w:pPr>
          </w:p>
        </w:tc>
        <w:tc>
          <w:tcPr>
            <w:tcW w:w="851" w:type="dxa"/>
            <w:tcBorders>
              <w:bottom w:val="single" w:sz="12" w:space="0" w:color="auto"/>
            </w:tcBorders>
          </w:tcPr>
          <w:p w14:paraId="2CA704F5" w14:textId="77777777" w:rsidR="00E21D62" w:rsidRPr="002B2CFC" w:rsidRDefault="00E21D62" w:rsidP="00822CE8">
            <w:pPr>
              <w:keepNext/>
              <w:keepLines/>
              <w:rPr>
                <w:b/>
                <w:sz w:val="18"/>
                <w:szCs w:val="18"/>
                <w:lang w:val="en-US" w:eastAsia="en-US"/>
              </w:rPr>
            </w:pPr>
            <w:r w:rsidRPr="002B2CFC">
              <w:rPr>
                <w:b/>
                <w:sz w:val="18"/>
                <w:szCs w:val="18"/>
                <w:lang w:val="en-US" w:eastAsia="en-US"/>
              </w:rPr>
              <w:t>SD</w:t>
            </w:r>
          </w:p>
        </w:tc>
        <w:tc>
          <w:tcPr>
            <w:tcW w:w="850" w:type="dxa"/>
            <w:tcBorders>
              <w:bottom w:val="single" w:sz="12" w:space="0" w:color="auto"/>
            </w:tcBorders>
          </w:tcPr>
          <w:p w14:paraId="1E75ECDE" w14:textId="77777777" w:rsidR="00E21D62" w:rsidRPr="002B2CFC" w:rsidRDefault="00E21D62" w:rsidP="00822CE8">
            <w:pPr>
              <w:keepNext/>
              <w:keepLines/>
              <w:rPr>
                <w:sz w:val="18"/>
                <w:szCs w:val="18"/>
                <w:lang w:val="en-US" w:eastAsia="en-US"/>
              </w:rPr>
            </w:pPr>
            <w:r w:rsidRPr="002B2CFC">
              <w:rPr>
                <w:sz w:val="18"/>
                <w:szCs w:val="18"/>
                <w:lang w:val="en-US" w:eastAsia="en-US"/>
              </w:rPr>
              <w:t>2,447</w:t>
            </w:r>
          </w:p>
        </w:tc>
        <w:tc>
          <w:tcPr>
            <w:tcW w:w="851" w:type="dxa"/>
            <w:tcBorders>
              <w:bottom w:val="single" w:sz="12" w:space="0" w:color="auto"/>
            </w:tcBorders>
          </w:tcPr>
          <w:p w14:paraId="2D0CCD87" w14:textId="77777777" w:rsidR="00E21D62" w:rsidRPr="002B2CFC" w:rsidRDefault="00E21D62" w:rsidP="00822CE8">
            <w:pPr>
              <w:keepNext/>
              <w:keepLines/>
              <w:rPr>
                <w:sz w:val="18"/>
                <w:szCs w:val="18"/>
                <w:lang w:val="en-US" w:eastAsia="en-US"/>
              </w:rPr>
            </w:pPr>
            <w:r w:rsidRPr="002B2CFC">
              <w:rPr>
                <w:sz w:val="18"/>
                <w:szCs w:val="18"/>
                <w:lang w:val="en-US" w:eastAsia="en-US"/>
              </w:rPr>
              <w:t>2,039</w:t>
            </w:r>
          </w:p>
        </w:tc>
        <w:tc>
          <w:tcPr>
            <w:tcW w:w="850" w:type="dxa"/>
            <w:tcBorders>
              <w:bottom w:val="single" w:sz="12" w:space="0" w:color="auto"/>
            </w:tcBorders>
          </w:tcPr>
          <w:p w14:paraId="5F357574" w14:textId="77777777" w:rsidR="00E21D62" w:rsidRPr="002B2CFC" w:rsidRDefault="00E21D62" w:rsidP="00822CE8">
            <w:pPr>
              <w:keepNext/>
              <w:keepLines/>
              <w:rPr>
                <w:sz w:val="18"/>
                <w:szCs w:val="18"/>
                <w:lang w:val="en-US" w:eastAsia="en-US"/>
              </w:rPr>
            </w:pPr>
            <w:r w:rsidRPr="002B2CFC">
              <w:rPr>
                <w:sz w:val="18"/>
                <w:szCs w:val="18"/>
                <w:lang w:val="en-US" w:eastAsia="en-US"/>
              </w:rPr>
              <w:t>3,197</w:t>
            </w:r>
          </w:p>
        </w:tc>
        <w:tc>
          <w:tcPr>
            <w:tcW w:w="1276" w:type="dxa"/>
            <w:tcBorders>
              <w:bottom w:val="single" w:sz="12" w:space="0" w:color="auto"/>
              <w:right w:val="single" w:sz="12" w:space="0" w:color="auto"/>
            </w:tcBorders>
          </w:tcPr>
          <w:p w14:paraId="20E7D2F0" w14:textId="77777777" w:rsidR="00E21D62" w:rsidRPr="002B2CFC" w:rsidRDefault="00E21D62" w:rsidP="00822CE8">
            <w:pPr>
              <w:keepNext/>
              <w:keepLines/>
              <w:rPr>
                <w:sz w:val="18"/>
                <w:szCs w:val="18"/>
                <w:lang w:val="en-US" w:eastAsia="en-US"/>
              </w:rPr>
            </w:pPr>
            <w:r w:rsidRPr="002B2CFC">
              <w:rPr>
                <w:sz w:val="18"/>
                <w:szCs w:val="18"/>
                <w:lang w:val="en-US" w:eastAsia="en-US"/>
              </w:rPr>
              <w:t>27,303,337</w:t>
            </w:r>
          </w:p>
        </w:tc>
        <w:tc>
          <w:tcPr>
            <w:tcW w:w="850" w:type="dxa"/>
            <w:tcBorders>
              <w:left w:val="single" w:sz="12" w:space="0" w:color="auto"/>
              <w:bottom w:val="single" w:sz="12" w:space="0" w:color="auto"/>
            </w:tcBorders>
          </w:tcPr>
          <w:p w14:paraId="7893F4F6" w14:textId="77777777" w:rsidR="00E21D62" w:rsidRPr="002B2CFC" w:rsidRDefault="00E21D62" w:rsidP="00822CE8">
            <w:pPr>
              <w:keepNext/>
              <w:keepLines/>
              <w:rPr>
                <w:sz w:val="18"/>
                <w:szCs w:val="18"/>
                <w:lang w:val="en-US" w:eastAsia="en-US"/>
              </w:rPr>
            </w:pPr>
            <w:r w:rsidRPr="002B2CFC">
              <w:rPr>
                <w:sz w:val="18"/>
                <w:szCs w:val="18"/>
                <w:lang w:val="en-US" w:eastAsia="en-US"/>
              </w:rPr>
              <w:t>2,657</w:t>
            </w:r>
          </w:p>
        </w:tc>
        <w:tc>
          <w:tcPr>
            <w:tcW w:w="851" w:type="dxa"/>
            <w:tcBorders>
              <w:bottom w:val="single" w:sz="12" w:space="0" w:color="auto"/>
            </w:tcBorders>
          </w:tcPr>
          <w:p w14:paraId="5F296EE9" w14:textId="77777777" w:rsidR="00E21D62" w:rsidRPr="002B2CFC" w:rsidRDefault="00E21D62" w:rsidP="00822CE8">
            <w:pPr>
              <w:keepNext/>
              <w:keepLines/>
              <w:rPr>
                <w:sz w:val="18"/>
                <w:szCs w:val="18"/>
                <w:lang w:val="en-US" w:eastAsia="en-US"/>
              </w:rPr>
            </w:pPr>
            <w:r w:rsidRPr="002B2CFC">
              <w:rPr>
                <w:sz w:val="18"/>
                <w:szCs w:val="18"/>
                <w:lang w:val="en-US" w:eastAsia="en-US"/>
              </w:rPr>
              <w:t>1,442</w:t>
            </w:r>
          </w:p>
        </w:tc>
        <w:tc>
          <w:tcPr>
            <w:tcW w:w="850" w:type="dxa"/>
            <w:tcBorders>
              <w:bottom w:val="single" w:sz="12" w:space="0" w:color="auto"/>
            </w:tcBorders>
          </w:tcPr>
          <w:p w14:paraId="5390D010" w14:textId="77777777" w:rsidR="00E21D62" w:rsidRPr="002B2CFC" w:rsidRDefault="00E21D62" w:rsidP="00822CE8">
            <w:pPr>
              <w:keepNext/>
              <w:keepLines/>
              <w:rPr>
                <w:sz w:val="18"/>
                <w:szCs w:val="18"/>
                <w:lang w:val="en-US" w:eastAsia="en-US"/>
              </w:rPr>
            </w:pPr>
            <w:r w:rsidRPr="002B2CFC">
              <w:rPr>
                <w:sz w:val="18"/>
                <w:szCs w:val="18"/>
                <w:lang w:val="en-US" w:eastAsia="en-US"/>
              </w:rPr>
              <w:t>2,937</w:t>
            </w:r>
          </w:p>
        </w:tc>
        <w:tc>
          <w:tcPr>
            <w:tcW w:w="1196" w:type="dxa"/>
            <w:tcBorders>
              <w:bottom w:val="single" w:sz="12" w:space="0" w:color="auto"/>
            </w:tcBorders>
          </w:tcPr>
          <w:p w14:paraId="758AD378" w14:textId="77777777" w:rsidR="00E21D62" w:rsidRPr="002B2CFC" w:rsidRDefault="00E21D62" w:rsidP="00822CE8">
            <w:pPr>
              <w:keepNext/>
              <w:keepLines/>
              <w:rPr>
                <w:sz w:val="18"/>
                <w:szCs w:val="18"/>
                <w:lang w:val="en-US" w:eastAsia="en-US"/>
              </w:rPr>
            </w:pPr>
            <w:r w:rsidRPr="002B2CFC">
              <w:rPr>
                <w:sz w:val="18"/>
                <w:szCs w:val="18"/>
                <w:lang w:val="en-US" w:eastAsia="en-US"/>
              </w:rPr>
              <w:t>29,853,427</w:t>
            </w:r>
          </w:p>
        </w:tc>
      </w:tr>
      <w:tr w:rsidR="00E21D62" w:rsidRPr="002B2CFC" w14:paraId="709F1ECC" w14:textId="77777777" w:rsidTr="00822CE8">
        <w:tc>
          <w:tcPr>
            <w:tcW w:w="817" w:type="dxa"/>
            <w:vMerge w:val="restart"/>
            <w:tcBorders>
              <w:top w:val="single" w:sz="12" w:space="0" w:color="auto"/>
            </w:tcBorders>
            <w:vAlign w:val="center"/>
          </w:tcPr>
          <w:p w14:paraId="43BFFA7E" w14:textId="77777777" w:rsidR="00E21D62" w:rsidRPr="002B2CFC" w:rsidRDefault="00E21D62" w:rsidP="00822CE8">
            <w:pPr>
              <w:keepNext/>
              <w:keepLines/>
              <w:jc w:val="center"/>
              <w:rPr>
                <w:b/>
                <w:sz w:val="18"/>
                <w:szCs w:val="18"/>
                <w:lang w:val="en-US" w:eastAsia="en-US"/>
              </w:rPr>
            </w:pPr>
            <w:r w:rsidRPr="002B2CFC">
              <w:rPr>
                <w:b/>
                <w:sz w:val="18"/>
                <w:szCs w:val="18"/>
                <w:lang w:val="en-US" w:eastAsia="en-US"/>
              </w:rPr>
              <w:t>MPTP</w:t>
            </w:r>
          </w:p>
        </w:tc>
        <w:tc>
          <w:tcPr>
            <w:tcW w:w="851" w:type="dxa"/>
            <w:tcBorders>
              <w:top w:val="single" w:sz="12" w:space="0" w:color="auto"/>
            </w:tcBorders>
          </w:tcPr>
          <w:p w14:paraId="36F99C13" w14:textId="77777777" w:rsidR="00E21D62" w:rsidRPr="002B2CFC" w:rsidRDefault="00E21D62" w:rsidP="00822CE8">
            <w:pPr>
              <w:keepNext/>
              <w:keepLines/>
              <w:rPr>
                <w:b/>
                <w:sz w:val="18"/>
                <w:szCs w:val="18"/>
                <w:lang w:val="en-US" w:eastAsia="en-US"/>
              </w:rPr>
            </w:pPr>
            <w:r w:rsidRPr="002B2CFC">
              <w:rPr>
                <w:b/>
                <w:sz w:val="18"/>
                <w:szCs w:val="18"/>
                <w:lang w:val="en-US" w:eastAsia="en-US"/>
              </w:rPr>
              <w:t>n</w:t>
            </w:r>
          </w:p>
        </w:tc>
        <w:tc>
          <w:tcPr>
            <w:tcW w:w="3827" w:type="dxa"/>
            <w:gridSpan w:val="4"/>
            <w:tcBorders>
              <w:top w:val="single" w:sz="12" w:space="0" w:color="auto"/>
              <w:bottom w:val="single" w:sz="4" w:space="0" w:color="auto"/>
              <w:right w:val="single" w:sz="12" w:space="0" w:color="auto"/>
            </w:tcBorders>
            <w:vAlign w:val="center"/>
          </w:tcPr>
          <w:p w14:paraId="20E558C0" w14:textId="77777777" w:rsidR="00E21D62" w:rsidRPr="002B2CFC" w:rsidRDefault="00E21D62" w:rsidP="00822CE8">
            <w:pPr>
              <w:keepNext/>
              <w:keepLines/>
              <w:jc w:val="center"/>
              <w:rPr>
                <w:sz w:val="18"/>
                <w:szCs w:val="18"/>
                <w:lang w:val="en-US" w:eastAsia="en-US"/>
              </w:rPr>
            </w:pPr>
            <w:r w:rsidRPr="002B2CFC">
              <w:rPr>
                <w:sz w:val="18"/>
                <w:szCs w:val="18"/>
                <w:lang w:val="en-US" w:eastAsia="en-US"/>
              </w:rPr>
              <w:t>17</w:t>
            </w:r>
            <w:r w:rsidRPr="002B2CFC">
              <w:rPr>
                <w:sz w:val="18"/>
                <w:szCs w:val="18"/>
                <w:vertAlign w:val="superscript"/>
                <w:lang w:val="en-US" w:eastAsia="en-US"/>
              </w:rPr>
              <w:t>#</w:t>
            </w:r>
          </w:p>
        </w:tc>
        <w:tc>
          <w:tcPr>
            <w:tcW w:w="3747" w:type="dxa"/>
            <w:gridSpan w:val="4"/>
            <w:tcBorders>
              <w:top w:val="single" w:sz="12" w:space="0" w:color="auto"/>
              <w:left w:val="single" w:sz="12" w:space="0" w:color="auto"/>
            </w:tcBorders>
            <w:vAlign w:val="center"/>
          </w:tcPr>
          <w:p w14:paraId="198A7B0B" w14:textId="77777777" w:rsidR="00E21D62" w:rsidRPr="002B2CFC" w:rsidRDefault="00E21D62" w:rsidP="00822CE8">
            <w:pPr>
              <w:keepNext/>
              <w:keepLines/>
              <w:jc w:val="center"/>
              <w:rPr>
                <w:sz w:val="18"/>
                <w:szCs w:val="18"/>
                <w:lang w:val="en-US" w:eastAsia="en-US"/>
              </w:rPr>
            </w:pPr>
            <w:r w:rsidRPr="002B2CFC">
              <w:rPr>
                <w:sz w:val="18"/>
                <w:szCs w:val="18"/>
                <w:lang w:val="en-US" w:eastAsia="en-US"/>
              </w:rPr>
              <w:t>20</w:t>
            </w:r>
          </w:p>
        </w:tc>
      </w:tr>
      <w:tr w:rsidR="00E21D62" w:rsidRPr="002B2CFC" w14:paraId="5E3640DD" w14:textId="77777777" w:rsidTr="00822CE8">
        <w:tc>
          <w:tcPr>
            <w:tcW w:w="817" w:type="dxa"/>
            <w:vMerge/>
          </w:tcPr>
          <w:p w14:paraId="236D7518" w14:textId="77777777" w:rsidR="00E21D62" w:rsidRPr="002B2CFC" w:rsidRDefault="00E21D62" w:rsidP="00822CE8">
            <w:pPr>
              <w:keepNext/>
              <w:keepLines/>
              <w:rPr>
                <w:b/>
                <w:sz w:val="18"/>
                <w:szCs w:val="18"/>
                <w:lang w:val="en-US" w:eastAsia="en-US"/>
              </w:rPr>
            </w:pPr>
          </w:p>
        </w:tc>
        <w:tc>
          <w:tcPr>
            <w:tcW w:w="851" w:type="dxa"/>
          </w:tcPr>
          <w:p w14:paraId="3931CC4C" w14:textId="77777777" w:rsidR="00E21D62" w:rsidRPr="002B2CFC" w:rsidRDefault="00E21D62" w:rsidP="00822CE8">
            <w:pPr>
              <w:keepNext/>
              <w:keepLines/>
              <w:rPr>
                <w:b/>
                <w:sz w:val="18"/>
                <w:szCs w:val="18"/>
                <w:lang w:val="en-US" w:eastAsia="en-US"/>
              </w:rPr>
            </w:pPr>
            <w:r w:rsidRPr="002B2CFC">
              <w:rPr>
                <w:b/>
                <w:sz w:val="18"/>
                <w:szCs w:val="18"/>
                <w:lang w:val="en-US" w:eastAsia="en-US"/>
              </w:rPr>
              <w:t>Mean</w:t>
            </w:r>
          </w:p>
        </w:tc>
        <w:tc>
          <w:tcPr>
            <w:tcW w:w="850" w:type="dxa"/>
            <w:shd w:val="clear" w:color="auto" w:fill="auto"/>
          </w:tcPr>
          <w:p w14:paraId="46774A63" w14:textId="77777777" w:rsidR="00E21D62" w:rsidRPr="002B2CFC" w:rsidRDefault="00E21D62" w:rsidP="00822CE8">
            <w:pPr>
              <w:keepNext/>
              <w:keepLines/>
              <w:rPr>
                <w:sz w:val="18"/>
                <w:szCs w:val="18"/>
                <w:lang w:val="en-US" w:eastAsia="en-US"/>
              </w:rPr>
            </w:pPr>
            <w:r w:rsidRPr="002B2CFC">
              <w:rPr>
                <w:sz w:val="18"/>
                <w:szCs w:val="18"/>
                <w:lang w:val="en-US" w:eastAsia="en-US"/>
              </w:rPr>
              <w:t>13,675</w:t>
            </w:r>
            <w:r w:rsidRPr="002B2CFC">
              <w:rPr>
                <w:sz w:val="18"/>
                <w:szCs w:val="18"/>
                <w:vertAlign w:val="superscript"/>
                <w:lang w:val="en-US" w:eastAsia="en-US"/>
              </w:rPr>
              <w:t>*</w:t>
            </w:r>
          </w:p>
        </w:tc>
        <w:tc>
          <w:tcPr>
            <w:tcW w:w="851" w:type="dxa"/>
            <w:shd w:val="clear" w:color="auto" w:fill="auto"/>
          </w:tcPr>
          <w:p w14:paraId="696D9C71" w14:textId="77777777" w:rsidR="00E21D62" w:rsidRPr="002B2CFC" w:rsidRDefault="00E21D62" w:rsidP="00822CE8">
            <w:pPr>
              <w:keepNext/>
              <w:keepLines/>
              <w:rPr>
                <w:sz w:val="18"/>
                <w:szCs w:val="18"/>
                <w:lang w:val="en-US" w:eastAsia="en-US"/>
              </w:rPr>
            </w:pPr>
            <w:r w:rsidRPr="002B2CFC">
              <w:rPr>
                <w:sz w:val="18"/>
                <w:szCs w:val="18"/>
                <w:lang w:val="en-US" w:eastAsia="en-US"/>
              </w:rPr>
              <w:t>7,599</w:t>
            </w:r>
          </w:p>
        </w:tc>
        <w:tc>
          <w:tcPr>
            <w:tcW w:w="850" w:type="dxa"/>
            <w:shd w:val="clear" w:color="auto" w:fill="auto"/>
          </w:tcPr>
          <w:p w14:paraId="2D178B25" w14:textId="77777777" w:rsidR="00E21D62" w:rsidRPr="002B2CFC" w:rsidRDefault="00E21D62" w:rsidP="00822CE8">
            <w:pPr>
              <w:keepNext/>
              <w:keepLines/>
              <w:rPr>
                <w:sz w:val="18"/>
                <w:szCs w:val="18"/>
                <w:lang w:val="en-US" w:eastAsia="en-US"/>
              </w:rPr>
            </w:pPr>
            <w:r w:rsidRPr="002B2CFC">
              <w:rPr>
                <w:sz w:val="18"/>
                <w:szCs w:val="18"/>
                <w:lang w:val="en-US" w:eastAsia="en-US"/>
              </w:rPr>
              <w:t>21,274</w:t>
            </w:r>
          </w:p>
        </w:tc>
        <w:tc>
          <w:tcPr>
            <w:tcW w:w="1276" w:type="dxa"/>
            <w:tcBorders>
              <w:right w:val="single" w:sz="12" w:space="0" w:color="auto"/>
            </w:tcBorders>
            <w:shd w:val="clear" w:color="auto" w:fill="auto"/>
          </w:tcPr>
          <w:p w14:paraId="7B41DA16" w14:textId="77777777" w:rsidR="00E21D62" w:rsidRPr="002B2CFC" w:rsidRDefault="00E21D62" w:rsidP="00822CE8">
            <w:pPr>
              <w:keepNext/>
              <w:keepLines/>
              <w:rPr>
                <w:sz w:val="18"/>
                <w:szCs w:val="18"/>
                <w:lang w:val="en-US" w:eastAsia="en-US"/>
              </w:rPr>
            </w:pPr>
            <w:r w:rsidRPr="002B2CFC">
              <w:rPr>
                <w:sz w:val="18"/>
                <w:szCs w:val="18"/>
                <w:lang w:val="en-US" w:eastAsia="en-US"/>
              </w:rPr>
              <w:t>313,410,412</w:t>
            </w:r>
            <w:r w:rsidRPr="002B2CFC">
              <w:rPr>
                <w:sz w:val="18"/>
                <w:szCs w:val="18"/>
                <w:vertAlign w:val="superscript"/>
                <w:lang w:val="en-US" w:eastAsia="en-US"/>
              </w:rPr>
              <w:t>**</w:t>
            </w:r>
          </w:p>
        </w:tc>
        <w:tc>
          <w:tcPr>
            <w:tcW w:w="850" w:type="dxa"/>
            <w:tcBorders>
              <w:left w:val="single" w:sz="12" w:space="0" w:color="auto"/>
            </w:tcBorders>
          </w:tcPr>
          <w:p w14:paraId="2858816B" w14:textId="77777777" w:rsidR="00E21D62" w:rsidRPr="002B2CFC" w:rsidRDefault="00E21D62" w:rsidP="00822CE8">
            <w:pPr>
              <w:keepNext/>
              <w:keepLines/>
              <w:rPr>
                <w:sz w:val="18"/>
                <w:szCs w:val="18"/>
                <w:lang w:val="en-US" w:eastAsia="en-US"/>
              </w:rPr>
            </w:pPr>
            <w:r w:rsidRPr="002B2CFC">
              <w:rPr>
                <w:sz w:val="18"/>
                <w:szCs w:val="18"/>
                <w:lang w:val="en-US" w:eastAsia="en-US"/>
              </w:rPr>
              <w:t>14,004</w:t>
            </w:r>
          </w:p>
        </w:tc>
        <w:tc>
          <w:tcPr>
            <w:tcW w:w="851" w:type="dxa"/>
          </w:tcPr>
          <w:p w14:paraId="6669B06C" w14:textId="77777777" w:rsidR="00E21D62" w:rsidRPr="002B2CFC" w:rsidRDefault="00E21D62" w:rsidP="00822CE8">
            <w:pPr>
              <w:keepNext/>
              <w:keepLines/>
              <w:rPr>
                <w:sz w:val="18"/>
                <w:szCs w:val="18"/>
                <w:lang w:val="en-US" w:eastAsia="en-US"/>
              </w:rPr>
            </w:pPr>
            <w:r w:rsidRPr="002B2CFC">
              <w:rPr>
                <w:sz w:val="18"/>
                <w:szCs w:val="18"/>
                <w:lang w:val="en-US" w:eastAsia="en-US"/>
              </w:rPr>
              <w:t>6,298</w:t>
            </w:r>
          </w:p>
        </w:tc>
        <w:tc>
          <w:tcPr>
            <w:tcW w:w="850" w:type="dxa"/>
          </w:tcPr>
          <w:p w14:paraId="7FA2152B" w14:textId="77777777" w:rsidR="00E21D62" w:rsidRPr="002B2CFC" w:rsidRDefault="00E21D62" w:rsidP="00822CE8">
            <w:pPr>
              <w:keepNext/>
              <w:keepLines/>
              <w:rPr>
                <w:sz w:val="18"/>
                <w:szCs w:val="18"/>
                <w:lang w:val="en-US" w:eastAsia="en-US"/>
              </w:rPr>
            </w:pPr>
            <w:r w:rsidRPr="002B2CFC">
              <w:rPr>
                <w:sz w:val="18"/>
                <w:szCs w:val="18"/>
                <w:lang w:val="en-US" w:eastAsia="en-US"/>
              </w:rPr>
              <w:t>20,302</w:t>
            </w:r>
          </w:p>
        </w:tc>
        <w:tc>
          <w:tcPr>
            <w:tcW w:w="1196" w:type="dxa"/>
          </w:tcPr>
          <w:p w14:paraId="08130F15" w14:textId="77777777" w:rsidR="00E21D62" w:rsidRPr="002B2CFC" w:rsidRDefault="00E21D62" w:rsidP="00822CE8">
            <w:pPr>
              <w:keepNext/>
              <w:keepLines/>
              <w:rPr>
                <w:sz w:val="18"/>
                <w:szCs w:val="18"/>
                <w:lang w:val="en-US" w:eastAsia="en-US"/>
              </w:rPr>
            </w:pPr>
            <w:r w:rsidRPr="002B2CFC">
              <w:rPr>
                <w:sz w:val="18"/>
                <w:szCs w:val="18"/>
                <w:lang w:val="en-US" w:eastAsia="en-US"/>
              </w:rPr>
              <w:t>329,448,500</w:t>
            </w:r>
          </w:p>
        </w:tc>
      </w:tr>
      <w:tr w:rsidR="00E21D62" w:rsidRPr="002B2CFC" w14:paraId="09C95ED0" w14:textId="77777777" w:rsidTr="00822CE8">
        <w:tc>
          <w:tcPr>
            <w:tcW w:w="817" w:type="dxa"/>
            <w:vMerge/>
          </w:tcPr>
          <w:p w14:paraId="62634CE1" w14:textId="77777777" w:rsidR="00E21D62" w:rsidRPr="002B2CFC" w:rsidRDefault="00E21D62" w:rsidP="00822CE8">
            <w:pPr>
              <w:keepNext/>
              <w:keepLines/>
              <w:rPr>
                <w:b/>
                <w:sz w:val="18"/>
                <w:szCs w:val="18"/>
                <w:lang w:val="en-US" w:eastAsia="en-US"/>
              </w:rPr>
            </w:pPr>
          </w:p>
        </w:tc>
        <w:tc>
          <w:tcPr>
            <w:tcW w:w="851" w:type="dxa"/>
          </w:tcPr>
          <w:p w14:paraId="1689317A" w14:textId="77777777" w:rsidR="00E21D62" w:rsidRPr="002B2CFC" w:rsidRDefault="00E21D62" w:rsidP="00822CE8">
            <w:pPr>
              <w:keepNext/>
              <w:keepLines/>
              <w:rPr>
                <w:b/>
                <w:sz w:val="18"/>
                <w:szCs w:val="18"/>
                <w:lang w:val="en-US" w:eastAsia="en-US"/>
              </w:rPr>
            </w:pPr>
            <w:r w:rsidRPr="002B2CFC">
              <w:rPr>
                <w:b/>
                <w:sz w:val="18"/>
                <w:szCs w:val="18"/>
                <w:lang w:val="en-US" w:eastAsia="en-US"/>
              </w:rPr>
              <w:t>SD</w:t>
            </w:r>
          </w:p>
        </w:tc>
        <w:tc>
          <w:tcPr>
            <w:tcW w:w="850" w:type="dxa"/>
          </w:tcPr>
          <w:p w14:paraId="283BD1B7" w14:textId="77777777" w:rsidR="00E21D62" w:rsidRPr="002B2CFC" w:rsidRDefault="00E21D62" w:rsidP="00822CE8">
            <w:pPr>
              <w:keepNext/>
              <w:keepLines/>
              <w:rPr>
                <w:sz w:val="18"/>
                <w:szCs w:val="18"/>
                <w:lang w:val="en-US" w:eastAsia="en-US"/>
              </w:rPr>
            </w:pPr>
            <w:r w:rsidRPr="002B2CFC">
              <w:rPr>
                <w:sz w:val="18"/>
                <w:szCs w:val="18"/>
                <w:lang w:val="en-US" w:eastAsia="en-US"/>
              </w:rPr>
              <w:t>2,298</w:t>
            </w:r>
          </w:p>
        </w:tc>
        <w:tc>
          <w:tcPr>
            <w:tcW w:w="851" w:type="dxa"/>
          </w:tcPr>
          <w:p w14:paraId="19E91C65" w14:textId="77777777" w:rsidR="00E21D62" w:rsidRPr="002B2CFC" w:rsidRDefault="00E21D62" w:rsidP="00822CE8">
            <w:pPr>
              <w:keepNext/>
              <w:keepLines/>
              <w:rPr>
                <w:sz w:val="18"/>
                <w:szCs w:val="18"/>
                <w:lang w:val="en-US" w:eastAsia="en-US"/>
              </w:rPr>
            </w:pPr>
            <w:r w:rsidRPr="002B2CFC">
              <w:rPr>
                <w:sz w:val="18"/>
                <w:szCs w:val="18"/>
                <w:lang w:val="en-US" w:eastAsia="en-US"/>
              </w:rPr>
              <w:t>1,816</w:t>
            </w:r>
          </w:p>
        </w:tc>
        <w:tc>
          <w:tcPr>
            <w:tcW w:w="850" w:type="dxa"/>
          </w:tcPr>
          <w:p w14:paraId="1EF30A09" w14:textId="77777777" w:rsidR="00E21D62" w:rsidRPr="002B2CFC" w:rsidRDefault="00E21D62" w:rsidP="00822CE8">
            <w:pPr>
              <w:keepNext/>
              <w:keepLines/>
              <w:rPr>
                <w:sz w:val="18"/>
                <w:szCs w:val="18"/>
                <w:lang w:val="en-US" w:eastAsia="en-US"/>
              </w:rPr>
            </w:pPr>
            <w:r w:rsidRPr="002B2CFC">
              <w:rPr>
                <w:sz w:val="18"/>
                <w:szCs w:val="18"/>
                <w:lang w:val="en-US" w:eastAsia="en-US"/>
              </w:rPr>
              <w:t>3,449</w:t>
            </w:r>
          </w:p>
        </w:tc>
        <w:tc>
          <w:tcPr>
            <w:tcW w:w="1276" w:type="dxa"/>
            <w:tcBorders>
              <w:right w:val="single" w:sz="12" w:space="0" w:color="auto"/>
            </w:tcBorders>
          </w:tcPr>
          <w:p w14:paraId="6CD4CFB6" w14:textId="77777777" w:rsidR="00E21D62" w:rsidRPr="002B2CFC" w:rsidRDefault="00E21D62" w:rsidP="00822CE8">
            <w:pPr>
              <w:keepNext/>
              <w:keepLines/>
              <w:rPr>
                <w:sz w:val="18"/>
                <w:szCs w:val="18"/>
                <w:lang w:val="en-US" w:eastAsia="en-US"/>
              </w:rPr>
            </w:pPr>
            <w:r w:rsidRPr="002B2CFC">
              <w:rPr>
                <w:sz w:val="18"/>
                <w:szCs w:val="18"/>
                <w:lang w:val="en-US" w:eastAsia="en-US"/>
              </w:rPr>
              <w:t>32,778,538</w:t>
            </w:r>
          </w:p>
        </w:tc>
        <w:tc>
          <w:tcPr>
            <w:tcW w:w="850" w:type="dxa"/>
            <w:tcBorders>
              <w:left w:val="single" w:sz="12" w:space="0" w:color="auto"/>
            </w:tcBorders>
          </w:tcPr>
          <w:p w14:paraId="3B316E28" w14:textId="77777777" w:rsidR="00E21D62" w:rsidRPr="002B2CFC" w:rsidRDefault="00E21D62" w:rsidP="00822CE8">
            <w:pPr>
              <w:keepNext/>
              <w:keepLines/>
              <w:rPr>
                <w:sz w:val="18"/>
                <w:szCs w:val="18"/>
                <w:lang w:val="en-US" w:eastAsia="en-US"/>
              </w:rPr>
            </w:pPr>
            <w:r w:rsidRPr="002B2CFC">
              <w:rPr>
                <w:sz w:val="18"/>
                <w:szCs w:val="18"/>
                <w:lang w:val="en-US" w:eastAsia="en-US"/>
              </w:rPr>
              <w:t>2,344</w:t>
            </w:r>
          </w:p>
        </w:tc>
        <w:tc>
          <w:tcPr>
            <w:tcW w:w="851" w:type="dxa"/>
          </w:tcPr>
          <w:p w14:paraId="725BC3E1" w14:textId="77777777" w:rsidR="00E21D62" w:rsidRPr="002B2CFC" w:rsidRDefault="00E21D62" w:rsidP="00822CE8">
            <w:pPr>
              <w:keepNext/>
              <w:keepLines/>
              <w:rPr>
                <w:sz w:val="18"/>
                <w:szCs w:val="18"/>
                <w:lang w:val="en-US" w:eastAsia="en-US"/>
              </w:rPr>
            </w:pPr>
            <w:r w:rsidRPr="002B2CFC">
              <w:rPr>
                <w:sz w:val="18"/>
                <w:szCs w:val="18"/>
                <w:lang w:val="en-US" w:eastAsia="en-US"/>
              </w:rPr>
              <w:t>1,420</w:t>
            </w:r>
          </w:p>
        </w:tc>
        <w:tc>
          <w:tcPr>
            <w:tcW w:w="850" w:type="dxa"/>
          </w:tcPr>
          <w:p w14:paraId="4576764A" w14:textId="77777777" w:rsidR="00E21D62" w:rsidRPr="002B2CFC" w:rsidRDefault="00E21D62" w:rsidP="00822CE8">
            <w:pPr>
              <w:keepNext/>
              <w:keepLines/>
              <w:rPr>
                <w:sz w:val="18"/>
                <w:szCs w:val="18"/>
                <w:lang w:val="en-US" w:eastAsia="en-US"/>
              </w:rPr>
            </w:pPr>
            <w:r w:rsidRPr="002B2CFC">
              <w:rPr>
                <w:sz w:val="18"/>
                <w:szCs w:val="18"/>
                <w:lang w:val="en-US" w:eastAsia="en-US"/>
              </w:rPr>
              <w:t>2,692</w:t>
            </w:r>
          </w:p>
        </w:tc>
        <w:tc>
          <w:tcPr>
            <w:tcW w:w="1196" w:type="dxa"/>
          </w:tcPr>
          <w:p w14:paraId="6CA4CFEB" w14:textId="77777777" w:rsidR="00E21D62" w:rsidRPr="002B2CFC" w:rsidRDefault="00E21D62" w:rsidP="00822CE8">
            <w:pPr>
              <w:keepNext/>
              <w:keepLines/>
              <w:rPr>
                <w:sz w:val="18"/>
                <w:szCs w:val="18"/>
                <w:lang w:val="en-US" w:eastAsia="en-US"/>
              </w:rPr>
            </w:pPr>
            <w:r w:rsidRPr="002B2CFC">
              <w:rPr>
                <w:sz w:val="18"/>
                <w:szCs w:val="18"/>
                <w:lang w:val="en-US" w:eastAsia="en-US"/>
              </w:rPr>
              <w:t>34,881,823</w:t>
            </w:r>
          </w:p>
        </w:tc>
      </w:tr>
      <w:tr w:rsidR="00E21D62" w:rsidRPr="002B2CFC" w14:paraId="0C4923A2" w14:textId="77777777" w:rsidTr="00822CE8">
        <w:tc>
          <w:tcPr>
            <w:tcW w:w="817" w:type="dxa"/>
            <w:vMerge/>
          </w:tcPr>
          <w:p w14:paraId="0D470F88" w14:textId="77777777" w:rsidR="00E21D62" w:rsidRPr="002B2CFC" w:rsidRDefault="00E21D62" w:rsidP="00822CE8">
            <w:pPr>
              <w:keepNext/>
              <w:keepLines/>
              <w:rPr>
                <w:b/>
                <w:sz w:val="18"/>
                <w:szCs w:val="18"/>
                <w:lang w:val="en-US" w:eastAsia="en-US"/>
              </w:rPr>
            </w:pPr>
          </w:p>
        </w:tc>
        <w:tc>
          <w:tcPr>
            <w:tcW w:w="851" w:type="dxa"/>
          </w:tcPr>
          <w:p w14:paraId="7A2B9032" w14:textId="77777777" w:rsidR="00E21D62" w:rsidRPr="002B2CFC" w:rsidRDefault="00E21D62" w:rsidP="00822CE8">
            <w:pPr>
              <w:keepNext/>
              <w:keepLines/>
              <w:rPr>
                <w:b/>
                <w:sz w:val="18"/>
                <w:szCs w:val="18"/>
                <w:lang w:val="en-US" w:eastAsia="en-US"/>
              </w:rPr>
            </w:pPr>
            <w:r w:rsidRPr="002B2CFC">
              <w:rPr>
                <w:b/>
                <w:sz w:val="18"/>
                <w:szCs w:val="18"/>
                <w:lang w:val="en-US" w:eastAsia="en-US"/>
              </w:rPr>
              <w:t>% change</w:t>
            </w:r>
          </w:p>
        </w:tc>
        <w:tc>
          <w:tcPr>
            <w:tcW w:w="850" w:type="dxa"/>
          </w:tcPr>
          <w:p w14:paraId="7447CC6A" w14:textId="77777777" w:rsidR="00E21D62" w:rsidRPr="002B2CFC" w:rsidRDefault="00E21D62" w:rsidP="00822CE8">
            <w:pPr>
              <w:keepNext/>
              <w:keepLines/>
              <w:rPr>
                <w:sz w:val="18"/>
                <w:szCs w:val="18"/>
                <w:lang w:val="en-US" w:eastAsia="en-US"/>
              </w:rPr>
            </w:pPr>
            <w:r w:rsidRPr="002B2CFC">
              <w:rPr>
                <w:sz w:val="18"/>
                <w:szCs w:val="18"/>
                <w:lang w:val="en-US" w:eastAsia="en-US"/>
              </w:rPr>
              <w:t>-10</w:t>
            </w:r>
          </w:p>
        </w:tc>
        <w:tc>
          <w:tcPr>
            <w:tcW w:w="851" w:type="dxa"/>
          </w:tcPr>
          <w:p w14:paraId="017A0143" w14:textId="77777777" w:rsidR="00E21D62" w:rsidRPr="002B2CFC" w:rsidRDefault="00E21D62" w:rsidP="00822CE8">
            <w:pPr>
              <w:keepNext/>
              <w:keepLines/>
              <w:rPr>
                <w:sz w:val="18"/>
                <w:szCs w:val="18"/>
                <w:lang w:val="en-US" w:eastAsia="en-US"/>
              </w:rPr>
            </w:pPr>
            <w:r w:rsidRPr="002B2CFC">
              <w:rPr>
                <w:sz w:val="18"/>
                <w:szCs w:val="18"/>
                <w:lang w:val="en-US" w:eastAsia="en-US"/>
              </w:rPr>
              <w:t>+1</w:t>
            </w:r>
          </w:p>
        </w:tc>
        <w:tc>
          <w:tcPr>
            <w:tcW w:w="850" w:type="dxa"/>
          </w:tcPr>
          <w:p w14:paraId="408F1978" w14:textId="77777777" w:rsidR="00E21D62" w:rsidRPr="002B2CFC" w:rsidRDefault="00E21D62" w:rsidP="00822CE8">
            <w:pPr>
              <w:keepNext/>
              <w:keepLines/>
              <w:rPr>
                <w:sz w:val="18"/>
                <w:szCs w:val="18"/>
                <w:lang w:val="en-US" w:eastAsia="en-US"/>
              </w:rPr>
            </w:pPr>
            <w:r w:rsidRPr="002B2CFC">
              <w:rPr>
                <w:sz w:val="18"/>
                <w:szCs w:val="18"/>
                <w:lang w:val="en-US" w:eastAsia="en-US"/>
              </w:rPr>
              <w:t>-6</w:t>
            </w:r>
          </w:p>
        </w:tc>
        <w:tc>
          <w:tcPr>
            <w:tcW w:w="1276" w:type="dxa"/>
            <w:tcBorders>
              <w:right w:val="single" w:sz="12" w:space="0" w:color="auto"/>
            </w:tcBorders>
          </w:tcPr>
          <w:p w14:paraId="4CD0D7ED" w14:textId="77777777" w:rsidR="00E21D62" w:rsidRPr="002B2CFC" w:rsidRDefault="00E21D62" w:rsidP="00822CE8">
            <w:pPr>
              <w:keepNext/>
              <w:keepLines/>
              <w:rPr>
                <w:sz w:val="18"/>
                <w:szCs w:val="18"/>
                <w:lang w:val="en-US" w:eastAsia="en-US"/>
              </w:rPr>
            </w:pPr>
            <w:r w:rsidRPr="002B2CFC">
              <w:rPr>
                <w:sz w:val="18"/>
                <w:szCs w:val="18"/>
                <w:lang w:val="en-US" w:eastAsia="en-US"/>
              </w:rPr>
              <w:t>-9</w:t>
            </w:r>
          </w:p>
        </w:tc>
        <w:tc>
          <w:tcPr>
            <w:tcW w:w="850" w:type="dxa"/>
            <w:tcBorders>
              <w:left w:val="single" w:sz="12" w:space="0" w:color="auto"/>
            </w:tcBorders>
          </w:tcPr>
          <w:p w14:paraId="02F88168" w14:textId="77777777" w:rsidR="00E21D62" w:rsidRPr="002B2CFC" w:rsidRDefault="00E21D62" w:rsidP="00822CE8">
            <w:pPr>
              <w:keepNext/>
              <w:keepLines/>
              <w:rPr>
                <w:sz w:val="18"/>
                <w:szCs w:val="18"/>
                <w:lang w:val="en-US" w:eastAsia="en-US"/>
              </w:rPr>
            </w:pPr>
            <w:r w:rsidRPr="002B2CFC">
              <w:rPr>
                <w:sz w:val="18"/>
                <w:szCs w:val="18"/>
                <w:lang w:val="en-US" w:eastAsia="en-US"/>
              </w:rPr>
              <w:t>-5</w:t>
            </w:r>
          </w:p>
        </w:tc>
        <w:tc>
          <w:tcPr>
            <w:tcW w:w="851" w:type="dxa"/>
          </w:tcPr>
          <w:p w14:paraId="12893240" w14:textId="77777777" w:rsidR="00E21D62" w:rsidRPr="002B2CFC" w:rsidRDefault="00E21D62" w:rsidP="00822CE8">
            <w:pPr>
              <w:keepNext/>
              <w:keepLines/>
              <w:rPr>
                <w:sz w:val="18"/>
                <w:szCs w:val="18"/>
                <w:lang w:val="en-US" w:eastAsia="en-US"/>
              </w:rPr>
            </w:pPr>
            <w:r w:rsidRPr="002B2CFC">
              <w:rPr>
                <w:sz w:val="18"/>
                <w:szCs w:val="18"/>
                <w:lang w:val="en-US" w:eastAsia="en-US"/>
              </w:rPr>
              <w:t>+4</w:t>
            </w:r>
          </w:p>
        </w:tc>
        <w:tc>
          <w:tcPr>
            <w:tcW w:w="850" w:type="dxa"/>
          </w:tcPr>
          <w:p w14:paraId="34596EF6" w14:textId="77777777" w:rsidR="00E21D62" w:rsidRPr="002B2CFC" w:rsidRDefault="00E21D62" w:rsidP="00822CE8">
            <w:pPr>
              <w:keepNext/>
              <w:keepLines/>
              <w:rPr>
                <w:sz w:val="18"/>
                <w:szCs w:val="18"/>
                <w:lang w:val="en-US" w:eastAsia="en-US"/>
              </w:rPr>
            </w:pPr>
            <w:r w:rsidRPr="002B2CFC">
              <w:rPr>
                <w:sz w:val="18"/>
                <w:szCs w:val="18"/>
                <w:lang w:val="en-US" w:eastAsia="en-US"/>
              </w:rPr>
              <w:t>-3</w:t>
            </w:r>
          </w:p>
        </w:tc>
        <w:tc>
          <w:tcPr>
            <w:tcW w:w="1196" w:type="dxa"/>
          </w:tcPr>
          <w:p w14:paraId="66029634" w14:textId="77777777" w:rsidR="00E21D62" w:rsidRPr="002B2CFC" w:rsidRDefault="00E21D62" w:rsidP="00822CE8">
            <w:pPr>
              <w:keepNext/>
              <w:keepLines/>
              <w:rPr>
                <w:sz w:val="18"/>
                <w:szCs w:val="18"/>
                <w:lang w:val="en-US" w:eastAsia="en-US"/>
              </w:rPr>
            </w:pPr>
            <w:r w:rsidRPr="002B2CFC">
              <w:rPr>
                <w:sz w:val="18"/>
                <w:szCs w:val="18"/>
                <w:lang w:val="en-US" w:eastAsia="en-US"/>
              </w:rPr>
              <w:t>-3</w:t>
            </w:r>
          </w:p>
        </w:tc>
      </w:tr>
    </w:tbl>
    <w:p w14:paraId="6CE8B00D" w14:textId="77777777" w:rsidR="00E21D62" w:rsidRPr="002B2CFC" w:rsidRDefault="00E21D62" w:rsidP="00E21D62">
      <w:pPr>
        <w:keepNext/>
        <w:keepLines/>
        <w:rPr>
          <w:sz w:val="20"/>
          <w:lang w:val="en-US" w:eastAsia="en-US"/>
        </w:rPr>
      </w:pPr>
      <w:r w:rsidRPr="002B2CFC">
        <w:rPr>
          <w:sz w:val="18"/>
          <w:szCs w:val="18"/>
          <w:lang w:val="en-US" w:eastAsia="en-US"/>
        </w:rPr>
        <w:t>*</w:t>
      </w:r>
      <w:r w:rsidRPr="002B2CFC">
        <w:rPr>
          <w:sz w:val="20"/>
          <w:lang w:val="en-US" w:eastAsia="en-US"/>
        </w:rPr>
        <w:t xml:space="preserve">Significant p ≤ 0.05, </w:t>
      </w:r>
      <w:r w:rsidRPr="002B2CFC">
        <w:rPr>
          <w:sz w:val="18"/>
          <w:szCs w:val="18"/>
          <w:lang w:val="en-US" w:eastAsia="en-US"/>
        </w:rPr>
        <w:t>**</w:t>
      </w:r>
      <w:r w:rsidRPr="002B2CFC">
        <w:rPr>
          <w:sz w:val="20"/>
          <w:lang w:val="en-US" w:eastAsia="en-US"/>
        </w:rPr>
        <w:t xml:space="preserve"> p≤ 0.01, </w:t>
      </w:r>
      <w:r w:rsidRPr="002B2CFC">
        <w:rPr>
          <w:sz w:val="20"/>
          <w:vertAlign w:val="superscript"/>
          <w:lang w:val="en-US" w:eastAsia="en-US"/>
        </w:rPr>
        <w:t>#</w:t>
      </w:r>
      <w:r w:rsidRPr="002B2CFC">
        <w:rPr>
          <w:sz w:val="20"/>
          <w:lang w:val="en-US" w:eastAsia="en-US"/>
        </w:rPr>
        <w:t xml:space="preserve"> 3 mice from this group could not be evaluated due to irreparable tissue artifacts. </w:t>
      </w:r>
    </w:p>
    <w:p w14:paraId="216FDEAB" w14:textId="77777777" w:rsidR="00E21D62" w:rsidRDefault="00E21D62" w:rsidP="00E21D62">
      <w:pPr>
        <w:rPr>
          <w:b/>
          <w:i/>
          <w:szCs w:val="24"/>
          <w:lang w:val="en-US" w:eastAsia="en-US"/>
        </w:rPr>
      </w:pPr>
    </w:p>
    <w:p w14:paraId="5A32AC98" w14:textId="77777777" w:rsidR="00E36FD9" w:rsidRDefault="00E21D62" w:rsidP="00E36FD9">
      <w:pPr>
        <w:rPr>
          <w:b/>
          <w:i/>
          <w:szCs w:val="24"/>
          <w:lang w:val="en-US" w:eastAsia="en-US"/>
        </w:rPr>
      </w:pPr>
      <w:r w:rsidRPr="002B2CFC">
        <w:rPr>
          <w:b/>
          <w:i/>
          <w:szCs w:val="24"/>
          <w:lang w:val="en-US" w:eastAsia="en-US"/>
        </w:rPr>
        <w:t>Conclusion</w:t>
      </w:r>
    </w:p>
    <w:p w14:paraId="53BF0B2D" w14:textId="77777777" w:rsidR="00E36FD9" w:rsidRDefault="00E36FD9" w:rsidP="00E36FD9">
      <w:pPr>
        <w:rPr>
          <w:b/>
          <w:i/>
          <w:szCs w:val="24"/>
          <w:lang w:val="en-US" w:eastAsia="en-US"/>
        </w:rPr>
      </w:pPr>
    </w:p>
    <w:p w14:paraId="4984AE31" w14:textId="65143841" w:rsidR="00E21D62" w:rsidRPr="00E36FD9" w:rsidRDefault="00E21D62" w:rsidP="00E36FD9">
      <w:pPr>
        <w:rPr>
          <w:b/>
          <w:i/>
          <w:szCs w:val="24"/>
          <w:lang w:val="en-US" w:eastAsia="en-US"/>
        </w:rPr>
      </w:pPr>
      <w:r w:rsidRPr="002B2CFC">
        <w:rPr>
          <w:szCs w:val="24"/>
          <w:lang w:val="en-US" w:eastAsia="en-US"/>
        </w:rPr>
        <w:t>There were no statistically significant differences in the number of TH</w:t>
      </w:r>
      <w:r w:rsidRPr="002B2CFC">
        <w:rPr>
          <w:szCs w:val="24"/>
          <w:vertAlign w:val="superscript"/>
          <w:lang w:val="en-US" w:eastAsia="en-US"/>
        </w:rPr>
        <w:t>+</w:t>
      </w:r>
      <w:r w:rsidRPr="002B2CFC">
        <w:rPr>
          <w:szCs w:val="24"/>
          <w:lang w:val="en-US" w:eastAsia="en-US"/>
        </w:rPr>
        <w:t xml:space="preserve"> or TH</w:t>
      </w:r>
      <w:r w:rsidRPr="002B2CFC">
        <w:rPr>
          <w:szCs w:val="24"/>
          <w:vertAlign w:val="superscript"/>
          <w:lang w:val="en-US" w:eastAsia="en-US"/>
        </w:rPr>
        <w:t>-</w:t>
      </w:r>
      <w:r w:rsidRPr="002B2CFC">
        <w:rPr>
          <w:szCs w:val="24"/>
          <w:lang w:val="en-US" w:eastAsia="en-US"/>
        </w:rPr>
        <w:t xml:space="preserve"> neurons, total neurons or contour volume in male and female mice treated with 10 or 50 ppm paraquat</w:t>
      </w:r>
      <w:r>
        <w:rPr>
          <w:szCs w:val="24"/>
          <w:lang w:val="en-US" w:eastAsia="en-US"/>
        </w:rPr>
        <w:t xml:space="preserve"> dichloride</w:t>
      </w:r>
      <w:r w:rsidRPr="002B2CFC">
        <w:rPr>
          <w:szCs w:val="24"/>
          <w:lang w:val="en-US" w:eastAsia="en-US"/>
        </w:rPr>
        <w:t>, as compared to negative controls</w:t>
      </w:r>
      <w:r>
        <w:rPr>
          <w:szCs w:val="24"/>
          <w:lang w:val="en-US" w:eastAsia="en-US"/>
        </w:rPr>
        <w:t xml:space="preserve"> </w:t>
      </w:r>
      <w:r w:rsidRPr="008D6953">
        <w:rPr>
          <w:szCs w:val="24"/>
          <w:lang w:val="en-US" w:eastAsia="en-US"/>
        </w:rPr>
        <w:t>(c</w:t>
      </w:r>
      <w:r w:rsidRPr="008D6953">
        <w:rPr>
          <w:szCs w:val="24"/>
        </w:rPr>
        <w:t xml:space="preserve">alculated average paraquat ion </w:t>
      </w:r>
      <w:r>
        <w:rPr>
          <w:szCs w:val="24"/>
        </w:rPr>
        <w:t xml:space="preserve">intake </w:t>
      </w:r>
      <w:r w:rsidRPr="008D6953">
        <w:rPr>
          <w:szCs w:val="24"/>
        </w:rPr>
        <w:t>was 1.7, 10.2 mg/kg bw/d (males) and 2.7, 15.6 mg/kg bw/d (females)</w:t>
      </w:r>
      <w:r>
        <w:rPr>
          <w:szCs w:val="24"/>
        </w:rPr>
        <w:t>)</w:t>
      </w:r>
      <w:r w:rsidRPr="008D6953">
        <w:rPr>
          <w:szCs w:val="24"/>
        </w:rPr>
        <w:t>.</w:t>
      </w:r>
      <w:r w:rsidRPr="002B2CFC">
        <w:rPr>
          <w:szCs w:val="24"/>
          <w:lang w:val="en-US" w:eastAsia="en-US"/>
        </w:rPr>
        <w:t xml:space="preserve"> A positive control group (MPTP) demonstrated the validity of the test system with effects noted in males only in this group. Positive control male mice showed a statistically significant decrease for TH</w:t>
      </w:r>
      <w:r w:rsidRPr="002B2CFC">
        <w:rPr>
          <w:szCs w:val="24"/>
          <w:vertAlign w:val="superscript"/>
          <w:lang w:val="en-US" w:eastAsia="en-US"/>
        </w:rPr>
        <w:t>+</w:t>
      </w:r>
      <w:r w:rsidRPr="002B2CFC">
        <w:rPr>
          <w:szCs w:val="24"/>
          <w:lang w:val="en-US" w:eastAsia="en-US"/>
        </w:rPr>
        <w:t xml:space="preserve"> neurons and SN pc contour volume, but no significant finding for TH</w:t>
      </w:r>
      <w:r w:rsidRPr="002B2CFC">
        <w:rPr>
          <w:szCs w:val="24"/>
          <w:vertAlign w:val="superscript"/>
          <w:lang w:val="en-US" w:eastAsia="en-US"/>
        </w:rPr>
        <w:t>-</w:t>
      </w:r>
      <w:r w:rsidRPr="002B2CFC">
        <w:rPr>
          <w:szCs w:val="24"/>
          <w:lang w:val="en-US" w:eastAsia="en-US"/>
        </w:rPr>
        <w:t xml:space="preserve"> or total neurons. Female mice in the positive control group did not show any statistically significant differences from negative controls for any of the four parameters.</w:t>
      </w:r>
    </w:p>
    <w:p w14:paraId="711EA7D7" w14:textId="77777777" w:rsidR="00E21D62" w:rsidRDefault="00E21D62" w:rsidP="00E21D62">
      <w:pPr>
        <w:spacing w:after="200" w:line="276" w:lineRule="auto"/>
        <w:rPr>
          <w:szCs w:val="24"/>
          <w:lang w:val="en-US" w:eastAsia="en-US"/>
        </w:rPr>
      </w:pPr>
    </w:p>
    <w:p w14:paraId="4019E389" w14:textId="40D862AB" w:rsidR="00E21D62" w:rsidRPr="00C33BE1" w:rsidRDefault="00E21D62" w:rsidP="00E21D62">
      <w:pPr>
        <w:pStyle w:val="ListParagraph"/>
        <w:numPr>
          <w:ilvl w:val="0"/>
          <w:numId w:val="15"/>
        </w:numPr>
        <w:spacing w:after="200" w:line="276" w:lineRule="auto"/>
        <w:rPr>
          <w:rFonts w:ascii="Times New Roman" w:hAnsi="Times New Roman"/>
          <w:sz w:val="24"/>
          <w:szCs w:val="24"/>
          <w:lang w:val="en-US" w:eastAsia="en-US"/>
        </w:rPr>
      </w:pPr>
      <w:bookmarkStart w:id="194" w:name="_Ref420928385"/>
      <w:r w:rsidRPr="00C33BE1">
        <w:rPr>
          <w:rFonts w:ascii="Times New Roman" w:hAnsi="Times New Roman"/>
          <w:sz w:val="24"/>
          <w:szCs w:val="24"/>
          <w:lang w:val="en-US" w:eastAsia="en-US"/>
        </w:rPr>
        <w:t>Pathology evaluation of Beck (2013) study (Subset II):</w:t>
      </w:r>
      <w:bookmarkEnd w:id="194"/>
    </w:p>
    <w:p w14:paraId="3C3AD610" w14:textId="77777777" w:rsidR="00E21D62" w:rsidRPr="002B2CFC" w:rsidRDefault="00E21D62" w:rsidP="00E21D62">
      <w:pPr>
        <w:rPr>
          <w:szCs w:val="24"/>
          <w:lang w:val="en-US" w:eastAsia="en-US"/>
        </w:rPr>
      </w:pPr>
    </w:p>
    <w:p w14:paraId="3832EEBE" w14:textId="77777777" w:rsidR="00E21D62" w:rsidRPr="002B2CFC" w:rsidRDefault="00E21D62" w:rsidP="00E21D62">
      <w:pPr>
        <w:keepNext/>
        <w:keepLines/>
        <w:rPr>
          <w:b/>
          <w:szCs w:val="24"/>
          <w:lang w:val="en-US" w:eastAsia="en-US"/>
        </w:rPr>
      </w:pPr>
      <w:r w:rsidRPr="002B2CFC">
        <w:rPr>
          <w:b/>
          <w:szCs w:val="24"/>
          <w:lang w:val="en-US" w:eastAsia="en-US"/>
        </w:rPr>
        <w:t xml:space="preserve">Butt MT (2012) Final pathology report: </w:t>
      </w:r>
      <w:r w:rsidRPr="002B2CFC">
        <w:rPr>
          <w:b/>
          <w:i/>
          <w:szCs w:val="24"/>
          <w:lang w:val="en-US" w:eastAsia="en-US"/>
        </w:rPr>
        <w:t>Subchronic (91-day) dietary study to assess the effects of paraquat dichloride on dopaminergic neurons in C57BL/6J mice</w:t>
      </w:r>
      <w:r w:rsidRPr="002B2CFC">
        <w:rPr>
          <w:b/>
          <w:szCs w:val="24"/>
          <w:lang w:val="en-US" w:eastAsia="en-US"/>
        </w:rPr>
        <w:t>. Testing Facility Study Reference No.: WIL-639158. Sponsor Study Reference No.: TK0000969. Unpublished, Report date: November 27, 2012</w:t>
      </w:r>
    </w:p>
    <w:p w14:paraId="14FDBB14" w14:textId="77777777" w:rsidR="00E21D62" w:rsidRPr="002B2CFC" w:rsidRDefault="00E21D62" w:rsidP="00E21D62">
      <w:pPr>
        <w:rPr>
          <w:szCs w:val="24"/>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668"/>
        <w:gridCol w:w="5307"/>
      </w:tblGrid>
      <w:tr w:rsidR="00E21D62" w:rsidRPr="002B2CFC" w14:paraId="0F5C2A9C" w14:textId="77777777" w:rsidTr="00822CE8">
        <w:trPr>
          <w:cantSplit/>
          <w:jc w:val="center"/>
        </w:trPr>
        <w:tc>
          <w:tcPr>
            <w:tcW w:w="1668" w:type="dxa"/>
          </w:tcPr>
          <w:p w14:paraId="64FEAFC0" w14:textId="77777777" w:rsidR="00E21D62" w:rsidRPr="002B2CFC" w:rsidRDefault="00E21D62" w:rsidP="00822CE8">
            <w:pPr>
              <w:keepNext/>
              <w:keepLines/>
              <w:rPr>
                <w:sz w:val="20"/>
              </w:rPr>
            </w:pPr>
            <w:r w:rsidRPr="002B2CFC">
              <w:rPr>
                <w:sz w:val="20"/>
              </w:rPr>
              <w:t>Test Compound*:</w:t>
            </w:r>
          </w:p>
        </w:tc>
        <w:tc>
          <w:tcPr>
            <w:tcW w:w="5307" w:type="dxa"/>
          </w:tcPr>
          <w:p w14:paraId="19A94F84" w14:textId="77777777" w:rsidR="00E21D62" w:rsidRPr="002B2CFC" w:rsidRDefault="00E21D62" w:rsidP="00822CE8">
            <w:pPr>
              <w:keepNext/>
              <w:keepLines/>
              <w:rPr>
                <w:color w:val="FF0000"/>
                <w:sz w:val="20"/>
              </w:rPr>
            </w:pPr>
            <w:r w:rsidRPr="002B2CFC">
              <w:rPr>
                <w:sz w:val="20"/>
              </w:rPr>
              <w:t>Paraquat dichloride (purity: 99.9%)</w:t>
            </w:r>
          </w:p>
        </w:tc>
      </w:tr>
      <w:tr w:rsidR="00E21D62" w:rsidRPr="002B2CFC" w14:paraId="6BB61968" w14:textId="77777777" w:rsidTr="00822CE8">
        <w:trPr>
          <w:cantSplit/>
          <w:jc w:val="center"/>
        </w:trPr>
        <w:tc>
          <w:tcPr>
            <w:tcW w:w="1668" w:type="dxa"/>
          </w:tcPr>
          <w:p w14:paraId="5DDB6A3A" w14:textId="77777777" w:rsidR="00E21D62" w:rsidRPr="002B2CFC" w:rsidRDefault="00E21D62" w:rsidP="00822CE8">
            <w:pPr>
              <w:keepNext/>
              <w:keepLines/>
              <w:rPr>
                <w:sz w:val="20"/>
              </w:rPr>
            </w:pPr>
            <w:r w:rsidRPr="002B2CFC">
              <w:rPr>
                <w:sz w:val="20"/>
              </w:rPr>
              <w:t>Batch:*</w:t>
            </w:r>
          </w:p>
        </w:tc>
        <w:tc>
          <w:tcPr>
            <w:tcW w:w="5307" w:type="dxa"/>
          </w:tcPr>
          <w:p w14:paraId="45871ED1" w14:textId="77777777" w:rsidR="00E21D62" w:rsidRPr="002B2CFC" w:rsidRDefault="00E21D62" w:rsidP="00822CE8">
            <w:pPr>
              <w:keepNext/>
              <w:keepLines/>
              <w:rPr>
                <w:color w:val="FF0000"/>
                <w:sz w:val="20"/>
              </w:rPr>
            </w:pPr>
            <w:r w:rsidRPr="002B2CFC">
              <w:rPr>
                <w:sz w:val="20"/>
              </w:rPr>
              <w:t>ASJ10083-03 [WIL ID No. 110018]</w:t>
            </w:r>
          </w:p>
        </w:tc>
      </w:tr>
      <w:tr w:rsidR="00E21D62" w:rsidRPr="002B2CFC" w14:paraId="5390A91C" w14:textId="77777777" w:rsidTr="00822CE8">
        <w:trPr>
          <w:cantSplit/>
          <w:jc w:val="center"/>
        </w:trPr>
        <w:tc>
          <w:tcPr>
            <w:tcW w:w="1668" w:type="dxa"/>
          </w:tcPr>
          <w:p w14:paraId="43F990AF" w14:textId="77777777" w:rsidR="00E21D62" w:rsidRPr="002B2CFC" w:rsidRDefault="00E21D62" w:rsidP="00822CE8">
            <w:pPr>
              <w:keepNext/>
              <w:keepLines/>
              <w:rPr>
                <w:sz w:val="20"/>
              </w:rPr>
            </w:pPr>
            <w:r w:rsidRPr="002B2CFC">
              <w:rPr>
                <w:sz w:val="20"/>
              </w:rPr>
              <w:t>Test Species:*</w:t>
            </w:r>
          </w:p>
        </w:tc>
        <w:tc>
          <w:tcPr>
            <w:tcW w:w="5307" w:type="dxa"/>
          </w:tcPr>
          <w:p w14:paraId="5830649C" w14:textId="77777777" w:rsidR="00E21D62" w:rsidRPr="002B2CFC" w:rsidRDefault="00E21D62" w:rsidP="00822CE8">
            <w:pPr>
              <w:keepNext/>
              <w:keepLines/>
              <w:rPr>
                <w:color w:val="FF0000"/>
                <w:sz w:val="20"/>
              </w:rPr>
            </w:pPr>
            <w:r w:rsidRPr="002B2CFC">
              <w:rPr>
                <w:sz w:val="20"/>
              </w:rPr>
              <w:t xml:space="preserve">C57BL/6J mice,  </w:t>
            </w:r>
            <w:r w:rsidRPr="002B2CFC">
              <w:rPr>
                <w:b/>
                <w:sz w:val="20"/>
              </w:rPr>
              <w:t>pathological assessment</w:t>
            </w:r>
            <w:r w:rsidRPr="002B2CFC">
              <w:rPr>
                <w:sz w:val="20"/>
              </w:rPr>
              <w:t>: 15 sex/dose (5/sex/dose positive control), age: approximately 10 weeks, bw: 18.0 – 26.8 g for males and 14.9 – 21.1 g for females; source: The Jackson Laboratory, Bar Harbor, ME, USA</w:t>
            </w:r>
          </w:p>
        </w:tc>
      </w:tr>
      <w:tr w:rsidR="00E21D62" w:rsidRPr="002B2CFC" w14:paraId="14229425" w14:textId="77777777" w:rsidTr="00822CE8">
        <w:trPr>
          <w:cantSplit/>
          <w:jc w:val="center"/>
        </w:trPr>
        <w:tc>
          <w:tcPr>
            <w:tcW w:w="1668" w:type="dxa"/>
          </w:tcPr>
          <w:p w14:paraId="6FB47B59" w14:textId="77777777" w:rsidR="00E21D62" w:rsidRPr="002B2CFC" w:rsidRDefault="00E21D62" w:rsidP="00822CE8">
            <w:pPr>
              <w:keepNext/>
              <w:keepLines/>
              <w:rPr>
                <w:sz w:val="20"/>
              </w:rPr>
            </w:pPr>
            <w:r w:rsidRPr="002B2CFC">
              <w:rPr>
                <w:sz w:val="20"/>
              </w:rPr>
              <w:t>Study Duration:*</w:t>
            </w:r>
          </w:p>
        </w:tc>
        <w:tc>
          <w:tcPr>
            <w:tcW w:w="5307" w:type="dxa"/>
          </w:tcPr>
          <w:p w14:paraId="79ECFFE9" w14:textId="77777777" w:rsidR="00E21D62" w:rsidRPr="002B2CFC" w:rsidRDefault="00E21D62" w:rsidP="00822CE8">
            <w:pPr>
              <w:keepNext/>
              <w:keepLines/>
              <w:rPr>
                <w:color w:val="FF0000"/>
                <w:sz w:val="20"/>
              </w:rPr>
            </w:pPr>
            <w:r w:rsidRPr="002B2CFC">
              <w:rPr>
                <w:sz w:val="20"/>
              </w:rPr>
              <w:t>July 12, 2011 – January 17, 2013</w:t>
            </w:r>
          </w:p>
        </w:tc>
      </w:tr>
      <w:tr w:rsidR="00E21D62" w:rsidRPr="002B2CFC" w14:paraId="7F658250" w14:textId="77777777" w:rsidTr="00822CE8">
        <w:trPr>
          <w:cantSplit/>
          <w:jc w:val="center"/>
        </w:trPr>
        <w:tc>
          <w:tcPr>
            <w:tcW w:w="1668" w:type="dxa"/>
          </w:tcPr>
          <w:p w14:paraId="0D9A04B8" w14:textId="77777777" w:rsidR="00E21D62" w:rsidRPr="002B2CFC" w:rsidRDefault="00E21D62" w:rsidP="00822CE8">
            <w:pPr>
              <w:keepNext/>
              <w:keepLines/>
              <w:rPr>
                <w:sz w:val="20"/>
              </w:rPr>
            </w:pPr>
            <w:r w:rsidRPr="002B2CFC">
              <w:rPr>
                <w:sz w:val="20"/>
              </w:rPr>
              <w:t>Pathology Laboratory:</w:t>
            </w:r>
          </w:p>
        </w:tc>
        <w:tc>
          <w:tcPr>
            <w:tcW w:w="5307" w:type="dxa"/>
          </w:tcPr>
          <w:p w14:paraId="68B3BFF0" w14:textId="77777777" w:rsidR="00E21D62" w:rsidRPr="002B2CFC" w:rsidRDefault="00E21D62" w:rsidP="00822CE8">
            <w:pPr>
              <w:keepNext/>
              <w:keepLines/>
              <w:rPr>
                <w:sz w:val="20"/>
              </w:rPr>
            </w:pPr>
            <w:r w:rsidRPr="002B2CFC">
              <w:rPr>
                <w:sz w:val="20"/>
              </w:rPr>
              <w:t xml:space="preserve">Tox Path Specialists, LLC, 8420 Gas House Pike, Suite G, Frederick, MD 21701 </w:t>
            </w:r>
          </w:p>
          <w:p w14:paraId="52D743C3" w14:textId="77777777" w:rsidR="00E21D62" w:rsidRPr="002B2CFC" w:rsidRDefault="00E21D62" w:rsidP="00822CE8">
            <w:pPr>
              <w:keepNext/>
              <w:keepLines/>
              <w:rPr>
                <w:sz w:val="20"/>
              </w:rPr>
            </w:pPr>
            <w:r w:rsidRPr="002B2CFC">
              <w:rPr>
                <w:sz w:val="20"/>
              </w:rPr>
              <w:t>(formerly Room 109, 20140 Scholar Drive, Hagerstown, MD 21742)</w:t>
            </w:r>
          </w:p>
          <w:p w14:paraId="274F670F" w14:textId="77777777" w:rsidR="00E21D62" w:rsidRPr="002B2CFC" w:rsidRDefault="00E21D62" w:rsidP="00822CE8">
            <w:pPr>
              <w:keepNext/>
              <w:keepLines/>
              <w:rPr>
                <w:sz w:val="20"/>
              </w:rPr>
            </w:pPr>
          </w:p>
          <w:p w14:paraId="2C316E69" w14:textId="77777777" w:rsidR="00E21D62" w:rsidRPr="002B2CFC" w:rsidRDefault="00E21D62" w:rsidP="00822CE8">
            <w:pPr>
              <w:keepNext/>
              <w:keepLines/>
              <w:rPr>
                <w:sz w:val="20"/>
              </w:rPr>
            </w:pPr>
            <w:r w:rsidRPr="002B2CFC">
              <w:rPr>
                <w:sz w:val="20"/>
              </w:rPr>
              <w:t>Neuroscience Associates, Inc. 10915 Lake Ridge Drive, Knoxville, TN 37934 USA (preparation and staining of slides for neuropathology)</w:t>
            </w:r>
          </w:p>
        </w:tc>
      </w:tr>
      <w:tr w:rsidR="00E21D62" w:rsidRPr="002B2CFC" w14:paraId="2FC84D50" w14:textId="77777777" w:rsidTr="00822CE8">
        <w:trPr>
          <w:cantSplit/>
          <w:jc w:val="center"/>
        </w:trPr>
        <w:tc>
          <w:tcPr>
            <w:tcW w:w="1668" w:type="dxa"/>
          </w:tcPr>
          <w:p w14:paraId="744544E6" w14:textId="77777777" w:rsidR="00E21D62" w:rsidRPr="002B2CFC" w:rsidRDefault="00E21D62" w:rsidP="00822CE8">
            <w:pPr>
              <w:keepNext/>
              <w:keepLines/>
              <w:rPr>
                <w:sz w:val="20"/>
              </w:rPr>
            </w:pPr>
            <w:r w:rsidRPr="002B2CFC">
              <w:rPr>
                <w:sz w:val="20"/>
              </w:rPr>
              <w:t>GLP &amp; QA:</w:t>
            </w:r>
          </w:p>
        </w:tc>
        <w:tc>
          <w:tcPr>
            <w:tcW w:w="5307" w:type="dxa"/>
          </w:tcPr>
          <w:p w14:paraId="207125EA" w14:textId="77777777" w:rsidR="00E21D62" w:rsidRPr="002B2CFC" w:rsidRDefault="00E21D62" w:rsidP="00822CE8">
            <w:pPr>
              <w:keepNext/>
              <w:keepLines/>
              <w:rPr>
                <w:color w:val="FF0000"/>
                <w:sz w:val="20"/>
              </w:rPr>
            </w:pPr>
            <w:r w:rsidRPr="002B2CFC">
              <w:rPr>
                <w:sz w:val="20"/>
              </w:rPr>
              <w:t xml:space="preserve">Yes </w:t>
            </w:r>
          </w:p>
        </w:tc>
      </w:tr>
      <w:tr w:rsidR="00E21D62" w:rsidRPr="002B2CFC" w14:paraId="2CDEC781" w14:textId="77777777" w:rsidTr="00822CE8">
        <w:trPr>
          <w:cantSplit/>
          <w:jc w:val="center"/>
        </w:trPr>
        <w:tc>
          <w:tcPr>
            <w:tcW w:w="1668" w:type="dxa"/>
          </w:tcPr>
          <w:p w14:paraId="324ABE98" w14:textId="77777777" w:rsidR="00E21D62" w:rsidRPr="002B2CFC" w:rsidRDefault="00E21D62" w:rsidP="00822CE8">
            <w:pPr>
              <w:keepNext/>
              <w:keepLines/>
              <w:rPr>
                <w:sz w:val="20"/>
              </w:rPr>
            </w:pPr>
            <w:r w:rsidRPr="002B2CFC">
              <w:rPr>
                <w:sz w:val="20"/>
              </w:rPr>
              <w:t>Guidelines:</w:t>
            </w:r>
          </w:p>
        </w:tc>
        <w:tc>
          <w:tcPr>
            <w:tcW w:w="5307" w:type="dxa"/>
          </w:tcPr>
          <w:p w14:paraId="787EA076" w14:textId="77777777" w:rsidR="00E21D62" w:rsidRPr="002B2CFC" w:rsidRDefault="00E21D62" w:rsidP="00822CE8">
            <w:pPr>
              <w:keepNext/>
              <w:keepLines/>
              <w:rPr>
                <w:color w:val="FF0000"/>
                <w:sz w:val="20"/>
              </w:rPr>
            </w:pPr>
            <w:r w:rsidRPr="002B2CFC">
              <w:rPr>
                <w:sz w:val="20"/>
              </w:rPr>
              <w:t>Not applicable</w:t>
            </w:r>
          </w:p>
        </w:tc>
      </w:tr>
    </w:tbl>
    <w:p w14:paraId="7998646B" w14:textId="77777777" w:rsidR="00E21D62" w:rsidRPr="002B2CFC" w:rsidRDefault="00E21D62" w:rsidP="00E21D62">
      <w:pPr>
        <w:keepNext/>
        <w:keepLines/>
        <w:ind w:left="720"/>
        <w:rPr>
          <w:sz w:val="20"/>
        </w:rPr>
      </w:pPr>
      <w:r w:rsidRPr="002B2CFC">
        <w:rPr>
          <w:sz w:val="20"/>
        </w:rPr>
        <w:t>*In-life component conducted by WIL Research Laboratories, LLC, 1047 George Road, Ashland, OH 44805-8946 USA (performing laboratory)</w:t>
      </w:r>
    </w:p>
    <w:p w14:paraId="665164CA" w14:textId="77777777" w:rsidR="00E21D62" w:rsidRPr="002B2CFC" w:rsidRDefault="00E21D62" w:rsidP="00E21D62">
      <w:pPr>
        <w:rPr>
          <w:szCs w:val="24"/>
          <w:lang w:val="en-US" w:eastAsia="en-US"/>
        </w:rPr>
      </w:pP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456"/>
        <w:gridCol w:w="1398"/>
        <w:gridCol w:w="2517"/>
        <w:gridCol w:w="3356"/>
      </w:tblGrid>
      <w:tr w:rsidR="00E21D62" w:rsidRPr="002B2CFC" w14:paraId="1B9A108F" w14:textId="77777777" w:rsidTr="00822CE8">
        <w:trPr>
          <w:cantSplit/>
        </w:trPr>
        <w:tc>
          <w:tcPr>
            <w:tcW w:w="834" w:type="pct"/>
            <w:tcBorders>
              <w:top w:val="single" w:sz="4" w:space="0" w:color="auto"/>
              <w:left w:val="single" w:sz="4" w:space="0" w:color="auto"/>
              <w:bottom w:val="single" w:sz="4" w:space="0" w:color="auto"/>
              <w:right w:val="single" w:sz="4" w:space="0" w:color="auto"/>
            </w:tcBorders>
            <w:shd w:val="clear" w:color="auto" w:fill="BFBFBF"/>
          </w:tcPr>
          <w:p w14:paraId="5B948667" w14:textId="77777777" w:rsidR="00E21D62" w:rsidRPr="002B2CFC" w:rsidRDefault="00E21D62" w:rsidP="00822CE8">
            <w:pPr>
              <w:keepNext/>
              <w:keepLines/>
              <w:rPr>
                <w:b/>
                <w:bCs/>
                <w:sz w:val="20"/>
              </w:rPr>
            </w:pPr>
            <w:r w:rsidRPr="002B2CFC">
              <w:rPr>
                <w:b/>
                <w:bCs/>
                <w:sz w:val="20"/>
              </w:rPr>
              <w:t>Dosing method</w:t>
            </w:r>
          </w:p>
        </w:tc>
        <w:tc>
          <w:tcPr>
            <w:tcW w:w="801" w:type="pct"/>
            <w:tcBorders>
              <w:top w:val="single" w:sz="4" w:space="0" w:color="auto"/>
              <w:left w:val="single" w:sz="4" w:space="0" w:color="auto"/>
              <w:bottom w:val="single" w:sz="4" w:space="0" w:color="auto"/>
              <w:right w:val="single" w:sz="4" w:space="0" w:color="auto"/>
            </w:tcBorders>
            <w:shd w:val="clear" w:color="auto" w:fill="BFBFBF"/>
          </w:tcPr>
          <w:p w14:paraId="6BF50245" w14:textId="77777777" w:rsidR="00E21D62" w:rsidRPr="002B2CFC" w:rsidRDefault="00E21D62" w:rsidP="00822CE8">
            <w:pPr>
              <w:keepNext/>
              <w:keepLines/>
              <w:rPr>
                <w:b/>
                <w:bCs/>
                <w:sz w:val="20"/>
              </w:rPr>
            </w:pPr>
            <w:r w:rsidRPr="002B2CFC">
              <w:rPr>
                <w:b/>
                <w:bCs/>
                <w:sz w:val="20"/>
              </w:rPr>
              <w:t>Vehicle</w:t>
            </w:r>
          </w:p>
        </w:tc>
        <w:tc>
          <w:tcPr>
            <w:tcW w:w="1442" w:type="pct"/>
            <w:tcBorders>
              <w:top w:val="single" w:sz="4" w:space="0" w:color="auto"/>
              <w:left w:val="single" w:sz="4" w:space="0" w:color="auto"/>
              <w:bottom w:val="single" w:sz="4" w:space="0" w:color="auto"/>
              <w:right w:val="single" w:sz="4" w:space="0" w:color="auto"/>
            </w:tcBorders>
            <w:shd w:val="clear" w:color="auto" w:fill="BFBFBF"/>
          </w:tcPr>
          <w:p w14:paraId="3164FDA4" w14:textId="77777777" w:rsidR="00E21D62" w:rsidRPr="002B2CFC" w:rsidRDefault="00E21D62" w:rsidP="00822CE8">
            <w:pPr>
              <w:keepNext/>
              <w:keepLines/>
              <w:rPr>
                <w:b/>
                <w:bCs/>
                <w:sz w:val="20"/>
              </w:rPr>
            </w:pPr>
            <w:r w:rsidRPr="002B2CFC">
              <w:rPr>
                <w:b/>
                <w:bCs/>
                <w:sz w:val="20"/>
              </w:rPr>
              <w:t>Dosing / observation</w:t>
            </w:r>
          </w:p>
          <w:p w14:paraId="0A6337B3" w14:textId="77777777" w:rsidR="00E21D62" w:rsidRPr="002B2CFC" w:rsidRDefault="00E21D62" w:rsidP="00822CE8">
            <w:pPr>
              <w:keepNext/>
              <w:keepLines/>
              <w:rPr>
                <w:b/>
                <w:bCs/>
                <w:sz w:val="20"/>
              </w:rPr>
            </w:pPr>
            <w:r w:rsidRPr="002B2CFC">
              <w:rPr>
                <w:b/>
                <w:bCs/>
                <w:sz w:val="20"/>
              </w:rPr>
              <w:t>period</w:t>
            </w:r>
          </w:p>
        </w:tc>
        <w:tc>
          <w:tcPr>
            <w:tcW w:w="1923" w:type="pct"/>
            <w:tcBorders>
              <w:top w:val="single" w:sz="4" w:space="0" w:color="auto"/>
              <w:left w:val="single" w:sz="4" w:space="0" w:color="auto"/>
              <w:bottom w:val="single" w:sz="4" w:space="0" w:color="auto"/>
              <w:right w:val="single" w:sz="4" w:space="0" w:color="auto"/>
            </w:tcBorders>
            <w:shd w:val="clear" w:color="auto" w:fill="BFBFBF"/>
          </w:tcPr>
          <w:p w14:paraId="1B5C8D92" w14:textId="77777777" w:rsidR="00E21D62" w:rsidRPr="002B2CFC" w:rsidRDefault="00E21D62" w:rsidP="00822CE8">
            <w:pPr>
              <w:keepNext/>
              <w:keepLines/>
              <w:rPr>
                <w:b/>
                <w:bCs/>
                <w:sz w:val="20"/>
              </w:rPr>
            </w:pPr>
            <w:r w:rsidRPr="002B2CFC">
              <w:rPr>
                <w:b/>
                <w:bCs/>
                <w:sz w:val="20"/>
              </w:rPr>
              <w:t xml:space="preserve">Doses tested </w:t>
            </w:r>
          </w:p>
          <w:p w14:paraId="48AFCEB7" w14:textId="77777777" w:rsidR="00E21D62" w:rsidRPr="002B2CFC" w:rsidRDefault="00E21D62" w:rsidP="00822CE8">
            <w:pPr>
              <w:keepNext/>
              <w:keepLines/>
              <w:rPr>
                <w:b/>
                <w:bCs/>
                <w:sz w:val="20"/>
              </w:rPr>
            </w:pPr>
            <w:r w:rsidRPr="002B2CFC">
              <w:rPr>
                <w:b/>
                <w:bCs/>
                <w:sz w:val="20"/>
              </w:rPr>
              <w:t>(ppm)</w:t>
            </w:r>
          </w:p>
        </w:tc>
      </w:tr>
      <w:tr w:rsidR="00E21D62" w:rsidRPr="002B2CFC" w14:paraId="1251203E" w14:textId="77777777" w:rsidTr="00822CE8">
        <w:trPr>
          <w:cantSplit/>
        </w:trPr>
        <w:tc>
          <w:tcPr>
            <w:tcW w:w="834" w:type="pct"/>
            <w:tcBorders>
              <w:top w:val="single" w:sz="4" w:space="0" w:color="auto"/>
              <w:left w:val="single" w:sz="4" w:space="0" w:color="auto"/>
              <w:bottom w:val="single" w:sz="4" w:space="0" w:color="auto"/>
              <w:right w:val="single" w:sz="4" w:space="0" w:color="auto"/>
            </w:tcBorders>
          </w:tcPr>
          <w:p w14:paraId="0079FBC5" w14:textId="77777777" w:rsidR="00E21D62" w:rsidRPr="002B2CFC" w:rsidRDefault="00E21D62" w:rsidP="00822CE8">
            <w:pPr>
              <w:keepNext/>
              <w:keepLines/>
              <w:rPr>
                <w:sz w:val="20"/>
              </w:rPr>
            </w:pPr>
            <w:r w:rsidRPr="002B2CFC">
              <w:rPr>
                <w:sz w:val="20"/>
              </w:rPr>
              <w:t>Dietary</w:t>
            </w:r>
          </w:p>
        </w:tc>
        <w:tc>
          <w:tcPr>
            <w:tcW w:w="801" w:type="pct"/>
            <w:tcBorders>
              <w:top w:val="single" w:sz="4" w:space="0" w:color="auto"/>
              <w:left w:val="single" w:sz="4" w:space="0" w:color="auto"/>
              <w:bottom w:val="single" w:sz="4" w:space="0" w:color="auto"/>
              <w:right w:val="single" w:sz="4" w:space="0" w:color="auto"/>
            </w:tcBorders>
          </w:tcPr>
          <w:p w14:paraId="62BC626C" w14:textId="77777777" w:rsidR="00E21D62" w:rsidRPr="002B2CFC" w:rsidRDefault="00E21D62" w:rsidP="00822CE8">
            <w:pPr>
              <w:keepNext/>
              <w:keepLines/>
              <w:rPr>
                <w:sz w:val="20"/>
              </w:rPr>
            </w:pPr>
            <w:r w:rsidRPr="002B2CFC">
              <w:rPr>
                <w:sz w:val="20"/>
              </w:rPr>
              <w:t>None</w:t>
            </w:r>
          </w:p>
          <w:p w14:paraId="7018A95E" w14:textId="77777777" w:rsidR="00E21D62" w:rsidRPr="002B2CFC" w:rsidRDefault="00E21D62" w:rsidP="00822CE8">
            <w:pPr>
              <w:keepNext/>
              <w:keepLines/>
              <w:rPr>
                <w:sz w:val="20"/>
              </w:rPr>
            </w:pPr>
          </w:p>
          <w:p w14:paraId="7D26622C" w14:textId="77777777" w:rsidR="00E21D62" w:rsidRPr="002B2CFC" w:rsidRDefault="00E21D62" w:rsidP="00822CE8">
            <w:pPr>
              <w:keepNext/>
              <w:keepLines/>
              <w:rPr>
                <w:sz w:val="20"/>
              </w:rPr>
            </w:pPr>
          </w:p>
        </w:tc>
        <w:tc>
          <w:tcPr>
            <w:tcW w:w="1442" w:type="pct"/>
            <w:tcBorders>
              <w:top w:val="single" w:sz="4" w:space="0" w:color="auto"/>
              <w:left w:val="single" w:sz="4" w:space="0" w:color="auto"/>
              <w:bottom w:val="single" w:sz="4" w:space="0" w:color="auto"/>
              <w:right w:val="single" w:sz="4" w:space="0" w:color="auto"/>
            </w:tcBorders>
          </w:tcPr>
          <w:p w14:paraId="449128E5" w14:textId="77777777" w:rsidR="00E21D62" w:rsidRPr="002B2CFC" w:rsidRDefault="00E21D62" w:rsidP="00822CE8">
            <w:pPr>
              <w:keepNext/>
              <w:keepLines/>
              <w:rPr>
                <w:sz w:val="20"/>
              </w:rPr>
            </w:pPr>
            <w:r w:rsidRPr="002B2CFC">
              <w:rPr>
                <w:sz w:val="20"/>
              </w:rPr>
              <w:t>Continuously in the diet for 13-weeks</w:t>
            </w:r>
          </w:p>
        </w:tc>
        <w:tc>
          <w:tcPr>
            <w:tcW w:w="1923" w:type="pct"/>
            <w:tcBorders>
              <w:top w:val="single" w:sz="4" w:space="0" w:color="auto"/>
              <w:left w:val="single" w:sz="4" w:space="0" w:color="auto"/>
              <w:bottom w:val="single" w:sz="4" w:space="0" w:color="auto"/>
              <w:right w:val="single" w:sz="4" w:space="0" w:color="auto"/>
            </w:tcBorders>
          </w:tcPr>
          <w:p w14:paraId="0FDABD39" w14:textId="77777777" w:rsidR="00E21D62" w:rsidRPr="002B2CFC" w:rsidRDefault="00E21D62" w:rsidP="00822CE8">
            <w:pPr>
              <w:keepNext/>
              <w:keepLines/>
              <w:rPr>
                <w:sz w:val="20"/>
              </w:rPr>
            </w:pPr>
            <w:r w:rsidRPr="002B2CFC">
              <w:rPr>
                <w:sz w:val="20"/>
              </w:rPr>
              <w:t>0, 10, 50</w:t>
            </w:r>
          </w:p>
          <w:p w14:paraId="5599F9FD" w14:textId="77777777" w:rsidR="00E21D62" w:rsidRPr="002B2CFC" w:rsidRDefault="00E21D62" w:rsidP="00822CE8">
            <w:pPr>
              <w:keepNext/>
              <w:keepLines/>
              <w:rPr>
                <w:sz w:val="20"/>
              </w:rPr>
            </w:pPr>
          </w:p>
          <w:p w14:paraId="0F18474A" w14:textId="77777777" w:rsidR="00E21D62" w:rsidRPr="000102CE" w:rsidRDefault="00E21D62" w:rsidP="00822CE8">
            <w:pPr>
              <w:keepNext/>
              <w:keepLines/>
              <w:jc w:val="left"/>
              <w:rPr>
                <w:i/>
                <w:sz w:val="20"/>
              </w:rPr>
            </w:pPr>
            <w:r w:rsidRPr="002B2CFC">
              <w:rPr>
                <w:sz w:val="20"/>
              </w:rPr>
              <w:t>(</w:t>
            </w:r>
            <w:r w:rsidRPr="002B2CFC">
              <w:rPr>
                <w:i/>
                <w:sz w:val="20"/>
              </w:rPr>
              <w:t>Calculated average</w:t>
            </w:r>
            <w:r w:rsidRPr="000102CE">
              <w:rPr>
                <w:i/>
                <w:sz w:val="20"/>
              </w:rPr>
              <w:t xml:space="preserve"> paraquat dichloride:</w:t>
            </w:r>
          </w:p>
          <w:p w14:paraId="31739655" w14:textId="77777777" w:rsidR="00E21D62" w:rsidRPr="002B2CFC" w:rsidRDefault="00E21D62" w:rsidP="00822CE8">
            <w:pPr>
              <w:keepNext/>
              <w:keepLines/>
              <w:jc w:val="left"/>
              <w:rPr>
                <w:sz w:val="20"/>
              </w:rPr>
            </w:pPr>
            <w:r w:rsidRPr="002B2CFC">
              <w:rPr>
                <w:sz w:val="20"/>
              </w:rPr>
              <w:t>Males: 0, 2.4, 14.1 mg/kg bw/d</w:t>
            </w:r>
          </w:p>
          <w:p w14:paraId="3A5B1A6A" w14:textId="77777777" w:rsidR="00E21D62" w:rsidRDefault="00E21D62" w:rsidP="00822CE8">
            <w:pPr>
              <w:keepNext/>
              <w:keepLines/>
              <w:jc w:val="left"/>
              <w:rPr>
                <w:sz w:val="20"/>
              </w:rPr>
            </w:pPr>
            <w:r w:rsidRPr="002B2CFC">
              <w:rPr>
                <w:sz w:val="20"/>
              </w:rPr>
              <w:t xml:space="preserve">Females: 0, 3.7, 21.5 mg/kg bw/d) </w:t>
            </w:r>
          </w:p>
          <w:p w14:paraId="54111EB0" w14:textId="77777777" w:rsidR="00E21D62" w:rsidRDefault="00E21D62" w:rsidP="00822CE8">
            <w:pPr>
              <w:keepNext/>
              <w:keepLines/>
              <w:jc w:val="left"/>
              <w:rPr>
                <w:sz w:val="20"/>
              </w:rPr>
            </w:pPr>
          </w:p>
          <w:p w14:paraId="2FD31909" w14:textId="77777777" w:rsidR="00E21D62" w:rsidRPr="000102CE" w:rsidRDefault="00E21D62" w:rsidP="00822CE8">
            <w:pPr>
              <w:keepNext/>
              <w:keepLines/>
              <w:jc w:val="left"/>
              <w:rPr>
                <w:i/>
                <w:sz w:val="20"/>
              </w:rPr>
            </w:pPr>
            <w:r w:rsidRPr="002B2CFC">
              <w:rPr>
                <w:i/>
                <w:sz w:val="20"/>
              </w:rPr>
              <w:t>Calculated average</w:t>
            </w:r>
            <w:r w:rsidRPr="000102CE">
              <w:rPr>
                <w:i/>
                <w:sz w:val="20"/>
              </w:rPr>
              <w:t xml:space="preserve"> paraquat </w:t>
            </w:r>
            <w:r>
              <w:rPr>
                <w:i/>
                <w:sz w:val="20"/>
              </w:rPr>
              <w:t>ion</w:t>
            </w:r>
            <w:r w:rsidRPr="000102CE">
              <w:rPr>
                <w:i/>
                <w:sz w:val="20"/>
              </w:rPr>
              <w:t>:</w:t>
            </w:r>
          </w:p>
          <w:p w14:paraId="5074329A" w14:textId="77777777" w:rsidR="00E21D62" w:rsidRPr="002B2CFC" w:rsidRDefault="00E21D62" w:rsidP="00822CE8">
            <w:pPr>
              <w:keepNext/>
              <w:keepLines/>
              <w:jc w:val="left"/>
              <w:rPr>
                <w:sz w:val="20"/>
              </w:rPr>
            </w:pPr>
            <w:r w:rsidRPr="002B2CFC">
              <w:rPr>
                <w:sz w:val="20"/>
              </w:rPr>
              <w:t xml:space="preserve">Males: 0, </w:t>
            </w:r>
            <w:r>
              <w:rPr>
                <w:sz w:val="20"/>
              </w:rPr>
              <w:t>1.7</w:t>
            </w:r>
            <w:r w:rsidRPr="002B2CFC">
              <w:rPr>
                <w:sz w:val="20"/>
              </w:rPr>
              <w:t>, 1</w:t>
            </w:r>
            <w:r>
              <w:rPr>
                <w:sz w:val="20"/>
              </w:rPr>
              <w:t>0.2</w:t>
            </w:r>
            <w:r w:rsidRPr="002B2CFC">
              <w:rPr>
                <w:sz w:val="20"/>
              </w:rPr>
              <w:t xml:space="preserve"> mg/kg bw/d</w:t>
            </w:r>
          </w:p>
          <w:p w14:paraId="14C630F7" w14:textId="77777777" w:rsidR="00E21D62" w:rsidRPr="002B2CFC" w:rsidRDefault="00E21D62" w:rsidP="00822CE8">
            <w:pPr>
              <w:keepNext/>
              <w:keepLines/>
              <w:rPr>
                <w:sz w:val="20"/>
              </w:rPr>
            </w:pPr>
            <w:r w:rsidRPr="002B2CFC">
              <w:rPr>
                <w:sz w:val="20"/>
              </w:rPr>
              <w:t xml:space="preserve">Females: 0, </w:t>
            </w:r>
            <w:r>
              <w:rPr>
                <w:sz w:val="20"/>
              </w:rPr>
              <w:t>2</w:t>
            </w:r>
            <w:r w:rsidRPr="002B2CFC">
              <w:rPr>
                <w:sz w:val="20"/>
              </w:rPr>
              <w:t xml:space="preserve">.7, </w:t>
            </w:r>
            <w:r>
              <w:rPr>
                <w:sz w:val="20"/>
              </w:rPr>
              <w:t>15.6</w:t>
            </w:r>
            <w:r w:rsidRPr="002B2CFC">
              <w:rPr>
                <w:sz w:val="20"/>
              </w:rPr>
              <w:t xml:space="preserve"> mg/kg bw/d)</w:t>
            </w:r>
          </w:p>
        </w:tc>
      </w:tr>
      <w:tr w:rsidR="00E21D62" w:rsidRPr="002B2CFC" w14:paraId="499A1E0E" w14:textId="77777777" w:rsidTr="00822CE8">
        <w:trPr>
          <w:cantSplit/>
        </w:trPr>
        <w:tc>
          <w:tcPr>
            <w:tcW w:w="834" w:type="pct"/>
            <w:tcBorders>
              <w:top w:val="single" w:sz="4" w:space="0" w:color="auto"/>
              <w:left w:val="single" w:sz="4" w:space="0" w:color="auto"/>
              <w:bottom w:val="single" w:sz="4" w:space="0" w:color="auto"/>
              <w:right w:val="single" w:sz="4" w:space="0" w:color="auto"/>
            </w:tcBorders>
          </w:tcPr>
          <w:p w14:paraId="4D4E99F4" w14:textId="77777777" w:rsidR="00E21D62" w:rsidRPr="002B2CFC" w:rsidRDefault="00E21D62" w:rsidP="00822CE8">
            <w:pPr>
              <w:keepNext/>
              <w:keepLines/>
              <w:rPr>
                <w:sz w:val="20"/>
              </w:rPr>
            </w:pPr>
            <w:r w:rsidRPr="002B2CFC">
              <w:rPr>
                <w:sz w:val="20"/>
              </w:rPr>
              <w:t>Positive control:</w:t>
            </w:r>
          </w:p>
          <w:p w14:paraId="5B74FEA7" w14:textId="77777777" w:rsidR="00E21D62" w:rsidRPr="002B2CFC" w:rsidRDefault="00E21D62" w:rsidP="00822CE8">
            <w:pPr>
              <w:keepNext/>
              <w:keepLines/>
              <w:rPr>
                <w:sz w:val="20"/>
              </w:rPr>
            </w:pPr>
            <w:r w:rsidRPr="002B2CFC">
              <w:rPr>
                <w:sz w:val="20"/>
              </w:rPr>
              <w:t>ip injection</w:t>
            </w:r>
          </w:p>
        </w:tc>
        <w:tc>
          <w:tcPr>
            <w:tcW w:w="801" w:type="pct"/>
            <w:tcBorders>
              <w:top w:val="single" w:sz="4" w:space="0" w:color="auto"/>
              <w:left w:val="single" w:sz="4" w:space="0" w:color="auto"/>
              <w:bottom w:val="single" w:sz="4" w:space="0" w:color="auto"/>
              <w:right w:val="single" w:sz="4" w:space="0" w:color="auto"/>
            </w:tcBorders>
          </w:tcPr>
          <w:p w14:paraId="325A44C7" w14:textId="77777777" w:rsidR="00E21D62" w:rsidRPr="002B2CFC" w:rsidRDefault="00E21D62" w:rsidP="00822CE8">
            <w:pPr>
              <w:keepNext/>
              <w:keepLines/>
              <w:rPr>
                <w:sz w:val="20"/>
              </w:rPr>
            </w:pPr>
            <w:r w:rsidRPr="002B2CFC">
              <w:rPr>
                <w:sz w:val="20"/>
              </w:rPr>
              <w:t>0.9% sodium chloride for injection</w:t>
            </w:r>
          </w:p>
        </w:tc>
        <w:tc>
          <w:tcPr>
            <w:tcW w:w="1442" w:type="pct"/>
            <w:tcBorders>
              <w:top w:val="single" w:sz="4" w:space="0" w:color="auto"/>
              <w:left w:val="single" w:sz="4" w:space="0" w:color="auto"/>
              <w:bottom w:val="single" w:sz="4" w:space="0" w:color="auto"/>
              <w:right w:val="single" w:sz="4" w:space="0" w:color="auto"/>
            </w:tcBorders>
          </w:tcPr>
          <w:p w14:paraId="4C0D66A6" w14:textId="77777777" w:rsidR="00E21D62" w:rsidRPr="002B2CFC" w:rsidRDefault="00E21D62" w:rsidP="00822CE8">
            <w:pPr>
              <w:keepNext/>
              <w:keepLines/>
              <w:jc w:val="left"/>
              <w:rPr>
                <w:sz w:val="20"/>
              </w:rPr>
            </w:pPr>
            <w:r w:rsidRPr="002B2CFC">
              <w:rPr>
                <w:sz w:val="20"/>
              </w:rPr>
              <w:t>4 injections, approx. 2 hours apart 7 days prior to scheduled euthanasia</w:t>
            </w:r>
          </w:p>
        </w:tc>
        <w:tc>
          <w:tcPr>
            <w:tcW w:w="1923" w:type="pct"/>
            <w:tcBorders>
              <w:top w:val="single" w:sz="4" w:space="0" w:color="auto"/>
              <w:left w:val="single" w:sz="4" w:space="0" w:color="auto"/>
              <w:bottom w:val="single" w:sz="4" w:space="0" w:color="auto"/>
              <w:right w:val="single" w:sz="4" w:space="0" w:color="auto"/>
            </w:tcBorders>
          </w:tcPr>
          <w:p w14:paraId="3927DEC6" w14:textId="77777777" w:rsidR="00E21D62" w:rsidRPr="002B2CFC" w:rsidRDefault="00E21D62" w:rsidP="00822CE8">
            <w:pPr>
              <w:keepNext/>
              <w:keepLines/>
              <w:jc w:val="left"/>
              <w:rPr>
                <w:sz w:val="20"/>
              </w:rPr>
            </w:pPr>
            <w:r w:rsidRPr="002B2CFC">
              <w:rPr>
                <w:sz w:val="20"/>
              </w:rPr>
              <w:t>10 mg (free base)/kg/dose [4 mg/mL]) 1-methyl-4-phenyl-1,2,3,6- tetrahydropyridine hydrochloride (MPTP HCl)</w:t>
            </w:r>
          </w:p>
        </w:tc>
      </w:tr>
    </w:tbl>
    <w:p w14:paraId="387FEDE8" w14:textId="77777777" w:rsidR="00E21D62" w:rsidRPr="002B2CFC" w:rsidRDefault="00E21D62" w:rsidP="00E21D62">
      <w:pPr>
        <w:rPr>
          <w:szCs w:val="24"/>
          <w:lang w:val="en-US" w:eastAsia="en-US"/>
        </w:rPr>
      </w:pPr>
    </w:p>
    <w:p w14:paraId="1ED6A990" w14:textId="77777777" w:rsidR="00E21D62" w:rsidRPr="002B2CFC" w:rsidRDefault="00E21D62" w:rsidP="00E21D62">
      <w:pPr>
        <w:keepNext/>
        <w:rPr>
          <w:b/>
          <w:i/>
          <w:szCs w:val="24"/>
          <w:lang w:val="en-US" w:eastAsia="en-US"/>
        </w:rPr>
      </w:pPr>
      <w:r w:rsidRPr="002B2CFC">
        <w:rPr>
          <w:b/>
          <w:i/>
          <w:szCs w:val="24"/>
          <w:lang w:val="en-US" w:eastAsia="en-US"/>
        </w:rPr>
        <w:t>Method</w:t>
      </w:r>
    </w:p>
    <w:p w14:paraId="2C33A958" w14:textId="77777777" w:rsidR="00E21D62" w:rsidRPr="002B2CFC" w:rsidRDefault="00E21D62" w:rsidP="00E21D62">
      <w:pPr>
        <w:spacing w:before="120" w:after="120"/>
        <w:rPr>
          <w:szCs w:val="24"/>
        </w:rPr>
      </w:pPr>
      <w:r w:rsidRPr="002B2CFC">
        <w:rPr>
          <w:szCs w:val="24"/>
        </w:rPr>
        <w:t xml:space="preserve">This report presents the neuropathology findings only, from the study titled </w:t>
      </w:r>
      <w:r w:rsidRPr="002B2CFC">
        <w:rPr>
          <w:i/>
          <w:szCs w:val="24"/>
        </w:rPr>
        <w:t xml:space="preserve">Subchronic (91-day) dietary study to assess the effects of paraquat dichloride on dopaminergic neurons in C57BL/6J mice (Beck, 2013). </w:t>
      </w:r>
      <w:r w:rsidRPr="002B2CFC">
        <w:rPr>
          <w:szCs w:val="24"/>
        </w:rPr>
        <w:t>In this study, male and female mice were administered paraquat dichloride in the diet continuously for 91-95 days at concentrations of 0, 10 or 50 ppm, to determine the effect(s) on dopaminergic neurons in the brains of mice. A positive control group was maintained on basal diet throughout the diet, and seven days prior to scheduled euthanasia received four intraperitoneal injections of</w:t>
      </w:r>
      <w:r>
        <w:rPr>
          <w:szCs w:val="24"/>
        </w:rPr>
        <w:t xml:space="preserve"> </w:t>
      </w:r>
      <w:r w:rsidRPr="002B2CFC">
        <w:rPr>
          <w:szCs w:val="24"/>
        </w:rPr>
        <w:t xml:space="preserve">MPTP HCl, approximately two hours apart (4 x 10 mg/kg bw). </w:t>
      </w:r>
    </w:p>
    <w:p w14:paraId="54F45901" w14:textId="77777777" w:rsidR="00E21D62" w:rsidRPr="002B2CFC" w:rsidRDefault="00E21D62" w:rsidP="00E21D62">
      <w:pPr>
        <w:rPr>
          <w:szCs w:val="24"/>
          <w:lang w:val="en-US" w:eastAsia="en-US"/>
        </w:rPr>
      </w:pPr>
      <w:r w:rsidRPr="002B2CFC">
        <w:rPr>
          <w:szCs w:val="24"/>
          <w:lang w:val="en-US" w:eastAsia="en-US"/>
        </w:rPr>
        <w:t>Further details of the method and study design can be found in Beck</w:t>
      </w:r>
      <w:r>
        <w:rPr>
          <w:szCs w:val="24"/>
          <w:lang w:val="en-US" w:eastAsia="en-US"/>
        </w:rPr>
        <w:t xml:space="preserve"> (</w:t>
      </w:r>
      <w:r w:rsidRPr="002B2CFC">
        <w:rPr>
          <w:szCs w:val="24"/>
          <w:lang w:val="en-US" w:eastAsia="en-US"/>
        </w:rPr>
        <w:t>2013</w:t>
      </w:r>
      <w:r>
        <w:rPr>
          <w:szCs w:val="24"/>
          <w:lang w:val="en-US" w:eastAsia="en-US"/>
        </w:rPr>
        <w:t>)</w:t>
      </w:r>
      <w:r w:rsidRPr="002B2CFC">
        <w:rPr>
          <w:szCs w:val="24"/>
          <w:lang w:val="en-US" w:eastAsia="en-US"/>
        </w:rPr>
        <w:t xml:space="preserve">. </w:t>
      </w:r>
    </w:p>
    <w:p w14:paraId="3D075281" w14:textId="77777777" w:rsidR="00E21D62" w:rsidRPr="002B2CFC" w:rsidRDefault="00E21D62" w:rsidP="00E21D62">
      <w:pPr>
        <w:rPr>
          <w:szCs w:val="24"/>
          <w:lang w:val="en-US" w:eastAsia="en-US"/>
        </w:rPr>
      </w:pPr>
    </w:p>
    <w:p w14:paraId="5CF50237" w14:textId="77777777" w:rsidR="00E21D62" w:rsidRPr="002B2CFC" w:rsidRDefault="00E21D62" w:rsidP="00E21D62">
      <w:pPr>
        <w:rPr>
          <w:szCs w:val="24"/>
          <w:lang w:val="en-US" w:eastAsia="en-US"/>
        </w:rPr>
      </w:pPr>
      <w:r w:rsidRPr="002B2CFC">
        <w:rPr>
          <w:szCs w:val="24"/>
          <w:lang w:val="en-US" w:eastAsia="en-US"/>
        </w:rPr>
        <w:t xml:space="preserve">The neuropathology component examined serial sections from the </w:t>
      </w:r>
      <w:r w:rsidR="00A4092E">
        <w:rPr>
          <w:szCs w:val="24"/>
          <w:lang w:val="en-US" w:eastAsia="en-US"/>
        </w:rPr>
        <w:t>SN</w:t>
      </w:r>
      <w:r w:rsidRPr="002B2CFC">
        <w:rPr>
          <w:szCs w:val="24"/>
          <w:lang w:val="en-US" w:eastAsia="en-US"/>
        </w:rPr>
        <w:t xml:space="preserve"> to the striatum using specialist staining techniques (including immunohistochemistry) to assess potential effects in this part of the brain, including necrosis, apoptosis, astrocyte reactions as well as an assessment of general morphology.</w:t>
      </w:r>
    </w:p>
    <w:p w14:paraId="3E62F2A3" w14:textId="77777777" w:rsidR="00E21D62" w:rsidRPr="002B2CFC" w:rsidRDefault="00E21D62" w:rsidP="00E21D62">
      <w:pPr>
        <w:rPr>
          <w:szCs w:val="24"/>
          <w:lang w:val="en-US" w:eastAsia="en-US"/>
        </w:rPr>
      </w:pPr>
    </w:p>
    <w:p w14:paraId="75033E50" w14:textId="77777777" w:rsidR="00E21D62" w:rsidRPr="002B2CFC" w:rsidRDefault="00E21D62" w:rsidP="00E21D62">
      <w:pPr>
        <w:rPr>
          <w:szCs w:val="24"/>
          <w:u w:val="single"/>
          <w:lang w:val="en-US" w:eastAsia="en-US"/>
        </w:rPr>
      </w:pPr>
      <w:r w:rsidRPr="002B2CFC">
        <w:rPr>
          <w:szCs w:val="24"/>
          <w:u w:val="single"/>
          <w:lang w:val="en-US" w:eastAsia="en-US"/>
        </w:rPr>
        <w:t>Necropsy and brain tissue preparation:</w:t>
      </w:r>
    </w:p>
    <w:p w14:paraId="187A80DF" w14:textId="77777777" w:rsidR="00E21D62" w:rsidRPr="002B2CFC" w:rsidRDefault="00E21D62" w:rsidP="00E21D62">
      <w:pPr>
        <w:rPr>
          <w:szCs w:val="24"/>
          <w:lang w:val="en-US" w:eastAsia="en-US"/>
        </w:rPr>
      </w:pPr>
      <w:r w:rsidRPr="002B2CFC">
        <w:rPr>
          <w:szCs w:val="24"/>
          <w:lang w:val="en-US" w:eastAsia="en-US"/>
        </w:rPr>
        <w:t>The original performing laboratory performed all necropsies</w:t>
      </w:r>
      <w:r>
        <w:rPr>
          <w:szCs w:val="24"/>
          <w:lang w:val="en-US" w:eastAsia="en-US"/>
        </w:rPr>
        <w:t xml:space="preserve"> and initial brain tissue preparation on those mice designated to Subset II</w:t>
      </w:r>
      <w:r w:rsidRPr="002B2CFC">
        <w:rPr>
          <w:szCs w:val="24"/>
          <w:lang w:val="en-US" w:eastAsia="en-US"/>
        </w:rPr>
        <w:t xml:space="preserve">. </w:t>
      </w:r>
    </w:p>
    <w:p w14:paraId="2EAE9D97" w14:textId="77777777" w:rsidR="00E21D62" w:rsidRPr="002B2CFC" w:rsidRDefault="00E21D62" w:rsidP="00E21D62">
      <w:pPr>
        <w:rPr>
          <w:szCs w:val="24"/>
          <w:lang w:val="en-US" w:eastAsia="en-US"/>
        </w:rPr>
      </w:pPr>
    </w:p>
    <w:p w14:paraId="7BE074A1" w14:textId="77777777" w:rsidR="00E21D62" w:rsidRPr="002B2CFC" w:rsidRDefault="00E21D62" w:rsidP="00E21D62">
      <w:pPr>
        <w:rPr>
          <w:szCs w:val="24"/>
          <w:u w:val="single"/>
          <w:lang w:val="en-US" w:eastAsia="en-US"/>
        </w:rPr>
      </w:pPr>
      <w:r w:rsidRPr="002B2CFC">
        <w:rPr>
          <w:szCs w:val="24"/>
          <w:u w:val="single"/>
          <w:lang w:val="en-US" w:eastAsia="en-US"/>
        </w:rPr>
        <w:t>Slide preparation:</w:t>
      </w:r>
    </w:p>
    <w:p w14:paraId="6CE74F54" w14:textId="2D384193" w:rsidR="00E21D62" w:rsidRPr="002B2CFC" w:rsidRDefault="00E21D62" w:rsidP="00E21D62">
      <w:pPr>
        <w:rPr>
          <w:szCs w:val="24"/>
          <w:lang w:val="en-US" w:eastAsia="en-US"/>
        </w:rPr>
      </w:pPr>
      <w:r w:rsidRPr="002B2CFC">
        <w:rPr>
          <w:szCs w:val="24"/>
          <w:lang w:val="en-US" w:eastAsia="en-US"/>
        </w:rPr>
        <w:t xml:space="preserve">At Neuroscience Associates, Inc </w:t>
      </w:r>
      <w:r>
        <w:rPr>
          <w:szCs w:val="24"/>
          <w:lang w:val="en-US" w:eastAsia="en-US"/>
        </w:rPr>
        <w:t>(</w:t>
      </w:r>
      <w:r w:rsidRPr="002B2CFC">
        <w:rPr>
          <w:szCs w:val="24"/>
          <w:lang w:val="en-US" w:eastAsia="en-US"/>
        </w:rPr>
        <w:t>NSA</w:t>
      </w:r>
      <w:r>
        <w:rPr>
          <w:szCs w:val="24"/>
          <w:lang w:val="en-US" w:eastAsia="en-US"/>
        </w:rPr>
        <w:t>)</w:t>
      </w:r>
      <w:r w:rsidRPr="002B2CFC">
        <w:rPr>
          <w:szCs w:val="24"/>
          <w:lang w:val="en-US" w:eastAsia="en-US"/>
        </w:rPr>
        <w:t xml:space="preserve"> the brains were trimmed</w:t>
      </w:r>
      <w:r>
        <w:rPr>
          <w:szCs w:val="24"/>
          <w:lang w:val="en-US" w:eastAsia="en-US"/>
        </w:rPr>
        <w:t xml:space="preserve"> and</w:t>
      </w:r>
      <w:r w:rsidRPr="002B2CFC">
        <w:rPr>
          <w:szCs w:val="24"/>
          <w:lang w:val="en-US" w:eastAsia="en-US"/>
        </w:rPr>
        <w:t xml:space="preserve"> multiembedded and sectioned at 30 µm </w:t>
      </w:r>
      <w:r w:rsidRPr="002B2CFC">
        <w:rPr>
          <w:i/>
          <w:szCs w:val="24"/>
          <w:lang w:val="en-US" w:eastAsia="en-US"/>
        </w:rPr>
        <w:t>via</w:t>
      </w:r>
      <w:r w:rsidRPr="002B2CFC">
        <w:rPr>
          <w:szCs w:val="24"/>
          <w:lang w:val="en-US" w:eastAsia="en-US"/>
        </w:rPr>
        <w:t xml:space="preserve"> frozen section in the coronal plane through the striatum to/through the </w:t>
      </w:r>
      <w:r w:rsidR="00A4092E">
        <w:rPr>
          <w:szCs w:val="24"/>
          <w:lang w:val="en-US" w:eastAsia="en-US"/>
        </w:rPr>
        <w:t>SN</w:t>
      </w:r>
      <w:r w:rsidRPr="002B2CFC">
        <w:rPr>
          <w:szCs w:val="24"/>
          <w:lang w:val="en-US" w:eastAsia="en-US"/>
        </w:rPr>
        <w:t>. All sections were collected. Sections were stained with AmCuAg (Amino Cupric Silver), MicroApoTag (TUNEL), IBA-1 (Ionised calcium binding adapter</w:t>
      </w:r>
      <w:r>
        <w:rPr>
          <w:szCs w:val="24"/>
          <w:lang w:val="en-US" w:eastAsia="en-US"/>
        </w:rPr>
        <w:t xml:space="preserve"> molecule 1), GFAP (glial fibri</w:t>
      </w:r>
      <w:r w:rsidRPr="002B2CFC">
        <w:rPr>
          <w:szCs w:val="24"/>
          <w:lang w:val="en-US" w:eastAsia="en-US"/>
        </w:rPr>
        <w:t>llary acidic protein), TH</w:t>
      </w:r>
      <w:r w:rsidR="009E2A0B">
        <w:rPr>
          <w:szCs w:val="24"/>
          <w:lang w:val="en-US" w:eastAsia="en-US"/>
        </w:rPr>
        <w:t xml:space="preserve">, </w:t>
      </w:r>
      <w:r w:rsidRPr="002B2CFC">
        <w:rPr>
          <w:szCs w:val="24"/>
          <w:lang w:val="en-US" w:eastAsia="en-US"/>
        </w:rPr>
        <w:t xml:space="preserve">Caspase-3 and Thionine. The details of these stains are </w:t>
      </w:r>
      <w:r w:rsidR="005F2D39">
        <w:rPr>
          <w:szCs w:val="24"/>
          <w:lang w:val="en-US" w:eastAsia="en-US"/>
        </w:rPr>
        <w:t xml:space="preserve">included in </w:t>
      </w:r>
      <w:r w:rsidR="005809A4">
        <w:rPr>
          <w:szCs w:val="24"/>
          <w:lang w:val="en-US" w:eastAsia="en-US"/>
        </w:rPr>
        <w:t xml:space="preserve">the main report (Beck, 2012a, </w:t>
      </w:r>
      <w:r w:rsidR="00F07346">
        <w:fldChar w:fldCharType="begin"/>
      </w:r>
      <w:r w:rsidR="00F07346">
        <w:instrText xml:space="preserve"> REF _Ref421608459 \h  \* MERGEFORMAT </w:instrText>
      </w:r>
      <w:r w:rsidR="00F07346">
        <w:fldChar w:fldCharType="separate"/>
      </w:r>
      <w:r w:rsidR="000E54B2" w:rsidRPr="000E54B2">
        <w:rPr>
          <w:bCs/>
          <w:szCs w:val="24"/>
          <w:lang w:val="en-US" w:eastAsia="en-US"/>
        </w:rPr>
        <w:t xml:space="preserve">Table </w:t>
      </w:r>
      <w:r w:rsidR="000E54B2" w:rsidRPr="000E54B2">
        <w:rPr>
          <w:bCs/>
          <w:noProof/>
          <w:szCs w:val="24"/>
          <w:lang w:val="en-US" w:eastAsia="en-US"/>
        </w:rPr>
        <w:t>12</w:t>
      </w:r>
      <w:r w:rsidR="00F07346">
        <w:fldChar w:fldCharType="end"/>
      </w:r>
      <w:r w:rsidR="005809A4" w:rsidRPr="005809A4">
        <w:rPr>
          <w:szCs w:val="24"/>
          <w:lang w:val="en-US" w:eastAsia="en-US"/>
        </w:rPr>
        <w:t>)</w:t>
      </w:r>
      <w:r w:rsidRPr="00627DF7">
        <w:rPr>
          <w:szCs w:val="24"/>
          <w:lang w:val="en-US" w:eastAsia="en-US"/>
        </w:rPr>
        <w:t>.</w:t>
      </w:r>
      <w:r w:rsidRPr="002B2CFC">
        <w:rPr>
          <w:szCs w:val="24"/>
          <w:lang w:val="en-US" w:eastAsia="en-US"/>
        </w:rPr>
        <w:t xml:space="preserve"> In addition, laboratory positive control slides (for TUNEL, AmCuAg and Caspase-3) were stained to verify the staining procedures. GFAP and IBA-1 stains did not require controls as brains contain an internal control.</w:t>
      </w:r>
    </w:p>
    <w:p w14:paraId="00DB39B0" w14:textId="77777777" w:rsidR="00E21D62" w:rsidRPr="002B2CFC" w:rsidRDefault="00E21D62" w:rsidP="00E21D62">
      <w:pPr>
        <w:rPr>
          <w:szCs w:val="24"/>
          <w:lang w:val="en-US" w:eastAsia="en-US"/>
        </w:rPr>
      </w:pPr>
    </w:p>
    <w:p w14:paraId="7540C543" w14:textId="77777777" w:rsidR="00E21D62" w:rsidRPr="002B2CFC" w:rsidRDefault="00E21D62" w:rsidP="00E21D62">
      <w:pPr>
        <w:rPr>
          <w:szCs w:val="24"/>
          <w:u w:val="single"/>
          <w:lang w:val="en-US" w:eastAsia="en-US"/>
        </w:rPr>
      </w:pPr>
    </w:p>
    <w:p w14:paraId="50DCA19D" w14:textId="77777777" w:rsidR="00E21D62" w:rsidRPr="002B2CFC" w:rsidRDefault="00E21D62" w:rsidP="00E21D62">
      <w:pPr>
        <w:rPr>
          <w:szCs w:val="24"/>
          <w:u w:val="single"/>
          <w:lang w:val="en-US" w:eastAsia="en-US"/>
        </w:rPr>
      </w:pPr>
      <w:r w:rsidRPr="002B2CFC">
        <w:rPr>
          <w:szCs w:val="24"/>
          <w:u w:val="single"/>
          <w:lang w:val="en-US" w:eastAsia="en-US"/>
        </w:rPr>
        <w:t>Slide evaluation</w:t>
      </w:r>
    </w:p>
    <w:p w14:paraId="3B30D63B" w14:textId="77777777" w:rsidR="00E21D62" w:rsidRPr="002B2CFC" w:rsidRDefault="00E21D62" w:rsidP="00E21D62">
      <w:pPr>
        <w:rPr>
          <w:szCs w:val="24"/>
          <w:lang w:val="en-US" w:eastAsia="en-US"/>
        </w:rPr>
      </w:pPr>
      <w:r w:rsidRPr="002B2CFC">
        <w:rPr>
          <w:szCs w:val="24"/>
          <w:lang w:val="en-US" w:eastAsia="en-US"/>
        </w:rPr>
        <w:t xml:space="preserve">Prepared slides were </w:t>
      </w:r>
      <w:r>
        <w:rPr>
          <w:szCs w:val="24"/>
          <w:lang w:val="en-US" w:eastAsia="en-US"/>
        </w:rPr>
        <w:t>examined by TPS</w:t>
      </w:r>
      <w:r w:rsidRPr="002B2CFC">
        <w:rPr>
          <w:szCs w:val="24"/>
          <w:lang w:val="en-US" w:eastAsia="en-US"/>
        </w:rPr>
        <w:t>. The regions of the brain evaluated were categorised as:</w:t>
      </w:r>
    </w:p>
    <w:p w14:paraId="5B97793D" w14:textId="77777777" w:rsidR="00E21D62" w:rsidRPr="002B2CFC" w:rsidRDefault="00E21D62" w:rsidP="00E21D62">
      <w:pPr>
        <w:numPr>
          <w:ilvl w:val="0"/>
          <w:numId w:val="6"/>
        </w:numPr>
        <w:spacing w:before="120" w:after="120"/>
        <w:contextualSpacing/>
        <w:rPr>
          <w:szCs w:val="24"/>
        </w:rPr>
      </w:pPr>
      <w:r w:rsidRPr="002B2CFC">
        <w:rPr>
          <w:szCs w:val="24"/>
        </w:rPr>
        <w:t>Brain, Level Frontal Cortex</w:t>
      </w:r>
    </w:p>
    <w:p w14:paraId="5D12F0E6" w14:textId="77777777" w:rsidR="00E21D62" w:rsidRPr="002B2CFC" w:rsidRDefault="00E21D62" w:rsidP="00E21D62">
      <w:pPr>
        <w:numPr>
          <w:ilvl w:val="0"/>
          <w:numId w:val="6"/>
        </w:numPr>
        <w:spacing w:before="120" w:after="120"/>
        <w:contextualSpacing/>
        <w:rPr>
          <w:szCs w:val="24"/>
        </w:rPr>
      </w:pPr>
      <w:r w:rsidRPr="002B2CFC">
        <w:rPr>
          <w:szCs w:val="24"/>
        </w:rPr>
        <w:t>Brain, Level Striatum</w:t>
      </w:r>
    </w:p>
    <w:p w14:paraId="3AB09C4B" w14:textId="77777777" w:rsidR="00E21D62" w:rsidRPr="002B2CFC" w:rsidRDefault="00E21D62" w:rsidP="00E21D62">
      <w:pPr>
        <w:numPr>
          <w:ilvl w:val="0"/>
          <w:numId w:val="6"/>
        </w:numPr>
        <w:spacing w:before="120" w:after="120"/>
        <w:contextualSpacing/>
        <w:rPr>
          <w:szCs w:val="24"/>
        </w:rPr>
      </w:pPr>
      <w:r w:rsidRPr="002B2CFC">
        <w:rPr>
          <w:szCs w:val="24"/>
        </w:rPr>
        <w:t>Brain, Level Thalamus/Hypothalamus</w:t>
      </w:r>
    </w:p>
    <w:p w14:paraId="2468C2F0" w14:textId="77777777" w:rsidR="00E21D62" w:rsidRPr="002B2CFC" w:rsidRDefault="00E21D62" w:rsidP="00E21D62">
      <w:pPr>
        <w:numPr>
          <w:ilvl w:val="0"/>
          <w:numId w:val="6"/>
        </w:numPr>
        <w:spacing w:before="120" w:after="120"/>
        <w:contextualSpacing/>
        <w:rPr>
          <w:szCs w:val="24"/>
        </w:rPr>
      </w:pPr>
      <w:r w:rsidRPr="002B2CFC">
        <w:rPr>
          <w:szCs w:val="24"/>
        </w:rPr>
        <w:t xml:space="preserve">Brain, Level Midbrain (including the </w:t>
      </w:r>
      <w:r w:rsidR="00A4092E">
        <w:rPr>
          <w:szCs w:val="24"/>
        </w:rPr>
        <w:t>SN</w:t>
      </w:r>
      <w:r w:rsidRPr="002B2CFC">
        <w:rPr>
          <w:szCs w:val="24"/>
        </w:rPr>
        <w:t>)</w:t>
      </w:r>
    </w:p>
    <w:p w14:paraId="620B34EC" w14:textId="77777777" w:rsidR="00E21D62" w:rsidRPr="002B2CFC" w:rsidRDefault="00E21D62" w:rsidP="00E21D62">
      <w:pPr>
        <w:numPr>
          <w:ilvl w:val="0"/>
          <w:numId w:val="6"/>
        </w:numPr>
        <w:spacing w:before="120" w:after="120"/>
        <w:contextualSpacing/>
        <w:rPr>
          <w:szCs w:val="24"/>
        </w:rPr>
      </w:pPr>
      <w:r w:rsidRPr="002B2CFC">
        <w:rPr>
          <w:szCs w:val="24"/>
        </w:rPr>
        <w:t>Brain, Pons</w:t>
      </w:r>
    </w:p>
    <w:p w14:paraId="62FA235D" w14:textId="77777777" w:rsidR="00E21D62" w:rsidRPr="002B2CFC" w:rsidRDefault="00E21D62" w:rsidP="00215191">
      <w:pPr>
        <w:rPr>
          <w:szCs w:val="24"/>
        </w:rPr>
      </w:pPr>
      <w:r w:rsidRPr="002B2CFC">
        <w:rPr>
          <w:szCs w:val="24"/>
          <w:lang w:val="en-US" w:eastAsia="en-US"/>
        </w:rPr>
        <w:t xml:space="preserve">Not all levels were evaluated for all stains, based on knowledge of relevant structures/cells detected by each stain and location in the brain. </w:t>
      </w:r>
    </w:p>
    <w:p w14:paraId="312B9AA0" w14:textId="77777777" w:rsidR="00E21D62" w:rsidRPr="002B2CFC" w:rsidRDefault="00E21D62" w:rsidP="00E21D62">
      <w:pPr>
        <w:rPr>
          <w:szCs w:val="24"/>
          <w:lang w:val="en-US" w:eastAsia="en-US"/>
        </w:rPr>
      </w:pPr>
    </w:p>
    <w:p w14:paraId="70D7BEEB" w14:textId="77777777" w:rsidR="00E21D62" w:rsidRPr="002B2CFC" w:rsidRDefault="00E21D62" w:rsidP="00E21D62">
      <w:pPr>
        <w:rPr>
          <w:b/>
          <w:i/>
          <w:szCs w:val="24"/>
          <w:lang w:val="en-US" w:eastAsia="en-US"/>
        </w:rPr>
      </w:pPr>
      <w:r w:rsidRPr="002B2CFC">
        <w:rPr>
          <w:b/>
          <w:i/>
          <w:szCs w:val="24"/>
          <w:lang w:val="en-US" w:eastAsia="en-US"/>
        </w:rPr>
        <w:t>Results</w:t>
      </w:r>
    </w:p>
    <w:p w14:paraId="1FC43290" w14:textId="77777777" w:rsidR="00E21D62" w:rsidRPr="002B2CFC" w:rsidRDefault="00E21D62" w:rsidP="00E21D62">
      <w:pPr>
        <w:rPr>
          <w:szCs w:val="24"/>
          <w:u w:val="single"/>
          <w:lang w:val="en-US" w:eastAsia="en-US"/>
        </w:rPr>
      </w:pPr>
      <w:r w:rsidRPr="002B2CFC">
        <w:rPr>
          <w:szCs w:val="24"/>
          <w:u w:val="single"/>
          <w:lang w:val="en-US" w:eastAsia="en-US"/>
        </w:rPr>
        <w:t>General comments</w:t>
      </w:r>
    </w:p>
    <w:p w14:paraId="44D47516" w14:textId="77777777" w:rsidR="00E21D62" w:rsidRPr="002B2CFC" w:rsidRDefault="00E21D62" w:rsidP="00E21D62">
      <w:pPr>
        <w:rPr>
          <w:szCs w:val="24"/>
          <w:lang w:val="en-US" w:eastAsia="en-US"/>
        </w:rPr>
      </w:pPr>
      <w:r w:rsidRPr="002B2CFC">
        <w:rPr>
          <w:szCs w:val="24"/>
          <w:lang w:val="en-US" w:eastAsia="en-US"/>
        </w:rPr>
        <w:t>The slide preparation and staining procedure was found to be good quality and consistent and the internal positive control slides verified the staining procedure.</w:t>
      </w:r>
    </w:p>
    <w:p w14:paraId="259C9E5E" w14:textId="77777777" w:rsidR="00E21D62" w:rsidRPr="002B2CFC" w:rsidRDefault="00E21D62" w:rsidP="00E21D62">
      <w:pPr>
        <w:rPr>
          <w:szCs w:val="24"/>
          <w:lang w:val="en-US" w:eastAsia="en-US"/>
        </w:rPr>
      </w:pPr>
    </w:p>
    <w:p w14:paraId="047439AB" w14:textId="77777777" w:rsidR="00E21D62" w:rsidRPr="002B2CFC" w:rsidRDefault="00E21D62" w:rsidP="00E21D62">
      <w:pPr>
        <w:rPr>
          <w:szCs w:val="24"/>
          <w:u w:val="single"/>
          <w:lang w:val="en-US" w:eastAsia="en-US"/>
        </w:rPr>
      </w:pPr>
      <w:r w:rsidRPr="002B2CFC">
        <w:rPr>
          <w:szCs w:val="24"/>
          <w:u w:val="single"/>
          <w:lang w:val="en-US" w:eastAsia="en-US"/>
        </w:rPr>
        <w:t>Gross pathology</w:t>
      </w:r>
    </w:p>
    <w:p w14:paraId="79D50D77" w14:textId="77777777" w:rsidR="00E21D62" w:rsidRPr="002B2CFC" w:rsidRDefault="00E21D62" w:rsidP="00E21D62">
      <w:pPr>
        <w:rPr>
          <w:szCs w:val="24"/>
          <w:lang w:val="en-US" w:eastAsia="en-US"/>
        </w:rPr>
      </w:pPr>
      <w:r w:rsidRPr="002B2CFC">
        <w:rPr>
          <w:szCs w:val="24"/>
          <w:lang w:val="en-US" w:eastAsia="en-US"/>
        </w:rPr>
        <w:t>The laboratory performing the euthanasia and necropsy noted numerous gross lesions in all dose groups, noted as discolourations or areas of ‘red’. None of these lesions correlated to any microscopic changes according to the TPS pathologist, and were noted as being very common findings in perfusion fixed animals. These gross findings are considered artifactu</w:t>
      </w:r>
      <w:r w:rsidRPr="0083520F">
        <w:rPr>
          <w:szCs w:val="24"/>
          <w:lang w:val="en-US" w:eastAsia="en-US"/>
        </w:rPr>
        <w:t>al</w:t>
      </w:r>
      <w:r>
        <w:rPr>
          <w:szCs w:val="24"/>
          <w:lang w:val="en-US" w:eastAsia="en-US"/>
        </w:rPr>
        <w:t>.</w:t>
      </w:r>
    </w:p>
    <w:p w14:paraId="7D727ED8" w14:textId="77777777" w:rsidR="00E21D62" w:rsidRPr="002B2CFC" w:rsidRDefault="00E21D62" w:rsidP="00E21D62">
      <w:pPr>
        <w:rPr>
          <w:szCs w:val="24"/>
          <w:lang w:val="en-US" w:eastAsia="en-US"/>
        </w:rPr>
      </w:pPr>
    </w:p>
    <w:p w14:paraId="2C7924F9" w14:textId="77777777" w:rsidR="00E21D62" w:rsidRPr="002B2CFC" w:rsidRDefault="00E21D62" w:rsidP="00E21D62">
      <w:pPr>
        <w:rPr>
          <w:szCs w:val="24"/>
          <w:u w:val="single"/>
          <w:lang w:val="en-US" w:eastAsia="en-US"/>
        </w:rPr>
      </w:pPr>
      <w:r w:rsidRPr="002B2CFC">
        <w:rPr>
          <w:szCs w:val="24"/>
          <w:u w:val="single"/>
          <w:lang w:val="en-US" w:eastAsia="en-US"/>
        </w:rPr>
        <w:t>Microscopic pathology</w:t>
      </w:r>
    </w:p>
    <w:p w14:paraId="3E8C2BB7" w14:textId="77777777" w:rsidR="00E21D62" w:rsidRDefault="00E21D62" w:rsidP="00E21D62">
      <w:pPr>
        <w:rPr>
          <w:szCs w:val="24"/>
          <w:lang w:val="en-US" w:eastAsia="en-US"/>
        </w:rPr>
      </w:pPr>
      <w:r w:rsidRPr="002B2CFC">
        <w:rPr>
          <w:szCs w:val="24"/>
          <w:lang w:val="en-US" w:eastAsia="en-US"/>
        </w:rPr>
        <w:t xml:space="preserve">There were no </w:t>
      </w:r>
      <w:r>
        <w:rPr>
          <w:szCs w:val="24"/>
          <w:lang w:val="en-US" w:eastAsia="en-US"/>
        </w:rPr>
        <w:t xml:space="preserve">paraquat-related </w:t>
      </w:r>
      <w:r w:rsidRPr="002B2CFC">
        <w:rPr>
          <w:szCs w:val="24"/>
          <w:lang w:val="en-US" w:eastAsia="en-US"/>
        </w:rPr>
        <w:t>histological changes in the brain at any of the sacrifice intervals (4</w:t>
      </w:r>
      <w:r>
        <w:rPr>
          <w:szCs w:val="24"/>
          <w:lang w:val="en-US" w:eastAsia="en-US"/>
        </w:rPr>
        <w:t>/8/13 weeks</w:t>
      </w:r>
      <w:r w:rsidRPr="002B2CFC">
        <w:rPr>
          <w:szCs w:val="24"/>
          <w:lang w:val="en-US" w:eastAsia="en-US"/>
        </w:rPr>
        <w:t>), in either males or females.</w:t>
      </w:r>
    </w:p>
    <w:p w14:paraId="2275DB5B" w14:textId="77777777" w:rsidR="00E21D62" w:rsidRPr="002B2CFC" w:rsidRDefault="00E21D62" w:rsidP="00E21D62">
      <w:pPr>
        <w:rPr>
          <w:szCs w:val="24"/>
          <w:lang w:val="en-US" w:eastAsia="en-US"/>
        </w:rPr>
      </w:pPr>
    </w:p>
    <w:p w14:paraId="1E6CFDAA" w14:textId="01F7DDCA" w:rsidR="00E21D62" w:rsidRPr="002B2CFC" w:rsidRDefault="00E21D62" w:rsidP="00E21D62">
      <w:pPr>
        <w:rPr>
          <w:szCs w:val="24"/>
          <w:lang w:val="en-US" w:eastAsia="en-US"/>
        </w:rPr>
      </w:pPr>
      <w:r w:rsidRPr="002B2CFC">
        <w:rPr>
          <w:szCs w:val="24"/>
          <w:lang w:val="en-US" w:eastAsia="en-US"/>
        </w:rPr>
        <w:t xml:space="preserve">Microscopic changes were noted in the positive control group. Decreased TH staining in the striatum was noted in all MPTP animals, and </w:t>
      </w:r>
      <w:r>
        <w:rPr>
          <w:szCs w:val="24"/>
          <w:lang w:val="en-US" w:eastAsia="en-US"/>
        </w:rPr>
        <w:t>attributed to a</w:t>
      </w:r>
      <w:r w:rsidRPr="002B2CFC">
        <w:rPr>
          <w:szCs w:val="24"/>
          <w:lang w:val="en-US" w:eastAsia="en-US"/>
        </w:rPr>
        <w:t xml:space="preserve"> decrease in dopaminergic synaptic terminals. This finding was less consistent in the </w:t>
      </w:r>
      <w:r w:rsidR="00A4092E">
        <w:rPr>
          <w:szCs w:val="24"/>
          <w:lang w:val="en-US" w:eastAsia="en-US"/>
        </w:rPr>
        <w:t>SN</w:t>
      </w:r>
      <w:r w:rsidRPr="002B2CFC">
        <w:rPr>
          <w:szCs w:val="24"/>
          <w:lang w:val="en-US" w:eastAsia="en-US"/>
        </w:rPr>
        <w:t xml:space="preserve"> (3/5 males and not found in any females). The author stated that this was consistent with the effects of MPTP in this animal model but can also be attributed to the difficulty in interpreting this stain when neuron loss is not complete. It was stated that this change must be somewhat prominent to be able to be distinguished from norm</w:t>
      </w:r>
      <w:r w:rsidRPr="00794F11">
        <w:rPr>
          <w:szCs w:val="24"/>
          <w:lang w:val="en-US" w:eastAsia="en-US"/>
        </w:rPr>
        <w:t>al</w:t>
      </w:r>
      <w:r>
        <w:rPr>
          <w:szCs w:val="24"/>
          <w:lang w:val="en-US" w:eastAsia="en-US"/>
        </w:rPr>
        <w:t>.</w:t>
      </w:r>
      <w:r w:rsidRPr="00794F11">
        <w:rPr>
          <w:szCs w:val="24"/>
          <w:lang w:val="en-US" w:eastAsia="en-US"/>
        </w:rPr>
        <w:t xml:space="preserve"> </w:t>
      </w:r>
      <w:r w:rsidRPr="002B2CFC">
        <w:rPr>
          <w:szCs w:val="24"/>
          <w:lang w:val="en-US" w:eastAsia="en-US"/>
        </w:rPr>
        <w:t xml:space="preserve"> Increases in GFAP (astrocyte stain) and IBA-1 (microglial) staining were seen consistently across all males and females in the striatum. </w:t>
      </w:r>
      <w:r>
        <w:rPr>
          <w:szCs w:val="24"/>
          <w:lang w:val="en-US" w:eastAsia="en-US"/>
        </w:rPr>
        <w:t>This indicates astrocytes responding to cellular injury. It was stated that as t</w:t>
      </w:r>
      <w:r w:rsidRPr="002B2CFC">
        <w:rPr>
          <w:szCs w:val="24"/>
          <w:lang w:val="en-US" w:eastAsia="en-US"/>
        </w:rPr>
        <w:t xml:space="preserve">his area of the brain </w:t>
      </w:r>
      <w:r>
        <w:rPr>
          <w:szCs w:val="24"/>
          <w:lang w:val="en-US" w:eastAsia="en-US"/>
        </w:rPr>
        <w:t xml:space="preserve">is large </w:t>
      </w:r>
      <w:r w:rsidRPr="002B2CFC">
        <w:rPr>
          <w:szCs w:val="24"/>
          <w:lang w:val="en-US" w:eastAsia="en-US"/>
        </w:rPr>
        <w:t xml:space="preserve">and easily sectioned, </w:t>
      </w:r>
      <w:r>
        <w:rPr>
          <w:szCs w:val="24"/>
          <w:lang w:val="en-US" w:eastAsia="en-US"/>
        </w:rPr>
        <w:t xml:space="preserve">these stains will  show </w:t>
      </w:r>
      <w:r w:rsidRPr="002B2CFC">
        <w:rPr>
          <w:szCs w:val="24"/>
          <w:lang w:val="en-US" w:eastAsia="en-US"/>
        </w:rPr>
        <w:t xml:space="preserve">even diffuse changes in glial cell number/size. An increase in staining in the </w:t>
      </w:r>
      <w:r w:rsidR="00A4092E">
        <w:rPr>
          <w:szCs w:val="24"/>
          <w:lang w:val="en-US" w:eastAsia="en-US"/>
        </w:rPr>
        <w:t>SN</w:t>
      </w:r>
      <w:r w:rsidRPr="002B2CFC">
        <w:rPr>
          <w:szCs w:val="24"/>
          <w:lang w:val="en-US" w:eastAsia="en-US"/>
        </w:rPr>
        <w:t xml:space="preserve"> was only detected in a single male and no females</w:t>
      </w:r>
      <w:r>
        <w:rPr>
          <w:szCs w:val="24"/>
          <w:lang w:val="en-US" w:eastAsia="en-US"/>
        </w:rPr>
        <w:t>, for both stains</w:t>
      </w:r>
      <w:r w:rsidRPr="002B2CFC">
        <w:rPr>
          <w:szCs w:val="24"/>
          <w:lang w:val="en-US" w:eastAsia="en-US"/>
        </w:rPr>
        <w:t xml:space="preserve">. </w:t>
      </w:r>
    </w:p>
    <w:p w14:paraId="564C20CC" w14:textId="77777777" w:rsidR="00E21D62" w:rsidRPr="002B2CFC" w:rsidRDefault="00E21D62" w:rsidP="00E21D62">
      <w:pPr>
        <w:rPr>
          <w:szCs w:val="24"/>
          <w:lang w:val="en-US" w:eastAsia="en-US"/>
        </w:rPr>
      </w:pPr>
    </w:p>
    <w:p w14:paraId="41931B3C" w14:textId="77777777" w:rsidR="00E21D62" w:rsidRPr="002B2CFC" w:rsidRDefault="00E21D62" w:rsidP="00E21D62">
      <w:pPr>
        <w:rPr>
          <w:szCs w:val="24"/>
          <w:lang w:val="en-US" w:eastAsia="en-US"/>
        </w:rPr>
      </w:pPr>
      <w:r w:rsidRPr="002B2CFC">
        <w:rPr>
          <w:szCs w:val="24"/>
          <w:lang w:val="en-US" w:eastAsia="en-US"/>
        </w:rPr>
        <w:t>There were no apoptotic cells detected (via Caspase-3 or TUNEL stains). The study pathologist note</w:t>
      </w:r>
      <w:r>
        <w:rPr>
          <w:szCs w:val="24"/>
          <w:lang w:val="en-US" w:eastAsia="en-US"/>
        </w:rPr>
        <w:t>d</w:t>
      </w:r>
      <w:r w:rsidRPr="002B2CFC">
        <w:rPr>
          <w:szCs w:val="24"/>
          <w:lang w:val="en-US" w:eastAsia="en-US"/>
        </w:rPr>
        <w:t xml:space="preserve"> there were no findings in the Amino Cupric silver stained sections (to detect necrotic/disintegrating neurons and processes) and attribute</w:t>
      </w:r>
      <w:r>
        <w:rPr>
          <w:szCs w:val="24"/>
          <w:lang w:val="en-US" w:eastAsia="en-US"/>
        </w:rPr>
        <w:t>d</w:t>
      </w:r>
      <w:r w:rsidRPr="002B2CFC">
        <w:rPr>
          <w:szCs w:val="24"/>
          <w:lang w:val="en-US" w:eastAsia="en-US"/>
        </w:rPr>
        <w:t xml:space="preserve"> this to the time frame of harvesting the tissues 7 days after the administration of MPTP, such that active necrosis had already occurred and remnants removed. The study pathologist further addresse</w:t>
      </w:r>
      <w:r>
        <w:rPr>
          <w:szCs w:val="24"/>
          <w:lang w:val="en-US" w:eastAsia="en-US"/>
        </w:rPr>
        <w:t>d</w:t>
      </w:r>
      <w:r w:rsidRPr="002B2CFC">
        <w:rPr>
          <w:szCs w:val="24"/>
          <w:lang w:val="en-US" w:eastAsia="en-US"/>
        </w:rPr>
        <w:t xml:space="preserve"> the timing of the positive control, </w:t>
      </w:r>
      <w:r>
        <w:rPr>
          <w:szCs w:val="24"/>
          <w:lang w:val="en-US" w:eastAsia="en-US"/>
        </w:rPr>
        <w:t>and stated that</w:t>
      </w:r>
      <w:r w:rsidRPr="002B2CFC">
        <w:rPr>
          <w:szCs w:val="24"/>
          <w:lang w:val="en-US" w:eastAsia="en-US"/>
        </w:rPr>
        <w:t xml:space="preserve"> if the brains were harvested at an earlier time point (e.g. 2-4 days following administration) disintegrating neurons (and synaptic terminals) would have been detected with the Amino Cupric  Silver stain. The author </w:t>
      </w:r>
      <w:r>
        <w:rPr>
          <w:szCs w:val="24"/>
          <w:lang w:val="en-US" w:eastAsia="en-US"/>
        </w:rPr>
        <w:t>stated</w:t>
      </w:r>
      <w:r w:rsidRPr="002B2CFC">
        <w:rPr>
          <w:szCs w:val="24"/>
          <w:lang w:val="en-US" w:eastAsia="en-US"/>
        </w:rPr>
        <w:t xml:space="preserve"> that identifying changes in the brain likely to be persistent was more important.</w:t>
      </w:r>
    </w:p>
    <w:p w14:paraId="4388A091" w14:textId="77777777" w:rsidR="00E21D62" w:rsidRDefault="00E21D62" w:rsidP="00E21D62">
      <w:pPr>
        <w:rPr>
          <w:szCs w:val="24"/>
          <w:lang w:val="en-US" w:eastAsia="en-US"/>
        </w:rPr>
      </w:pPr>
    </w:p>
    <w:p w14:paraId="6B84B75C" w14:textId="77777777" w:rsidR="00E21D62" w:rsidRDefault="00E21D62" w:rsidP="00E21D62">
      <w:pPr>
        <w:rPr>
          <w:szCs w:val="24"/>
          <w:lang w:val="en-US" w:eastAsia="en-US"/>
        </w:rPr>
      </w:pPr>
      <w:r>
        <w:rPr>
          <w:szCs w:val="24"/>
          <w:lang w:val="en-US" w:eastAsia="en-US"/>
        </w:rPr>
        <w:t>Overall, the neuropathology in the positive control animals was indicative of cellular damage, specifically to the dopaminergic neurons in the SN pc.</w:t>
      </w:r>
    </w:p>
    <w:p w14:paraId="62672EDD" w14:textId="77777777" w:rsidR="004E23B0" w:rsidRPr="002B2CFC" w:rsidRDefault="004E23B0" w:rsidP="00E21D62">
      <w:pPr>
        <w:rPr>
          <w:szCs w:val="24"/>
          <w:lang w:val="en-US" w:eastAsia="en-US"/>
        </w:rPr>
      </w:pPr>
    </w:p>
    <w:p w14:paraId="5D7B38B6" w14:textId="77777777" w:rsidR="00E21D62" w:rsidRPr="002B2CFC" w:rsidRDefault="00E21D62" w:rsidP="00E21D62">
      <w:pPr>
        <w:keepNext/>
        <w:keepLines/>
        <w:spacing w:after="120"/>
        <w:rPr>
          <w:b/>
          <w:bCs/>
          <w:sz w:val="20"/>
          <w:lang w:val="en-US" w:eastAsia="en-US"/>
        </w:rPr>
      </w:pPr>
      <w:r w:rsidRPr="002B2CFC">
        <w:rPr>
          <w:b/>
          <w:bCs/>
          <w:sz w:val="20"/>
          <w:lang w:val="en-US" w:eastAsia="en-US"/>
        </w:rPr>
        <w:t xml:space="preserve">Table </w:t>
      </w:r>
      <w:r w:rsidR="00897462" w:rsidRPr="002B2CFC">
        <w:rPr>
          <w:b/>
          <w:bCs/>
          <w:sz w:val="20"/>
          <w:lang w:val="en-US" w:eastAsia="en-US"/>
        </w:rPr>
        <w:fldChar w:fldCharType="begin"/>
      </w:r>
      <w:r w:rsidRPr="002B2CFC">
        <w:rPr>
          <w:b/>
          <w:bCs/>
          <w:sz w:val="20"/>
          <w:lang w:val="en-US" w:eastAsia="en-US"/>
        </w:rPr>
        <w:instrText xml:space="preserve"> SEQ Table \* ARABIC </w:instrText>
      </w:r>
      <w:r w:rsidR="00897462" w:rsidRPr="002B2CFC">
        <w:rPr>
          <w:b/>
          <w:bCs/>
          <w:sz w:val="20"/>
          <w:lang w:val="en-US" w:eastAsia="en-US"/>
        </w:rPr>
        <w:fldChar w:fldCharType="separate"/>
      </w:r>
      <w:r w:rsidR="000E54B2">
        <w:rPr>
          <w:b/>
          <w:bCs/>
          <w:noProof/>
          <w:sz w:val="20"/>
          <w:lang w:val="en-US" w:eastAsia="en-US"/>
        </w:rPr>
        <w:t>54</w:t>
      </w:r>
      <w:r w:rsidR="00897462" w:rsidRPr="002B2CFC">
        <w:rPr>
          <w:b/>
          <w:bCs/>
          <w:sz w:val="20"/>
          <w:lang w:val="en-US" w:eastAsia="en-US"/>
        </w:rPr>
        <w:fldChar w:fldCharType="end"/>
      </w:r>
      <w:r w:rsidRPr="002B2CFC">
        <w:rPr>
          <w:b/>
          <w:bCs/>
          <w:sz w:val="20"/>
          <w:lang w:val="en-US" w:eastAsia="en-US"/>
        </w:rPr>
        <w:t>. Biologically significant microscopic findings in positive control mice (MPTP)</w:t>
      </w:r>
    </w:p>
    <w:tbl>
      <w:tblPr>
        <w:tblStyle w:val="TableGrid"/>
        <w:tblW w:w="0" w:type="auto"/>
        <w:tblLook w:val="04A0" w:firstRow="1" w:lastRow="0" w:firstColumn="1" w:lastColumn="0" w:noHBand="0" w:noVBand="1"/>
      </w:tblPr>
      <w:tblGrid>
        <w:gridCol w:w="959"/>
        <w:gridCol w:w="2268"/>
        <w:gridCol w:w="3544"/>
        <w:gridCol w:w="1039"/>
        <w:gridCol w:w="1134"/>
      </w:tblGrid>
      <w:tr w:rsidR="00E21D62" w:rsidRPr="001F281A" w14:paraId="607DC7C1" w14:textId="77777777" w:rsidTr="00822CE8">
        <w:tc>
          <w:tcPr>
            <w:tcW w:w="959" w:type="dxa"/>
            <w:vMerge w:val="restart"/>
            <w:shd w:val="clear" w:color="auto" w:fill="BFBFBF"/>
            <w:vAlign w:val="center"/>
          </w:tcPr>
          <w:p w14:paraId="5B3B745C" w14:textId="77777777" w:rsidR="00E21D62" w:rsidRPr="008E42B1" w:rsidRDefault="00E21D62" w:rsidP="00822CE8">
            <w:pPr>
              <w:keepNext/>
              <w:keepLines/>
              <w:jc w:val="center"/>
              <w:rPr>
                <w:b/>
                <w:sz w:val="20"/>
                <w:lang w:val="en-US" w:eastAsia="en-US"/>
              </w:rPr>
            </w:pPr>
            <w:r w:rsidRPr="008E42B1">
              <w:rPr>
                <w:b/>
                <w:sz w:val="20"/>
                <w:lang w:val="en-US" w:eastAsia="en-US"/>
              </w:rPr>
              <w:t>Stain</w:t>
            </w:r>
          </w:p>
        </w:tc>
        <w:tc>
          <w:tcPr>
            <w:tcW w:w="2268" w:type="dxa"/>
            <w:vMerge w:val="restart"/>
            <w:shd w:val="clear" w:color="auto" w:fill="BFBFBF"/>
            <w:vAlign w:val="center"/>
          </w:tcPr>
          <w:p w14:paraId="12EBC9E3" w14:textId="77777777" w:rsidR="00E21D62" w:rsidRPr="008E42B1" w:rsidRDefault="00E21D62" w:rsidP="00822CE8">
            <w:pPr>
              <w:keepNext/>
              <w:keepLines/>
              <w:jc w:val="center"/>
              <w:rPr>
                <w:b/>
                <w:sz w:val="20"/>
                <w:lang w:val="en-US" w:eastAsia="en-US"/>
              </w:rPr>
            </w:pPr>
            <w:r w:rsidRPr="008E42B1">
              <w:rPr>
                <w:b/>
                <w:sz w:val="20"/>
                <w:u w:val="single"/>
                <w:lang w:val="en-US" w:eastAsia="en-US"/>
              </w:rPr>
              <w:t>Area</w:t>
            </w:r>
            <w:r w:rsidRPr="008E42B1">
              <w:rPr>
                <w:b/>
                <w:sz w:val="20"/>
                <w:lang w:val="en-US" w:eastAsia="en-US"/>
              </w:rPr>
              <w:t>;</w:t>
            </w:r>
          </w:p>
          <w:p w14:paraId="7AACC27B" w14:textId="77777777" w:rsidR="00E21D62" w:rsidRPr="008E42B1" w:rsidRDefault="00E21D62" w:rsidP="00822CE8">
            <w:pPr>
              <w:keepNext/>
              <w:keepLines/>
              <w:jc w:val="center"/>
              <w:rPr>
                <w:b/>
                <w:sz w:val="20"/>
                <w:lang w:val="en-US" w:eastAsia="en-US"/>
              </w:rPr>
            </w:pPr>
            <w:r w:rsidRPr="008E42B1">
              <w:rPr>
                <w:b/>
                <w:sz w:val="20"/>
                <w:lang w:val="en-US" w:eastAsia="en-US"/>
              </w:rPr>
              <w:t>finding</w:t>
            </w:r>
          </w:p>
        </w:tc>
        <w:tc>
          <w:tcPr>
            <w:tcW w:w="3544" w:type="dxa"/>
            <w:vMerge w:val="restart"/>
            <w:shd w:val="clear" w:color="auto" w:fill="BFBFBF"/>
            <w:vAlign w:val="center"/>
          </w:tcPr>
          <w:p w14:paraId="50ADF1A7" w14:textId="77777777" w:rsidR="00E21D62" w:rsidRPr="008E42B1" w:rsidRDefault="00E21D62" w:rsidP="00822CE8">
            <w:pPr>
              <w:keepNext/>
              <w:keepLines/>
              <w:jc w:val="center"/>
              <w:rPr>
                <w:b/>
                <w:sz w:val="20"/>
                <w:lang w:val="en-US" w:eastAsia="en-US"/>
              </w:rPr>
            </w:pPr>
            <w:r w:rsidRPr="008E42B1">
              <w:rPr>
                <w:b/>
                <w:sz w:val="20"/>
                <w:lang w:val="en-US" w:eastAsia="en-US"/>
              </w:rPr>
              <w:t>Interpretation</w:t>
            </w:r>
          </w:p>
        </w:tc>
        <w:tc>
          <w:tcPr>
            <w:tcW w:w="2173" w:type="dxa"/>
            <w:gridSpan w:val="2"/>
            <w:shd w:val="clear" w:color="auto" w:fill="BFBFBF"/>
            <w:vAlign w:val="center"/>
          </w:tcPr>
          <w:p w14:paraId="3C1C6F02" w14:textId="77777777" w:rsidR="00E21D62" w:rsidRPr="008E42B1" w:rsidRDefault="00E21D62" w:rsidP="00822CE8">
            <w:pPr>
              <w:keepNext/>
              <w:keepLines/>
              <w:jc w:val="center"/>
              <w:rPr>
                <w:b/>
                <w:sz w:val="20"/>
                <w:lang w:val="en-US" w:eastAsia="en-US"/>
              </w:rPr>
            </w:pPr>
            <w:r w:rsidRPr="008E42B1">
              <w:rPr>
                <w:b/>
                <w:sz w:val="20"/>
                <w:lang w:val="en-US" w:eastAsia="en-US"/>
              </w:rPr>
              <w:t>Incidence</w:t>
            </w:r>
          </w:p>
          <w:p w14:paraId="29DB6350" w14:textId="77777777" w:rsidR="00E21D62" w:rsidRPr="008E42B1" w:rsidRDefault="00E21D62" w:rsidP="00822CE8">
            <w:pPr>
              <w:keepNext/>
              <w:keepLines/>
              <w:jc w:val="center"/>
              <w:rPr>
                <w:b/>
                <w:sz w:val="20"/>
                <w:lang w:val="en-US" w:eastAsia="en-US"/>
              </w:rPr>
            </w:pPr>
            <w:r w:rsidRPr="008E42B1">
              <w:rPr>
                <w:b/>
                <w:sz w:val="20"/>
                <w:lang w:val="en-US" w:eastAsia="en-US"/>
              </w:rPr>
              <w:t>(average severity#)</w:t>
            </w:r>
          </w:p>
        </w:tc>
      </w:tr>
      <w:tr w:rsidR="00E21D62" w:rsidRPr="001F281A" w14:paraId="6FC82702" w14:textId="77777777" w:rsidTr="00822CE8">
        <w:tc>
          <w:tcPr>
            <w:tcW w:w="959" w:type="dxa"/>
            <w:vMerge/>
            <w:shd w:val="clear" w:color="auto" w:fill="BFBFBF"/>
          </w:tcPr>
          <w:p w14:paraId="54653332" w14:textId="77777777" w:rsidR="00E21D62" w:rsidRPr="008E42B1" w:rsidRDefault="00E21D62" w:rsidP="00822CE8">
            <w:pPr>
              <w:keepNext/>
              <w:keepLines/>
              <w:rPr>
                <w:b/>
                <w:sz w:val="20"/>
                <w:lang w:val="en-US" w:eastAsia="en-US"/>
              </w:rPr>
            </w:pPr>
          </w:p>
        </w:tc>
        <w:tc>
          <w:tcPr>
            <w:tcW w:w="2268" w:type="dxa"/>
            <w:vMerge/>
            <w:shd w:val="clear" w:color="auto" w:fill="BFBFBF"/>
          </w:tcPr>
          <w:p w14:paraId="4969D736" w14:textId="77777777" w:rsidR="00E21D62" w:rsidRPr="008E42B1" w:rsidRDefault="00E21D62" w:rsidP="00822CE8">
            <w:pPr>
              <w:keepNext/>
              <w:keepLines/>
              <w:rPr>
                <w:b/>
                <w:sz w:val="20"/>
                <w:lang w:val="en-US" w:eastAsia="en-US"/>
              </w:rPr>
            </w:pPr>
          </w:p>
        </w:tc>
        <w:tc>
          <w:tcPr>
            <w:tcW w:w="3544" w:type="dxa"/>
            <w:vMerge/>
            <w:shd w:val="clear" w:color="auto" w:fill="BFBFBF"/>
          </w:tcPr>
          <w:p w14:paraId="7C72087B" w14:textId="77777777" w:rsidR="00E21D62" w:rsidRPr="008E42B1" w:rsidRDefault="00E21D62" w:rsidP="00822CE8">
            <w:pPr>
              <w:keepNext/>
              <w:keepLines/>
              <w:rPr>
                <w:b/>
                <w:sz w:val="20"/>
                <w:lang w:val="en-US" w:eastAsia="en-US"/>
              </w:rPr>
            </w:pPr>
          </w:p>
        </w:tc>
        <w:tc>
          <w:tcPr>
            <w:tcW w:w="1039" w:type="dxa"/>
            <w:shd w:val="clear" w:color="auto" w:fill="BFBFBF"/>
          </w:tcPr>
          <w:p w14:paraId="3DBC5D08" w14:textId="77777777" w:rsidR="00E21D62" w:rsidRPr="008E42B1" w:rsidRDefault="00E21D62" w:rsidP="00822CE8">
            <w:pPr>
              <w:keepNext/>
              <w:keepLines/>
              <w:rPr>
                <w:b/>
                <w:sz w:val="20"/>
                <w:lang w:val="en-US" w:eastAsia="en-US"/>
              </w:rPr>
            </w:pPr>
            <w:r w:rsidRPr="008E42B1">
              <w:rPr>
                <w:b/>
                <w:sz w:val="20"/>
                <w:lang w:val="en-US" w:eastAsia="en-US"/>
              </w:rPr>
              <w:t>MPTP Males</w:t>
            </w:r>
          </w:p>
        </w:tc>
        <w:tc>
          <w:tcPr>
            <w:tcW w:w="1134" w:type="dxa"/>
            <w:shd w:val="clear" w:color="auto" w:fill="BFBFBF"/>
          </w:tcPr>
          <w:p w14:paraId="7E49C99A" w14:textId="77777777" w:rsidR="00E21D62" w:rsidRPr="008E42B1" w:rsidRDefault="00E21D62" w:rsidP="00822CE8">
            <w:pPr>
              <w:keepNext/>
              <w:keepLines/>
              <w:rPr>
                <w:b/>
                <w:sz w:val="20"/>
                <w:lang w:val="en-US" w:eastAsia="en-US"/>
              </w:rPr>
            </w:pPr>
            <w:r w:rsidRPr="008E42B1">
              <w:rPr>
                <w:b/>
                <w:sz w:val="20"/>
                <w:lang w:val="en-US" w:eastAsia="en-US"/>
              </w:rPr>
              <w:t>MPTP Females</w:t>
            </w:r>
          </w:p>
        </w:tc>
      </w:tr>
      <w:tr w:rsidR="00E21D62" w:rsidRPr="001F281A" w14:paraId="28E13D35" w14:textId="77777777" w:rsidTr="00822CE8">
        <w:tc>
          <w:tcPr>
            <w:tcW w:w="959" w:type="dxa"/>
            <w:vMerge w:val="restart"/>
            <w:vAlign w:val="center"/>
          </w:tcPr>
          <w:p w14:paraId="6C8D608D" w14:textId="77777777" w:rsidR="00E21D62" w:rsidRPr="008E42B1" w:rsidRDefault="00E21D62" w:rsidP="00822CE8">
            <w:pPr>
              <w:keepNext/>
              <w:keepLines/>
              <w:jc w:val="center"/>
              <w:rPr>
                <w:sz w:val="20"/>
                <w:lang w:val="en-US" w:eastAsia="en-US"/>
              </w:rPr>
            </w:pPr>
            <w:r w:rsidRPr="008E42B1">
              <w:rPr>
                <w:sz w:val="20"/>
                <w:lang w:val="en-US" w:eastAsia="en-US"/>
              </w:rPr>
              <w:t>TH</w:t>
            </w:r>
          </w:p>
        </w:tc>
        <w:tc>
          <w:tcPr>
            <w:tcW w:w="2268" w:type="dxa"/>
          </w:tcPr>
          <w:p w14:paraId="06BDDF90" w14:textId="77777777" w:rsidR="00E21D62" w:rsidRPr="008E42B1" w:rsidRDefault="00E21D62" w:rsidP="00822CE8">
            <w:pPr>
              <w:keepNext/>
              <w:keepLines/>
              <w:rPr>
                <w:sz w:val="20"/>
                <w:lang w:val="en-US" w:eastAsia="en-US"/>
              </w:rPr>
            </w:pPr>
            <w:r w:rsidRPr="008E42B1">
              <w:rPr>
                <w:sz w:val="20"/>
                <w:u w:val="single"/>
                <w:lang w:val="en-US" w:eastAsia="en-US"/>
              </w:rPr>
              <w:t>Striatum</w:t>
            </w:r>
            <w:r w:rsidRPr="008E42B1">
              <w:rPr>
                <w:sz w:val="20"/>
                <w:lang w:val="en-US" w:eastAsia="en-US"/>
              </w:rPr>
              <w:t>;</w:t>
            </w:r>
          </w:p>
          <w:p w14:paraId="3D363ECD" w14:textId="77777777" w:rsidR="00E21D62" w:rsidRPr="008E42B1" w:rsidRDefault="00E21D62" w:rsidP="00822CE8">
            <w:pPr>
              <w:keepNext/>
              <w:keepLines/>
              <w:rPr>
                <w:sz w:val="20"/>
                <w:lang w:val="en-US" w:eastAsia="en-US"/>
              </w:rPr>
            </w:pPr>
            <w:r w:rsidRPr="008E42B1">
              <w:rPr>
                <w:sz w:val="20"/>
                <w:lang w:val="en-US" w:eastAsia="en-US"/>
              </w:rPr>
              <w:t>Decreased TH staining</w:t>
            </w:r>
          </w:p>
        </w:tc>
        <w:tc>
          <w:tcPr>
            <w:tcW w:w="3544" w:type="dxa"/>
          </w:tcPr>
          <w:p w14:paraId="65140DBF" w14:textId="77777777" w:rsidR="00E21D62" w:rsidRPr="008E42B1" w:rsidRDefault="00E21D62" w:rsidP="00822CE8">
            <w:pPr>
              <w:keepNext/>
              <w:keepLines/>
              <w:rPr>
                <w:sz w:val="20"/>
                <w:lang w:val="en-US" w:eastAsia="en-US"/>
              </w:rPr>
            </w:pPr>
            <w:r w:rsidRPr="008E42B1">
              <w:rPr>
                <w:sz w:val="20"/>
                <w:lang w:val="en-US" w:eastAsia="en-US"/>
              </w:rPr>
              <w:t>Decreased TH staining due to a loss of synaptic terminals from dopaminergic neurons in the SN pc</w:t>
            </w:r>
          </w:p>
        </w:tc>
        <w:tc>
          <w:tcPr>
            <w:tcW w:w="1039" w:type="dxa"/>
          </w:tcPr>
          <w:p w14:paraId="4D6038F8" w14:textId="77777777" w:rsidR="00E21D62" w:rsidRPr="008E42B1" w:rsidRDefault="00E21D62" w:rsidP="00822CE8">
            <w:pPr>
              <w:keepNext/>
              <w:keepLines/>
              <w:rPr>
                <w:sz w:val="20"/>
                <w:lang w:val="en-US" w:eastAsia="en-US"/>
              </w:rPr>
            </w:pPr>
            <w:r w:rsidRPr="008E42B1">
              <w:rPr>
                <w:sz w:val="20"/>
                <w:lang w:val="en-US" w:eastAsia="en-US"/>
              </w:rPr>
              <w:t>5/5</w:t>
            </w:r>
          </w:p>
          <w:p w14:paraId="7F766119" w14:textId="77777777" w:rsidR="00E21D62" w:rsidRPr="008E42B1" w:rsidRDefault="00E21D62" w:rsidP="00822CE8">
            <w:pPr>
              <w:keepNext/>
              <w:keepLines/>
              <w:rPr>
                <w:sz w:val="20"/>
                <w:lang w:val="en-US" w:eastAsia="en-US"/>
              </w:rPr>
            </w:pPr>
            <w:r w:rsidRPr="008E42B1">
              <w:rPr>
                <w:sz w:val="20"/>
                <w:lang w:val="en-US" w:eastAsia="en-US"/>
              </w:rPr>
              <w:t>(3.40)</w:t>
            </w:r>
          </w:p>
        </w:tc>
        <w:tc>
          <w:tcPr>
            <w:tcW w:w="1134" w:type="dxa"/>
          </w:tcPr>
          <w:p w14:paraId="7B780892" w14:textId="77777777" w:rsidR="00E21D62" w:rsidRPr="008E42B1" w:rsidRDefault="00E21D62" w:rsidP="00822CE8">
            <w:pPr>
              <w:keepNext/>
              <w:keepLines/>
              <w:rPr>
                <w:sz w:val="20"/>
                <w:lang w:val="en-US" w:eastAsia="en-US"/>
              </w:rPr>
            </w:pPr>
            <w:r w:rsidRPr="008E42B1">
              <w:rPr>
                <w:sz w:val="20"/>
                <w:lang w:val="en-US" w:eastAsia="en-US"/>
              </w:rPr>
              <w:t>5/5</w:t>
            </w:r>
          </w:p>
          <w:p w14:paraId="46EDB90F" w14:textId="77777777" w:rsidR="00E21D62" w:rsidRPr="008E42B1" w:rsidRDefault="00E21D62" w:rsidP="00822CE8">
            <w:pPr>
              <w:keepNext/>
              <w:keepLines/>
              <w:rPr>
                <w:sz w:val="20"/>
                <w:lang w:val="en-US" w:eastAsia="en-US"/>
              </w:rPr>
            </w:pPr>
            <w:r w:rsidRPr="008E42B1">
              <w:rPr>
                <w:sz w:val="20"/>
                <w:lang w:val="en-US" w:eastAsia="en-US"/>
              </w:rPr>
              <w:t>(2.00)</w:t>
            </w:r>
          </w:p>
        </w:tc>
      </w:tr>
      <w:tr w:rsidR="00E21D62" w:rsidRPr="001F281A" w14:paraId="38C8C70F" w14:textId="77777777" w:rsidTr="00822CE8">
        <w:tc>
          <w:tcPr>
            <w:tcW w:w="959" w:type="dxa"/>
            <w:vMerge/>
            <w:vAlign w:val="center"/>
          </w:tcPr>
          <w:p w14:paraId="63F5DC0A" w14:textId="77777777" w:rsidR="00E21D62" w:rsidRPr="008E42B1" w:rsidRDefault="00E21D62" w:rsidP="00822CE8">
            <w:pPr>
              <w:keepNext/>
              <w:keepLines/>
              <w:jc w:val="center"/>
              <w:rPr>
                <w:sz w:val="20"/>
                <w:lang w:val="en-US" w:eastAsia="en-US"/>
              </w:rPr>
            </w:pPr>
          </w:p>
        </w:tc>
        <w:tc>
          <w:tcPr>
            <w:tcW w:w="2268" w:type="dxa"/>
          </w:tcPr>
          <w:p w14:paraId="6A0757E7" w14:textId="77777777" w:rsidR="00E21D62" w:rsidRPr="008E42B1" w:rsidRDefault="00E21D62" w:rsidP="00822CE8">
            <w:pPr>
              <w:keepNext/>
              <w:keepLines/>
              <w:rPr>
                <w:sz w:val="20"/>
                <w:lang w:val="en-US" w:eastAsia="en-US"/>
              </w:rPr>
            </w:pPr>
            <w:r w:rsidRPr="008E42B1">
              <w:rPr>
                <w:sz w:val="20"/>
                <w:u w:val="single"/>
                <w:lang w:val="en-US" w:eastAsia="en-US"/>
              </w:rPr>
              <w:t>SN pc</w:t>
            </w:r>
            <w:r w:rsidRPr="008E42B1">
              <w:rPr>
                <w:sz w:val="20"/>
                <w:lang w:val="en-US" w:eastAsia="en-US"/>
              </w:rPr>
              <w:t>;</w:t>
            </w:r>
          </w:p>
          <w:p w14:paraId="36C424D1" w14:textId="77777777" w:rsidR="00E21D62" w:rsidRPr="008E42B1" w:rsidRDefault="00E21D62" w:rsidP="00822CE8">
            <w:pPr>
              <w:keepNext/>
              <w:keepLines/>
              <w:rPr>
                <w:sz w:val="20"/>
                <w:lang w:val="en-US" w:eastAsia="en-US"/>
              </w:rPr>
            </w:pPr>
            <w:r w:rsidRPr="008E42B1">
              <w:rPr>
                <w:sz w:val="20"/>
                <w:lang w:val="en-US" w:eastAsia="en-US"/>
              </w:rPr>
              <w:t>Decreased TH staining/decreased TH</w:t>
            </w:r>
            <w:r w:rsidRPr="008E42B1">
              <w:rPr>
                <w:sz w:val="20"/>
                <w:vertAlign w:val="superscript"/>
                <w:lang w:val="en-US" w:eastAsia="en-US"/>
              </w:rPr>
              <w:t>+</w:t>
            </w:r>
            <w:r w:rsidRPr="008E42B1">
              <w:rPr>
                <w:sz w:val="20"/>
                <w:lang w:val="en-US" w:eastAsia="en-US"/>
              </w:rPr>
              <w:t xml:space="preserve"> neurons</w:t>
            </w:r>
          </w:p>
        </w:tc>
        <w:tc>
          <w:tcPr>
            <w:tcW w:w="3544" w:type="dxa"/>
          </w:tcPr>
          <w:p w14:paraId="1DC52EFC" w14:textId="77777777" w:rsidR="00E21D62" w:rsidRPr="008E42B1" w:rsidRDefault="00E21D62" w:rsidP="00822CE8">
            <w:pPr>
              <w:keepNext/>
              <w:keepLines/>
              <w:rPr>
                <w:sz w:val="20"/>
                <w:lang w:val="en-US" w:eastAsia="en-US"/>
              </w:rPr>
            </w:pPr>
          </w:p>
        </w:tc>
        <w:tc>
          <w:tcPr>
            <w:tcW w:w="1039" w:type="dxa"/>
          </w:tcPr>
          <w:p w14:paraId="30A830D8" w14:textId="77777777" w:rsidR="00E21D62" w:rsidRPr="008E42B1" w:rsidRDefault="00E21D62" w:rsidP="00822CE8">
            <w:pPr>
              <w:keepNext/>
              <w:keepLines/>
              <w:rPr>
                <w:sz w:val="20"/>
                <w:lang w:val="en-US" w:eastAsia="en-US"/>
              </w:rPr>
            </w:pPr>
            <w:r w:rsidRPr="008E42B1">
              <w:rPr>
                <w:sz w:val="20"/>
                <w:lang w:val="en-US" w:eastAsia="en-US"/>
              </w:rPr>
              <w:t xml:space="preserve">3/5 </w:t>
            </w:r>
          </w:p>
          <w:p w14:paraId="3F66AA42" w14:textId="77777777" w:rsidR="00E21D62" w:rsidRPr="008E42B1" w:rsidRDefault="00E21D62" w:rsidP="00822CE8">
            <w:pPr>
              <w:keepNext/>
              <w:keepLines/>
              <w:rPr>
                <w:sz w:val="20"/>
                <w:lang w:val="en-US" w:eastAsia="en-US"/>
              </w:rPr>
            </w:pPr>
            <w:r w:rsidRPr="008E42B1">
              <w:rPr>
                <w:sz w:val="20"/>
                <w:lang w:val="en-US" w:eastAsia="en-US"/>
              </w:rPr>
              <w:t>(1.20)</w:t>
            </w:r>
          </w:p>
        </w:tc>
        <w:tc>
          <w:tcPr>
            <w:tcW w:w="1134" w:type="dxa"/>
          </w:tcPr>
          <w:p w14:paraId="609E6D02" w14:textId="77777777" w:rsidR="00E21D62" w:rsidRPr="008E42B1" w:rsidRDefault="00E21D62" w:rsidP="00822CE8">
            <w:pPr>
              <w:keepNext/>
              <w:keepLines/>
              <w:rPr>
                <w:sz w:val="20"/>
                <w:lang w:val="en-US" w:eastAsia="en-US"/>
              </w:rPr>
            </w:pPr>
            <w:r w:rsidRPr="008E42B1">
              <w:rPr>
                <w:sz w:val="20"/>
                <w:lang w:val="en-US" w:eastAsia="en-US"/>
              </w:rPr>
              <w:t>0/5</w:t>
            </w:r>
          </w:p>
        </w:tc>
      </w:tr>
      <w:tr w:rsidR="00E21D62" w:rsidRPr="001F281A" w14:paraId="32A05A66" w14:textId="77777777" w:rsidTr="00822CE8">
        <w:tc>
          <w:tcPr>
            <w:tcW w:w="959" w:type="dxa"/>
            <w:vMerge/>
            <w:vAlign w:val="center"/>
          </w:tcPr>
          <w:p w14:paraId="0989626B" w14:textId="77777777" w:rsidR="00E21D62" w:rsidRPr="008E42B1" w:rsidRDefault="00E21D62" w:rsidP="00822CE8">
            <w:pPr>
              <w:keepNext/>
              <w:keepLines/>
              <w:jc w:val="center"/>
              <w:rPr>
                <w:sz w:val="20"/>
                <w:lang w:val="en-US" w:eastAsia="en-US"/>
              </w:rPr>
            </w:pPr>
          </w:p>
        </w:tc>
        <w:tc>
          <w:tcPr>
            <w:tcW w:w="2268" w:type="dxa"/>
          </w:tcPr>
          <w:p w14:paraId="76915FC9" w14:textId="77777777" w:rsidR="00E21D62" w:rsidRPr="008E42B1" w:rsidRDefault="00E21D62" w:rsidP="00822CE8">
            <w:pPr>
              <w:keepNext/>
              <w:keepLines/>
              <w:rPr>
                <w:sz w:val="20"/>
                <w:lang w:val="en-US" w:eastAsia="en-US"/>
              </w:rPr>
            </w:pPr>
            <w:r w:rsidRPr="008E42B1">
              <w:rPr>
                <w:sz w:val="20"/>
                <w:u w:val="single"/>
                <w:lang w:val="en-US" w:eastAsia="en-US"/>
              </w:rPr>
              <w:t>Ventral tegmental area</w:t>
            </w:r>
            <w:r w:rsidRPr="008E42B1">
              <w:rPr>
                <w:sz w:val="20"/>
                <w:lang w:val="en-US" w:eastAsia="en-US"/>
              </w:rPr>
              <w:t xml:space="preserve">; </w:t>
            </w:r>
          </w:p>
          <w:p w14:paraId="421495B6" w14:textId="77777777" w:rsidR="00E21D62" w:rsidRPr="008E42B1" w:rsidRDefault="00E21D62" w:rsidP="00822CE8">
            <w:pPr>
              <w:keepNext/>
              <w:keepLines/>
              <w:rPr>
                <w:sz w:val="20"/>
                <w:lang w:val="en-US" w:eastAsia="en-US"/>
              </w:rPr>
            </w:pPr>
            <w:r w:rsidRPr="008E42B1">
              <w:rPr>
                <w:sz w:val="20"/>
                <w:lang w:val="en-US" w:eastAsia="en-US"/>
              </w:rPr>
              <w:t>Decreased TH</w:t>
            </w:r>
            <w:r w:rsidRPr="008E42B1">
              <w:rPr>
                <w:sz w:val="20"/>
                <w:vertAlign w:val="superscript"/>
                <w:lang w:val="en-US" w:eastAsia="en-US"/>
              </w:rPr>
              <w:t>+</w:t>
            </w:r>
            <w:r w:rsidRPr="008E42B1">
              <w:rPr>
                <w:sz w:val="20"/>
                <w:lang w:val="en-US" w:eastAsia="en-US"/>
              </w:rPr>
              <w:t xml:space="preserve"> neurons</w:t>
            </w:r>
          </w:p>
        </w:tc>
        <w:tc>
          <w:tcPr>
            <w:tcW w:w="3544" w:type="dxa"/>
          </w:tcPr>
          <w:p w14:paraId="2AC02BFA" w14:textId="77777777" w:rsidR="00E21D62" w:rsidRPr="008E42B1" w:rsidRDefault="00E21D62" w:rsidP="00822CE8">
            <w:pPr>
              <w:keepNext/>
              <w:keepLines/>
              <w:rPr>
                <w:sz w:val="20"/>
                <w:lang w:val="en-US" w:eastAsia="en-US"/>
              </w:rPr>
            </w:pPr>
          </w:p>
        </w:tc>
        <w:tc>
          <w:tcPr>
            <w:tcW w:w="1039" w:type="dxa"/>
          </w:tcPr>
          <w:p w14:paraId="2963ECE4" w14:textId="77777777" w:rsidR="00E21D62" w:rsidRPr="008E42B1" w:rsidRDefault="00E21D62" w:rsidP="00822CE8">
            <w:pPr>
              <w:keepNext/>
              <w:keepLines/>
              <w:rPr>
                <w:sz w:val="20"/>
                <w:lang w:val="en-US" w:eastAsia="en-US"/>
              </w:rPr>
            </w:pPr>
            <w:r w:rsidRPr="008E42B1">
              <w:rPr>
                <w:sz w:val="20"/>
                <w:lang w:val="en-US" w:eastAsia="en-US"/>
              </w:rPr>
              <w:t>3/5</w:t>
            </w:r>
          </w:p>
          <w:p w14:paraId="79839CD9" w14:textId="77777777" w:rsidR="00E21D62" w:rsidRPr="008E42B1" w:rsidRDefault="00E21D62" w:rsidP="00822CE8">
            <w:pPr>
              <w:keepNext/>
              <w:keepLines/>
              <w:rPr>
                <w:sz w:val="20"/>
                <w:lang w:val="en-US" w:eastAsia="en-US"/>
              </w:rPr>
            </w:pPr>
            <w:r w:rsidRPr="008E42B1">
              <w:rPr>
                <w:sz w:val="20"/>
                <w:lang w:val="en-US" w:eastAsia="en-US"/>
              </w:rPr>
              <w:t>(1.20)</w:t>
            </w:r>
          </w:p>
        </w:tc>
        <w:tc>
          <w:tcPr>
            <w:tcW w:w="1134" w:type="dxa"/>
          </w:tcPr>
          <w:p w14:paraId="49252F9C" w14:textId="77777777" w:rsidR="00E21D62" w:rsidRPr="008E42B1" w:rsidRDefault="00E21D62" w:rsidP="00822CE8">
            <w:pPr>
              <w:keepNext/>
              <w:keepLines/>
              <w:rPr>
                <w:sz w:val="20"/>
                <w:lang w:val="en-US" w:eastAsia="en-US"/>
              </w:rPr>
            </w:pPr>
            <w:r w:rsidRPr="008E42B1">
              <w:rPr>
                <w:sz w:val="20"/>
                <w:lang w:val="en-US" w:eastAsia="en-US"/>
              </w:rPr>
              <w:t>0/5</w:t>
            </w:r>
          </w:p>
        </w:tc>
      </w:tr>
      <w:tr w:rsidR="00E21D62" w:rsidRPr="001F281A" w14:paraId="4DF85769" w14:textId="77777777" w:rsidTr="00822CE8">
        <w:tc>
          <w:tcPr>
            <w:tcW w:w="959" w:type="dxa"/>
            <w:vMerge w:val="restart"/>
            <w:vAlign w:val="center"/>
          </w:tcPr>
          <w:p w14:paraId="4CB8D604" w14:textId="77777777" w:rsidR="00E21D62" w:rsidRPr="008E42B1" w:rsidRDefault="00E21D62" w:rsidP="00822CE8">
            <w:pPr>
              <w:keepNext/>
              <w:keepLines/>
              <w:jc w:val="center"/>
              <w:rPr>
                <w:sz w:val="20"/>
                <w:lang w:val="en-US" w:eastAsia="en-US"/>
              </w:rPr>
            </w:pPr>
            <w:r w:rsidRPr="008E42B1">
              <w:rPr>
                <w:sz w:val="20"/>
                <w:lang w:val="en-US" w:eastAsia="en-US"/>
              </w:rPr>
              <w:t>GFAP</w:t>
            </w:r>
          </w:p>
        </w:tc>
        <w:tc>
          <w:tcPr>
            <w:tcW w:w="2268" w:type="dxa"/>
          </w:tcPr>
          <w:p w14:paraId="69F744EC" w14:textId="77777777" w:rsidR="00E21D62" w:rsidRPr="008E42B1" w:rsidRDefault="00E21D62" w:rsidP="00822CE8">
            <w:pPr>
              <w:keepNext/>
              <w:keepLines/>
              <w:rPr>
                <w:sz w:val="20"/>
                <w:lang w:val="en-US" w:eastAsia="en-US"/>
              </w:rPr>
            </w:pPr>
            <w:r w:rsidRPr="008E42B1">
              <w:rPr>
                <w:sz w:val="20"/>
                <w:u w:val="single"/>
                <w:lang w:val="en-US" w:eastAsia="en-US"/>
              </w:rPr>
              <w:t>Striatum</w:t>
            </w:r>
            <w:r w:rsidRPr="008E42B1">
              <w:rPr>
                <w:sz w:val="20"/>
                <w:lang w:val="en-US" w:eastAsia="en-US"/>
              </w:rPr>
              <w:t>;</w:t>
            </w:r>
          </w:p>
          <w:p w14:paraId="4E1BFA09" w14:textId="77777777" w:rsidR="00E21D62" w:rsidRPr="008E42B1" w:rsidRDefault="00E21D62" w:rsidP="00822CE8">
            <w:pPr>
              <w:keepNext/>
              <w:keepLines/>
              <w:rPr>
                <w:sz w:val="20"/>
                <w:lang w:val="en-US" w:eastAsia="en-US"/>
              </w:rPr>
            </w:pPr>
            <w:r w:rsidRPr="008E42B1">
              <w:rPr>
                <w:sz w:val="20"/>
                <w:lang w:val="en-US" w:eastAsia="en-US"/>
              </w:rPr>
              <w:t>Increased GFAP staining</w:t>
            </w:r>
          </w:p>
        </w:tc>
        <w:tc>
          <w:tcPr>
            <w:tcW w:w="3544" w:type="dxa"/>
          </w:tcPr>
          <w:p w14:paraId="2253FF1E" w14:textId="77777777" w:rsidR="00E21D62" w:rsidRPr="008E42B1" w:rsidRDefault="00E21D62" w:rsidP="00822CE8">
            <w:pPr>
              <w:keepNext/>
              <w:keepLines/>
              <w:rPr>
                <w:sz w:val="20"/>
                <w:lang w:val="en-US" w:eastAsia="en-US"/>
              </w:rPr>
            </w:pPr>
            <w:r w:rsidRPr="008E42B1">
              <w:rPr>
                <w:sz w:val="20"/>
                <w:lang w:val="en-US" w:eastAsia="en-US"/>
              </w:rPr>
              <w:t xml:space="preserve">Increased GFAP staining due to an increase in reactive astrocytes responding to injury to synaptic terminals </w:t>
            </w:r>
          </w:p>
        </w:tc>
        <w:tc>
          <w:tcPr>
            <w:tcW w:w="1039" w:type="dxa"/>
          </w:tcPr>
          <w:p w14:paraId="0B6EDF31" w14:textId="77777777" w:rsidR="00E21D62" w:rsidRPr="008E42B1" w:rsidRDefault="00E21D62" w:rsidP="00822CE8">
            <w:pPr>
              <w:keepNext/>
              <w:keepLines/>
              <w:rPr>
                <w:sz w:val="20"/>
                <w:lang w:val="en-US" w:eastAsia="en-US"/>
              </w:rPr>
            </w:pPr>
            <w:r w:rsidRPr="008E42B1">
              <w:rPr>
                <w:sz w:val="20"/>
                <w:lang w:val="en-US" w:eastAsia="en-US"/>
              </w:rPr>
              <w:t>5/5</w:t>
            </w:r>
          </w:p>
          <w:p w14:paraId="3775249B" w14:textId="77777777" w:rsidR="00E21D62" w:rsidRPr="008E42B1" w:rsidRDefault="00E21D62" w:rsidP="00822CE8">
            <w:pPr>
              <w:keepNext/>
              <w:keepLines/>
              <w:rPr>
                <w:sz w:val="20"/>
                <w:lang w:val="en-US" w:eastAsia="en-US"/>
              </w:rPr>
            </w:pPr>
            <w:r w:rsidRPr="008E42B1">
              <w:rPr>
                <w:sz w:val="20"/>
                <w:lang w:val="en-US" w:eastAsia="en-US"/>
              </w:rPr>
              <w:t>(4.00)</w:t>
            </w:r>
          </w:p>
        </w:tc>
        <w:tc>
          <w:tcPr>
            <w:tcW w:w="1134" w:type="dxa"/>
          </w:tcPr>
          <w:p w14:paraId="240A24ED" w14:textId="77777777" w:rsidR="00E21D62" w:rsidRPr="008E42B1" w:rsidRDefault="00E21D62" w:rsidP="00822CE8">
            <w:pPr>
              <w:keepNext/>
              <w:keepLines/>
              <w:rPr>
                <w:sz w:val="20"/>
                <w:lang w:val="en-US" w:eastAsia="en-US"/>
              </w:rPr>
            </w:pPr>
            <w:r w:rsidRPr="008E42B1">
              <w:rPr>
                <w:sz w:val="20"/>
                <w:lang w:val="en-US" w:eastAsia="en-US"/>
              </w:rPr>
              <w:t>5/5</w:t>
            </w:r>
          </w:p>
          <w:p w14:paraId="3437710A" w14:textId="77777777" w:rsidR="00E21D62" w:rsidRPr="008E42B1" w:rsidRDefault="00E21D62" w:rsidP="00822CE8">
            <w:pPr>
              <w:keepNext/>
              <w:keepLines/>
              <w:rPr>
                <w:sz w:val="20"/>
                <w:lang w:val="en-US" w:eastAsia="en-US"/>
              </w:rPr>
            </w:pPr>
            <w:r w:rsidRPr="008E42B1">
              <w:rPr>
                <w:sz w:val="20"/>
                <w:lang w:val="en-US" w:eastAsia="en-US"/>
              </w:rPr>
              <w:t>(4.00)</w:t>
            </w:r>
          </w:p>
        </w:tc>
      </w:tr>
      <w:tr w:rsidR="00E21D62" w:rsidRPr="001F281A" w14:paraId="3A78414E" w14:textId="77777777" w:rsidTr="00822CE8">
        <w:tc>
          <w:tcPr>
            <w:tcW w:w="959" w:type="dxa"/>
            <w:vMerge/>
            <w:vAlign w:val="center"/>
          </w:tcPr>
          <w:p w14:paraId="4B3E3B9F" w14:textId="77777777" w:rsidR="00E21D62" w:rsidRPr="008E42B1" w:rsidRDefault="00E21D62" w:rsidP="00822CE8">
            <w:pPr>
              <w:keepNext/>
              <w:keepLines/>
              <w:jc w:val="center"/>
              <w:rPr>
                <w:sz w:val="20"/>
                <w:lang w:val="en-US" w:eastAsia="en-US"/>
              </w:rPr>
            </w:pPr>
          </w:p>
        </w:tc>
        <w:tc>
          <w:tcPr>
            <w:tcW w:w="2268" w:type="dxa"/>
          </w:tcPr>
          <w:p w14:paraId="2D8232DB" w14:textId="77777777" w:rsidR="00E21D62" w:rsidRPr="008E42B1" w:rsidRDefault="00E21D62" w:rsidP="00822CE8">
            <w:pPr>
              <w:keepNext/>
              <w:keepLines/>
              <w:rPr>
                <w:sz w:val="20"/>
                <w:lang w:val="en-US" w:eastAsia="en-US"/>
              </w:rPr>
            </w:pPr>
            <w:r w:rsidRPr="008E42B1">
              <w:rPr>
                <w:sz w:val="20"/>
                <w:u w:val="single"/>
                <w:lang w:val="en-US" w:eastAsia="en-US"/>
              </w:rPr>
              <w:t>SN pc</w:t>
            </w:r>
            <w:r w:rsidRPr="008E42B1">
              <w:rPr>
                <w:sz w:val="20"/>
                <w:lang w:val="en-US" w:eastAsia="en-US"/>
              </w:rPr>
              <w:t>;</w:t>
            </w:r>
          </w:p>
          <w:p w14:paraId="76E5CB34" w14:textId="77777777" w:rsidR="00E21D62" w:rsidRPr="008E42B1" w:rsidRDefault="00E21D62" w:rsidP="00822CE8">
            <w:pPr>
              <w:keepNext/>
              <w:keepLines/>
              <w:rPr>
                <w:sz w:val="20"/>
                <w:lang w:val="en-US" w:eastAsia="en-US"/>
              </w:rPr>
            </w:pPr>
            <w:r w:rsidRPr="008E42B1">
              <w:rPr>
                <w:sz w:val="20"/>
                <w:lang w:val="en-US" w:eastAsia="en-US"/>
              </w:rPr>
              <w:t>Increased GFAP staining</w:t>
            </w:r>
          </w:p>
        </w:tc>
        <w:tc>
          <w:tcPr>
            <w:tcW w:w="3544" w:type="dxa"/>
          </w:tcPr>
          <w:p w14:paraId="68B18D50" w14:textId="77777777" w:rsidR="00E21D62" w:rsidRPr="008E42B1" w:rsidRDefault="00E21D62" w:rsidP="00822CE8">
            <w:pPr>
              <w:keepNext/>
              <w:keepLines/>
              <w:rPr>
                <w:sz w:val="20"/>
                <w:lang w:val="en-US" w:eastAsia="en-US"/>
              </w:rPr>
            </w:pPr>
            <w:r w:rsidRPr="008E42B1">
              <w:rPr>
                <w:sz w:val="20"/>
                <w:lang w:val="en-US" w:eastAsia="en-US"/>
              </w:rPr>
              <w:t xml:space="preserve">Increased GFAP staining due to an increase in reactive astrocytes responding to injury to dopaminergic neurons </w:t>
            </w:r>
          </w:p>
        </w:tc>
        <w:tc>
          <w:tcPr>
            <w:tcW w:w="1039" w:type="dxa"/>
          </w:tcPr>
          <w:p w14:paraId="7E8726FA" w14:textId="77777777" w:rsidR="00E21D62" w:rsidRPr="008E42B1" w:rsidRDefault="00E21D62" w:rsidP="00822CE8">
            <w:pPr>
              <w:keepNext/>
              <w:keepLines/>
              <w:rPr>
                <w:sz w:val="20"/>
                <w:lang w:val="en-US" w:eastAsia="en-US"/>
              </w:rPr>
            </w:pPr>
            <w:r w:rsidRPr="008E42B1">
              <w:rPr>
                <w:sz w:val="20"/>
                <w:lang w:val="en-US" w:eastAsia="en-US"/>
              </w:rPr>
              <w:t>1/5</w:t>
            </w:r>
          </w:p>
          <w:p w14:paraId="21EF3AC2" w14:textId="77777777" w:rsidR="00E21D62" w:rsidRPr="008E42B1" w:rsidRDefault="00E21D62" w:rsidP="00822CE8">
            <w:pPr>
              <w:keepNext/>
              <w:keepLines/>
              <w:rPr>
                <w:sz w:val="20"/>
                <w:lang w:val="en-US" w:eastAsia="en-US"/>
              </w:rPr>
            </w:pPr>
            <w:r w:rsidRPr="008E42B1">
              <w:rPr>
                <w:sz w:val="20"/>
                <w:lang w:val="en-US" w:eastAsia="en-US"/>
              </w:rPr>
              <w:t>(0.60)</w:t>
            </w:r>
          </w:p>
        </w:tc>
        <w:tc>
          <w:tcPr>
            <w:tcW w:w="1134" w:type="dxa"/>
          </w:tcPr>
          <w:p w14:paraId="71ADFAB7" w14:textId="77777777" w:rsidR="00E21D62" w:rsidRPr="008E42B1" w:rsidRDefault="00E21D62" w:rsidP="00822CE8">
            <w:pPr>
              <w:keepNext/>
              <w:keepLines/>
              <w:rPr>
                <w:sz w:val="20"/>
                <w:lang w:val="en-US" w:eastAsia="en-US"/>
              </w:rPr>
            </w:pPr>
            <w:r w:rsidRPr="008E42B1">
              <w:rPr>
                <w:sz w:val="20"/>
                <w:lang w:val="en-US" w:eastAsia="en-US"/>
              </w:rPr>
              <w:t>0/5</w:t>
            </w:r>
          </w:p>
        </w:tc>
      </w:tr>
      <w:tr w:rsidR="00E21D62" w:rsidRPr="001F281A" w14:paraId="639B783B" w14:textId="77777777" w:rsidTr="00822CE8">
        <w:tc>
          <w:tcPr>
            <w:tcW w:w="959" w:type="dxa"/>
            <w:vMerge w:val="restart"/>
            <w:vAlign w:val="center"/>
          </w:tcPr>
          <w:p w14:paraId="326E2CDF" w14:textId="77777777" w:rsidR="00E21D62" w:rsidRPr="008E42B1" w:rsidRDefault="00E21D62" w:rsidP="00822CE8">
            <w:pPr>
              <w:keepNext/>
              <w:keepLines/>
              <w:jc w:val="center"/>
              <w:rPr>
                <w:sz w:val="20"/>
                <w:lang w:val="en-US" w:eastAsia="en-US"/>
              </w:rPr>
            </w:pPr>
            <w:r w:rsidRPr="008E42B1">
              <w:rPr>
                <w:sz w:val="20"/>
                <w:lang w:val="en-US" w:eastAsia="en-US"/>
              </w:rPr>
              <w:t>IBA-1</w:t>
            </w:r>
          </w:p>
        </w:tc>
        <w:tc>
          <w:tcPr>
            <w:tcW w:w="2268" w:type="dxa"/>
          </w:tcPr>
          <w:p w14:paraId="47BC3131" w14:textId="77777777" w:rsidR="00E21D62" w:rsidRPr="008E42B1" w:rsidRDefault="00E21D62" w:rsidP="00822CE8">
            <w:pPr>
              <w:keepNext/>
              <w:keepLines/>
              <w:rPr>
                <w:sz w:val="20"/>
                <w:lang w:val="en-US" w:eastAsia="en-US"/>
              </w:rPr>
            </w:pPr>
            <w:r w:rsidRPr="008E42B1">
              <w:rPr>
                <w:sz w:val="20"/>
                <w:u w:val="single"/>
                <w:lang w:val="en-US" w:eastAsia="en-US"/>
              </w:rPr>
              <w:t>Striatum</w:t>
            </w:r>
            <w:r w:rsidRPr="008E42B1">
              <w:rPr>
                <w:sz w:val="20"/>
                <w:lang w:val="en-US" w:eastAsia="en-US"/>
              </w:rPr>
              <w:t>;</w:t>
            </w:r>
          </w:p>
          <w:p w14:paraId="19B7F7E6" w14:textId="77777777" w:rsidR="00E21D62" w:rsidRPr="008E42B1" w:rsidRDefault="00E21D62" w:rsidP="00822CE8">
            <w:pPr>
              <w:keepNext/>
              <w:keepLines/>
              <w:rPr>
                <w:sz w:val="20"/>
                <w:lang w:val="en-US" w:eastAsia="en-US"/>
              </w:rPr>
            </w:pPr>
            <w:r w:rsidRPr="008E42B1">
              <w:rPr>
                <w:sz w:val="20"/>
                <w:lang w:val="en-US" w:eastAsia="en-US"/>
              </w:rPr>
              <w:t>Increased IBA-1 staining</w:t>
            </w:r>
          </w:p>
        </w:tc>
        <w:tc>
          <w:tcPr>
            <w:tcW w:w="3544" w:type="dxa"/>
          </w:tcPr>
          <w:p w14:paraId="41ADF6E4" w14:textId="77777777" w:rsidR="00E21D62" w:rsidRPr="008E42B1" w:rsidRDefault="00E21D62" w:rsidP="00822CE8">
            <w:pPr>
              <w:keepNext/>
              <w:keepLines/>
              <w:rPr>
                <w:sz w:val="20"/>
                <w:lang w:val="en-US" w:eastAsia="en-US"/>
              </w:rPr>
            </w:pPr>
          </w:p>
        </w:tc>
        <w:tc>
          <w:tcPr>
            <w:tcW w:w="1039" w:type="dxa"/>
          </w:tcPr>
          <w:p w14:paraId="49E5557B" w14:textId="77777777" w:rsidR="00E21D62" w:rsidRPr="008E42B1" w:rsidRDefault="00E21D62" w:rsidP="00822CE8">
            <w:pPr>
              <w:keepNext/>
              <w:keepLines/>
              <w:rPr>
                <w:sz w:val="20"/>
                <w:lang w:val="en-US" w:eastAsia="en-US"/>
              </w:rPr>
            </w:pPr>
            <w:r w:rsidRPr="008E42B1">
              <w:rPr>
                <w:sz w:val="20"/>
                <w:lang w:val="en-US" w:eastAsia="en-US"/>
              </w:rPr>
              <w:t>5/5</w:t>
            </w:r>
          </w:p>
          <w:p w14:paraId="7E0D228D" w14:textId="77777777" w:rsidR="00E21D62" w:rsidRPr="008E42B1" w:rsidRDefault="00E21D62" w:rsidP="00822CE8">
            <w:pPr>
              <w:keepNext/>
              <w:keepLines/>
              <w:rPr>
                <w:sz w:val="20"/>
                <w:lang w:val="en-US" w:eastAsia="en-US"/>
              </w:rPr>
            </w:pPr>
            <w:r w:rsidRPr="008E42B1">
              <w:rPr>
                <w:sz w:val="20"/>
                <w:lang w:val="en-US" w:eastAsia="en-US"/>
              </w:rPr>
              <w:t>(2.00)</w:t>
            </w:r>
          </w:p>
        </w:tc>
        <w:tc>
          <w:tcPr>
            <w:tcW w:w="1134" w:type="dxa"/>
          </w:tcPr>
          <w:p w14:paraId="58F37761" w14:textId="77777777" w:rsidR="00E21D62" w:rsidRPr="008E42B1" w:rsidRDefault="00E21D62" w:rsidP="00822CE8">
            <w:pPr>
              <w:keepNext/>
              <w:keepLines/>
              <w:rPr>
                <w:sz w:val="20"/>
                <w:lang w:val="en-US" w:eastAsia="en-US"/>
              </w:rPr>
            </w:pPr>
            <w:r w:rsidRPr="008E42B1">
              <w:rPr>
                <w:sz w:val="20"/>
                <w:lang w:val="en-US" w:eastAsia="en-US"/>
              </w:rPr>
              <w:t>5/5</w:t>
            </w:r>
          </w:p>
          <w:p w14:paraId="0F379D55" w14:textId="77777777" w:rsidR="00E21D62" w:rsidRPr="008E42B1" w:rsidRDefault="00E21D62" w:rsidP="00822CE8">
            <w:pPr>
              <w:keepNext/>
              <w:keepLines/>
              <w:rPr>
                <w:sz w:val="20"/>
                <w:lang w:val="en-US" w:eastAsia="en-US"/>
              </w:rPr>
            </w:pPr>
            <w:r w:rsidRPr="008E42B1">
              <w:rPr>
                <w:sz w:val="20"/>
                <w:lang w:val="en-US" w:eastAsia="en-US"/>
              </w:rPr>
              <w:t>(2.00)</w:t>
            </w:r>
          </w:p>
        </w:tc>
      </w:tr>
      <w:tr w:rsidR="00E21D62" w:rsidRPr="001F281A" w14:paraId="77AED193" w14:textId="77777777" w:rsidTr="00822CE8">
        <w:tc>
          <w:tcPr>
            <w:tcW w:w="959" w:type="dxa"/>
            <w:vMerge/>
          </w:tcPr>
          <w:p w14:paraId="5E604BAB" w14:textId="77777777" w:rsidR="00E21D62" w:rsidRPr="008E42B1" w:rsidRDefault="00E21D62" w:rsidP="00822CE8">
            <w:pPr>
              <w:keepNext/>
              <w:keepLines/>
              <w:rPr>
                <w:sz w:val="20"/>
                <w:lang w:val="en-US" w:eastAsia="en-US"/>
              </w:rPr>
            </w:pPr>
          </w:p>
        </w:tc>
        <w:tc>
          <w:tcPr>
            <w:tcW w:w="2268" w:type="dxa"/>
          </w:tcPr>
          <w:p w14:paraId="2F43CFF7" w14:textId="77777777" w:rsidR="00E21D62" w:rsidRPr="008E42B1" w:rsidRDefault="00E21D62" w:rsidP="00822CE8">
            <w:pPr>
              <w:keepNext/>
              <w:keepLines/>
              <w:rPr>
                <w:sz w:val="20"/>
                <w:lang w:val="en-US" w:eastAsia="en-US"/>
              </w:rPr>
            </w:pPr>
            <w:r w:rsidRPr="008E42B1">
              <w:rPr>
                <w:sz w:val="20"/>
                <w:u w:val="single"/>
                <w:lang w:val="en-US" w:eastAsia="en-US"/>
              </w:rPr>
              <w:t>SN pc</w:t>
            </w:r>
            <w:r w:rsidRPr="008E42B1">
              <w:rPr>
                <w:sz w:val="20"/>
                <w:lang w:val="en-US" w:eastAsia="en-US"/>
              </w:rPr>
              <w:t>;</w:t>
            </w:r>
          </w:p>
          <w:p w14:paraId="578DFF56" w14:textId="77777777" w:rsidR="00E21D62" w:rsidRPr="008E42B1" w:rsidRDefault="00E21D62" w:rsidP="00822CE8">
            <w:pPr>
              <w:keepNext/>
              <w:keepLines/>
              <w:rPr>
                <w:sz w:val="20"/>
                <w:lang w:val="en-US" w:eastAsia="en-US"/>
              </w:rPr>
            </w:pPr>
            <w:r w:rsidRPr="008E42B1">
              <w:rPr>
                <w:sz w:val="20"/>
                <w:lang w:val="en-US" w:eastAsia="en-US"/>
              </w:rPr>
              <w:t>Increased IBA-1 staining</w:t>
            </w:r>
          </w:p>
        </w:tc>
        <w:tc>
          <w:tcPr>
            <w:tcW w:w="3544" w:type="dxa"/>
          </w:tcPr>
          <w:p w14:paraId="7D896074" w14:textId="77777777" w:rsidR="00E21D62" w:rsidRPr="008E42B1" w:rsidRDefault="00E21D62" w:rsidP="00822CE8">
            <w:pPr>
              <w:keepNext/>
              <w:keepLines/>
              <w:rPr>
                <w:sz w:val="20"/>
                <w:lang w:val="en-US" w:eastAsia="en-US"/>
              </w:rPr>
            </w:pPr>
          </w:p>
        </w:tc>
        <w:tc>
          <w:tcPr>
            <w:tcW w:w="1039" w:type="dxa"/>
          </w:tcPr>
          <w:p w14:paraId="1A4636A8" w14:textId="77777777" w:rsidR="00E21D62" w:rsidRPr="008E42B1" w:rsidRDefault="00E21D62" w:rsidP="00822CE8">
            <w:pPr>
              <w:keepNext/>
              <w:keepLines/>
              <w:rPr>
                <w:sz w:val="20"/>
                <w:lang w:val="en-US" w:eastAsia="en-US"/>
              </w:rPr>
            </w:pPr>
            <w:r w:rsidRPr="008E42B1">
              <w:rPr>
                <w:sz w:val="20"/>
                <w:lang w:val="en-US" w:eastAsia="en-US"/>
              </w:rPr>
              <w:t>1/5</w:t>
            </w:r>
          </w:p>
          <w:p w14:paraId="12AB8FE5" w14:textId="77777777" w:rsidR="00E21D62" w:rsidRPr="008E42B1" w:rsidRDefault="00E21D62" w:rsidP="00822CE8">
            <w:pPr>
              <w:keepNext/>
              <w:keepLines/>
              <w:rPr>
                <w:sz w:val="20"/>
                <w:lang w:val="en-US" w:eastAsia="en-US"/>
              </w:rPr>
            </w:pPr>
            <w:r w:rsidRPr="008E42B1">
              <w:rPr>
                <w:sz w:val="20"/>
                <w:lang w:val="en-US" w:eastAsia="en-US"/>
              </w:rPr>
              <w:t>(0.40)</w:t>
            </w:r>
          </w:p>
        </w:tc>
        <w:tc>
          <w:tcPr>
            <w:tcW w:w="1134" w:type="dxa"/>
          </w:tcPr>
          <w:p w14:paraId="5ABBF4E5" w14:textId="77777777" w:rsidR="00E21D62" w:rsidRPr="008E42B1" w:rsidRDefault="00E21D62" w:rsidP="00822CE8">
            <w:pPr>
              <w:keepNext/>
              <w:keepLines/>
              <w:rPr>
                <w:sz w:val="20"/>
                <w:lang w:val="en-US" w:eastAsia="en-US"/>
              </w:rPr>
            </w:pPr>
            <w:r w:rsidRPr="008E42B1">
              <w:rPr>
                <w:sz w:val="20"/>
                <w:lang w:val="en-US" w:eastAsia="en-US"/>
              </w:rPr>
              <w:t>0/5</w:t>
            </w:r>
          </w:p>
        </w:tc>
      </w:tr>
    </w:tbl>
    <w:p w14:paraId="08AAF32F" w14:textId="77777777" w:rsidR="00E21D62" w:rsidRPr="002B2CFC" w:rsidRDefault="00E21D62" w:rsidP="00E21D62">
      <w:pPr>
        <w:keepNext/>
        <w:keepLines/>
        <w:rPr>
          <w:sz w:val="20"/>
          <w:lang w:val="en-US" w:eastAsia="en-US"/>
        </w:rPr>
      </w:pPr>
      <w:r w:rsidRPr="002B2CFC">
        <w:rPr>
          <w:sz w:val="20"/>
          <w:lang w:val="en-US" w:eastAsia="en-US"/>
        </w:rPr>
        <w:t xml:space="preserve">TH- tyrosine hydroxylase, GFAP – glial fibrillary acidic protein, IBA-1- Ionised calcium binding adapter molecule, SN pc- Substantia nigra pars compacta. </w:t>
      </w:r>
    </w:p>
    <w:p w14:paraId="21401271" w14:textId="77777777" w:rsidR="00E21D62" w:rsidRPr="002B2CFC" w:rsidRDefault="00E21D62" w:rsidP="00E21D62">
      <w:pPr>
        <w:keepNext/>
        <w:keepLines/>
        <w:rPr>
          <w:sz w:val="20"/>
          <w:lang w:val="en-US" w:eastAsia="en-US"/>
        </w:rPr>
      </w:pPr>
      <w:r w:rsidRPr="002B2CFC">
        <w:rPr>
          <w:sz w:val="20"/>
          <w:lang w:val="en-US" w:eastAsia="en-US"/>
        </w:rPr>
        <w:t># Average severity is calculated as the sum of severity scores for a particular diagnosis divided by the number of animals in the group or the number of animals with a particular tissue examined. Severity ranks from 1 (slight), 2 (minimal), 3 (mild), 4(moderate) and 5 (severe).</w:t>
      </w:r>
    </w:p>
    <w:p w14:paraId="32102DA7" w14:textId="77777777" w:rsidR="00E21D62" w:rsidRPr="002B2CFC" w:rsidRDefault="00E21D62" w:rsidP="00E21D62">
      <w:pPr>
        <w:rPr>
          <w:sz w:val="20"/>
          <w:lang w:val="en-US" w:eastAsia="en-US"/>
        </w:rPr>
      </w:pPr>
    </w:p>
    <w:p w14:paraId="31B426C7" w14:textId="77777777" w:rsidR="00E21D62" w:rsidRPr="002B2CFC" w:rsidRDefault="00E21D62" w:rsidP="00E21D62">
      <w:pPr>
        <w:rPr>
          <w:szCs w:val="24"/>
          <w:lang w:val="en-US" w:eastAsia="en-US"/>
        </w:rPr>
      </w:pPr>
      <w:r w:rsidRPr="002B2CFC">
        <w:rPr>
          <w:szCs w:val="24"/>
          <w:lang w:val="en-US" w:eastAsia="en-US"/>
        </w:rPr>
        <w:t>Findings considered incidental included: Silver positive axons/terminals in a single block (considered artifactual) and increased IBA-1 staining in the striatum and frontal cortex (considered within normal variation).</w:t>
      </w:r>
      <w:r>
        <w:rPr>
          <w:szCs w:val="24"/>
          <w:lang w:val="en-US" w:eastAsia="en-US"/>
        </w:rPr>
        <w:t xml:space="preserve"> </w:t>
      </w:r>
      <w:r w:rsidRPr="002B2CFC">
        <w:rPr>
          <w:szCs w:val="24"/>
          <w:lang w:val="en-US" w:eastAsia="en-US"/>
        </w:rPr>
        <w:t>One positive control mouse was found to have a mild increase in silver positive axons in one side of the optic tract. The cause was not determined.</w:t>
      </w:r>
    </w:p>
    <w:p w14:paraId="6740623A" w14:textId="77777777" w:rsidR="00E21D62" w:rsidRPr="002B2CFC" w:rsidRDefault="00E21D62" w:rsidP="00E21D62">
      <w:pPr>
        <w:rPr>
          <w:sz w:val="20"/>
          <w:lang w:val="en-US" w:eastAsia="en-US"/>
        </w:rPr>
      </w:pPr>
    </w:p>
    <w:p w14:paraId="2C054548" w14:textId="77777777" w:rsidR="00E21D62" w:rsidRPr="002B2CFC" w:rsidRDefault="00E21D62" w:rsidP="00E21D62">
      <w:pPr>
        <w:rPr>
          <w:b/>
          <w:i/>
          <w:szCs w:val="24"/>
          <w:lang w:val="en-US" w:eastAsia="en-US"/>
        </w:rPr>
      </w:pPr>
      <w:r w:rsidRPr="002B2CFC">
        <w:rPr>
          <w:b/>
          <w:i/>
          <w:szCs w:val="24"/>
          <w:lang w:val="en-US" w:eastAsia="en-US"/>
        </w:rPr>
        <w:t>Conclusion</w:t>
      </w:r>
    </w:p>
    <w:p w14:paraId="613F9872" w14:textId="77777777" w:rsidR="00E21D62" w:rsidRPr="002B2CFC" w:rsidRDefault="00E21D62" w:rsidP="00E21D62">
      <w:pPr>
        <w:rPr>
          <w:b/>
          <w:i/>
          <w:szCs w:val="24"/>
          <w:lang w:val="en-US" w:eastAsia="en-US"/>
        </w:rPr>
      </w:pPr>
      <w:r w:rsidRPr="002B2CFC">
        <w:rPr>
          <w:szCs w:val="24"/>
          <w:lang w:val="en-US" w:eastAsia="en-US"/>
        </w:rPr>
        <w:t xml:space="preserve">Neuropathological assessment showed that paraquat dichloride administered in the diet of mice at 10 or 50 ppm for up to 13 weeks did not cause any </w:t>
      </w:r>
      <w:r>
        <w:rPr>
          <w:szCs w:val="24"/>
          <w:lang w:val="en-US" w:eastAsia="en-US"/>
        </w:rPr>
        <w:t>effects, either gross and histologically, to</w:t>
      </w:r>
      <w:r w:rsidRPr="002B2CFC">
        <w:rPr>
          <w:szCs w:val="24"/>
          <w:lang w:val="en-US" w:eastAsia="en-US"/>
        </w:rPr>
        <w:t xml:space="preserve"> any of the brain regions</w:t>
      </w:r>
      <w:r>
        <w:rPr>
          <w:szCs w:val="24"/>
          <w:lang w:val="en-US" w:eastAsia="en-US"/>
        </w:rPr>
        <w:t xml:space="preserve"> examined (</w:t>
      </w:r>
      <w:r w:rsidRPr="002B2CFC">
        <w:rPr>
          <w:szCs w:val="24"/>
          <w:lang w:val="en-US" w:eastAsia="en-US"/>
        </w:rPr>
        <w:t>frontal cortex, striatum</w:t>
      </w:r>
      <w:r>
        <w:rPr>
          <w:szCs w:val="24"/>
          <w:lang w:val="en-US" w:eastAsia="en-US"/>
        </w:rPr>
        <w:t xml:space="preserve">, or </w:t>
      </w:r>
      <w:r w:rsidRPr="002B2CFC">
        <w:rPr>
          <w:szCs w:val="24"/>
          <w:lang w:val="en-US" w:eastAsia="en-US"/>
        </w:rPr>
        <w:t xml:space="preserve">midbrain including the </w:t>
      </w:r>
      <w:r w:rsidR="00A4092E">
        <w:rPr>
          <w:szCs w:val="24"/>
          <w:lang w:val="en-US" w:eastAsia="en-US"/>
        </w:rPr>
        <w:t>SN</w:t>
      </w:r>
      <w:r>
        <w:rPr>
          <w:szCs w:val="24"/>
          <w:lang w:val="en-US" w:eastAsia="en-US"/>
        </w:rPr>
        <w:t>)</w:t>
      </w:r>
      <w:r w:rsidRPr="002B2CFC">
        <w:rPr>
          <w:szCs w:val="24"/>
          <w:lang w:val="en-US" w:eastAsia="en-US"/>
        </w:rPr>
        <w:t xml:space="preserve">. More specifically, </w:t>
      </w:r>
      <w:r>
        <w:rPr>
          <w:szCs w:val="24"/>
          <w:lang w:val="en-US" w:eastAsia="en-US"/>
        </w:rPr>
        <w:t xml:space="preserve">following specialty staining techniques, </w:t>
      </w:r>
      <w:r w:rsidRPr="002B2CFC">
        <w:rPr>
          <w:szCs w:val="24"/>
          <w:lang w:val="en-US" w:eastAsia="en-US"/>
        </w:rPr>
        <w:t xml:space="preserve">paraquat was not associated with any neuronal or glial changes in the </w:t>
      </w:r>
      <w:r w:rsidR="00A4092E">
        <w:rPr>
          <w:szCs w:val="24"/>
          <w:lang w:val="en-US" w:eastAsia="en-US"/>
        </w:rPr>
        <w:t>SN</w:t>
      </w:r>
      <w:r w:rsidRPr="002B2CFC">
        <w:rPr>
          <w:szCs w:val="24"/>
          <w:lang w:val="en-US" w:eastAsia="en-US"/>
        </w:rPr>
        <w:t xml:space="preserve"> or the striatum. Mice treated with the positive control agent, MPTP, showed damage to the dopaminergic neurons in the SN pc within this test system, demonstrating its validity. </w:t>
      </w:r>
    </w:p>
    <w:p w14:paraId="5FC83D95" w14:textId="77777777" w:rsidR="00E21D62" w:rsidRPr="002B2CFC" w:rsidRDefault="00E21D62" w:rsidP="00E21D62">
      <w:pPr>
        <w:rPr>
          <w:szCs w:val="24"/>
          <w:lang w:val="en-US" w:eastAsia="en-US"/>
        </w:rPr>
      </w:pPr>
    </w:p>
    <w:p w14:paraId="1FEF53C0" w14:textId="77777777" w:rsidR="00E21D62" w:rsidRPr="002B2CFC" w:rsidRDefault="00E21D62" w:rsidP="00E21D62">
      <w:pPr>
        <w:rPr>
          <w:rFonts w:eastAsia="Calibri"/>
          <w:sz w:val="20"/>
          <w:lang w:val="en-US" w:eastAsia="en-US"/>
        </w:rPr>
      </w:pPr>
    </w:p>
    <w:p w14:paraId="3B6C9F54" w14:textId="77777777" w:rsidR="00E21D62" w:rsidRPr="002B2CFC" w:rsidRDefault="00E21D62" w:rsidP="00E21D62">
      <w:pPr>
        <w:rPr>
          <w:rFonts w:eastAsia="Calibri"/>
          <w:sz w:val="20"/>
          <w:lang w:val="en-US" w:eastAsia="en-US"/>
        </w:rPr>
      </w:pPr>
    </w:p>
    <w:p w14:paraId="5129244B" w14:textId="77777777" w:rsidR="00E21D62" w:rsidRPr="002B2CFC" w:rsidRDefault="00E21D62" w:rsidP="00E21D62">
      <w:pPr>
        <w:spacing w:after="200" w:line="276" w:lineRule="auto"/>
        <w:rPr>
          <w:rFonts w:eastAsia="Calibri"/>
          <w:szCs w:val="24"/>
          <w:lang w:val="en-US" w:eastAsia="en-US"/>
        </w:rPr>
      </w:pPr>
      <w:r w:rsidRPr="002B2CFC">
        <w:rPr>
          <w:rFonts w:eastAsia="Calibri"/>
          <w:szCs w:val="24"/>
          <w:lang w:val="en-US" w:eastAsia="en-US"/>
        </w:rPr>
        <w:br w:type="page"/>
      </w:r>
    </w:p>
    <w:p w14:paraId="326235BA" w14:textId="64FBBC5A" w:rsidR="00E21D62" w:rsidRPr="00C33BE1" w:rsidRDefault="00E21D62" w:rsidP="00E21D62">
      <w:pPr>
        <w:pStyle w:val="ListParagraph"/>
        <w:numPr>
          <w:ilvl w:val="0"/>
          <w:numId w:val="15"/>
        </w:numPr>
        <w:rPr>
          <w:rFonts w:ascii="Times New Roman" w:hAnsi="Times New Roman"/>
          <w:sz w:val="24"/>
          <w:szCs w:val="24"/>
          <w:lang w:val="en-US" w:eastAsia="en-US"/>
        </w:rPr>
      </w:pPr>
      <w:bookmarkStart w:id="195" w:name="_Ref420928400"/>
      <w:r w:rsidRPr="00C33BE1">
        <w:rPr>
          <w:rFonts w:ascii="Times New Roman" w:hAnsi="Times New Roman"/>
          <w:sz w:val="24"/>
          <w:szCs w:val="24"/>
          <w:lang w:val="en-US" w:eastAsia="en-US"/>
        </w:rPr>
        <w:t>Neurochemistry of Beck (2013) study (Subset III):</w:t>
      </w:r>
      <w:bookmarkEnd w:id="195"/>
    </w:p>
    <w:p w14:paraId="7CB3EA4C" w14:textId="77777777" w:rsidR="00E21D62" w:rsidRPr="002B2CFC" w:rsidRDefault="00E21D62" w:rsidP="00E21D62">
      <w:pPr>
        <w:rPr>
          <w:rFonts w:eastAsia="Calibri"/>
          <w:szCs w:val="24"/>
          <w:lang w:val="en-US" w:eastAsia="en-US"/>
        </w:rPr>
      </w:pPr>
    </w:p>
    <w:p w14:paraId="1D305BA0" w14:textId="77777777" w:rsidR="00E21D62" w:rsidRPr="002B2CFC" w:rsidRDefault="00E21D62" w:rsidP="00E21D62">
      <w:pPr>
        <w:rPr>
          <w:b/>
          <w:szCs w:val="24"/>
          <w:lang w:val="en-US" w:eastAsia="en-US"/>
        </w:rPr>
      </w:pPr>
      <w:r w:rsidRPr="002B2CFC">
        <w:rPr>
          <w:b/>
          <w:szCs w:val="24"/>
          <w:lang w:val="en-US" w:eastAsia="en-US"/>
        </w:rPr>
        <w:t xml:space="preserve">Matthews JM (2012) Determination of dopamine, dopamine metabolites, and serotonin in mouse striatal brain tissues. Performed in support of </w:t>
      </w:r>
      <w:r w:rsidRPr="002B2CFC">
        <w:rPr>
          <w:b/>
          <w:i/>
          <w:szCs w:val="24"/>
          <w:lang w:val="en-US" w:eastAsia="en-US"/>
        </w:rPr>
        <w:t xml:space="preserve">Subchronic (91-day) dietary study to assess the effects of paraquat dichloride on dopaminergic neurons in C57BL/6J mice. </w:t>
      </w:r>
      <w:r w:rsidRPr="002B2CFC">
        <w:rPr>
          <w:b/>
          <w:szCs w:val="24"/>
          <w:lang w:val="en-US" w:eastAsia="en-US"/>
        </w:rPr>
        <w:t>Study No./Report No.: WIL-639158. Syngenta Task No.: TK0000969. RTI Report No.: 0212823.008. Unpublished, Report date: December 3, 2012</w:t>
      </w:r>
    </w:p>
    <w:p w14:paraId="6337BFE5" w14:textId="77777777" w:rsidR="00E21D62" w:rsidRPr="002B2CFC" w:rsidRDefault="00E21D62" w:rsidP="00E21D62">
      <w:pPr>
        <w:keepNext/>
        <w:keepLines/>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1E0" w:firstRow="1" w:lastRow="1" w:firstColumn="1" w:lastColumn="1" w:noHBand="0" w:noVBand="0"/>
      </w:tblPr>
      <w:tblGrid>
        <w:gridCol w:w="1668"/>
        <w:gridCol w:w="5307"/>
      </w:tblGrid>
      <w:tr w:rsidR="00E21D62" w:rsidRPr="002B2CFC" w14:paraId="0DA8039C" w14:textId="77777777" w:rsidTr="00822CE8">
        <w:trPr>
          <w:cantSplit/>
          <w:jc w:val="center"/>
        </w:trPr>
        <w:tc>
          <w:tcPr>
            <w:tcW w:w="1668" w:type="dxa"/>
          </w:tcPr>
          <w:p w14:paraId="6CC9ABED" w14:textId="77777777" w:rsidR="00E21D62" w:rsidRPr="002B2CFC" w:rsidRDefault="00E21D62" w:rsidP="00822CE8">
            <w:pPr>
              <w:keepNext/>
              <w:keepLines/>
              <w:rPr>
                <w:sz w:val="20"/>
              </w:rPr>
            </w:pPr>
            <w:r w:rsidRPr="002B2CFC">
              <w:rPr>
                <w:sz w:val="20"/>
              </w:rPr>
              <w:t>Test Compound*:</w:t>
            </w:r>
          </w:p>
        </w:tc>
        <w:tc>
          <w:tcPr>
            <w:tcW w:w="5307" w:type="dxa"/>
          </w:tcPr>
          <w:p w14:paraId="0FD586FB" w14:textId="77777777" w:rsidR="00E21D62" w:rsidRPr="002B2CFC" w:rsidRDefault="00E21D62" w:rsidP="00822CE8">
            <w:pPr>
              <w:keepNext/>
              <w:keepLines/>
              <w:rPr>
                <w:color w:val="FF0000"/>
                <w:sz w:val="20"/>
              </w:rPr>
            </w:pPr>
            <w:r w:rsidRPr="002B2CFC">
              <w:rPr>
                <w:sz w:val="20"/>
              </w:rPr>
              <w:t>Paraquat dichloride (purity: 99.9%)</w:t>
            </w:r>
          </w:p>
        </w:tc>
      </w:tr>
      <w:tr w:rsidR="00E21D62" w:rsidRPr="002B2CFC" w14:paraId="0460EA4A" w14:textId="77777777" w:rsidTr="00822CE8">
        <w:trPr>
          <w:cantSplit/>
          <w:jc w:val="center"/>
        </w:trPr>
        <w:tc>
          <w:tcPr>
            <w:tcW w:w="1668" w:type="dxa"/>
          </w:tcPr>
          <w:p w14:paraId="019F2289" w14:textId="77777777" w:rsidR="00E21D62" w:rsidRPr="002B2CFC" w:rsidRDefault="00E21D62" w:rsidP="00822CE8">
            <w:pPr>
              <w:keepNext/>
              <w:keepLines/>
              <w:rPr>
                <w:sz w:val="20"/>
              </w:rPr>
            </w:pPr>
            <w:r w:rsidRPr="002B2CFC">
              <w:rPr>
                <w:sz w:val="20"/>
              </w:rPr>
              <w:t>Batch*:</w:t>
            </w:r>
          </w:p>
        </w:tc>
        <w:tc>
          <w:tcPr>
            <w:tcW w:w="5307" w:type="dxa"/>
          </w:tcPr>
          <w:p w14:paraId="50FC9159" w14:textId="77777777" w:rsidR="00E21D62" w:rsidRPr="002B2CFC" w:rsidRDefault="00E21D62" w:rsidP="00822CE8">
            <w:pPr>
              <w:keepNext/>
              <w:keepLines/>
              <w:rPr>
                <w:color w:val="FF0000"/>
                <w:sz w:val="20"/>
              </w:rPr>
            </w:pPr>
            <w:r w:rsidRPr="002B2CFC">
              <w:rPr>
                <w:sz w:val="20"/>
              </w:rPr>
              <w:t>ASJ10083-03 [WIL ID No. 110018]</w:t>
            </w:r>
          </w:p>
        </w:tc>
      </w:tr>
      <w:tr w:rsidR="00E21D62" w:rsidRPr="002B2CFC" w14:paraId="1D600A38" w14:textId="77777777" w:rsidTr="00822CE8">
        <w:trPr>
          <w:cantSplit/>
          <w:jc w:val="center"/>
        </w:trPr>
        <w:tc>
          <w:tcPr>
            <w:tcW w:w="1668" w:type="dxa"/>
          </w:tcPr>
          <w:p w14:paraId="1508C77E" w14:textId="77777777" w:rsidR="00E21D62" w:rsidRPr="002B2CFC" w:rsidRDefault="00E21D62" w:rsidP="00822CE8">
            <w:pPr>
              <w:keepNext/>
              <w:keepLines/>
              <w:rPr>
                <w:sz w:val="20"/>
              </w:rPr>
            </w:pPr>
            <w:r w:rsidRPr="002B2CFC">
              <w:rPr>
                <w:sz w:val="20"/>
              </w:rPr>
              <w:t>Test Species:*</w:t>
            </w:r>
          </w:p>
        </w:tc>
        <w:tc>
          <w:tcPr>
            <w:tcW w:w="5307" w:type="dxa"/>
          </w:tcPr>
          <w:p w14:paraId="0CD9DF81" w14:textId="77777777" w:rsidR="00E21D62" w:rsidRPr="002B2CFC" w:rsidRDefault="00E21D62" w:rsidP="00822CE8">
            <w:pPr>
              <w:keepNext/>
              <w:keepLines/>
              <w:rPr>
                <w:color w:val="FF0000"/>
                <w:sz w:val="20"/>
              </w:rPr>
            </w:pPr>
            <w:r w:rsidRPr="002B2CFC">
              <w:rPr>
                <w:sz w:val="20"/>
              </w:rPr>
              <w:t xml:space="preserve">C57BL/6J mice, </w:t>
            </w:r>
            <w:r w:rsidRPr="002B2CFC">
              <w:rPr>
                <w:b/>
                <w:sz w:val="20"/>
              </w:rPr>
              <w:t>neurochemistry assessment:</w:t>
            </w:r>
            <w:r w:rsidRPr="002B2CFC">
              <w:rPr>
                <w:sz w:val="20"/>
              </w:rPr>
              <w:t xml:space="preserve"> 6/ sex/dose,  age: approximately 10 weeks, bw: 18.0 – 26.8 g for males and 14.9 – 21.1 g for females; source: The Jackson Laboratory, Bar Harbor, ME, USA</w:t>
            </w:r>
          </w:p>
        </w:tc>
      </w:tr>
      <w:tr w:rsidR="00E21D62" w:rsidRPr="002B2CFC" w14:paraId="2D25B942" w14:textId="77777777" w:rsidTr="00822CE8">
        <w:trPr>
          <w:cantSplit/>
          <w:jc w:val="center"/>
        </w:trPr>
        <w:tc>
          <w:tcPr>
            <w:tcW w:w="1668" w:type="dxa"/>
          </w:tcPr>
          <w:p w14:paraId="0874BC39" w14:textId="77777777" w:rsidR="00E21D62" w:rsidRPr="002B2CFC" w:rsidRDefault="00E21D62" w:rsidP="00822CE8">
            <w:pPr>
              <w:keepNext/>
              <w:keepLines/>
              <w:rPr>
                <w:sz w:val="20"/>
              </w:rPr>
            </w:pPr>
            <w:r w:rsidRPr="002B2CFC">
              <w:rPr>
                <w:sz w:val="20"/>
              </w:rPr>
              <w:t>Study Duration:*</w:t>
            </w:r>
          </w:p>
        </w:tc>
        <w:tc>
          <w:tcPr>
            <w:tcW w:w="5307" w:type="dxa"/>
          </w:tcPr>
          <w:p w14:paraId="01657AD4" w14:textId="77777777" w:rsidR="00E21D62" w:rsidRPr="002B2CFC" w:rsidRDefault="00E21D62" w:rsidP="00822CE8">
            <w:pPr>
              <w:keepNext/>
              <w:keepLines/>
              <w:rPr>
                <w:color w:val="FF0000"/>
                <w:sz w:val="20"/>
              </w:rPr>
            </w:pPr>
            <w:r w:rsidRPr="002B2CFC">
              <w:rPr>
                <w:sz w:val="20"/>
              </w:rPr>
              <w:t>July 12, 2011 – January 17, 2013</w:t>
            </w:r>
          </w:p>
        </w:tc>
      </w:tr>
      <w:tr w:rsidR="00E21D62" w:rsidRPr="002B2CFC" w14:paraId="3A1E50EA" w14:textId="77777777" w:rsidTr="00822CE8">
        <w:trPr>
          <w:cantSplit/>
          <w:jc w:val="center"/>
        </w:trPr>
        <w:tc>
          <w:tcPr>
            <w:tcW w:w="1668" w:type="dxa"/>
          </w:tcPr>
          <w:p w14:paraId="1B40F332" w14:textId="77777777" w:rsidR="00E21D62" w:rsidRPr="002B2CFC" w:rsidRDefault="00E21D62" w:rsidP="00822CE8">
            <w:pPr>
              <w:keepNext/>
              <w:keepLines/>
              <w:rPr>
                <w:sz w:val="20"/>
              </w:rPr>
            </w:pPr>
            <w:r w:rsidRPr="002B2CFC">
              <w:rPr>
                <w:sz w:val="20"/>
              </w:rPr>
              <w:t>Laboratory:</w:t>
            </w:r>
          </w:p>
        </w:tc>
        <w:tc>
          <w:tcPr>
            <w:tcW w:w="5307" w:type="dxa"/>
          </w:tcPr>
          <w:p w14:paraId="25BE7874" w14:textId="77777777" w:rsidR="00E21D62" w:rsidRPr="002B2CFC" w:rsidRDefault="00E21D62" w:rsidP="00822CE8">
            <w:pPr>
              <w:keepNext/>
              <w:keepLines/>
              <w:rPr>
                <w:sz w:val="20"/>
              </w:rPr>
            </w:pPr>
            <w:r w:rsidRPr="002B2CFC">
              <w:rPr>
                <w:sz w:val="20"/>
              </w:rPr>
              <w:t>Drug Metabolism and Pharmacokinetics, Pharmacology &amp; Toxicology, Discovery Sciences,</w:t>
            </w:r>
          </w:p>
          <w:p w14:paraId="171FCD93" w14:textId="77777777" w:rsidR="00E21D62" w:rsidRPr="002B2CFC" w:rsidRDefault="00E21D62" w:rsidP="00822CE8">
            <w:pPr>
              <w:keepNext/>
              <w:keepLines/>
              <w:rPr>
                <w:sz w:val="20"/>
              </w:rPr>
            </w:pPr>
            <w:r w:rsidRPr="002B2CFC">
              <w:rPr>
                <w:sz w:val="20"/>
              </w:rPr>
              <w:t>RTI International, 3040 Cornwallis Road, Research Triangle Park, NC 27709-2194</w:t>
            </w:r>
          </w:p>
        </w:tc>
      </w:tr>
      <w:tr w:rsidR="00E21D62" w:rsidRPr="002B2CFC" w14:paraId="1DC0FDA2" w14:textId="77777777" w:rsidTr="00822CE8">
        <w:trPr>
          <w:cantSplit/>
          <w:jc w:val="center"/>
        </w:trPr>
        <w:tc>
          <w:tcPr>
            <w:tcW w:w="1668" w:type="dxa"/>
          </w:tcPr>
          <w:p w14:paraId="3812EE4C" w14:textId="77777777" w:rsidR="00E21D62" w:rsidRPr="002B2CFC" w:rsidRDefault="00E21D62" w:rsidP="00822CE8">
            <w:pPr>
              <w:keepNext/>
              <w:keepLines/>
              <w:rPr>
                <w:sz w:val="20"/>
              </w:rPr>
            </w:pPr>
            <w:r w:rsidRPr="002B2CFC">
              <w:rPr>
                <w:sz w:val="20"/>
              </w:rPr>
              <w:t>GLP &amp; QA:</w:t>
            </w:r>
          </w:p>
        </w:tc>
        <w:tc>
          <w:tcPr>
            <w:tcW w:w="5307" w:type="dxa"/>
          </w:tcPr>
          <w:p w14:paraId="494CAE21" w14:textId="77777777" w:rsidR="00E21D62" w:rsidRPr="002B2CFC" w:rsidRDefault="00E21D62" w:rsidP="00822CE8">
            <w:pPr>
              <w:keepNext/>
              <w:keepLines/>
              <w:rPr>
                <w:color w:val="FF0000"/>
                <w:sz w:val="20"/>
              </w:rPr>
            </w:pPr>
            <w:r w:rsidRPr="002B2CFC">
              <w:rPr>
                <w:sz w:val="20"/>
              </w:rPr>
              <w:t xml:space="preserve">Yes </w:t>
            </w:r>
          </w:p>
        </w:tc>
      </w:tr>
      <w:tr w:rsidR="00E21D62" w:rsidRPr="002B2CFC" w14:paraId="6D6A5962" w14:textId="77777777" w:rsidTr="00822CE8">
        <w:trPr>
          <w:cantSplit/>
          <w:jc w:val="center"/>
        </w:trPr>
        <w:tc>
          <w:tcPr>
            <w:tcW w:w="1668" w:type="dxa"/>
          </w:tcPr>
          <w:p w14:paraId="0FCEFAEF" w14:textId="77777777" w:rsidR="00E21D62" w:rsidRPr="002B2CFC" w:rsidRDefault="00E21D62" w:rsidP="00822CE8">
            <w:pPr>
              <w:keepNext/>
              <w:keepLines/>
              <w:rPr>
                <w:sz w:val="20"/>
              </w:rPr>
            </w:pPr>
            <w:r w:rsidRPr="002B2CFC">
              <w:rPr>
                <w:sz w:val="20"/>
              </w:rPr>
              <w:t>Guidelines:</w:t>
            </w:r>
          </w:p>
        </w:tc>
        <w:tc>
          <w:tcPr>
            <w:tcW w:w="5307" w:type="dxa"/>
          </w:tcPr>
          <w:p w14:paraId="127D5674" w14:textId="77777777" w:rsidR="00E21D62" w:rsidRPr="002B2CFC" w:rsidRDefault="00E21D62" w:rsidP="00822CE8">
            <w:pPr>
              <w:keepNext/>
              <w:keepLines/>
              <w:rPr>
                <w:color w:val="FF0000"/>
                <w:sz w:val="20"/>
              </w:rPr>
            </w:pPr>
            <w:r w:rsidRPr="002B2CFC">
              <w:rPr>
                <w:sz w:val="20"/>
              </w:rPr>
              <w:t>Not applicable</w:t>
            </w:r>
          </w:p>
        </w:tc>
      </w:tr>
    </w:tbl>
    <w:p w14:paraId="23F3FC1D" w14:textId="77777777" w:rsidR="00E21D62" w:rsidRPr="002B2CFC" w:rsidRDefault="00E21D62" w:rsidP="00E21D62">
      <w:pPr>
        <w:keepNext/>
        <w:keepLines/>
        <w:ind w:left="720"/>
        <w:rPr>
          <w:sz w:val="20"/>
        </w:rPr>
      </w:pPr>
      <w:r w:rsidRPr="002B2CFC">
        <w:rPr>
          <w:sz w:val="20"/>
        </w:rPr>
        <w:t>*In-life component conducted by WIL Research Laboratories, LLC, 1047 George Road, Ashland, OH 44805-8946 USA (performing laboratory)</w:t>
      </w:r>
    </w:p>
    <w:p w14:paraId="621BB395" w14:textId="77777777" w:rsidR="00E21D62" w:rsidRPr="002B2CFC" w:rsidRDefault="00E21D62" w:rsidP="00E21D62">
      <w:pPr>
        <w:rPr>
          <w:szCs w:val="24"/>
          <w:lang w:val="en-US" w:eastAsia="en-US"/>
        </w:rPr>
      </w:pP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1456"/>
        <w:gridCol w:w="1398"/>
        <w:gridCol w:w="2517"/>
        <w:gridCol w:w="3356"/>
      </w:tblGrid>
      <w:tr w:rsidR="00E21D62" w:rsidRPr="002B2CFC" w14:paraId="3B6B903F" w14:textId="77777777" w:rsidTr="00822CE8">
        <w:trPr>
          <w:cantSplit/>
        </w:trPr>
        <w:tc>
          <w:tcPr>
            <w:tcW w:w="834" w:type="pct"/>
            <w:tcBorders>
              <w:top w:val="single" w:sz="4" w:space="0" w:color="auto"/>
              <w:left w:val="single" w:sz="4" w:space="0" w:color="auto"/>
              <w:bottom w:val="single" w:sz="4" w:space="0" w:color="auto"/>
              <w:right w:val="single" w:sz="4" w:space="0" w:color="auto"/>
            </w:tcBorders>
            <w:shd w:val="clear" w:color="auto" w:fill="BFBFBF"/>
          </w:tcPr>
          <w:p w14:paraId="5BC54D2B" w14:textId="77777777" w:rsidR="00E21D62" w:rsidRPr="002B2CFC" w:rsidRDefault="00E21D62" w:rsidP="00822CE8">
            <w:pPr>
              <w:keepNext/>
              <w:keepLines/>
              <w:rPr>
                <w:b/>
                <w:bCs/>
                <w:sz w:val="20"/>
              </w:rPr>
            </w:pPr>
            <w:r w:rsidRPr="002B2CFC">
              <w:rPr>
                <w:b/>
                <w:bCs/>
                <w:sz w:val="20"/>
              </w:rPr>
              <w:t>Dosing method</w:t>
            </w:r>
          </w:p>
        </w:tc>
        <w:tc>
          <w:tcPr>
            <w:tcW w:w="801" w:type="pct"/>
            <w:tcBorders>
              <w:top w:val="single" w:sz="4" w:space="0" w:color="auto"/>
              <w:left w:val="single" w:sz="4" w:space="0" w:color="auto"/>
              <w:bottom w:val="single" w:sz="4" w:space="0" w:color="auto"/>
              <w:right w:val="single" w:sz="4" w:space="0" w:color="auto"/>
            </w:tcBorders>
            <w:shd w:val="clear" w:color="auto" w:fill="BFBFBF"/>
          </w:tcPr>
          <w:p w14:paraId="3B2E55FE" w14:textId="77777777" w:rsidR="00E21D62" w:rsidRPr="002B2CFC" w:rsidRDefault="00E21D62" w:rsidP="00822CE8">
            <w:pPr>
              <w:keepNext/>
              <w:keepLines/>
              <w:rPr>
                <w:b/>
                <w:bCs/>
                <w:sz w:val="20"/>
              </w:rPr>
            </w:pPr>
            <w:r w:rsidRPr="002B2CFC">
              <w:rPr>
                <w:b/>
                <w:bCs/>
                <w:sz w:val="20"/>
              </w:rPr>
              <w:t>Vehicle</w:t>
            </w:r>
          </w:p>
        </w:tc>
        <w:tc>
          <w:tcPr>
            <w:tcW w:w="1442" w:type="pct"/>
            <w:tcBorders>
              <w:top w:val="single" w:sz="4" w:space="0" w:color="auto"/>
              <w:left w:val="single" w:sz="4" w:space="0" w:color="auto"/>
              <w:bottom w:val="single" w:sz="4" w:space="0" w:color="auto"/>
              <w:right w:val="single" w:sz="4" w:space="0" w:color="auto"/>
            </w:tcBorders>
            <w:shd w:val="clear" w:color="auto" w:fill="BFBFBF"/>
          </w:tcPr>
          <w:p w14:paraId="7BA5D646" w14:textId="77777777" w:rsidR="00E21D62" w:rsidRPr="002B2CFC" w:rsidRDefault="00E21D62" w:rsidP="00822CE8">
            <w:pPr>
              <w:keepNext/>
              <w:keepLines/>
              <w:rPr>
                <w:b/>
                <w:bCs/>
                <w:sz w:val="20"/>
              </w:rPr>
            </w:pPr>
            <w:r w:rsidRPr="002B2CFC">
              <w:rPr>
                <w:b/>
                <w:bCs/>
                <w:sz w:val="20"/>
              </w:rPr>
              <w:t>Dosing / observation</w:t>
            </w:r>
          </w:p>
          <w:p w14:paraId="241A35F1" w14:textId="77777777" w:rsidR="00E21D62" w:rsidRPr="002B2CFC" w:rsidRDefault="00E21D62" w:rsidP="00822CE8">
            <w:pPr>
              <w:keepNext/>
              <w:keepLines/>
              <w:rPr>
                <w:b/>
                <w:bCs/>
                <w:sz w:val="20"/>
              </w:rPr>
            </w:pPr>
            <w:r w:rsidRPr="002B2CFC">
              <w:rPr>
                <w:b/>
                <w:bCs/>
                <w:sz w:val="20"/>
              </w:rPr>
              <w:t>period</w:t>
            </w:r>
          </w:p>
        </w:tc>
        <w:tc>
          <w:tcPr>
            <w:tcW w:w="1923" w:type="pct"/>
            <w:tcBorders>
              <w:top w:val="single" w:sz="4" w:space="0" w:color="auto"/>
              <w:left w:val="single" w:sz="4" w:space="0" w:color="auto"/>
              <w:bottom w:val="single" w:sz="4" w:space="0" w:color="auto"/>
              <w:right w:val="single" w:sz="4" w:space="0" w:color="auto"/>
            </w:tcBorders>
            <w:shd w:val="clear" w:color="auto" w:fill="BFBFBF"/>
          </w:tcPr>
          <w:p w14:paraId="1C94116E" w14:textId="77777777" w:rsidR="00E21D62" w:rsidRPr="002B2CFC" w:rsidRDefault="00E21D62" w:rsidP="00822CE8">
            <w:pPr>
              <w:keepNext/>
              <w:keepLines/>
              <w:rPr>
                <w:b/>
                <w:bCs/>
                <w:sz w:val="20"/>
              </w:rPr>
            </w:pPr>
            <w:r w:rsidRPr="002B2CFC">
              <w:rPr>
                <w:b/>
                <w:bCs/>
                <w:sz w:val="20"/>
              </w:rPr>
              <w:t xml:space="preserve">Doses tested </w:t>
            </w:r>
          </w:p>
          <w:p w14:paraId="776D693F" w14:textId="77777777" w:rsidR="00E21D62" w:rsidRPr="002B2CFC" w:rsidRDefault="00E21D62" w:rsidP="00822CE8">
            <w:pPr>
              <w:keepNext/>
              <w:keepLines/>
              <w:rPr>
                <w:b/>
                <w:bCs/>
                <w:sz w:val="20"/>
              </w:rPr>
            </w:pPr>
            <w:r w:rsidRPr="002B2CFC">
              <w:rPr>
                <w:b/>
                <w:bCs/>
                <w:sz w:val="20"/>
              </w:rPr>
              <w:t>(ppm)</w:t>
            </w:r>
          </w:p>
        </w:tc>
      </w:tr>
      <w:tr w:rsidR="00E21D62" w:rsidRPr="002B2CFC" w14:paraId="6A63D66D" w14:textId="77777777" w:rsidTr="00822CE8">
        <w:trPr>
          <w:cantSplit/>
        </w:trPr>
        <w:tc>
          <w:tcPr>
            <w:tcW w:w="834" w:type="pct"/>
            <w:tcBorders>
              <w:top w:val="single" w:sz="4" w:space="0" w:color="auto"/>
              <w:left w:val="single" w:sz="4" w:space="0" w:color="auto"/>
              <w:bottom w:val="single" w:sz="4" w:space="0" w:color="auto"/>
              <w:right w:val="single" w:sz="4" w:space="0" w:color="auto"/>
            </w:tcBorders>
            <w:vAlign w:val="center"/>
          </w:tcPr>
          <w:p w14:paraId="28898C31" w14:textId="77777777" w:rsidR="00E21D62" w:rsidRPr="002B2CFC" w:rsidRDefault="00E21D62" w:rsidP="00822CE8">
            <w:pPr>
              <w:keepNext/>
              <w:keepLines/>
              <w:jc w:val="left"/>
              <w:rPr>
                <w:sz w:val="20"/>
              </w:rPr>
            </w:pPr>
            <w:r w:rsidRPr="002B2CFC">
              <w:rPr>
                <w:sz w:val="20"/>
              </w:rPr>
              <w:t>Dietary</w:t>
            </w:r>
          </w:p>
        </w:tc>
        <w:tc>
          <w:tcPr>
            <w:tcW w:w="801" w:type="pct"/>
            <w:tcBorders>
              <w:top w:val="single" w:sz="4" w:space="0" w:color="auto"/>
              <w:left w:val="single" w:sz="4" w:space="0" w:color="auto"/>
              <w:bottom w:val="single" w:sz="4" w:space="0" w:color="auto"/>
              <w:right w:val="single" w:sz="4" w:space="0" w:color="auto"/>
            </w:tcBorders>
            <w:vAlign w:val="center"/>
          </w:tcPr>
          <w:p w14:paraId="3FD3FC55" w14:textId="77777777" w:rsidR="00E21D62" w:rsidRPr="002B2CFC" w:rsidRDefault="00E21D62" w:rsidP="00822CE8">
            <w:pPr>
              <w:keepNext/>
              <w:keepLines/>
              <w:jc w:val="left"/>
              <w:rPr>
                <w:sz w:val="20"/>
              </w:rPr>
            </w:pPr>
            <w:r w:rsidRPr="002B2CFC">
              <w:rPr>
                <w:sz w:val="20"/>
              </w:rPr>
              <w:t>None</w:t>
            </w:r>
          </w:p>
          <w:p w14:paraId="42841C20" w14:textId="77777777" w:rsidR="00E21D62" w:rsidRPr="002B2CFC" w:rsidRDefault="00E21D62" w:rsidP="00822CE8">
            <w:pPr>
              <w:keepNext/>
              <w:keepLines/>
              <w:jc w:val="left"/>
              <w:rPr>
                <w:sz w:val="20"/>
              </w:rPr>
            </w:pPr>
          </w:p>
          <w:p w14:paraId="6137C9E5" w14:textId="77777777" w:rsidR="00E21D62" w:rsidRPr="002B2CFC" w:rsidRDefault="00E21D62" w:rsidP="00822CE8">
            <w:pPr>
              <w:keepNext/>
              <w:keepLines/>
              <w:jc w:val="left"/>
              <w:rPr>
                <w:sz w:val="20"/>
              </w:rPr>
            </w:pPr>
          </w:p>
        </w:tc>
        <w:tc>
          <w:tcPr>
            <w:tcW w:w="1442" w:type="pct"/>
            <w:tcBorders>
              <w:top w:val="single" w:sz="4" w:space="0" w:color="auto"/>
              <w:left w:val="single" w:sz="4" w:space="0" w:color="auto"/>
              <w:bottom w:val="single" w:sz="4" w:space="0" w:color="auto"/>
              <w:right w:val="single" w:sz="4" w:space="0" w:color="auto"/>
            </w:tcBorders>
            <w:vAlign w:val="center"/>
          </w:tcPr>
          <w:p w14:paraId="344940F7" w14:textId="77777777" w:rsidR="00E21D62" w:rsidRPr="002B2CFC" w:rsidRDefault="00E21D62" w:rsidP="00822CE8">
            <w:pPr>
              <w:keepNext/>
              <w:keepLines/>
              <w:jc w:val="left"/>
              <w:rPr>
                <w:sz w:val="20"/>
              </w:rPr>
            </w:pPr>
            <w:r w:rsidRPr="002B2CFC">
              <w:rPr>
                <w:sz w:val="20"/>
              </w:rPr>
              <w:t>Continuously in the diet for 13-weeks</w:t>
            </w:r>
          </w:p>
        </w:tc>
        <w:tc>
          <w:tcPr>
            <w:tcW w:w="1923" w:type="pct"/>
            <w:tcBorders>
              <w:top w:val="single" w:sz="4" w:space="0" w:color="auto"/>
              <w:left w:val="single" w:sz="4" w:space="0" w:color="auto"/>
              <w:bottom w:val="single" w:sz="4" w:space="0" w:color="auto"/>
              <w:right w:val="single" w:sz="4" w:space="0" w:color="auto"/>
            </w:tcBorders>
            <w:vAlign w:val="center"/>
          </w:tcPr>
          <w:p w14:paraId="794E1759" w14:textId="77777777" w:rsidR="00E21D62" w:rsidRPr="002B2CFC" w:rsidRDefault="00E21D62" w:rsidP="00822CE8">
            <w:pPr>
              <w:keepNext/>
              <w:keepLines/>
              <w:jc w:val="left"/>
              <w:rPr>
                <w:sz w:val="20"/>
              </w:rPr>
            </w:pPr>
            <w:r w:rsidRPr="002B2CFC">
              <w:rPr>
                <w:sz w:val="20"/>
              </w:rPr>
              <w:t>0, 10, 50</w:t>
            </w:r>
          </w:p>
          <w:p w14:paraId="43E2A672" w14:textId="77777777" w:rsidR="00E21D62" w:rsidRPr="002B2CFC" w:rsidRDefault="00E21D62" w:rsidP="00822CE8">
            <w:pPr>
              <w:keepNext/>
              <w:keepLines/>
              <w:jc w:val="left"/>
              <w:rPr>
                <w:sz w:val="20"/>
              </w:rPr>
            </w:pPr>
          </w:p>
          <w:p w14:paraId="691839A8" w14:textId="77777777" w:rsidR="00E21D62" w:rsidRPr="000102CE" w:rsidRDefault="00E21D62" w:rsidP="00822CE8">
            <w:pPr>
              <w:keepNext/>
              <w:keepLines/>
              <w:jc w:val="left"/>
              <w:rPr>
                <w:i/>
                <w:sz w:val="20"/>
              </w:rPr>
            </w:pPr>
            <w:r w:rsidRPr="002B2CFC">
              <w:rPr>
                <w:sz w:val="20"/>
              </w:rPr>
              <w:t>(</w:t>
            </w:r>
            <w:r w:rsidRPr="002B2CFC">
              <w:rPr>
                <w:i/>
                <w:sz w:val="20"/>
              </w:rPr>
              <w:t>Calculated average</w:t>
            </w:r>
            <w:r w:rsidRPr="000102CE">
              <w:rPr>
                <w:i/>
                <w:sz w:val="20"/>
              </w:rPr>
              <w:t xml:space="preserve"> paraquat dichloride:</w:t>
            </w:r>
          </w:p>
          <w:p w14:paraId="6168BE7E" w14:textId="77777777" w:rsidR="00E21D62" w:rsidRPr="002B2CFC" w:rsidRDefault="00E21D62" w:rsidP="00822CE8">
            <w:pPr>
              <w:keepNext/>
              <w:keepLines/>
              <w:jc w:val="left"/>
              <w:rPr>
                <w:sz w:val="20"/>
              </w:rPr>
            </w:pPr>
            <w:r w:rsidRPr="002B2CFC">
              <w:rPr>
                <w:sz w:val="20"/>
              </w:rPr>
              <w:t>Males: 0, 2.4, 14.1 mg/kg bw/d</w:t>
            </w:r>
          </w:p>
          <w:p w14:paraId="0A60C729" w14:textId="77777777" w:rsidR="00E21D62" w:rsidRDefault="00E21D62" w:rsidP="00822CE8">
            <w:pPr>
              <w:keepNext/>
              <w:keepLines/>
              <w:jc w:val="left"/>
              <w:rPr>
                <w:sz w:val="20"/>
              </w:rPr>
            </w:pPr>
            <w:r w:rsidRPr="002B2CFC">
              <w:rPr>
                <w:sz w:val="20"/>
              </w:rPr>
              <w:t xml:space="preserve">Females: 0, 3.7, 21.5 mg/kg bw/d) </w:t>
            </w:r>
          </w:p>
          <w:p w14:paraId="3DC52C23" w14:textId="77777777" w:rsidR="00E21D62" w:rsidRDefault="00E21D62" w:rsidP="00822CE8">
            <w:pPr>
              <w:keepNext/>
              <w:keepLines/>
              <w:jc w:val="left"/>
              <w:rPr>
                <w:sz w:val="20"/>
              </w:rPr>
            </w:pPr>
          </w:p>
          <w:p w14:paraId="503B160D" w14:textId="77777777" w:rsidR="00E21D62" w:rsidRPr="000102CE" w:rsidRDefault="00E21D62" w:rsidP="00822CE8">
            <w:pPr>
              <w:keepNext/>
              <w:keepLines/>
              <w:jc w:val="left"/>
              <w:rPr>
                <w:i/>
                <w:sz w:val="20"/>
              </w:rPr>
            </w:pPr>
            <w:r w:rsidRPr="002B2CFC">
              <w:rPr>
                <w:i/>
                <w:sz w:val="20"/>
              </w:rPr>
              <w:t>Calculated average</w:t>
            </w:r>
            <w:r w:rsidRPr="000102CE">
              <w:rPr>
                <w:i/>
                <w:sz w:val="20"/>
              </w:rPr>
              <w:t xml:space="preserve"> paraquat </w:t>
            </w:r>
            <w:r>
              <w:rPr>
                <w:i/>
                <w:sz w:val="20"/>
              </w:rPr>
              <w:t>ion</w:t>
            </w:r>
            <w:r w:rsidRPr="000102CE">
              <w:rPr>
                <w:i/>
                <w:sz w:val="20"/>
              </w:rPr>
              <w:t>:</w:t>
            </w:r>
          </w:p>
          <w:p w14:paraId="05C9DAAD" w14:textId="77777777" w:rsidR="00E21D62" w:rsidRPr="002B2CFC" w:rsidRDefault="00E21D62" w:rsidP="00822CE8">
            <w:pPr>
              <w:keepNext/>
              <w:keepLines/>
              <w:jc w:val="left"/>
              <w:rPr>
                <w:sz w:val="20"/>
              </w:rPr>
            </w:pPr>
            <w:r w:rsidRPr="002B2CFC">
              <w:rPr>
                <w:sz w:val="20"/>
              </w:rPr>
              <w:t xml:space="preserve">Males: 0, </w:t>
            </w:r>
            <w:r>
              <w:rPr>
                <w:sz w:val="20"/>
              </w:rPr>
              <w:t>1.7</w:t>
            </w:r>
            <w:r w:rsidRPr="002B2CFC">
              <w:rPr>
                <w:sz w:val="20"/>
              </w:rPr>
              <w:t>, 1</w:t>
            </w:r>
            <w:r>
              <w:rPr>
                <w:sz w:val="20"/>
              </w:rPr>
              <w:t>0.2</w:t>
            </w:r>
            <w:r w:rsidRPr="002B2CFC">
              <w:rPr>
                <w:sz w:val="20"/>
              </w:rPr>
              <w:t xml:space="preserve"> mg/kg bw/d</w:t>
            </w:r>
          </w:p>
          <w:p w14:paraId="2BD6CC2E" w14:textId="77777777" w:rsidR="00E21D62" w:rsidRPr="002B2CFC" w:rsidRDefault="00E21D62" w:rsidP="00822CE8">
            <w:pPr>
              <w:keepNext/>
              <w:keepLines/>
              <w:jc w:val="left"/>
              <w:rPr>
                <w:sz w:val="20"/>
              </w:rPr>
            </w:pPr>
            <w:r w:rsidRPr="002B2CFC">
              <w:rPr>
                <w:sz w:val="20"/>
              </w:rPr>
              <w:t xml:space="preserve">Females: 0, </w:t>
            </w:r>
            <w:r>
              <w:rPr>
                <w:sz w:val="20"/>
              </w:rPr>
              <w:t>2</w:t>
            </w:r>
            <w:r w:rsidRPr="002B2CFC">
              <w:rPr>
                <w:sz w:val="20"/>
              </w:rPr>
              <w:t xml:space="preserve">.7, </w:t>
            </w:r>
            <w:r>
              <w:rPr>
                <w:sz w:val="20"/>
              </w:rPr>
              <w:t>15.6</w:t>
            </w:r>
            <w:r w:rsidRPr="002B2CFC">
              <w:rPr>
                <w:sz w:val="20"/>
              </w:rPr>
              <w:t xml:space="preserve"> mg/kg bw/d)</w:t>
            </w:r>
          </w:p>
        </w:tc>
      </w:tr>
      <w:tr w:rsidR="00E21D62" w:rsidRPr="002B2CFC" w14:paraId="26F1A786" w14:textId="77777777" w:rsidTr="00822CE8">
        <w:trPr>
          <w:cantSplit/>
        </w:trPr>
        <w:tc>
          <w:tcPr>
            <w:tcW w:w="834" w:type="pct"/>
            <w:tcBorders>
              <w:top w:val="single" w:sz="4" w:space="0" w:color="auto"/>
              <w:left w:val="single" w:sz="4" w:space="0" w:color="auto"/>
              <w:bottom w:val="single" w:sz="4" w:space="0" w:color="auto"/>
              <w:right w:val="single" w:sz="4" w:space="0" w:color="auto"/>
            </w:tcBorders>
            <w:vAlign w:val="center"/>
          </w:tcPr>
          <w:p w14:paraId="13260C03" w14:textId="77777777" w:rsidR="00E21D62" w:rsidRPr="002B2CFC" w:rsidRDefault="00E21D62" w:rsidP="00822CE8">
            <w:pPr>
              <w:keepNext/>
              <w:keepLines/>
              <w:jc w:val="left"/>
              <w:rPr>
                <w:sz w:val="20"/>
              </w:rPr>
            </w:pPr>
            <w:r w:rsidRPr="002B2CFC">
              <w:rPr>
                <w:sz w:val="20"/>
              </w:rPr>
              <w:t>Positive control:</w:t>
            </w:r>
          </w:p>
          <w:p w14:paraId="35A77E98" w14:textId="77777777" w:rsidR="00E21D62" w:rsidRPr="002B2CFC" w:rsidRDefault="00E21D62" w:rsidP="00822CE8">
            <w:pPr>
              <w:keepNext/>
              <w:keepLines/>
              <w:jc w:val="left"/>
              <w:rPr>
                <w:sz w:val="20"/>
              </w:rPr>
            </w:pPr>
            <w:r w:rsidRPr="002B2CFC">
              <w:rPr>
                <w:sz w:val="20"/>
              </w:rPr>
              <w:t>ip injection</w:t>
            </w:r>
          </w:p>
        </w:tc>
        <w:tc>
          <w:tcPr>
            <w:tcW w:w="801" w:type="pct"/>
            <w:tcBorders>
              <w:top w:val="single" w:sz="4" w:space="0" w:color="auto"/>
              <w:left w:val="single" w:sz="4" w:space="0" w:color="auto"/>
              <w:bottom w:val="single" w:sz="4" w:space="0" w:color="auto"/>
              <w:right w:val="single" w:sz="4" w:space="0" w:color="auto"/>
            </w:tcBorders>
            <w:vAlign w:val="center"/>
          </w:tcPr>
          <w:p w14:paraId="75B06D33" w14:textId="77777777" w:rsidR="00E21D62" w:rsidRPr="002B2CFC" w:rsidRDefault="00E21D62" w:rsidP="00822CE8">
            <w:pPr>
              <w:keepNext/>
              <w:keepLines/>
              <w:jc w:val="left"/>
              <w:rPr>
                <w:sz w:val="20"/>
              </w:rPr>
            </w:pPr>
            <w:r w:rsidRPr="002B2CFC">
              <w:rPr>
                <w:sz w:val="20"/>
              </w:rPr>
              <w:t>0.9% sodium chloride for injection</w:t>
            </w:r>
          </w:p>
        </w:tc>
        <w:tc>
          <w:tcPr>
            <w:tcW w:w="1442" w:type="pct"/>
            <w:tcBorders>
              <w:top w:val="single" w:sz="4" w:space="0" w:color="auto"/>
              <w:left w:val="single" w:sz="4" w:space="0" w:color="auto"/>
              <w:bottom w:val="single" w:sz="4" w:space="0" w:color="auto"/>
              <w:right w:val="single" w:sz="4" w:space="0" w:color="auto"/>
            </w:tcBorders>
            <w:vAlign w:val="center"/>
          </w:tcPr>
          <w:p w14:paraId="0C5A3185" w14:textId="77777777" w:rsidR="00E21D62" w:rsidRPr="002B2CFC" w:rsidRDefault="00E21D62" w:rsidP="00822CE8">
            <w:pPr>
              <w:keepNext/>
              <w:keepLines/>
              <w:jc w:val="left"/>
              <w:rPr>
                <w:sz w:val="20"/>
              </w:rPr>
            </w:pPr>
            <w:r w:rsidRPr="002B2CFC">
              <w:rPr>
                <w:sz w:val="20"/>
              </w:rPr>
              <w:t>4 injections, approx. 2 hours apart 7 days prior to scheduled euthanasia</w:t>
            </w:r>
          </w:p>
        </w:tc>
        <w:tc>
          <w:tcPr>
            <w:tcW w:w="1923" w:type="pct"/>
            <w:tcBorders>
              <w:top w:val="single" w:sz="4" w:space="0" w:color="auto"/>
              <w:left w:val="single" w:sz="4" w:space="0" w:color="auto"/>
              <w:bottom w:val="single" w:sz="4" w:space="0" w:color="auto"/>
              <w:right w:val="single" w:sz="4" w:space="0" w:color="auto"/>
            </w:tcBorders>
            <w:vAlign w:val="center"/>
          </w:tcPr>
          <w:p w14:paraId="7B2A75AF" w14:textId="77777777" w:rsidR="00E21D62" w:rsidRPr="002B2CFC" w:rsidRDefault="00E21D62" w:rsidP="00822CE8">
            <w:pPr>
              <w:keepNext/>
              <w:keepLines/>
              <w:jc w:val="left"/>
              <w:rPr>
                <w:sz w:val="20"/>
              </w:rPr>
            </w:pPr>
            <w:r w:rsidRPr="002B2CFC">
              <w:rPr>
                <w:sz w:val="20"/>
              </w:rPr>
              <w:t>10 mg (free base) /kg/dose [4 mg/mL]) 1-methyl-4-phenyl-1,2,3,6- tetrahydropyridine hydrochloride (MPTP HCl)</w:t>
            </w:r>
          </w:p>
        </w:tc>
      </w:tr>
    </w:tbl>
    <w:p w14:paraId="1FB4775B" w14:textId="77777777" w:rsidR="00E21D62" w:rsidRPr="002B2CFC" w:rsidRDefault="00E21D62" w:rsidP="00E21D62">
      <w:pPr>
        <w:rPr>
          <w:szCs w:val="24"/>
          <w:lang w:val="en-US" w:eastAsia="en-US"/>
        </w:rPr>
      </w:pPr>
    </w:p>
    <w:p w14:paraId="69538FF5" w14:textId="77777777" w:rsidR="00E21D62" w:rsidRPr="002B2CFC" w:rsidRDefault="00E21D62" w:rsidP="00E21D62">
      <w:pPr>
        <w:keepNext/>
        <w:rPr>
          <w:b/>
          <w:i/>
          <w:szCs w:val="24"/>
          <w:lang w:val="en-US" w:eastAsia="en-US"/>
        </w:rPr>
      </w:pPr>
      <w:r w:rsidRPr="002B2CFC">
        <w:rPr>
          <w:b/>
          <w:i/>
          <w:szCs w:val="24"/>
          <w:lang w:val="en-US" w:eastAsia="en-US"/>
        </w:rPr>
        <w:t>Method</w:t>
      </w:r>
    </w:p>
    <w:p w14:paraId="45C6A928" w14:textId="77777777" w:rsidR="00E21D62" w:rsidRPr="002B2CFC" w:rsidRDefault="00E21D62" w:rsidP="00E21D62">
      <w:pPr>
        <w:rPr>
          <w:szCs w:val="24"/>
          <w:lang w:val="en-US" w:eastAsia="en-US"/>
        </w:rPr>
      </w:pPr>
      <w:r w:rsidRPr="002B2CFC">
        <w:rPr>
          <w:szCs w:val="24"/>
          <w:lang w:val="en-US" w:eastAsia="en-US"/>
        </w:rPr>
        <w:t xml:space="preserve">This report presents the neurochemical findings only from the study titled </w:t>
      </w:r>
      <w:r w:rsidRPr="002B2CFC">
        <w:rPr>
          <w:i/>
          <w:szCs w:val="24"/>
          <w:lang w:val="en-US" w:eastAsia="en-US"/>
        </w:rPr>
        <w:t xml:space="preserve">Subchronic (91-day) dietary study to assess the effects of paraquat dichloride on dopaminergic neurons in C57BL/6J mice (Beck, 2013). </w:t>
      </w:r>
      <w:r w:rsidRPr="002B2CFC">
        <w:rPr>
          <w:szCs w:val="24"/>
          <w:lang w:val="en-US" w:eastAsia="en-US"/>
        </w:rPr>
        <w:t>In this study, mice were administered paraquat dichloride in the diet continuously for 91-95 days at concentrations of 0, 10 or 50 ppm, to determine the effect(s) on dopaminergic neurons in the brains of mice. A positive control group received four intraperitoneal injections of MPTP HCl, approximately two hours apart (4 x 10 mg/kg bw)</w:t>
      </w:r>
      <w:r>
        <w:rPr>
          <w:szCs w:val="24"/>
          <w:lang w:val="en-US" w:eastAsia="en-US"/>
        </w:rPr>
        <w:t>, seven days before scheduled euthanasia</w:t>
      </w:r>
      <w:r w:rsidRPr="002B2CFC">
        <w:rPr>
          <w:szCs w:val="24"/>
          <w:lang w:val="en-US" w:eastAsia="en-US"/>
        </w:rPr>
        <w:t xml:space="preserve">. Further details of the method and study design can be found in Beck (2013). </w:t>
      </w:r>
    </w:p>
    <w:p w14:paraId="715446BC" w14:textId="77777777" w:rsidR="00E21D62" w:rsidRPr="002B2CFC" w:rsidRDefault="00E21D62" w:rsidP="00E21D62">
      <w:pPr>
        <w:rPr>
          <w:szCs w:val="24"/>
          <w:lang w:val="en-US" w:eastAsia="en-US"/>
        </w:rPr>
      </w:pPr>
    </w:p>
    <w:p w14:paraId="492A8705" w14:textId="77777777" w:rsidR="00E21D62" w:rsidRDefault="00E21D62" w:rsidP="00E21D62">
      <w:pPr>
        <w:rPr>
          <w:szCs w:val="24"/>
          <w:lang w:val="en-US" w:eastAsia="en-US"/>
        </w:rPr>
      </w:pPr>
      <w:r w:rsidRPr="002B2CFC">
        <w:rPr>
          <w:szCs w:val="24"/>
          <w:lang w:val="en-US" w:eastAsia="en-US"/>
        </w:rPr>
        <w:t>The aim of the neurochemistry component was to quantitate DA and the two DA metabolites –HVA</w:t>
      </w:r>
      <w:r w:rsidR="001875D7">
        <w:rPr>
          <w:szCs w:val="24"/>
          <w:lang w:val="en-US" w:eastAsia="en-US"/>
        </w:rPr>
        <w:t xml:space="preserve"> and </w:t>
      </w:r>
      <w:r w:rsidRPr="002B2CFC">
        <w:rPr>
          <w:szCs w:val="24"/>
          <w:lang w:val="en-US" w:eastAsia="en-US"/>
        </w:rPr>
        <w:t>DOPAC</w:t>
      </w:r>
      <w:r>
        <w:rPr>
          <w:szCs w:val="24"/>
          <w:lang w:val="en-US" w:eastAsia="en-US"/>
        </w:rPr>
        <w:t>,</w:t>
      </w:r>
      <w:r w:rsidRPr="002B2CFC">
        <w:rPr>
          <w:szCs w:val="24"/>
          <w:lang w:val="en-US" w:eastAsia="en-US"/>
        </w:rPr>
        <w:t xml:space="preserve"> and </w:t>
      </w:r>
      <w:r>
        <w:rPr>
          <w:szCs w:val="24"/>
          <w:lang w:val="en-US" w:eastAsia="en-US"/>
        </w:rPr>
        <w:t>5-HT</w:t>
      </w:r>
      <w:r w:rsidRPr="002B2CFC">
        <w:rPr>
          <w:szCs w:val="24"/>
          <w:lang w:val="en-US" w:eastAsia="en-US"/>
        </w:rPr>
        <w:t xml:space="preserve"> in striatal tissues using HPLC coupled with</w:t>
      </w:r>
      <w:r w:rsidR="009E2A0B">
        <w:rPr>
          <w:szCs w:val="24"/>
          <w:lang w:val="en-US" w:eastAsia="en-US"/>
        </w:rPr>
        <w:t xml:space="preserve"> </w:t>
      </w:r>
      <w:r w:rsidRPr="002B2CFC">
        <w:rPr>
          <w:szCs w:val="24"/>
          <w:lang w:val="en-US" w:eastAsia="en-US"/>
        </w:rPr>
        <w:t xml:space="preserve">ECD. </w:t>
      </w:r>
    </w:p>
    <w:p w14:paraId="7F8A93DE" w14:textId="77777777" w:rsidR="00E21D62" w:rsidRPr="002B2CFC" w:rsidRDefault="00E21D62" w:rsidP="00E21D62">
      <w:pPr>
        <w:rPr>
          <w:szCs w:val="24"/>
          <w:lang w:val="en-US" w:eastAsia="en-US"/>
        </w:rPr>
      </w:pPr>
    </w:p>
    <w:p w14:paraId="0257AFAD" w14:textId="77777777" w:rsidR="00E21D62" w:rsidRPr="002B2CFC" w:rsidRDefault="00E21D62" w:rsidP="00E21D62">
      <w:pPr>
        <w:rPr>
          <w:szCs w:val="24"/>
          <w:lang w:val="en-US" w:eastAsia="en-US"/>
        </w:rPr>
      </w:pPr>
    </w:p>
    <w:p w14:paraId="78FB356B" w14:textId="77777777" w:rsidR="00E21D62" w:rsidRPr="002B2CFC" w:rsidRDefault="00E21D62" w:rsidP="00E21D62">
      <w:pPr>
        <w:rPr>
          <w:szCs w:val="24"/>
          <w:u w:val="single"/>
          <w:lang w:val="en-US" w:eastAsia="en-US"/>
        </w:rPr>
      </w:pPr>
      <w:r w:rsidRPr="002B2CFC">
        <w:rPr>
          <w:szCs w:val="24"/>
          <w:u w:val="single"/>
          <w:lang w:val="en-US" w:eastAsia="en-US"/>
        </w:rPr>
        <w:t>Necropsy and brain tissue preparation:</w:t>
      </w:r>
    </w:p>
    <w:p w14:paraId="583D4534" w14:textId="77777777" w:rsidR="00E21D62" w:rsidRPr="002B2CFC" w:rsidRDefault="00E21D62" w:rsidP="00E21D62">
      <w:pPr>
        <w:rPr>
          <w:szCs w:val="24"/>
          <w:lang w:val="en-US" w:eastAsia="en-US"/>
        </w:rPr>
      </w:pPr>
      <w:r w:rsidRPr="002B2CFC">
        <w:rPr>
          <w:szCs w:val="24"/>
          <w:lang w:val="en-US" w:eastAsia="en-US"/>
        </w:rPr>
        <w:t>The original performing laboratory performed all euthanasia and necropsies</w:t>
      </w:r>
      <w:r>
        <w:rPr>
          <w:szCs w:val="24"/>
          <w:lang w:val="en-US" w:eastAsia="en-US"/>
        </w:rPr>
        <w:t xml:space="preserve">. Dissected left and right striatums from mice designated to Subset III were sent to RTI for </w:t>
      </w:r>
      <w:r w:rsidRPr="002B2CFC">
        <w:rPr>
          <w:szCs w:val="24"/>
          <w:lang w:val="en-US" w:eastAsia="en-US"/>
        </w:rPr>
        <w:t xml:space="preserve"> for neurotransmitter analysis. RTI was also provided with the wet tissue weights.</w:t>
      </w:r>
    </w:p>
    <w:p w14:paraId="4194CC0F" w14:textId="77777777" w:rsidR="00E21D62" w:rsidRPr="002B2CFC" w:rsidRDefault="00E21D62" w:rsidP="00E21D62">
      <w:pPr>
        <w:rPr>
          <w:szCs w:val="24"/>
          <w:lang w:val="en-US" w:eastAsia="en-US"/>
        </w:rPr>
      </w:pPr>
    </w:p>
    <w:p w14:paraId="04653212" w14:textId="77777777" w:rsidR="00E21D62" w:rsidRPr="002B2CFC" w:rsidRDefault="00E21D62" w:rsidP="00E21D62">
      <w:pPr>
        <w:rPr>
          <w:szCs w:val="24"/>
          <w:u w:val="single"/>
          <w:lang w:val="en-US" w:eastAsia="en-US"/>
        </w:rPr>
      </w:pPr>
      <w:r w:rsidRPr="002B2CFC">
        <w:rPr>
          <w:szCs w:val="24"/>
          <w:u w:val="single"/>
          <w:lang w:val="en-US" w:eastAsia="en-US"/>
        </w:rPr>
        <w:t>HPLC analysis</w:t>
      </w:r>
    </w:p>
    <w:p w14:paraId="393E8F1E" w14:textId="77777777" w:rsidR="00E21D62" w:rsidRPr="002B2CFC" w:rsidRDefault="00E21D62" w:rsidP="00E21D62">
      <w:pPr>
        <w:rPr>
          <w:szCs w:val="24"/>
          <w:lang w:val="en-US" w:eastAsia="en-US"/>
        </w:rPr>
      </w:pPr>
      <w:r w:rsidRPr="002B2CFC">
        <w:rPr>
          <w:szCs w:val="24"/>
          <w:lang w:val="en-US" w:eastAsia="en-US"/>
        </w:rPr>
        <w:t xml:space="preserve">Preparation of strial tissues involved homogenisation, centrifugation and collection of </w:t>
      </w:r>
      <w:r>
        <w:rPr>
          <w:szCs w:val="24"/>
          <w:lang w:val="en-US" w:eastAsia="en-US"/>
        </w:rPr>
        <w:t>an</w:t>
      </w:r>
      <w:r w:rsidRPr="002B2CFC">
        <w:rPr>
          <w:szCs w:val="24"/>
          <w:lang w:val="en-US" w:eastAsia="en-US"/>
        </w:rPr>
        <w:t xml:space="preserve"> aliquot of the supernatant for injection into an </w:t>
      </w:r>
      <w:r>
        <w:rPr>
          <w:szCs w:val="24"/>
          <w:lang w:val="en-US" w:eastAsia="en-US"/>
        </w:rPr>
        <w:t>ECD</w:t>
      </w:r>
      <w:r w:rsidRPr="002B2CFC">
        <w:rPr>
          <w:szCs w:val="24"/>
          <w:lang w:val="en-US" w:eastAsia="en-US"/>
        </w:rPr>
        <w:t>. The striatal concentrations for each neurochemical were determined by compari</w:t>
      </w:r>
      <w:r>
        <w:rPr>
          <w:szCs w:val="24"/>
          <w:lang w:val="en-US" w:eastAsia="en-US"/>
        </w:rPr>
        <w:t xml:space="preserve">son with standard curves prepared using the same </w:t>
      </w:r>
      <w:r w:rsidRPr="002B2CFC">
        <w:rPr>
          <w:szCs w:val="24"/>
          <w:lang w:val="en-US" w:eastAsia="en-US"/>
        </w:rPr>
        <w:t xml:space="preserve">homogenisation solution. </w:t>
      </w:r>
      <w:r>
        <w:rPr>
          <w:szCs w:val="24"/>
          <w:lang w:val="en-US" w:eastAsia="en-US"/>
        </w:rPr>
        <w:t>T</w:t>
      </w:r>
      <w:r w:rsidRPr="002B2CFC">
        <w:rPr>
          <w:szCs w:val="24"/>
          <w:lang w:val="en-US" w:eastAsia="en-US"/>
        </w:rPr>
        <w:t xml:space="preserve">he percentage recovery </w:t>
      </w:r>
      <w:r>
        <w:rPr>
          <w:szCs w:val="24"/>
          <w:lang w:val="en-US" w:eastAsia="en-US"/>
        </w:rPr>
        <w:t xml:space="preserve">was also determined </w:t>
      </w:r>
      <w:r w:rsidRPr="002B2CFC">
        <w:rPr>
          <w:szCs w:val="24"/>
          <w:lang w:val="en-US" w:eastAsia="en-US"/>
        </w:rPr>
        <w:t xml:space="preserve">based on an internal standard, DHBA. </w:t>
      </w:r>
    </w:p>
    <w:p w14:paraId="30053CAE" w14:textId="77777777" w:rsidR="00E21D62" w:rsidRPr="002B2CFC" w:rsidRDefault="00E21D62" w:rsidP="00E21D62">
      <w:pPr>
        <w:rPr>
          <w:szCs w:val="24"/>
          <w:lang w:val="en-US" w:eastAsia="en-US"/>
        </w:rPr>
      </w:pPr>
    </w:p>
    <w:p w14:paraId="53F59D53" w14:textId="77777777" w:rsidR="00E21D62" w:rsidRPr="002B2CFC" w:rsidRDefault="00011149" w:rsidP="00E21D62">
      <w:pPr>
        <w:rPr>
          <w:szCs w:val="24"/>
          <w:lang w:val="en-US" w:eastAsia="en-US"/>
        </w:rPr>
      </w:pPr>
      <w:r>
        <w:rPr>
          <w:szCs w:val="24"/>
          <w:lang w:val="en-US" w:eastAsia="en-US"/>
        </w:rPr>
        <w:t>DA</w:t>
      </w:r>
      <w:r w:rsidR="00E21D62" w:rsidRPr="002B2CFC">
        <w:rPr>
          <w:szCs w:val="24"/>
          <w:lang w:val="en-US" w:eastAsia="en-US"/>
        </w:rPr>
        <w:t xml:space="preserve"> </w:t>
      </w:r>
      <w:r w:rsidR="00E21D62">
        <w:rPr>
          <w:szCs w:val="24"/>
          <w:lang w:val="en-US" w:eastAsia="en-US"/>
        </w:rPr>
        <w:t>t</w:t>
      </w:r>
      <w:r w:rsidR="00E21D62" w:rsidRPr="002B2CFC">
        <w:rPr>
          <w:szCs w:val="24"/>
          <w:lang w:val="en-US" w:eastAsia="en-US"/>
        </w:rPr>
        <w:t xml:space="preserve">urnover for each tissue was </w:t>
      </w:r>
      <w:r w:rsidR="00E21D62">
        <w:rPr>
          <w:szCs w:val="24"/>
          <w:lang w:val="en-US" w:eastAsia="en-US"/>
        </w:rPr>
        <w:t>expressed as a ratio of the</w:t>
      </w:r>
      <w:r w:rsidR="00E21D62" w:rsidRPr="002B2CFC">
        <w:rPr>
          <w:szCs w:val="24"/>
          <w:lang w:val="en-US" w:eastAsia="en-US"/>
        </w:rPr>
        <w:t xml:space="preserve"> sum of DOPAC and HVA concentrations </w:t>
      </w:r>
      <w:r w:rsidR="00E21D62">
        <w:rPr>
          <w:szCs w:val="24"/>
          <w:lang w:val="en-US" w:eastAsia="en-US"/>
        </w:rPr>
        <w:t xml:space="preserve">to that of </w:t>
      </w:r>
      <w:r>
        <w:rPr>
          <w:szCs w:val="24"/>
          <w:lang w:val="en-US" w:eastAsia="en-US"/>
        </w:rPr>
        <w:t>DA</w:t>
      </w:r>
      <w:r w:rsidR="00E21D62">
        <w:rPr>
          <w:szCs w:val="24"/>
          <w:lang w:val="en-US" w:eastAsia="en-US"/>
        </w:rPr>
        <w:t>.</w:t>
      </w:r>
    </w:p>
    <w:p w14:paraId="10A16940" w14:textId="77777777" w:rsidR="00E21D62" w:rsidRPr="002B2CFC" w:rsidRDefault="00E21D62" w:rsidP="00E21D62">
      <w:pPr>
        <w:rPr>
          <w:szCs w:val="24"/>
          <w:lang w:val="en-US" w:eastAsia="en-US"/>
        </w:rPr>
      </w:pPr>
    </w:p>
    <w:p w14:paraId="1B4F658A" w14:textId="77777777" w:rsidR="00E21D62" w:rsidRPr="002B2CFC" w:rsidRDefault="00E21D62" w:rsidP="00E21D62">
      <w:pPr>
        <w:rPr>
          <w:b/>
          <w:i/>
          <w:szCs w:val="24"/>
          <w:lang w:val="en-US" w:eastAsia="en-US"/>
        </w:rPr>
      </w:pPr>
      <w:r w:rsidRPr="002B2CFC">
        <w:rPr>
          <w:b/>
          <w:i/>
          <w:szCs w:val="24"/>
          <w:lang w:val="en-US" w:eastAsia="en-US"/>
        </w:rPr>
        <w:t>Results</w:t>
      </w:r>
    </w:p>
    <w:p w14:paraId="4FF715D4" w14:textId="77777777" w:rsidR="00E21D62" w:rsidRPr="002B2CFC" w:rsidRDefault="00E21D62" w:rsidP="00E21D62">
      <w:pPr>
        <w:rPr>
          <w:szCs w:val="24"/>
          <w:lang w:val="en-US" w:eastAsia="en-US"/>
        </w:rPr>
      </w:pPr>
      <w:r w:rsidRPr="002B2CFC">
        <w:rPr>
          <w:szCs w:val="24"/>
          <w:lang w:val="en-US" w:eastAsia="en-US"/>
        </w:rPr>
        <w:t xml:space="preserve">Validation of the method for quantification of </w:t>
      </w:r>
      <w:r w:rsidR="001875D7">
        <w:rPr>
          <w:szCs w:val="24"/>
          <w:lang w:val="en-US" w:eastAsia="en-US"/>
        </w:rPr>
        <w:t>5-HT</w:t>
      </w:r>
      <w:r w:rsidRPr="002B2CFC">
        <w:rPr>
          <w:szCs w:val="24"/>
          <w:lang w:val="en-US" w:eastAsia="en-US"/>
        </w:rPr>
        <w:t xml:space="preserve"> did not pass, therefore th</w:t>
      </w:r>
      <w:r w:rsidR="001875D7">
        <w:rPr>
          <w:szCs w:val="24"/>
          <w:lang w:val="en-US" w:eastAsia="en-US"/>
        </w:rPr>
        <w:t xml:space="preserve">ese </w:t>
      </w:r>
      <w:r w:rsidRPr="002B2CFC">
        <w:rPr>
          <w:szCs w:val="24"/>
          <w:lang w:val="en-US" w:eastAsia="en-US"/>
        </w:rPr>
        <w:t>measurement</w:t>
      </w:r>
      <w:r w:rsidR="001875D7">
        <w:rPr>
          <w:szCs w:val="24"/>
          <w:lang w:val="en-US" w:eastAsia="en-US"/>
        </w:rPr>
        <w:t>s</w:t>
      </w:r>
      <w:r w:rsidRPr="002B2CFC">
        <w:rPr>
          <w:szCs w:val="24"/>
          <w:lang w:val="en-US" w:eastAsia="en-US"/>
        </w:rPr>
        <w:t xml:space="preserve"> were considered only an estimate. The study author stated that the striatal concentrations determined in the negative control mice (</w:t>
      </w:r>
      <w:r w:rsidR="00011149">
        <w:rPr>
          <w:szCs w:val="24"/>
          <w:lang w:val="en-US" w:eastAsia="en-US"/>
        </w:rPr>
        <w:t>DA</w:t>
      </w:r>
      <w:r w:rsidRPr="002B2CFC">
        <w:rPr>
          <w:szCs w:val="24"/>
          <w:lang w:val="en-US" w:eastAsia="en-US"/>
        </w:rPr>
        <w:t xml:space="preserve">, DOPAC, HVA and </w:t>
      </w:r>
      <w:r>
        <w:rPr>
          <w:szCs w:val="24"/>
          <w:lang w:val="en-US" w:eastAsia="en-US"/>
        </w:rPr>
        <w:t>5-HT</w:t>
      </w:r>
      <w:r w:rsidRPr="002B2CFC">
        <w:rPr>
          <w:szCs w:val="24"/>
          <w:lang w:val="en-US" w:eastAsia="en-US"/>
        </w:rPr>
        <w:t>) were consistent with concentrations previously reported in this particular laboratory</w:t>
      </w:r>
      <w:r>
        <w:rPr>
          <w:szCs w:val="24"/>
          <w:lang w:val="en-US" w:eastAsia="en-US"/>
        </w:rPr>
        <w:t>.</w:t>
      </w:r>
    </w:p>
    <w:p w14:paraId="550D56C8" w14:textId="77777777" w:rsidR="00E21D62" w:rsidRPr="002B2CFC" w:rsidRDefault="00E21D62" w:rsidP="00E21D62">
      <w:pPr>
        <w:rPr>
          <w:szCs w:val="24"/>
          <w:lang w:val="en-US" w:eastAsia="en-US"/>
        </w:rPr>
      </w:pPr>
    </w:p>
    <w:p w14:paraId="7BC71EA7" w14:textId="0DB7AE43" w:rsidR="00E21D62" w:rsidRPr="002B2CFC" w:rsidRDefault="00E21D62" w:rsidP="00E21D62">
      <w:pPr>
        <w:rPr>
          <w:szCs w:val="24"/>
          <w:lang w:val="en-US" w:eastAsia="en-US"/>
        </w:rPr>
      </w:pPr>
      <w:r>
        <w:rPr>
          <w:szCs w:val="24"/>
          <w:lang w:val="en-US" w:eastAsia="en-US"/>
        </w:rPr>
        <w:t>Treatment with paraquat</w:t>
      </w:r>
      <w:r w:rsidRPr="002B2CFC">
        <w:rPr>
          <w:szCs w:val="24"/>
          <w:lang w:val="en-US" w:eastAsia="en-US"/>
        </w:rPr>
        <w:t xml:space="preserve"> did not </w:t>
      </w:r>
      <w:r>
        <w:rPr>
          <w:szCs w:val="24"/>
          <w:lang w:val="en-US" w:eastAsia="en-US"/>
        </w:rPr>
        <w:t>cause</w:t>
      </w:r>
      <w:r w:rsidRPr="002B2CFC">
        <w:rPr>
          <w:szCs w:val="24"/>
          <w:lang w:val="en-US" w:eastAsia="en-US"/>
        </w:rPr>
        <w:t xml:space="preserve"> a </w:t>
      </w:r>
      <w:r>
        <w:rPr>
          <w:szCs w:val="24"/>
          <w:lang w:val="en-US" w:eastAsia="en-US"/>
        </w:rPr>
        <w:t>dose-related</w:t>
      </w:r>
      <w:r w:rsidRPr="002B2CFC">
        <w:rPr>
          <w:szCs w:val="24"/>
          <w:lang w:val="en-US" w:eastAsia="en-US"/>
        </w:rPr>
        <w:t xml:space="preserve"> effect on </w:t>
      </w:r>
      <w:r w:rsidR="00011149">
        <w:rPr>
          <w:szCs w:val="24"/>
          <w:lang w:val="en-US" w:eastAsia="en-US"/>
        </w:rPr>
        <w:t>DA</w:t>
      </w:r>
      <w:r w:rsidRPr="002B2CFC">
        <w:rPr>
          <w:szCs w:val="24"/>
          <w:lang w:val="en-US" w:eastAsia="en-US"/>
        </w:rPr>
        <w:t xml:space="preserve"> or its two metabolites, across both dose groups, with both increases and decreases in percentage difference from negative controls noted . For males, this was particularly inconsistent. For females, </w:t>
      </w:r>
      <w:r w:rsidR="00011149">
        <w:rPr>
          <w:szCs w:val="24"/>
          <w:lang w:val="en-US" w:eastAsia="en-US"/>
        </w:rPr>
        <w:t>DA</w:t>
      </w:r>
      <w:r w:rsidRPr="002B2CFC">
        <w:rPr>
          <w:szCs w:val="24"/>
          <w:lang w:val="en-US" w:eastAsia="en-US"/>
        </w:rPr>
        <w:t xml:space="preserve"> was unchanged at 10 ppm and increased from controls by 20% at 50 ppm (positive control -33%). </w:t>
      </w:r>
      <w:r>
        <w:rPr>
          <w:szCs w:val="24"/>
          <w:lang w:val="en-US" w:eastAsia="en-US"/>
        </w:rPr>
        <w:t>However</w:t>
      </w:r>
      <w:r w:rsidRPr="002B2CFC">
        <w:rPr>
          <w:szCs w:val="24"/>
          <w:lang w:val="en-US" w:eastAsia="en-US"/>
        </w:rPr>
        <w:t xml:space="preserve"> the direction of change is not considered to be toxicologically significant. </w:t>
      </w:r>
    </w:p>
    <w:p w14:paraId="20EFF15E" w14:textId="77777777" w:rsidR="00E21D62" w:rsidRPr="002B2CFC" w:rsidRDefault="00E21D62" w:rsidP="00E21D62">
      <w:pPr>
        <w:rPr>
          <w:szCs w:val="24"/>
          <w:lang w:val="en-US" w:eastAsia="en-US"/>
        </w:rPr>
      </w:pPr>
    </w:p>
    <w:p w14:paraId="300B7100" w14:textId="77777777" w:rsidR="00E21D62" w:rsidRPr="002B2CFC" w:rsidRDefault="00E21D62" w:rsidP="00E21D62">
      <w:pPr>
        <w:rPr>
          <w:szCs w:val="24"/>
          <w:lang w:val="en-US" w:eastAsia="en-US"/>
        </w:rPr>
      </w:pPr>
      <w:r w:rsidRPr="002B2CFC">
        <w:rPr>
          <w:szCs w:val="24"/>
          <w:lang w:val="en-US" w:eastAsia="en-US"/>
        </w:rPr>
        <w:t>For DOPAC, levels in females were dose</w:t>
      </w:r>
      <w:r>
        <w:rPr>
          <w:szCs w:val="24"/>
          <w:lang w:val="en-US" w:eastAsia="en-US"/>
        </w:rPr>
        <w:t>-</w:t>
      </w:r>
      <w:r w:rsidRPr="002B2CFC">
        <w:rPr>
          <w:szCs w:val="24"/>
          <w:lang w:val="en-US" w:eastAsia="en-US"/>
        </w:rPr>
        <w:t xml:space="preserve">relatedly reduced (-43% and -49%) for 10 and 50 ppm paraquat treated groups respectively (positive control reduced by -49%), and for HVA the levels were reduced, but not dose relatedly so (-14% for 10 ppm and -2% for 50 ppm, positive control -20%). The significance of the DOPAC levels being dose relatedly reduced is unclear, without corresponding findings in the </w:t>
      </w:r>
      <w:r w:rsidR="00011149">
        <w:rPr>
          <w:szCs w:val="24"/>
          <w:lang w:val="en-US" w:eastAsia="en-US"/>
        </w:rPr>
        <w:t>DA</w:t>
      </w:r>
      <w:r w:rsidRPr="002B2CFC">
        <w:rPr>
          <w:szCs w:val="24"/>
          <w:lang w:val="en-US" w:eastAsia="en-US"/>
        </w:rPr>
        <w:t xml:space="preserve"> levels, and findings in males.</w:t>
      </w:r>
      <w:r>
        <w:rPr>
          <w:szCs w:val="24"/>
          <w:lang w:val="en-US" w:eastAsia="en-US"/>
        </w:rPr>
        <w:t xml:space="preserve"> A higher than expected mean DOPAC level in negative control females also skews these results.</w:t>
      </w:r>
    </w:p>
    <w:p w14:paraId="41FADC46" w14:textId="77777777" w:rsidR="00E21D62" w:rsidRPr="002B2CFC" w:rsidRDefault="00E21D62" w:rsidP="00E21D62">
      <w:pPr>
        <w:rPr>
          <w:szCs w:val="24"/>
          <w:lang w:val="en-US" w:eastAsia="en-US"/>
        </w:rPr>
      </w:pPr>
    </w:p>
    <w:p w14:paraId="4FE14A03" w14:textId="77777777" w:rsidR="00E21D62" w:rsidRPr="002B2CFC" w:rsidRDefault="001875D7" w:rsidP="00E21D62">
      <w:pPr>
        <w:rPr>
          <w:szCs w:val="24"/>
          <w:lang w:val="en-US" w:eastAsia="en-US"/>
        </w:rPr>
      </w:pPr>
      <w:r>
        <w:rPr>
          <w:szCs w:val="24"/>
          <w:lang w:val="en-US" w:eastAsia="en-US"/>
        </w:rPr>
        <w:t>5-HT</w:t>
      </w:r>
      <w:r w:rsidR="00E21D62" w:rsidRPr="002B2CFC">
        <w:rPr>
          <w:szCs w:val="24"/>
          <w:lang w:val="en-US" w:eastAsia="en-US"/>
        </w:rPr>
        <w:t xml:space="preserve">, as an estimate only, was increased from controls in all groups tested. For 10 ppm, 50 ppm and positive controls, the percentage increased from controls for males was + 44% and +22% (+21% for positive controls), and for females was +11% and +2.9% (+9.4% for positive controls), for 10 ppm and 50 ppm groups respectively. </w:t>
      </w:r>
      <w:r w:rsidR="00E21D62">
        <w:rPr>
          <w:szCs w:val="24"/>
          <w:lang w:val="en-US" w:eastAsia="en-US"/>
        </w:rPr>
        <w:t>This lacks a dose relationship however and in addition l</w:t>
      </w:r>
      <w:r w:rsidR="00E21D62" w:rsidRPr="002B2CFC">
        <w:rPr>
          <w:szCs w:val="24"/>
          <w:lang w:val="en-US" w:eastAsia="en-US"/>
        </w:rPr>
        <w:t xml:space="preserve">imited interpretation of the </w:t>
      </w:r>
      <w:r>
        <w:rPr>
          <w:szCs w:val="24"/>
          <w:lang w:val="en-US" w:eastAsia="en-US"/>
        </w:rPr>
        <w:t>5-HT</w:t>
      </w:r>
      <w:r w:rsidR="00E21D62" w:rsidRPr="002B2CFC">
        <w:rPr>
          <w:szCs w:val="24"/>
          <w:lang w:val="en-US" w:eastAsia="en-US"/>
        </w:rPr>
        <w:t xml:space="preserve"> levels can be made </w:t>
      </w:r>
      <w:r w:rsidR="00E21D62">
        <w:rPr>
          <w:szCs w:val="24"/>
          <w:lang w:val="en-US" w:eastAsia="en-US"/>
        </w:rPr>
        <w:t>as the analytical method was not validated.</w:t>
      </w:r>
    </w:p>
    <w:p w14:paraId="10E1341A" w14:textId="77777777" w:rsidR="00E21D62" w:rsidRPr="002B2CFC" w:rsidRDefault="00E21D62" w:rsidP="00E21D62">
      <w:pPr>
        <w:rPr>
          <w:szCs w:val="24"/>
          <w:lang w:val="en-US" w:eastAsia="en-US"/>
        </w:rPr>
      </w:pPr>
    </w:p>
    <w:p w14:paraId="2A988936" w14:textId="35CCED14" w:rsidR="00E21D62" w:rsidRPr="002B2CFC" w:rsidRDefault="00E21D62" w:rsidP="00E21D62">
      <w:pPr>
        <w:rPr>
          <w:szCs w:val="24"/>
          <w:lang w:val="en-US" w:eastAsia="en-US"/>
        </w:rPr>
      </w:pPr>
      <w:r w:rsidRPr="002B2CFC">
        <w:rPr>
          <w:szCs w:val="24"/>
          <w:lang w:val="en-US" w:eastAsia="en-US"/>
        </w:rPr>
        <w:t xml:space="preserve">The positive control group showed marked effects in the levels of these neurotransmitters. The percentage difference from controls for </w:t>
      </w:r>
      <w:r w:rsidR="00011149">
        <w:rPr>
          <w:szCs w:val="24"/>
          <w:lang w:val="en-US" w:eastAsia="en-US"/>
        </w:rPr>
        <w:t>DA</w:t>
      </w:r>
      <w:r w:rsidRPr="002B2CFC">
        <w:rPr>
          <w:szCs w:val="24"/>
          <w:lang w:val="en-US" w:eastAsia="en-US"/>
        </w:rPr>
        <w:t xml:space="preserve">, DOPAC and HVA were -86%, -68% and -52% (males) and -33%, -49% and -20% (females) respectively . The mean </w:t>
      </w:r>
      <w:r w:rsidR="00011149">
        <w:rPr>
          <w:szCs w:val="24"/>
          <w:lang w:val="en-US" w:eastAsia="en-US"/>
        </w:rPr>
        <w:t>DA</w:t>
      </w:r>
      <w:r w:rsidRPr="002B2CFC">
        <w:rPr>
          <w:szCs w:val="24"/>
          <w:lang w:val="en-US" w:eastAsia="en-US"/>
        </w:rPr>
        <w:t xml:space="preserve"> turnover for male mice was +221% and for females was only +1.3%. It is evident from these figures that the effects in females were not as great as those for males, however the study author stated that MPTP has previously been demonstrated to induce greater neurotoxicity in male mice than females. Considering the higher than expected mean DOPAC levels detected in female negative control mice, this finding would have artificially increased the apparent difference in DOPAC concentrations in other groups, as well as the lower </w:t>
      </w:r>
      <w:r w:rsidR="00011149">
        <w:rPr>
          <w:szCs w:val="24"/>
          <w:lang w:val="en-US" w:eastAsia="en-US"/>
        </w:rPr>
        <w:t>DA</w:t>
      </w:r>
      <w:r w:rsidRPr="002B2CFC">
        <w:rPr>
          <w:szCs w:val="24"/>
          <w:lang w:val="en-US" w:eastAsia="en-US"/>
        </w:rPr>
        <w:t xml:space="preserve"> turnover in positive control females. </w:t>
      </w:r>
    </w:p>
    <w:p w14:paraId="38D4A633" w14:textId="77777777" w:rsidR="00E21D62" w:rsidRPr="002B2CFC" w:rsidRDefault="00E21D62" w:rsidP="00E21D62">
      <w:pPr>
        <w:rPr>
          <w:szCs w:val="24"/>
          <w:lang w:val="en-US" w:eastAsia="en-US"/>
        </w:rPr>
      </w:pPr>
    </w:p>
    <w:p w14:paraId="50F8B43D" w14:textId="77777777" w:rsidR="00E21D62" w:rsidRPr="002B2CFC" w:rsidRDefault="00E21D62" w:rsidP="00E21D62">
      <w:pPr>
        <w:spacing w:after="120"/>
        <w:rPr>
          <w:b/>
          <w:bCs/>
          <w:sz w:val="20"/>
          <w:lang w:val="en-US" w:eastAsia="en-US"/>
        </w:rPr>
      </w:pPr>
      <w:r w:rsidRPr="002B2CFC">
        <w:rPr>
          <w:b/>
          <w:bCs/>
          <w:sz w:val="20"/>
          <w:lang w:val="en-US" w:eastAsia="en-US"/>
        </w:rPr>
        <w:t xml:space="preserve">Table </w:t>
      </w:r>
      <w:r w:rsidR="00897462" w:rsidRPr="002B2CFC">
        <w:rPr>
          <w:b/>
          <w:bCs/>
          <w:sz w:val="20"/>
          <w:lang w:val="en-US" w:eastAsia="en-US"/>
        </w:rPr>
        <w:fldChar w:fldCharType="begin"/>
      </w:r>
      <w:r w:rsidRPr="002B2CFC">
        <w:rPr>
          <w:b/>
          <w:bCs/>
          <w:sz w:val="20"/>
          <w:lang w:val="en-US" w:eastAsia="en-US"/>
        </w:rPr>
        <w:instrText xml:space="preserve"> SEQ Table \* ARABIC </w:instrText>
      </w:r>
      <w:r w:rsidR="00897462" w:rsidRPr="002B2CFC">
        <w:rPr>
          <w:b/>
          <w:bCs/>
          <w:sz w:val="20"/>
          <w:lang w:val="en-US" w:eastAsia="en-US"/>
        </w:rPr>
        <w:fldChar w:fldCharType="separate"/>
      </w:r>
      <w:r w:rsidR="000E54B2">
        <w:rPr>
          <w:b/>
          <w:bCs/>
          <w:noProof/>
          <w:sz w:val="20"/>
          <w:lang w:val="en-US" w:eastAsia="en-US"/>
        </w:rPr>
        <w:t>55</w:t>
      </w:r>
      <w:r w:rsidR="00897462" w:rsidRPr="002B2CFC">
        <w:rPr>
          <w:b/>
          <w:bCs/>
          <w:sz w:val="20"/>
          <w:lang w:val="en-US" w:eastAsia="en-US"/>
        </w:rPr>
        <w:fldChar w:fldCharType="end"/>
      </w:r>
      <w:r w:rsidRPr="002B2CFC">
        <w:rPr>
          <w:b/>
          <w:bCs/>
          <w:sz w:val="20"/>
          <w:lang w:val="en-US" w:eastAsia="en-US"/>
        </w:rPr>
        <w:t>. Striatal neurotransmitter and metabolite levels (mean and percentage change from negative control)</w:t>
      </w:r>
    </w:p>
    <w:tbl>
      <w:tblPr>
        <w:tblStyle w:val="TableGrid"/>
        <w:tblW w:w="0" w:type="auto"/>
        <w:tblLayout w:type="fixed"/>
        <w:tblLook w:val="04A0" w:firstRow="1" w:lastRow="0" w:firstColumn="1" w:lastColumn="0" w:noHBand="0" w:noVBand="1"/>
      </w:tblPr>
      <w:tblGrid>
        <w:gridCol w:w="1242"/>
        <w:gridCol w:w="709"/>
        <w:gridCol w:w="1280"/>
        <w:gridCol w:w="1280"/>
        <w:gridCol w:w="1280"/>
        <w:gridCol w:w="1405"/>
        <w:gridCol w:w="1559"/>
      </w:tblGrid>
      <w:tr w:rsidR="00E21D62" w:rsidRPr="001F281A" w14:paraId="7BE01D06" w14:textId="77777777" w:rsidTr="00822CE8">
        <w:tc>
          <w:tcPr>
            <w:tcW w:w="1242" w:type="dxa"/>
            <w:shd w:val="clear" w:color="auto" w:fill="BFBFBF"/>
            <w:vAlign w:val="center"/>
          </w:tcPr>
          <w:p w14:paraId="70276D76" w14:textId="77777777" w:rsidR="00E21D62" w:rsidRPr="008E42B1" w:rsidRDefault="00E21D62" w:rsidP="00822CE8">
            <w:pPr>
              <w:jc w:val="center"/>
              <w:rPr>
                <w:b/>
                <w:sz w:val="20"/>
                <w:lang w:val="en-US" w:eastAsia="en-US"/>
              </w:rPr>
            </w:pPr>
            <w:r w:rsidRPr="008E42B1">
              <w:rPr>
                <w:b/>
                <w:sz w:val="20"/>
                <w:lang w:val="en-US" w:eastAsia="en-US"/>
              </w:rPr>
              <w:t>Mean /</w:t>
            </w:r>
          </w:p>
          <w:p w14:paraId="339F37E3" w14:textId="77777777" w:rsidR="00E21D62" w:rsidRPr="008E42B1" w:rsidRDefault="00E21D62" w:rsidP="00822CE8">
            <w:pPr>
              <w:jc w:val="center"/>
              <w:rPr>
                <w:b/>
                <w:sz w:val="20"/>
                <w:lang w:val="en-US" w:eastAsia="en-US"/>
              </w:rPr>
            </w:pPr>
            <w:r w:rsidRPr="008E42B1">
              <w:rPr>
                <w:b/>
                <w:sz w:val="20"/>
                <w:lang w:val="en-US" w:eastAsia="en-US"/>
              </w:rPr>
              <w:t>% change from ctrl</w:t>
            </w:r>
          </w:p>
        </w:tc>
        <w:tc>
          <w:tcPr>
            <w:tcW w:w="709" w:type="dxa"/>
            <w:tcBorders>
              <w:bottom w:val="nil"/>
            </w:tcBorders>
            <w:shd w:val="clear" w:color="auto" w:fill="BFBFBF"/>
            <w:vAlign w:val="center"/>
          </w:tcPr>
          <w:p w14:paraId="7E2FC837" w14:textId="77777777" w:rsidR="00E21D62" w:rsidRPr="008E42B1" w:rsidRDefault="00E21D62" w:rsidP="00822CE8">
            <w:pPr>
              <w:jc w:val="center"/>
              <w:rPr>
                <w:b/>
                <w:sz w:val="20"/>
                <w:lang w:val="en-US" w:eastAsia="en-US"/>
              </w:rPr>
            </w:pPr>
          </w:p>
        </w:tc>
        <w:tc>
          <w:tcPr>
            <w:tcW w:w="5245" w:type="dxa"/>
            <w:gridSpan w:val="4"/>
            <w:shd w:val="clear" w:color="auto" w:fill="BFBFBF"/>
            <w:vAlign w:val="center"/>
          </w:tcPr>
          <w:p w14:paraId="0A20F47F" w14:textId="77777777" w:rsidR="00E21D62" w:rsidRPr="008E42B1" w:rsidRDefault="00E21D62" w:rsidP="00822CE8">
            <w:pPr>
              <w:jc w:val="center"/>
              <w:rPr>
                <w:b/>
                <w:sz w:val="20"/>
                <w:lang w:val="en-US" w:eastAsia="en-US"/>
              </w:rPr>
            </w:pPr>
            <w:r w:rsidRPr="008E42B1">
              <w:rPr>
                <w:b/>
                <w:sz w:val="20"/>
                <w:lang w:val="en-US" w:eastAsia="en-US"/>
              </w:rPr>
              <w:t>Striatal Neurotransmitter/Metabolite Levels</w:t>
            </w:r>
          </w:p>
          <w:p w14:paraId="2D507232" w14:textId="77777777" w:rsidR="00E21D62" w:rsidRPr="008E42B1" w:rsidRDefault="00E21D62" w:rsidP="00822CE8">
            <w:pPr>
              <w:jc w:val="center"/>
              <w:rPr>
                <w:b/>
                <w:sz w:val="20"/>
                <w:lang w:val="en-US" w:eastAsia="en-US"/>
              </w:rPr>
            </w:pPr>
            <w:r w:rsidRPr="008E42B1">
              <w:rPr>
                <w:b/>
                <w:sz w:val="20"/>
                <w:lang w:val="en-US" w:eastAsia="en-US"/>
              </w:rPr>
              <w:t>(ng/mg tissue)</w:t>
            </w:r>
          </w:p>
        </w:tc>
        <w:tc>
          <w:tcPr>
            <w:tcW w:w="1559" w:type="dxa"/>
            <w:vMerge w:val="restart"/>
            <w:shd w:val="clear" w:color="auto" w:fill="BFBFBF"/>
            <w:vAlign w:val="center"/>
          </w:tcPr>
          <w:p w14:paraId="0239BBA3" w14:textId="77777777" w:rsidR="00E21D62" w:rsidRPr="008E42B1" w:rsidRDefault="00011149" w:rsidP="00822CE8">
            <w:pPr>
              <w:jc w:val="center"/>
              <w:rPr>
                <w:b/>
                <w:sz w:val="20"/>
                <w:lang w:val="en-US" w:eastAsia="en-US"/>
              </w:rPr>
            </w:pPr>
            <w:r>
              <w:rPr>
                <w:b/>
                <w:sz w:val="20"/>
                <w:lang w:val="en-US" w:eastAsia="en-US"/>
              </w:rPr>
              <w:t>DA</w:t>
            </w:r>
            <w:r w:rsidR="00E21D62" w:rsidRPr="008E42B1">
              <w:rPr>
                <w:b/>
                <w:sz w:val="20"/>
                <w:lang w:val="en-US" w:eastAsia="en-US"/>
              </w:rPr>
              <w:t xml:space="preserve"> turnover</w:t>
            </w:r>
            <w:r w:rsidR="00E21D62" w:rsidRPr="008E42B1">
              <w:rPr>
                <w:b/>
                <w:sz w:val="20"/>
                <w:vertAlign w:val="superscript"/>
                <w:lang w:val="en-US" w:eastAsia="en-US"/>
              </w:rPr>
              <w:t>*</w:t>
            </w:r>
          </w:p>
        </w:tc>
      </w:tr>
      <w:tr w:rsidR="00E21D62" w:rsidRPr="001F281A" w14:paraId="4D9B8B30" w14:textId="77777777" w:rsidTr="00822CE8">
        <w:tc>
          <w:tcPr>
            <w:tcW w:w="1242" w:type="dxa"/>
            <w:tcBorders>
              <w:bottom w:val="single" w:sz="4" w:space="0" w:color="auto"/>
            </w:tcBorders>
            <w:shd w:val="clear" w:color="auto" w:fill="BFBFBF"/>
            <w:vAlign w:val="center"/>
          </w:tcPr>
          <w:p w14:paraId="5FC673F4" w14:textId="77777777" w:rsidR="00E21D62" w:rsidRPr="008E42B1" w:rsidRDefault="00E21D62" w:rsidP="00822CE8">
            <w:pPr>
              <w:jc w:val="center"/>
              <w:rPr>
                <w:b/>
                <w:sz w:val="20"/>
                <w:lang w:val="en-US" w:eastAsia="en-US"/>
              </w:rPr>
            </w:pPr>
            <w:r w:rsidRPr="008E42B1">
              <w:rPr>
                <w:b/>
                <w:sz w:val="20"/>
                <w:lang w:val="en-US" w:eastAsia="en-US"/>
              </w:rPr>
              <w:t>Group</w:t>
            </w:r>
          </w:p>
        </w:tc>
        <w:tc>
          <w:tcPr>
            <w:tcW w:w="709" w:type="dxa"/>
            <w:tcBorders>
              <w:top w:val="nil"/>
              <w:bottom w:val="single" w:sz="4" w:space="0" w:color="auto"/>
            </w:tcBorders>
            <w:shd w:val="clear" w:color="auto" w:fill="BFBFBF"/>
            <w:vAlign w:val="center"/>
          </w:tcPr>
          <w:p w14:paraId="5B5B4376" w14:textId="77777777" w:rsidR="00E21D62" w:rsidRPr="008E42B1" w:rsidRDefault="00E21D62" w:rsidP="00822CE8">
            <w:pPr>
              <w:jc w:val="center"/>
              <w:rPr>
                <w:b/>
                <w:sz w:val="20"/>
                <w:lang w:val="en-US" w:eastAsia="en-US"/>
              </w:rPr>
            </w:pPr>
            <w:r w:rsidRPr="008E42B1">
              <w:rPr>
                <w:b/>
                <w:sz w:val="20"/>
                <w:lang w:val="en-US" w:eastAsia="en-US"/>
              </w:rPr>
              <w:t>Sex</w:t>
            </w:r>
          </w:p>
          <w:p w14:paraId="5737EE51" w14:textId="77777777" w:rsidR="00E21D62" w:rsidRPr="008E42B1" w:rsidRDefault="00E21D62" w:rsidP="00822CE8">
            <w:pPr>
              <w:jc w:val="center"/>
              <w:rPr>
                <w:b/>
                <w:sz w:val="20"/>
                <w:lang w:val="en-US" w:eastAsia="en-US"/>
              </w:rPr>
            </w:pPr>
            <w:r w:rsidRPr="008E42B1">
              <w:rPr>
                <w:b/>
                <w:sz w:val="20"/>
                <w:lang w:val="en-US" w:eastAsia="en-US"/>
              </w:rPr>
              <w:t>(n)</w:t>
            </w:r>
          </w:p>
        </w:tc>
        <w:tc>
          <w:tcPr>
            <w:tcW w:w="1280" w:type="dxa"/>
            <w:tcBorders>
              <w:bottom w:val="single" w:sz="4" w:space="0" w:color="auto"/>
            </w:tcBorders>
            <w:shd w:val="clear" w:color="auto" w:fill="BFBFBF"/>
            <w:vAlign w:val="center"/>
          </w:tcPr>
          <w:p w14:paraId="17BE7B36" w14:textId="77777777" w:rsidR="00E21D62" w:rsidRPr="008E42B1" w:rsidRDefault="00011149" w:rsidP="00822CE8">
            <w:pPr>
              <w:jc w:val="center"/>
              <w:rPr>
                <w:b/>
                <w:sz w:val="20"/>
                <w:lang w:val="en-US" w:eastAsia="en-US"/>
              </w:rPr>
            </w:pPr>
            <w:r>
              <w:rPr>
                <w:b/>
                <w:sz w:val="20"/>
                <w:lang w:val="en-US" w:eastAsia="en-US"/>
              </w:rPr>
              <w:t>DA</w:t>
            </w:r>
          </w:p>
        </w:tc>
        <w:tc>
          <w:tcPr>
            <w:tcW w:w="1280" w:type="dxa"/>
            <w:tcBorders>
              <w:bottom w:val="single" w:sz="4" w:space="0" w:color="auto"/>
            </w:tcBorders>
            <w:shd w:val="clear" w:color="auto" w:fill="BFBFBF"/>
            <w:vAlign w:val="center"/>
          </w:tcPr>
          <w:p w14:paraId="01897BAC" w14:textId="77777777" w:rsidR="00E21D62" w:rsidRPr="008E42B1" w:rsidRDefault="00E21D62" w:rsidP="00822CE8">
            <w:pPr>
              <w:jc w:val="center"/>
              <w:rPr>
                <w:b/>
                <w:sz w:val="20"/>
                <w:lang w:val="en-US" w:eastAsia="en-US"/>
              </w:rPr>
            </w:pPr>
            <w:r w:rsidRPr="008E42B1">
              <w:rPr>
                <w:b/>
                <w:sz w:val="20"/>
                <w:lang w:val="en-US" w:eastAsia="en-US"/>
              </w:rPr>
              <w:t>DOPAC</w:t>
            </w:r>
          </w:p>
        </w:tc>
        <w:tc>
          <w:tcPr>
            <w:tcW w:w="1280" w:type="dxa"/>
            <w:tcBorders>
              <w:bottom w:val="single" w:sz="4" w:space="0" w:color="auto"/>
            </w:tcBorders>
            <w:shd w:val="clear" w:color="auto" w:fill="BFBFBF"/>
            <w:vAlign w:val="center"/>
          </w:tcPr>
          <w:p w14:paraId="125A19AE" w14:textId="77777777" w:rsidR="00E21D62" w:rsidRPr="008E42B1" w:rsidRDefault="00E21D62" w:rsidP="00822CE8">
            <w:pPr>
              <w:jc w:val="center"/>
              <w:rPr>
                <w:b/>
                <w:sz w:val="20"/>
                <w:lang w:val="en-US" w:eastAsia="en-US"/>
              </w:rPr>
            </w:pPr>
            <w:r w:rsidRPr="008E42B1">
              <w:rPr>
                <w:b/>
                <w:sz w:val="20"/>
                <w:lang w:val="en-US" w:eastAsia="en-US"/>
              </w:rPr>
              <w:t>HVA</w:t>
            </w:r>
          </w:p>
        </w:tc>
        <w:tc>
          <w:tcPr>
            <w:tcW w:w="1405" w:type="dxa"/>
            <w:tcBorders>
              <w:bottom w:val="single" w:sz="4" w:space="0" w:color="auto"/>
            </w:tcBorders>
            <w:shd w:val="clear" w:color="auto" w:fill="BFBFBF"/>
            <w:vAlign w:val="center"/>
          </w:tcPr>
          <w:p w14:paraId="2597D16D" w14:textId="77777777" w:rsidR="00E21D62" w:rsidRPr="008E42B1" w:rsidRDefault="00E21D62" w:rsidP="00822CE8">
            <w:pPr>
              <w:jc w:val="center"/>
              <w:rPr>
                <w:b/>
                <w:sz w:val="20"/>
                <w:lang w:val="en-US" w:eastAsia="en-US"/>
              </w:rPr>
            </w:pPr>
            <w:r w:rsidRPr="008E42B1">
              <w:rPr>
                <w:b/>
                <w:sz w:val="20"/>
                <w:lang w:val="en-US" w:eastAsia="en-US"/>
              </w:rPr>
              <w:t>5-HT</w:t>
            </w:r>
            <w:r w:rsidRPr="008E42B1">
              <w:rPr>
                <w:b/>
                <w:sz w:val="20"/>
                <w:vertAlign w:val="superscript"/>
                <w:lang w:val="en-US" w:eastAsia="en-US"/>
              </w:rPr>
              <w:t>#</w:t>
            </w:r>
          </w:p>
        </w:tc>
        <w:tc>
          <w:tcPr>
            <w:tcW w:w="1559" w:type="dxa"/>
            <w:vMerge/>
            <w:tcBorders>
              <w:bottom w:val="single" w:sz="4" w:space="0" w:color="auto"/>
            </w:tcBorders>
            <w:shd w:val="clear" w:color="auto" w:fill="BFBFBF"/>
            <w:vAlign w:val="center"/>
          </w:tcPr>
          <w:p w14:paraId="4C49FDD4" w14:textId="77777777" w:rsidR="00E21D62" w:rsidRPr="008E42B1" w:rsidRDefault="00E21D62" w:rsidP="00822CE8">
            <w:pPr>
              <w:jc w:val="center"/>
              <w:rPr>
                <w:b/>
                <w:sz w:val="20"/>
                <w:lang w:val="en-US" w:eastAsia="en-US"/>
              </w:rPr>
            </w:pPr>
          </w:p>
        </w:tc>
      </w:tr>
      <w:tr w:rsidR="00E21D62" w:rsidRPr="001F281A" w14:paraId="0E3FF8A5" w14:textId="77777777" w:rsidTr="00822CE8">
        <w:tc>
          <w:tcPr>
            <w:tcW w:w="1242" w:type="dxa"/>
            <w:vMerge w:val="restart"/>
            <w:shd w:val="clear" w:color="auto" w:fill="FFFFFF"/>
            <w:vAlign w:val="center"/>
          </w:tcPr>
          <w:p w14:paraId="63379870" w14:textId="77777777" w:rsidR="00E21D62" w:rsidRPr="008E42B1" w:rsidRDefault="00E21D62" w:rsidP="00822CE8">
            <w:pPr>
              <w:jc w:val="center"/>
              <w:rPr>
                <w:b/>
                <w:sz w:val="20"/>
                <w:lang w:val="en-US" w:eastAsia="en-US"/>
              </w:rPr>
            </w:pPr>
            <w:r w:rsidRPr="008E42B1">
              <w:rPr>
                <w:b/>
                <w:sz w:val="20"/>
                <w:lang w:val="en-US" w:eastAsia="en-US"/>
              </w:rPr>
              <w:t>Negative control</w:t>
            </w:r>
          </w:p>
        </w:tc>
        <w:tc>
          <w:tcPr>
            <w:tcW w:w="709" w:type="dxa"/>
            <w:shd w:val="clear" w:color="auto" w:fill="D9D9D9"/>
          </w:tcPr>
          <w:p w14:paraId="66DFDF05" w14:textId="77777777" w:rsidR="00E21D62" w:rsidRPr="008E42B1" w:rsidRDefault="00E21D62" w:rsidP="00822CE8">
            <w:pPr>
              <w:rPr>
                <w:sz w:val="20"/>
                <w:lang w:val="en-US" w:eastAsia="en-US"/>
              </w:rPr>
            </w:pPr>
            <w:r w:rsidRPr="008E42B1">
              <w:rPr>
                <w:sz w:val="20"/>
                <w:lang w:val="en-US" w:eastAsia="en-US"/>
              </w:rPr>
              <w:t>M (6)</w:t>
            </w:r>
          </w:p>
        </w:tc>
        <w:tc>
          <w:tcPr>
            <w:tcW w:w="1280" w:type="dxa"/>
            <w:shd w:val="clear" w:color="auto" w:fill="D9D9D9"/>
            <w:vAlign w:val="center"/>
          </w:tcPr>
          <w:p w14:paraId="357BB6F5" w14:textId="77777777" w:rsidR="00E21D62" w:rsidRPr="008E42B1" w:rsidRDefault="00E21D62" w:rsidP="00822CE8">
            <w:pPr>
              <w:jc w:val="center"/>
              <w:rPr>
                <w:sz w:val="20"/>
                <w:lang w:val="en-US" w:eastAsia="en-US"/>
              </w:rPr>
            </w:pPr>
            <w:r w:rsidRPr="008E42B1">
              <w:rPr>
                <w:sz w:val="20"/>
                <w:lang w:val="en-US" w:eastAsia="en-US"/>
              </w:rPr>
              <w:t>16.55</w:t>
            </w:r>
          </w:p>
        </w:tc>
        <w:tc>
          <w:tcPr>
            <w:tcW w:w="1280" w:type="dxa"/>
            <w:shd w:val="clear" w:color="auto" w:fill="D9D9D9"/>
            <w:vAlign w:val="center"/>
          </w:tcPr>
          <w:p w14:paraId="66269D4F" w14:textId="77777777" w:rsidR="00E21D62" w:rsidRPr="008E42B1" w:rsidRDefault="00E21D62" w:rsidP="00822CE8">
            <w:pPr>
              <w:jc w:val="center"/>
              <w:rPr>
                <w:sz w:val="20"/>
                <w:lang w:val="en-US" w:eastAsia="en-US"/>
              </w:rPr>
            </w:pPr>
            <w:r w:rsidRPr="008E42B1">
              <w:rPr>
                <w:sz w:val="20"/>
                <w:lang w:val="en-US" w:eastAsia="en-US"/>
              </w:rPr>
              <w:t>1.66</w:t>
            </w:r>
          </w:p>
        </w:tc>
        <w:tc>
          <w:tcPr>
            <w:tcW w:w="1280" w:type="dxa"/>
            <w:shd w:val="clear" w:color="auto" w:fill="D9D9D9"/>
            <w:vAlign w:val="center"/>
          </w:tcPr>
          <w:p w14:paraId="726DC466" w14:textId="77777777" w:rsidR="00E21D62" w:rsidRPr="008E42B1" w:rsidRDefault="00E21D62" w:rsidP="00822CE8">
            <w:pPr>
              <w:jc w:val="center"/>
              <w:rPr>
                <w:sz w:val="20"/>
                <w:lang w:val="en-US" w:eastAsia="en-US"/>
              </w:rPr>
            </w:pPr>
            <w:r w:rsidRPr="008E42B1">
              <w:rPr>
                <w:sz w:val="20"/>
                <w:lang w:val="en-US" w:eastAsia="en-US"/>
              </w:rPr>
              <w:t>1.94</w:t>
            </w:r>
          </w:p>
        </w:tc>
        <w:tc>
          <w:tcPr>
            <w:tcW w:w="1405" w:type="dxa"/>
            <w:shd w:val="clear" w:color="auto" w:fill="D9D9D9"/>
            <w:vAlign w:val="center"/>
          </w:tcPr>
          <w:p w14:paraId="7814820D" w14:textId="77777777" w:rsidR="00E21D62" w:rsidRPr="008E42B1" w:rsidRDefault="00E21D62" w:rsidP="00822CE8">
            <w:pPr>
              <w:jc w:val="center"/>
              <w:rPr>
                <w:sz w:val="20"/>
                <w:lang w:val="en-US" w:eastAsia="en-US"/>
              </w:rPr>
            </w:pPr>
            <w:r w:rsidRPr="008E42B1">
              <w:rPr>
                <w:sz w:val="20"/>
                <w:lang w:val="en-US" w:eastAsia="en-US"/>
              </w:rPr>
              <w:t>0.62</w:t>
            </w:r>
          </w:p>
        </w:tc>
        <w:tc>
          <w:tcPr>
            <w:tcW w:w="1559" w:type="dxa"/>
            <w:shd w:val="clear" w:color="auto" w:fill="D9D9D9"/>
            <w:vAlign w:val="center"/>
          </w:tcPr>
          <w:p w14:paraId="45CE1672" w14:textId="77777777" w:rsidR="00E21D62" w:rsidRPr="008E42B1" w:rsidRDefault="00E21D62" w:rsidP="00822CE8">
            <w:pPr>
              <w:jc w:val="center"/>
              <w:rPr>
                <w:sz w:val="20"/>
                <w:lang w:val="en-US" w:eastAsia="en-US"/>
              </w:rPr>
            </w:pPr>
            <w:r w:rsidRPr="008E42B1">
              <w:rPr>
                <w:sz w:val="20"/>
                <w:lang w:val="en-US" w:eastAsia="en-US"/>
              </w:rPr>
              <w:t>0.220</w:t>
            </w:r>
          </w:p>
        </w:tc>
      </w:tr>
      <w:tr w:rsidR="00E21D62" w:rsidRPr="001F281A" w14:paraId="262F4393" w14:textId="77777777" w:rsidTr="00822CE8">
        <w:tc>
          <w:tcPr>
            <w:tcW w:w="1242" w:type="dxa"/>
            <w:vMerge/>
            <w:tcBorders>
              <w:bottom w:val="single" w:sz="12" w:space="0" w:color="auto"/>
            </w:tcBorders>
            <w:shd w:val="clear" w:color="auto" w:fill="FFFFFF"/>
            <w:vAlign w:val="center"/>
          </w:tcPr>
          <w:p w14:paraId="473294A1" w14:textId="77777777" w:rsidR="00E21D62" w:rsidRPr="008E42B1" w:rsidRDefault="00E21D62" w:rsidP="00822CE8">
            <w:pPr>
              <w:jc w:val="center"/>
              <w:rPr>
                <w:b/>
                <w:sz w:val="20"/>
                <w:lang w:val="en-US" w:eastAsia="en-US"/>
              </w:rPr>
            </w:pPr>
          </w:p>
        </w:tc>
        <w:tc>
          <w:tcPr>
            <w:tcW w:w="709" w:type="dxa"/>
            <w:tcBorders>
              <w:bottom w:val="single" w:sz="12" w:space="0" w:color="auto"/>
            </w:tcBorders>
            <w:shd w:val="clear" w:color="auto" w:fill="FFFFFF"/>
          </w:tcPr>
          <w:p w14:paraId="7A7CB149" w14:textId="77777777" w:rsidR="00E21D62" w:rsidRPr="008E42B1" w:rsidRDefault="00E21D62" w:rsidP="00822CE8">
            <w:pPr>
              <w:rPr>
                <w:sz w:val="20"/>
                <w:lang w:val="en-US" w:eastAsia="en-US"/>
              </w:rPr>
            </w:pPr>
            <w:r w:rsidRPr="008E42B1">
              <w:rPr>
                <w:sz w:val="20"/>
                <w:lang w:val="en-US" w:eastAsia="en-US"/>
              </w:rPr>
              <w:t>F (6)</w:t>
            </w:r>
          </w:p>
        </w:tc>
        <w:tc>
          <w:tcPr>
            <w:tcW w:w="1280" w:type="dxa"/>
            <w:tcBorders>
              <w:bottom w:val="single" w:sz="12" w:space="0" w:color="auto"/>
            </w:tcBorders>
            <w:shd w:val="clear" w:color="auto" w:fill="FFFFFF"/>
            <w:vAlign w:val="center"/>
          </w:tcPr>
          <w:p w14:paraId="1CAA44B1" w14:textId="77777777" w:rsidR="00E21D62" w:rsidRPr="008E42B1" w:rsidRDefault="00E21D62" w:rsidP="00822CE8">
            <w:pPr>
              <w:jc w:val="center"/>
              <w:rPr>
                <w:sz w:val="20"/>
                <w:lang w:val="en-US" w:eastAsia="en-US"/>
              </w:rPr>
            </w:pPr>
            <w:r w:rsidRPr="008E42B1">
              <w:rPr>
                <w:sz w:val="20"/>
                <w:lang w:val="en-US" w:eastAsia="en-US"/>
              </w:rPr>
              <w:t>16.75</w:t>
            </w:r>
          </w:p>
        </w:tc>
        <w:tc>
          <w:tcPr>
            <w:tcW w:w="1280" w:type="dxa"/>
            <w:tcBorders>
              <w:bottom w:val="single" w:sz="12" w:space="0" w:color="auto"/>
            </w:tcBorders>
            <w:shd w:val="clear" w:color="auto" w:fill="FFFFFF"/>
            <w:vAlign w:val="center"/>
          </w:tcPr>
          <w:p w14:paraId="4B1A07DA" w14:textId="77777777" w:rsidR="00E21D62" w:rsidRPr="008E42B1" w:rsidRDefault="00E21D62" w:rsidP="00822CE8">
            <w:pPr>
              <w:jc w:val="center"/>
              <w:rPr>
                <w:sz w:val="20"/>
                <w:lang w:val="en-US" w:eastAsia="en-US"/>
              </w:rPr>
            </w:pPr>
            <w:r w:rsidRPr="008E42B1">
              <w:rPr>
                <w:sz w:val="20"/>
                <w:lang w:val="en-US" w:eastAsia="en-US"/>
              </w:rPr>
              <w:t>3.25</w:t>
            </w:r>
          </w:p>
        </w:tc>
        <w:tc>
          <w:tcPr>
            <w:tcW w:w="1280" w:type="dxa"/>
            <w:tcBorders>
              <w:bottom w:val="single" w:sz="12" w:space="0" w:color="auto"/>
            </w:tcBorders>
            <w:shd w:val="clear" w:color="auto" w:fill="FFFFFF"/>
            <w:vAlign w:val="center"/>
          </w:tcPr>
          <w:p w14:paraId="40AC0FF6" w14:textId="77777777" w:rsidR="00E21D62" w:rsidRPr="008E42B1" w:rsidRDefault="00E21D62" w:rsidP="00822CE8">
            <w:pPr>
              <w:jc w:val="center"/>
              <w:rPr>
                <w:sz w:val="20"/>
                <w:lang w:val="en-US" w:eastAsia="en-US"/>
              </w:rPr>
            </w:pPr>
            <w:r w:rsidRPr="008E42B1">
              <w:rPr>
                <w:sz w:val="20"/>
                <w:lang w:val="en-US" w:eastAsia="en-US"/>
              </w:rPr>
              <w:t>1.91</w:t>
            </w:r>
          </w:p>
        </w:tc>
        <w:tc>
          <w:tcPr>
            <w:tcW w:w="1405" w:type="dxa"/>
            <w:tcBorders>
              <w:bottom w:val="single" w:sz="12" w:space="0" w:color="auto"/>
            </w:tcBorders>
            <w:shd w:val="clear" w:color="auto" w:fill="FFFFFF"/>
            <w:vAlign w:val="center"/>
          </w:tcPr>
          <w:p w14:paraId="23ED1B13" w14:textId="77777777" w:rsidR="00E21D62" w:rsidRPr="008E42B1" w:rsidRDefault="00E21D62" w:rsidP="00822CE8">
            <w:pPr>
              <w:jc w:val="center"/>
              <w:rPr>
                <w:sz w:val="20"/>
                <w:lang w:val="en-US" w:eastAsia="en-US"/>
              </w:rPr>
            </w:pPr>
            <w:r w:rsidRPr="008E42B1">
              <w:rPr>
                <w:sz w:val="20"/>
                <w:lang w:val="en-US" w:eastAsia="en-US"/>
              </w:rPr>
              <w:t>0.66</w:t>
            </w:r>
          </w:p>
        </w:tc>
        <w:tc>
          <w:tcPr>
            <w:tcW w:w="1559" w:type="dxa"/>
            <w:tcBorders>
              <w:bottom w:val="single" w:sz="12" w:space="0" w:color="auto"/>
            </w:tcBorders>
            <w:shd w:val="clear" w:color="auto" w:fill="FFFFFF"/>
            <w:vAlign w:val="center"/>
          </w:tcPr>
          <w:p w14:paraId="5A345F0C" w14:textId="77777777" w:rsidR="00E21D62" w:rsidRPr="008E42B1" w:rsidRDefault="00E21D62" w:rsidP="00822CE8">
            <w:pPr>
              <w:jc w:val="center"/>
              <w:rPr>
                <w:sz w:val="20"/>
                <w:lang w:val="en-US" w:eastAsia="en-US"/>
              </w:rPr>
            </w:pPr>
            <w:r w:rsidRPr="008E42B1">
              <w:rPr>
                <w:sz w:val="20"/>
                <w:lang w:val="en-US" w:eastAsia="en-US"/>
              </w:rPr>
              <w:t>0.330</w:t>
            </w:r>
          </w:p>
        </w:tc>
      </w:tr>
      <w:tr w:rsidR="00E21D62" w:rsidRPr="001F281A" w14:paraId="679EA386" w14:textId="77777777" w:rsidTr="00822CE8">
        <w:tc>
          <w:tcPr>
            <w:tcW w:w="1242" w:type="dxa"/>
            <w:vMerge w:val="restart"/>
            <w:tcBorders>
              <w:top w:val="single" w:sz="12" w:space="0" w:color="auto"/>
            </w:tcBorders>
            <w:vAlign w:val="center"/>
          </w:tcPr>
          <w:p w14:paraId="7E402DAC" w14:textId="77777777" w:rsidR="00E21D62" w:rsidRPr="008E42B1" w:rsidRDefault="00E21D62" w:rsidP="00822CE8">
            <w:pPr>
              <w:jc w:val="center"/>
              <w:rPr>
                <w:b/>
                <w:sz w:val="20"/>
                <w:lang w:val="en-US" w:eastAsia="en-US"/>
              </w:rPr>
            </w:pPr>
            <w:r w:rsidRPr="008E42B1">
              <w:rPr>
                <w:b/>
                <w:sz w:val="20"/>
                <w:lang w:val="en-US" w:eastAsia="en-US"/>
              </w:rPr>
              <w:t>10 ppm paraquat</w:t>
            </w:r>
          </w:p>
        </w:tc>
        <w:tc>
          <w:tcPr>
            <w:tcW w:w="709" w:type="dxa"/>
            <w:tcBorders>
              <w:top w:val="single" w:sz="12" w:space="0" w:color="auto"/>
            </w:tcBorders>
            <w:shd w:val="clear" w:color="auto" w:fill="D9D9D9"/>
          </w:tcPr>
          <w:p w14:paraId="7F25266D" w14:textId="77777777" w:rsidR="00E21D62" w:rsidRPr="008E42B1" w:rsidRDefault="00E21D62" w:rsidP="00822CE8">
            <w:pPr>
              <w:rPr>
                <w:sz w:val="20"/>
                <w:lang w:val="en-US" w:eastAsia="en-US"/>
              </w:rPr>
            </w:pPr>
            <w:r w:rsidRPr="008E42B1">
              <w:rPr>
                <w:sz w:val="20"/>
                <w:lang w:val="en-US" w:eastAsia="en-US"/>
              </w:rPr>
              <w:t>M (5)</w:t>
            </w:r>
          </w:p>
        </w:tc>
        <w:tc>
          <w:tcPr>
            <w:tcW w:w="1280" w:type="dxa"/>
            <w:tcBorders>
              <w:top w:val="single" w:sz="12" w:space="0" w:color="auto"/>
            </w:tcBorders>
            <w:shd w:val="clear" w:color="auto" w:fill="D9D9D9"/>
            <w:vAlign w:val="center"/>
          </w:tcPr>
          <w:p w14:paraId="4F40290B" w14:textId="77777777" w:rsidR="00E21D62" w:rsidRPr="008E42B1" w:rsidRDefault="00E21D62" w:rsidP="00822CE8">
            <w:pPr>
              <w:jc w:val="center"/>
              <w:rPr>
                <w:sz w:val="20"/>
                <w:lang w:val="en-US" w:eastAsia="en-US"/>
              </w:rPr>
            </w:pPr>
            <w:r w:rsidRPr="008E42B1">
              <w:rPr>
                <w:sz w:val="20"/>
                <w:lang w:val="en-US" w:eastAsia="en-US"/>
              </w:rPr>
              <w:t>16.16</w:t>
            </w:r>
          </w:p>
          <w:p w14:paraId="6B73782A" w14:textId="77777777" w:rsidR="00E21D62" w:rsidRPr="008E42B1" w:rsidRDefault="00E21D62" w:rsidP="00822CE8">
            <w:pPr>
              <w:jc w:val="center"/>
              <w:rPr>
                <w:sz w:val="20"/>
                <w:lang w:val="en-US" w:eastAsia="en-US"/>
              </w:rPr>
            </w:pPr>
            <w:r w:rsidRPr="008E42B1">
              <w:rPr>
                <w:sz w:val="20"/>
                <w:lang w:val="en-US" w:eastAsia="en-US"/>
              </w:rPr>
              <w:t>-2.4%</w:t>
            </w:r>
          </w:p>
        </w:tc>
        <w:tc>
          <w:tcPr>
            <w:tcW w:w="1280" w:type="dxa"/>
            <w:tcBorders>
              <w:top w:val="single" w:sz="12" w:space="0" w:color="auto"/>
            </w:tcBorders>
            <w:shd w:val="clear" w:color="auto" w:fill="D9D9D9"/>
            <w:vAlign w:val="center"/>
          </w:tcPr>
          <w:p w14:paraId="47D5D60C" w14:textId="77777777" w:rsidR="00E21D62" w:rsidRPr="008E42B1" w:rsidRDefault="00E21D62" w:rsidP="00822CE8">
            <w:pPr>
              <w:jc w:val="center"/>
              <w:rPr>
                <w:sz w:val="20"/>
                <w:lang w:val="en-US" w:eastAsia="en-US"/>
              </w:rPr>
            </w:pPr>
            <w:r w:rsidRPr="008E42B1">
              <w:rPr>
                <w:sz w:val="20"/>
                <w:lang w:val="en-US" w:eastAsia="en-US"/>
              </w:rPr>
              <w:t>1.70</w:t>
            </w:r>
          </w:p>
          <w:p w14:paraId="71816EB0" w14:textId="77777777" w:rsidR="00E21D62" w:rsidRPr="008E42B1" w:rsidRDefault="00E21D62" w:rsidP="00822CE8">
            <w:pPr>
              <w:jc w:val="center"/>
              <w:rPr>
                <w:sz w:val="20"/>
                <w:lang w:val="en-US" w:eastAsia="en-US"/>
              </w:rPr>
            </w:pPr>
            <w:r w:rsidRPr="008E42B1">
              <w:rPr>
                <w:sz w:val="20"/>
                <w:lang w:val="en-US" w:eastAsia="en-US"/>
              </w:rPr>
              <w:t>+2.2%</w:t>
            </w:r>
          </w:p>
        </w:tc>
        <w:tc>
          <w:tcPr>
            <w:tcW w:w="1280" w:type="dxa"/>
            <w:tcBorders>
              <w:top w:val="single" w:sz="12" w:space="0" w:color="auto"/>
            </w:tcBorders>
            <w:shd w:val="clear" w:color="auto" w:fill="D9D9D9"/>
            <w:vAlign w:val="center"/>
          </w:tcPr>
          <w:p w14:paraId="0D803819" w14:textId="77777777" w:rsidR="00E21D62" w:rsidRPr="008E42B1" w:rsidRDefault="00E21D62" w:rsidP="00822CE8">
            <w:pPr>
              <w:jc w:val="center"/>
              <w:rPr>
                <w:sz w:val="20"/>
                <w:lang w:val="en-US" w:eastAsia="en-US"/>
              </w:rPr>
            </w:pPr>
            <w:r w:rsidRPr="008E42B1">
              <w:rPr>
                <w:sz w:val="20"/>
                <w:lang w:val="en-US" w:eastAsia="en-US"/>
              </w:rPr>
              <w:t>2.16</w:t>
            </w:r>
          </w:p>
          <w:p w14:paraId="0AF4C8C3" w14:textId="77777777" w:rsidR="00E21D62" w:rsidRPr="008E42B1" w:rsidRDefault="00E21D62" w:rsidP="00822CE8">
            <w:pPr>
              <w:jc w:val="center"/>
              <w:rPr>
                <w:sz w:val="20"/>
                <w:lang w:val="en-US" w:eastAsia="en-US"/>
              </w:rPr>
            </w:pPr>
            <w:r w:rsidRPr="008E42B1">
              <w:rPr>
                <w:sz w:val="20"/>
                <w:lang w:val="en-US" w:eastAsia="en-US"/>
              </w:rPr>
              <w:t>+11.7%</w:t>
            </w:r>
          </w:p>
        </w:tc>
        <w:tc>
          <w:tcPr>
            <w:tcW w:w="1405" w:type="dxa"/>
            <w:tcBorders>
              <w:top w:val="single" w:sz="12" w:space="0" w:color="auto"/>
            </w:tcBorders>
            <w:shd w:val="clear" w:color="auto" w:fill="D9D9D9"/>
            <w:vAlign w:val="center"/>
          </w:tcPr>
          <w:p w14:paraId="6BC6A4B9" w14:textId="77777777" w:rsidR="00E21D62" w:rsidRPr="008E42B1" w:rsidRDefault="00E21D62" w:rsidP="00822CE8">
            <w:pPr>
              <w:jc w:val="center"/>
              <w:rPr>
                <w:sz w:val="20"/>
                <w:lang w:val="en-US" w:eastAsia="en-US"/>
              </w:rPr>
            </w:pPr>
            <w:r w:rsidRPr="008E42B1">
              <w:rPr>
                <w:sz w:val="20"/>
                <w:lang w:val="en-US" w:eastAsia="en-US"/>
              </w:rPr>
              <w:t>0.90</w:t>
            </w:r>
          </w:p>
          <w:p w14:paraId="3EAA3CC7" w14:textId="77777777" w:rsidR="00E21D62" w:rsidRPr="008E42B1" w:rsidRDefault="00E21D62" w:rsidP="00822CE8">
            <w:pPr>
              <w:jc w:val="center"/>
              <w:rPr>
                <w:sz w:val="20"/>
                <w:lang w:val="en-US" w:eastAsia="en-US"/>
              </w:rPr>
            </w:pPr>
            <w:r w:rsidRPr="008E42B1">
              <w:rPr>
                <w:sz w:val="20"/>
                <w:lang w:val="en-US" w:eastAsia="en-US"/>
              </w:rPr>
              <w:t>+44.1%</w:t>
            </w:r>
          </w:p>
        </w:tc>
        <w:tc>
          <w:tcPr>
            <w:tcW w:w="1559" w:type="dxa"/>
            <w:tcBorders>
              <w:top w:val="single" w:sz="12" w:space="0" w:color="auto"/>
            </w:tcBorders>
            <w:shd w:val="clear" w:color="auto" w:fill="D9D9D9"/>
            <w:vAlign w:val="center"/>
          </w:tcPr>
          <w:p w14:paraId="23EA639B" w14:textId="77777777" w:rsidR="00E21D62" w:rsidRPr="008E42B1" w:rsidRDefault="00E21D62" w:rsidP="00822CE8">
            <w:pPr>
              <w:jc w:val="center"/>
              <w:rPr>
                <w:sz w:val="20"/>
                <w:lang w:val="en-US" w:eastAsia="en-US"/>
              </w:rPr>
            </w:pPr>
            <w:r w:rsidRPr="008E42B1">
              <w:rPr>
                <w:sz w:val="20"/>
                <w:lang w:val="en-US" w:eastAsia="en-US"/>
              </w:rPr>
              <w:t>0.248</w:t>
            </w:r>
          </w:p>
          <w:p w14:paraId="71FBE575" w14:textId="77777777" w:rsidR="00E21D62" w:rsidRPr="008E42B1" w:rsidRDefault="00E21D62" w:rsidP="00822CE8">
            <w:pPr>
              <w:jc w:val="center"/>
              <w:rPr>
                <w:sz w:val="20"/>
                <w:lang w:val="en-US" w:eastAsia="en-US"/>
              </w:rPr>
            </w:pPr>
            <w:r w:rsidRPr="008E42B1">
              <w:rPr>
                <w:sz w:val="20"/>
                <w:lang w:val="en-US" w:eastAsia="en-US"/>
              </w:rPr>
              <w:t>+12.8%</w:t>
            </w:r>
          </w:p>
        </w:tc>
      </w:tr>
      <w:tr w:rsidR="00E21D62" w:rsidRPr="001F281A" w14:paraId="01CCB88E" w14:textId="77777777" w:rsidTr="00822CE8">
        <w:tc>
          <w:tcPr>
            <w:tcW w:w="1242" w:type="dxa"/>
            <w:vMerge/>
            <w:vAlign w:val="center"/>
          </w:tcPr>
          <w:p w14:paraId="4BF44CC8" w14:textId="77777777" w:rsidR="00E21D62" w:rsidRPr="008E42B1" w:rsidRDefault="00E21D62" w:rsidP="00822CE8">
            <w:pPr>
              <w:jc w:val="center"/>
              <w:rPr>
                <w:b/>
                <w:sz w:val="20"/>
                <w:lang w:val="en-US" w:eastAsia="en-US"/>
              </w:rPr>
            </w:pPr>
          </w:p>
        </w:tc>
        <w:tc>
          <w:tcPr>
            <w:tcW w:w="709" w:type="dxa"/>
          </w:tcPr>
          <w:p w14:paraId="76326D38" w14:textId="77777777" w:rsidR="00E21D62" w:rsidRPr="008E42B1" w:rsidRDefault="00E21D62" w:rsidP="00822CE8">
            <w:pPr>
              <w:rPr>
                <w:sz w:val="20"/>
                <w:lang w:val="en-US" w:eastAsia="en-US"/>
              </w:rPr>
            </w:pPr>
            <w:r w:rsidRPr="008E42B1">
              <w:rPr>
                <w:sz w:val="20"/>
                <w:lang w:val="en-US" w:eastAsia="en-US"/>
              </w:rPr>
              <w:t>F (6)</w:t>
            </w:r>
          </w:p>
        </w:tc>
        <w:tc>
          <w:tcPr>
            <w:tcW w:w="1280" w:type="dxa"/>
            <w:vAlign w:val="center"/>
          </w:tcPr>
          <w:p w14:paraId="0794F203" w14:textId="77777777" w:rsidR="00E21D62" w:rsidRPr="008E42B1" w:rsidRDefault="00E21D62" w:rsidP="00822CE8">
            <w:pPr>
              <w:jc w:val="center"/>
              <w:rPr>
                <w:sz w:val="20"/>
                <w:lang w:val="en-US" w:eastAsia="en-US"/>
              </w:rPr>
            </w:pPr>
            <w:r w:rsidRPr="008E42B1">
              <w:rPr>
                <w:sz w:val="20"/>
                <w:lang w:val="en-US" w:eastAsia="en-US"/>
              </w:rPr>
              <w:t>16.75</w:t>
            </w:r>
          </w:p>
          <w:p w14:paraId="78150985" w14:textId="77777777" w:rsidR="00E21D62" w:rsidRPr="008E42B1" w:rsidRDefault="00E21D62" w:rsidP="00822CE8">
            <w:pPr>
              <w:jc w:val="center"/>
              <w:rPr>
                <w:sz w:val="20"/>
                <w:lang w:val="en-US" w:eastAsia="en-US"/>
              </w:rPr>
            </w:pPr>
            <w:r w:rsidRPr="008E42B1">
              <w:rPr>
                <w:sz w:val="20"/>
                <w:lang w:val="en-US" w:eastAsia="en-US"/>
              </w:rPr>
              <w:t>0%</w:t>
            </w:r>
          </w:p>
        </w:tc>
        <w:tc>
          <w:tcPr>
            <w:tcW w:w="1280" w:type="dxa"/>
            <w:vAlign w:val="center"/>
          </w:tcPr>
          <w:p w14:paraId="5A1B2881" w14:textId="77777777" w:rsidR="00E21D62" w:rsidRPr="008E42B1" w:rsidRDefault="00E21D62" w:rsidP="00822CE8">
            <w:pPr>
              <w:jc w:val="center"/>
              <w:rPr>
                <w:sz w:val="20"/>
                <w:lang w:val="en-US" w:eastAsia="en-US"/>
              </w:rPr>
            </w:pPr>
            <w:r w:rsidRPr="008E42B1">
              <w:rPr>
                <w:sz w:val="20"/>
                <w:lang w:val="en-US" w:eastAsia="en-US"/>
              </w:rPr>
              <w:t>1.86</w:t>
            </w:r>
          </w:p>
          <w:p w14:paraId="5EEDB9FF" w14:textId="77777777" w:rsidR="00E21D62" w:rsidRPr="008E42B1" w:rsidRDefault="00E21D62" w:rsidP="00822CE8">
            <w:pPr>
              <w:jc w:val="center"/>
              <w:rPr>
                <w:sz w:val="20"/>
                <w:lang w:val="en-US" w:eastAsia="en-US"/>
              </w:rPr>
            </w:pPr>
            <w:r w:rsidRPr="008E42B1">
              <w:rPr>
                <w:sz w:val="20"/>
                <w:lang w:val="en-US" w:eastAsia="en-US"/>
              </w:rPr>
              <w:t>-42.7%</w:t>
            </w:r>
          </w:p>
        </w:tc>
        <w:tc>
          <w:tcPr>
            <w:tcW w:w="1280" w:type="dxa"/>
            <w:vAlign w:val="center"/>
          </w:tcPr>
          <w:p w14:paraId="6105635F" w14:textId="77777777" w:rsidR="00E21D62" w:rsidRPr="008E42B1" w:rsidRDefault="00E21D62" w:rsidP="00822CE8">
            <w:pPr>
              <w:jc w:val="center"/>
              <w:rPr>
                <w:sz w:val="20"/>
                <w:lang w:val="en-US" w:eastAsia="en-US"/>
              </w:rPr>
            </w:pPr>
            <w:r w:rsidRPr="008E42B1">
              <w:rPr>
                <w:sz w:val="20"/>
                <w:lang w:val="en-US" w:eastAsia="en-US"/>
              </w:rPr>
              <w:t>1.65</w:t>
            </w:r>
          </w:p>
          <w:p w14:paraId="26C21765" w14:textId="77777777" w:rsidR="00E21D62" w:rsidRPr="008E42B1" w:rsidRDefault="00E21D62" w:rsidP="00822CE8">
            <w:pPr>
              <w:jc w:val="center"/>
              <w:rPr>
                <w:sz w:val="20"/>
                <w:lang w:val="en-US" w:eastAsia="en-US"/>
              </w:rPr>
            </w:pPr>
            <w:r w:rsidRPr="008E42B1">
              <w:rPr>
                <w:sz w:val="20"/>
                <w:lang w:val="en-US" w:eastAsia="en-US"/>
              </w:rPr>
              <w:t>-13.8%</w:t>
            </w:r>
          </w:p>
        </w:tc>
        <w:tc>
          <w:tcPr>
            <w:tcW w:w="1405" w:type="dxa"/>
            <w:vAlign w:val="center"/>
          </w:tcPr>
          <w:p w14:paraId="7F083609" w14:textId="77777777" w:rsidR="00E21D62" w:rsidRPr="008E42B1" w:rsidRDefault="00E21D62" w:rsidP="00822CE8">
            <w:pPr>
              <w:jc w:val="center"/>
              <w:rPr>
                <w:sz w:val="20"/>
                <w:lang w:val="en-US" w:eastAsia="en-US"/>
              </w:rPr>
            </w:pPr>
            <w:r w:rsidRPr="008E42B1">
              <w:rPr>
                <w:sz w:val="20"/>
                <w:lang w:val="en-US" w:eastAsia="en-US"/>
              </w:rPr>
              <w:t>0.73</w:t>
            </w:r>
          </w:p>
          <w:p w14:paraId="790DE7E2" w14:textId="77777777" w:rsidR="00E21D62" w:rsidRPr="008E42B1" w:rsidRDefault="00E21D62" w:rsidP="00822CE8">
            <w:pPr>
              <w:jc w:val="center"/>
              <w:rPr>
                <w:sz w:val="20"/>
                <w:lang w:val="en-US" w:eastAsia="en-US"/>
              </w:rPr>
            </w:pPr>
            <w:r w:rsidRPr="008E42B1">
              <w:rPr>
                <w:sz w:val="20"/>
                <w:lang w:val="en-US" w:eastAsia="en-US"/>
              </w:rPr>
              <w:t>+11.2%</w:t>
            </w:r>
          </w:p>
        </w:tc>
        <w:tc>
          <w:tcPr>
            <w:tcW w:w="1559" w:type="dxa"/>
            <w:vAlign w:val="center"/>
          </w:tcPr>
          <w:p w14:paraId="2585C99B" w14:textId="77777777" w:rsidR="00E21D62" w:rsidRPr="008E42B1" w:rsidRDefault="00E21D62" w:rsidP="00822CE8">
            <w:pPr>
              <w:jc w:val="center"/>
              <w:rPr>
                <w:sz w:val="20"/>
                <w:lang w:val="en-US" w:eastAsia="en-US"/>
              </w:rPr>
            </w:pPr>
            <w:r w:rsidRPr="008E42B1">
              <w:rPr>
                <w:sz w:val="20"/>
                <w:lang w:val="en-US" w:eastAsia="en-US"/>
              </w:rPr>
              <w:t>0.215</w:t>
            </w:r>
          </w:p>
          <w:p w14:paraId="18940691" w14:textId="77777777" w:rsidR="00E21D62" w:rsidRPr="008E42B1" w:rsidRDefault="00E21D62" w:rsidP="00822CE8">
            <w:pPr>
              <w:jc w:val="center"/>
              <w:rPr>
                <w:sz w:val="20"/>
                <w:lang w:val="en-US" w:eastAsia="en-US"/>
              </w:rPr>
            </w:pPr>
            <w:r w:rsidRPr="008E42B1">
              <w:rPr>
                <w:sz w:val="20"/>
                <w:lang w:val="en-US" w:eastAsia="en-US"/>
              </w:rPr>
              <w:t>-34.9%</w:t>
            </w:r>
          </w:p>
        </w:tc>
      </w:tr>
      <w:tr w:rsidR="00E21D62" w:rsidRPr="001F281A" w14:paraId="7C858811" w14:textId="77777777" w:rsidTr="00822CE8">
        <w:tc>
          <w:tcPr>
            <w:tcW w:w="1242" w:type="dxa"/>
            <w:vMerge w:val="restart"/>
            <w:vAlign w:val="center"/>
          </w:tcPr>
          <w:p w14:paraId="25D0C4D4" w14:textId="77777777" w:rsidR="00E21D62" w:rsidRPr="008E42B1" w:rsidRDefault="00E21D62" w:rsidP="00822CE8">
            <w:pPr>
              <w:jc w:val="center"/>
              <w:rPr>
                <w:b/>
                <w:sz w:val="20"/>
                <w:lang w:val="en-US" w:eastAsia="en-US"/>
              </w:rPr>
            </w:pPr>
            <w:r w:rsidRPr="008E42B1">
              <w:rPr>
                <w:b/>
                <w:sz w:val="20"/>
                <w:lang w:val="en-US" w:eastAsia="en-US"/>
              </w:rPr>
              <w:t>50 ppm paraquat</w:t>
            </w:r>
          </w:p>
        </w:tc>
        <w:tc>
          <w:tcPr>
            <w:tcW w:w="709" w:type="dxa"/>
            <w:shd w:val="clear" w:color="auto" w:fill="D9D9D9"/>
          </w:tcPr>
          <w:p w14:paraId="551BB70F" w14:textId="77777777" w:rsidR="00E21D62" w:rsidRPr="008E42B1" w:rsidRDefault="00E21D62" w:rsidP="00822CE8">
            <w:pPr>
              <w:rPr>
                <w:sz w:val="20"/>
                <w:lang w:val="en-US" w:eastAsia="en-US"/>
              </w:rPr>
            </w:pPr>
            <w:r w:rsidRPr="008E42B1">
              <w:rPr>
                <w:sz w:val="20"/>
                <w:lang w:val="en-US" w:eastAsia="en-US"/>
              </w:rPr>
              <w:t>M (5)</w:t>
            </w:r>
          </w:p>
        </w:tc>
        <w:tc>
          <w:tcPr>
            <w:tcW w:w="1280" w:type="dxa"/>
            <w:shd w:val="clear" w:color="auto" w:fill="D9D9D9"/>
            <w:vAlign w:val="center"/>
          </w:tcPr>
          <w:p w14:paraId="234A9437" w14:textId="77777777" w:rsidR="00E21D62" w:rsidRPr="008E42B1" w:rsidRDefault="00E21D62" w:rsidP="00822CE8">
            <w:pPr>
              <w:jc w:val="center"/>
              <w:rPr>
                <w:sz w:val="20"/>
                <w:lang w:val="en-US" w:eastAsia="en-US"/>
              </w:rPr>
            </w:pPr>
            <w:r w:rsidRPr="008E42B1">
              <w:rPr>
                <w:sz w:val="20"/>
                <w:lang w:val="en-US" w:eastAsia="en-US"/>
              </w:rPr>
              <w:t>18.43</w:t>
            </w:r>
          </w:p>
          <w:p w14:paraId="7F24CCAE" w14:textId="77777777" w:rsidR="00E21D62" w:rsidRPr="008E42B1" w:rsidRDefault="00E21D62" w:rsidP="00822CE8">
            <w:pPr>
              <w:jc w:val="center"/>
              <w:rPr>
                <w:sz w:val="20"/>
                <w:lang w:val="en-US" w:eastAsia="en-US"/>
              </w:rPr>
            </w:pPr>
            <w:r w:rsidRPr="008E42B1">
              <w:rPr>
                <w:sz w:val="20"/>
                <w:lang w:val="en-US" w:eastAsia="en-US"/>
              </w:rPr>
              <w:t>+11.4%</w:t>
            </w:r>
          </w:p>
        </w:tc>
        <w:tc>
          <w:tcPr>
            <w:tcW w:w="1280" w:type="dxa"/>
            <w:shd w:val="clear" w:color="auto" w:fill="D9D9D9"/>
            <w:vAlign w:val="center"/>
          </w:tcPr>
          <w:p w14:paraId="41CD3316" w14:textId="77777777" w:rsidR="00E21D62" w:rsidRPr="008E42B1" w:rsidRDefault="00E21D62" w:rsidP="00822CE8">
            <w:pPr>
              <w:jc w:val="center"/>
              <w:rPr>
                <w:sz w:val="20"/>
                <w:lang w:val="en-US" w:eastAsia="en-US"/>
              </w:rPr>
            </w:pPr>
            <w:r w:rsidRPr="008E42B1">
              <w:rPr>
                <w:sz w:val="20"/>
                <w:lang w:val="en-US" w:eastAsia="en-US"/>
              </w:rPr>
              <w:t>1.35</w:t>
            </w:r>
          </w:p>
          <w:p w14:paraId="782DA0D7" w14:textId="77777777" w:rsidR="00E21D62" w:rsidRPr="008E42B1" w:rsidRDefault="00E21D62" w:rsidP="00822CE8">
            <w:pPr>
              <w:jc w:val="center"/>
              <w:rPr>
                <w:sz w:val="20"/>
                <w:lang w:val="en-US" w:eastAsia="en-US"/>
              </w:rPr>
            </w:pPr>
            <w:r w:rsidRPr="008E42B1">
              <w:rPr>
                <w:sz w:val="20"/>
                <w:lang w:val="en-US" w:eastAsia="en-US"/>
              </w:rPr>
              <w:t>-18.8%</w:t>
            </w:r>
          </w:p>
        </w:tc>
        <w:tc>
          <w:tcPr>
            <w:tcW w:w="1280" w:type="dxa"/>
            <w:shd w:val="clear" w:color="auto" w:fill="D9D9D9"/>
            <w:vAlign w:val="center"/>
          </w:tcPr>
          <w:p w14:paraId="09804DBF" w14:textId="77777777" w:rsidR="00E21D62" w:rsidRPr="008E42B1" w:rsidRDefault="00E21D62" w:rsidP="00822CE8">
            <w:pPr>
              <w:jc w:val="center"/>
              <w:rPr>
                <w:sz w:val="20"/>
                <w:lang w:val="en-US" w:eastAsia="en-US"/>
              </w:rPr>
            </w:pPr>
            <w:r w:rsidRPr="008E42B1">
              <w:rPr>
                <w:sz w:val="20"/>
                <w:lang w:val="en-US" w:eastAsia="en-US"/>
              </w:rPr>
              <w:t>1.94</w:t>
            </w:r>
          </w:p>
          <w:p w14:paraId="1A3352C2" w14:textId="77777777" w:rsidR="00E21D62" w:rsidRPr="008E42B1" w:rsidRDefault="00E21D62" w:rsidP="00822CE8">
            <w:pPr>
              <w:jc w:val="center"/>
              <w:rPr>
                <w:sz w:val="20"/>
                <w:lang w:val="en-US" w:eastAsia="en-US"/>
              </w:rPr>
            </w:pPr>
            <w:r w:rsidRPr="008E42B1">
              <w:rPr>
                <w:sz w:val="20"/>
                <w:lang w:val="en-US" w:eastAsia="en-US"/>
              </w:rPr>
              <w:t>+0.3%</w:t>
            </w:r>
          </w:p>
        </w:tc>
        <w:tc>
          <w:tcPr>
            <w:tcW w:w="1405" w:type="dxa"/>
            <w:shd w:val="clear" w:color="auto" w:fill="D9D9D9"/>
            <w:vAlign w:val="center"/>
          </w:tcPr>
          <w:p w14:paraId="3DFAA30F" w14:textId="77777777" w:rsidR="00E21D62" w:rsidRPr="008E42B1" w:rsidRDefault="00E21D62" w:rsidP="00822CE8">
            <w:pPr>
              <w:jc w:val="center"/>
              <w:rPr>
                <w:sz w:val="20"/>
                <w:lang w:val="en-US" w:eastAsia="en-US"/>
              </w:rPr>
            </w:pPr>
            <w:r w:rsidRPr="008E42B1">
              <w:rPr>
                <w:sz w:val="20"/>
                <w:lang w:val="en-US" w:eastAsia="en-US"/>
              </w:rPr>
              <w:t>0.76</w:t>
            </w:r>
          </w:p>
          <w:p w14:paraId="534E5455" w14:textId="77777777" w:rsidR="00E21D62" w:rsidRPr="008E42B1" w:rsidRDefault="00E21D62" w:rsidP="00822CE8">
            <w:pPr>
              <w:jc w:val="center"/>
              <w:rPr>
                <w:sz w:val="20"/>
                <w:lang w:val="en-US" w:eastAsia="en-US"/>
              </w:rPr>
            </w:pPr>
            <w:r w:rsidRPr="008E42B1">
              <w:rPr>
                <w:sz w:val="20"/>
                <w:lang w:val="en-US" w:eastAsia="en-US"/>
              </w:rPr>
              <w:t>+21.9%</w:t>
            </w:r>
          </w:p>
        </w:tc>
        <w:tc>
          <w:tcPr>
            <w:tcW w:w="1559" w:type="dxa"/>
            <w:shd w:val="clear" w:color="auto" w:fill="D9D9D9"/>
            <w:vAlign w:val="center"/>
          </w:tcPr>
          <w:p w14:paraId="7F063191" w14:textId="77777777" w:rsidR="00E21D62" w:rsidRPr="008E42B1" w:rsidRDefault="00E21D62" w:rsidP="00822CE8">
            <w:pPr>
              <w:jc w:val="center"/>
              <w:rPr>
                <w:sz w:val="20"/>
                <w:lang w:val="en-US" w:eastAsia="en-US"/>
              </w:rPr>
            </w:pPr>
            <w:r w:rsidRPr="008E42B1">
              <w:rPr>
                <w:sz w:val="20"/>
                <w:lang w:val="en-US" w:eastAsia="en-US"/>
              </w:rPr>
              <w:t>0.180</w:t>
            </w:r>
          </w:p>
          <w:p w14:paraId="2BA88F13" w14:textId="77777777" w:rsidR="00E21D62" w:rsidRPr="008E42B1" w:rsidRDefault="00E21D62" w:rsidP="00822CE8">
            <w:pPr>
              <w:jc w:val="center"/>
              <w:rPr>
                <w:sz w:val="20"/>
                <w:lang w:val="en-US" w:eastAsia="en-US"/>
              </w:rPr>
            </w:pPr>
            <w:r w:rsidRPr="008E42B1">
              <w:rPr>
                <w:sz w:val="20"/>
                <w:lang w:val="en-US" w:eastAsia="en-US"/>
              </w:rPr>
              <w:t>-17.8%</w:t>
            </w:r>
          </w:p>
        </w:tc>
      </w:tr>
      <w:tr w:rsidR="00E21D62" w:rsidRPr="001F281A" w14:paraId="36657F21" w14:textId="77777777" w:rsidTr="00822CE8">
        <w:tc>
          <w:tcPr>
            <w:tcW w:w="1242" w:type="dxa"/>
            <w:vMerge/>
            <w:tcBorders>
              <w:bottom w:val="single" w:sz="12" w:space="0" w:color="auto"/>
            </w:tcBorders>
            <w:vAlign w:val="center"/>
          </w:tcPr>
          <w:p w14:paraId="29C1EEE9" w14:textId="77777777" w:rsidR="00E21D62" w:rsidRPr="008E42B1" w:rsidRDefault="00E21D62" w:rsidP="00822CE8">
            <w:pPr>
              <w:jc w:val="center"/>
              <w:rPr>
                <w:b/>
                <w:sz w:val="20"/>
                <w:lang w:val="en-US" w:eastAsia="en-US"/>
              </w:rPr>
            </w:pPr>
          </w:p>
        </w:tc>
        <w:tc>
          <w:tcPr>
            <w:tcW w:w="709" w:type="dxa"/>
            <w:tcBorders>
              <w:bottom w:val="single" w:sz="12" w:space="0" w:color="auto"/>
            </w:tcBorders>
          </w:tcPr>
          <w:p w14:paraId="0FF72881" w14:textId="77777777" w:rsidR="00E21D62" w:rsidRPr="008E42B1" w:rsidRDefault="00E21D62" w:rsidP="00822CE8">
            <w:pPr>
              <w:rPr>
                <w:sz w:val="20"/>
                <w:lang w:val="en-US" w:eastAsia="en-US"/>
              </w:rPr>
            </w:pPr>
            <w:r w:rsidRPr="008E42B1">
              <w:rPr>
                <w:sz w:val="20"/>
                <w:lang w:val="en-US" w:eastAsia="en-US"/>
              </w:rPr>
              <w:t>F (5)</w:t>
            </w:r>
          </w:p>
        </w:tc>
        <w:tc>
          <w:tcPr>
            <w:tcW w:w="1280" w:type="dxa"/>
            <w:tcBorders>
              <w:bottom w:val="single" w:sz="12" w:space="0" w:color="auto"/>
            </w:tcBorders>
            <w:vAlign w:val="center"/>
          </w:tcPr>
          <w:p w14:paraId="17D997C2" w14:textId="77777777" w:rsidR="00E21D62" w:rsidRPr="008E42B1" w:rsidRDefault="00E21D62" w:rsidP="00822CE8">
            <w:pPr>
              <w:jc w:val="center"/>
              <w:rPr>
                <w:sz w:val="20"/>
                <w:lang w:val="en-US" w:eastAsia="en-US"/>
              </w:rPr>
            </w:pPr>
            <w:r w:rsidRPr="008E42B1">
              <w:rPr>
                <w:sz w:val="20"/>
                <w:lang w:val="en-US" w:eastAsia="en-US"/>
              </w:rPr>
              <w:t>20.14</w:t>
            </w:r>
          </w:p>
          <w:p w14:paraId="119FBE7A" w14:textId="77777777" w:rsidR="00E21D62" w:rsidRPr="008E42B1" w:rsidRDefault="00E21D62" w:rsidP="00822CE8">
            <w:pPr>
              <w:jc w:val="center"/>
              <w:rPr>
                <w:sz w:val="20"/>
                <w:lang w:val="en-US" w:eastAsia="en-US"/>
              </w:rPr>
            </w:pPr>
            <w:r w:rsidRPr="008E42B1">
              <w:rPr>
                <w:sz w:val="20"/>
                <w:lang w:val="en-US" w:eastAsia="en-US"/>
              </w:rPr>
              <w:t>+20.3%</w:t>
            </w:r>
          </w:p>
        </w:tc>
        <w:tc>
          <w:tcPr>
            <w:tcW w:w="1280" w:type="dxa"/>
            <w:tcBorders>
              <w:bottom w:val="single" w:sz="12" w:space="0" w:color="auto"/>
            </w:tcBorders>
            <w:vAlign w:val="center"/>
          </w:tcPr>
          <w:p w14:paraId="385B0F5C" w14:textId="77777777" w:rsidR="00E21D62" w:rsidRPr="008E42B1" w:rsidRDefault="00E21D62" w:rsidP="00822CE8">
            <w:pPr>
              <w:jc w:val="center"/>
              <w:rPr>
                <w:sz w:val="20"/>
                <w:lang w:val="en-US" w:eastAsia="en-US"/>
              </w:rPr>
            </w:pPr>
            <w:r w:rsidRPr="008E42B1">
              <w:rPr>
                <w:sz w:val="20"/>
                <w:lang w:val="en-US" w:eastAsia="en-US"/>
              </w:rPr>
              <w:t>1.66</w:t>
            </w:r>
          </w:p>
          <w:p w14:paraId="18690960" w14:textId="77777777" w:rsidR="00E21D62" w:rsidRPr="008E42B1" w:rsidRDefault="00E21D62" w:rsidP="00822CE8">
            <w:pPr>
              <w:jc w:val="center"/>
              <w:rPr>
                <w:sz w:val="20"/>
                <w:lang w:val="en-US" w:eastAsia="en-US"/>
              </w:rPr>
            </w:pPr>
            <w:r w:rsidRPr="008E42B1">
              <w:rPr>
                <w:sz w:val="20"/>
                <w:lang w:val="en-US" w:eastAsia="en-US"/>
              </w:rPr>
              <w:t>-48.9%</w:t>
            </w:r>
          </w:p>
        </w:tc>
        <w:tc>
          <w:tcPr>
            <w:tcW w:w="1280" w:type="dxa"/>
            <w:tcBorders>
              <w:bottom w:val="single" w:sz="12" w:space="0" w:color="auto"/>
            </w:tcBorders>
            <w:vAlign w:val="center"/>
          </w:tcPr>
          <w:p w14:paraId="10997042" w14:textId="77777777" w:rsidR="00E21D62" w:rsidRPr="008E42B1" w:rsidRDefault="00E21D62" w:rsidP="00822CE8">
            <w:pPr>
              <w:jc w:val="center"/>
              <w:rPr>
                <w:sz w:val="20"/>
                <w:lang w:val="en-US" w:eastAsia="en-US"/>
              </w:rPr>
            </w:pPr>
            <w:r w:rsidRPr="008E42B1">
              <w:rPr>
                <w:sz w:val="20"/>
                <w:lang w:val="en-US" w:eastAsia="en-US"/>
              </w:rPr>
              <w:t>1.87</w:t>
            </w:r>
          </w:p>
          <w:p w14:paraId="69745948" w14:textId="77777777" w:rsidR="00E21D62" w:rsidRPr="008E42B1" w:rsidRDefault="00E21D62" w:rsidP="00822CE8">
            <w:pPr>
              <w:jc w:val="center"/>
              <w:rPr>
                <w:sz w:val="20"/>
                <w:lang w:val="en-US" w:eastAsia="en-US"/>
              </w:rPr>
            </w:pPr>
            <w:r w:rsidRPr="008E42B1">
              <w:rPr>
                <w:sz w:val="20"/>
                <w:lang w:val="en-US" w:eastAsia="en-US"/>
              </w:rPr>
              <w:t>-2.4%</w:t>
            </w:r>
          </w:p>
        </w:tc>
        <w:tc>
          <w:tcPr>
            <w:tcW w:w="1405" w:type="dxa"/>
            <w:tcBorders>
              <w:bottom w:val="single" w:sz="12" w:space="0" w:color="auto"/>
            </w:tcBorders>
            <w:vAlign w:val="center"/>
          </w:tcPr>
          <w:p w14:paraId="2F922009" w14:textId="77777777" w:rsidR="00E21D62" w:rsidRPr="008E42B1" w:rsidRDefault="00E21D62" w:rsidP="00822CE8">
            <w:pPr>
              <w:jc w:val="center"/>
              <w:rPr>
                <w:sz w:val="20"/>
                <w:lang w:val="en-US" w:eastAsia="en-US"/>
              </w:rPr>
            </w:pPr>
            <w:r w:rsidRPr="008E42B1">
              <w:rPr>
                <w:sz w:val="20"/>
                <w:lang w:val="en-US" w:eastAsia="en-US"/>
              </w:rPr>
              <w:t>0.68</w:t>
            </w:r>
          </w:p>
          <w:p w14:paraId="13E3BCEF" w14:textId="77777777" w:rsidR="00E21D62" w:rsidRPr="008E42B1" w:rsidRDefault="00E21D62" w:rsidP="00822CE8">
            <w:pPr>
              <w:jc w:val="center"/>
              <w:rPr>
                <w:sz w:val="20"/>
                <w:lang w:val="en-US" w:eastAsia="en-US"/>
              </w:rPr>
            </w:pPr>
            <w:r w:rsidRPr="008E42B1">
              <w:rPr>
                <w:sz w:val="20"/>
                <w:lang w:val="en-US" w:eastAsia="en-US"/>
              </w:rPr>
              <w:t>+2.9%</w:t>
            </w:r>
          </w:p>
        </w:tc>
        <w:tc>
          <w:tcPr>
            <w:tcW w:w="1559" w:type="dxa"/>
            <w:tcBorders>
              <w:bottom w:val="single" w:sz="12" w:space="0" w:color="auto"/>
            </w:tcBorders>
            <w:vAlign w:val="center"/>
          </w:tcPr>
          <w:p w14:paraId="22D3D120" w14:textId="77777777" w:rsidR="00E21D62" w:rsidRPr="008E42B1" w:rsidRDefault="00E21D62" w:rsidP="00822CE8">
            <w:pPr>
              <w:jc w:val="center"/>
              <w:rPr>
                <w:sz w:val="20"/>
                <w:lang w:val="en-US" w:eastAsia="en-US"/>
              </w:rPr>
            </w:pPr>
            <w:r w:rsidRPr="008E42B1">
              <w:rPr>
                <w:sz w:val="20"/>
                <w:lang w:val="en-US" w:eastAsia="en-US"/>
              </w:rPr>
              <w:t>0.176</w:t>
            </w:r>
          </w:p>
          <w:p w14:paraId="330A8A39" w14:textId="77777777" w:rsidR="00E21D62" w:rsidRPr="008E42B1" w:rsidRDefault="00E21D62" w:rsidP="00822CE8">
            <w:pPr>
              <w:jc w:val="center"/>
              <w:rPr>
                <w:sz w:val="20"/>
                <w:lang w:val="en-US" w:eastAsia="en-US"/>
              </w:rPr>
            </w:pPr>
            <w:r w:rsidRPr="008E42B1">
              <w:rPr>
                <w:sz w:val="20"/>
                <w:lang w:val="en-US" w:eastAsia="en-US"/>
              </w:rPr>
              <w:t>-46.7%</w:t>
            </w:r>
          </w:p>
        </w:tc>
      </w:tr>
      <w:tr w:rsidR="00E21D62" w:rsidRPr="001F281A" w14:paraId="78FA4DB6" w14:textId="77777777" w:rsidTr="00822CE8">
        <w:tc>
          <w:tcPr>
            <w:tcW w:w="1242" w:type="dxa"/>
            <w:vMerge w:val="restart"/>
            <w:tcBorders>
              <w:top w:val="single" w:sz="12" w:space="0" w:color="auto"/>
            </w:tcBorders>
            <w:shd w:val="clear" w:color="auto" w:fill="FFFFFF"/>
            <w:vAlign w:val="center"/>
          </w:tcPr>
          <w:p w14:paraId="6ECAE755" w14:textId="77777777" w:rsidR="00E21D62" w:rsidRPr="008E42B1" w:rsidRDefault="00E21D62" w:rsidP="00822CE8">
            <w:pPr>
              <w:jc w:val="center"/>
              <w:rPr>
                <w:b/>
                <w:sz w:val="20"/>
                <w:lang w:val="en-US" w:eastAsia="en-US"/>
              </w:rPr>
            </w:pPr>
            <w:r w:rsidRPr="008E42B1">
              <w:rPr>
                <w:b/>
                <w:sz w:val="20"/>
                <w:lang w:val="en-US" w:eastAsia="en-US"/>
              </w:rPr>
              <w:t>Positive control (MPTP)</w:t>
            </w:r>
          </w:p>
        </w:tc>
        <w:tc>
          <w:tcPr>
            <w:tcW w:w="709" w:type="dxa"/>
            <w:tcBorders>
              <w:top w:val="single" w:sz="12" w:space="0" w:color="auto"/>
            </w:tcBorders>
            <w:shd w:val="clear" w:color="auto" w:fill="D9D9D9"/>
          </w:tcPr>
          <w:p w14:paraId="7919999E" w14:textId="77777777" w:rsidR="00E21D62" w:rsidRPr="008E42B1" w:rsidRDefault="00E21D62" w:rsidP="00822CE8">
            <w:pPr>
              <w:rPr>
                <w:sz w:val="20"/>
                <w:lang w:val="en-US" w:eastAsia="en-US"/>
              </w:rPr>
            </w:pPr>
            <w:r w:rsidRPr="008E42B1">
              <w:rPr>
                <w:sz w:val="20"/>
                <w:lang w:val="en-US" w:eastAsia="en-US"/>
              </w:rPr>
              <w:t>M (6)</w:t>
            </w:r>
          </w:p>
        </w:tc>
        <w:tc>
          <w:tcPr>
            <w:tcW w:w="1280" w:type="dxa"/>
            <w:tcBorders>
              <w:top w:val="single" w:sz="12" w:space="0" w:color="auto"/>
            </w:tcBorders>
            <w:shd w:val="clear" w:color="auto" w:fill="D9D9D9"/>
            <w:vAlign w:val="center"/>
          </w:tcPr>
          <w:p w14:paraId="66273869" w14:textId="77777777" w:rsidR="00E21D62" w:rsidRPr="008E42B1" w:rsidRDefault="00E21D62" w:rsidP="00822CE8">
            <w:pPr>
              <w:jc w:val="center"/>
              <w:rPr>
                <w:sz w:val="20"/>
                <w:lang w:val="en-US" w:eastAsia="en-US"/>
              </w:rPr>
            </w:pPr>
            <w:r w:rsidRPr="008E42B1">
              <w:rPr>
                <w:sz w:val="20"/>
                <w:lang w:val="en-US" w:eastAsia="en-US"/>
              </w:rPr>
              <w:t>2.32</w:t>
            </w:r>
          </w:p>
          <w:p w14:paraId="09ABF149" w14:textId="77777777" w:rsidR="00E21D62" w:rsidRPr="008E42B1" w:rsidRDefault="00E21D62" w:rsidP="00822CE8">
            <w:pPr>
              <w:jc w:val="center"/>
              <w:rPr>
                <w:sz w:val="20"/>
                <w:lang w:val="en-US" w:eastAsia="en-US"/>
              </w:rPr>
            </w:pPr>
            <w:r w:rsidRPr="008E42B1">
              <w:rPr>
                <w:sz w:val="20"/>
                <w:lang w:val="en-US" w:eastAsia="en-US"/>
              </w:rPr>
              <w:t>-86.0%</w:t>
            </w:r>
          </w:p>
        </w:tc>
        <w:tc>
          <w:tcPr>
            <w:tcW w:w="1280" w:type="dxa"/>
            <w:tcBorders>
              <w:top w:val="single" w:sz="12" w:space="0" w:color="auto"/>
            </w:tcBorders>
            <w:shd w:val="clear" w:color="auto" w:fill="D9D9D9"/>
            <w:vAlign w:val="center"/>
          </w:tcPr>
          <w:p w14:paraId="24542888" w14:textId="77777777" w:rsidR="00E21D62" w:rsidRPr="008E42B1" w:rsidRDefault="00E21D62" w:rsidP="00822CE8">
            <w:pPr>
              <w:jc w:val="center"/>
              <w:rPr>
                <w:sz w:val="20"/>
                <w:lang w:val="en-US" w:eastAsia="en-US"/>
              </w:rPr>
            </w:pPr>
            <w:r w:rsidRPr="008E42B1">
              <w:rPr>
                <w:sz w:val="20"/>
                <w:lang w:val="en-US" w:eastAsia="en-US"/>
              </w:rPr>
              <w:t>0.53</w:t>
            </w:r>
          </w:p>
          <w:p w14:paraId="4BA3A6EC" w14:textId="77777777" w:rsidR="00E21D62" w:rsidRPr="008E42B1" w:rsidRDefault="00E21D62" w:rsidP="00822CE8">
            <w:pPr>
              <w:jc w:val="center"/>
              <w:rPr>
                <w:sz w:val="20"/>
                <w:lang w:val="en-US" w:eastAsia="en-US"/>
              </w:rPr>
            </w:pPr>
            <w:r w:rsidRPr="008E42B1">
              <w:rPr>
                <w:sz w:val="20"/>
                <w:lang w:val="en-US" w:eastAsia="en-US"/>
              </w:rPr>
              <w:t>-68.0%</w:t>
            </w:r>
          </w:p>
        </w:tc>
        <w:tc>
          <w:tcPr>
            <w:tcW w:w="1280" w:type="dxa"/>
            <w:tcBorders>
              <w:top w:val="single" w:sz="12" w:space="0" w:color="auto"/>
            </w:tcBorders>
            <w:shd w:val="clear" w:color="auto" w:fill="D9D9D9"/>
            <w:vAlign w:val="center"/>
          </w:tcPr>
          <w:p w14:paraId="60478A71" w14:textId="77777777" w:rsidR="00E21D62" w:rsidRPr="008E42B1" w:rsidRDefault="00E21D62" w:rsidP="00822CE8">
            <w:pPr>
              <w:jc w:val="center"/>
              <w:rPr>
                <w:sz w:val="20"/>
                <w:lang w:val="en-US" w:eastAsia="en-US"/>
              </w:rPr>
            </w:pPr>
            <w:r w:rsidRPr="008E42B1">
              <w:rPr>
                <w:sz w:val="20"/>
                <w:lang w:val="en-US" w:eastAsia="en-US"/>
              </w:rPr>
              <w:t>0.93</w:t>
            </w:r>
          </w:p>
          <w:p w14:paraId="339701AB" w14:textId="77777777" w:rsidR="00E21D62" w:rsidRPr="008E42B1" w:rsidRDefault="00E21D62" w:rsidP="00822CE8">
            <w:pPr>
              <w:jc w:val="center"/>
              <w:rPr>
                <w:sz w:val="20"/>
                <w:lang w:val="en-US" w:eastAsia="en-US"/>
              </w:rPr>
            </w:pPr>
            <w:r w:rsidRPr="008E42B1">
              <w:rPr>
                <w:sz w:val="20"/>
                <w:lang w:val="en-US" w:eastAsia="en-US"/>
              </w:rPr>
              <w:t>-52.2%</w:t>
            </w:r>
          </w:p>
        </w:tc>
        <w:tc>
          <w:tcPr>
            <w:tcW w:w="1405" w:type="dxa"/>
            <w:tcBorders>
              <w:top w:val="single" w:sz="12" w:space="0" w:color="auto"/>
            </w:tcBorders>
            <w:shd w:val="clear" w:color="auto" w:fill="D9D9D9"/>
            <w:vAlign w:val="center"/>
          </w:tcPr>
          <w:p w14:paraId="4327D72F" w14:textId="77777777" w:rsidR="00E21D62" w:rsidRPr="008E42B1" w:rsidRDefault="00E21D62" w:rsidP="00822CE8">
            <w:pPr>
              <w:jc w:val="center"/>
              <w:rPr>
                <w:sz w:val="20"/>
                <w:lang w:val="en-US" w:eastAsia="en-US"/>
              </w:rPr>
            </w:pPr>
            <w:r w:rsidRPr="008E42B1">
              <w:rPr>
                <w:sz w:val="20"/>
                <w:lang w:val="en-US" w:eastAsia="en-US"/>
              </w:rPr>
              <w:t>0.75</w:t>
            </w:r>
          </w:p>
          <w:p w14:paraId="6A770CA6" w14:textId="77777777" w:rsidR="00E21D62" w:rsidRPr="008E42B1" w:rsidRDefault="00E21D62" w:rsidP="00822CE8">
            <w:pPr>
              <w:jc w:val="center"/>
              <w:rPr>
                <w:sz w:val="20"/>
                <w:lang w:val="en-US" w:eastAsia="en-US"/>
              </w:rPr>
            </w:pPr>
            <w:r w:rsidRPr="008E42B1">
              <w:rPr>
                <w:sz w:val="20"/>
                <w:lang w:val="en-US" w:eastAsia="en-US"/>
              </w:rPr>
              <w:t>+20.9%</w:t>
            </w:r>
          </w:p>
        </w:tc>
        <w:tc>
          <w:tcPr>
            <w:tcW w:w="1559" w:type="dxa"/>
            <w:tcBorders>
              <w:top w:val="single" w:sz="12" w:space="0" w:color="auto"/>
            </w:tcBorders>
            <w:shd w:val="clear" w:color="auto" w:fill="D9D9D9"/>
            <w:vAlign w:val="center"/>
          </w:tcPr>
          <w:p w14:paraId="742D2FB1" w14:textId="77777777" w:rsidR="00E21D62" w:rsidRPr="008E42B1" w:rsidRDefault="00E21D62" w:rsidP="00822CE8">
            <w:pPr>
              <w:jc w:val="center"/>
              <w:rPr>
                <w:sz w:val="20"/>
                <w:lang w:val="en-US" w:eastAsia="en-US"/>
              </w:rPr>
            </w:pPr>
            <w:r w:rsidRPr="008E42B1">
              <w:rPr>
                <w:sz w:val="20"/>
                <w:lang w:val="en-US" w:eastAsia="en-US"/>
              </w:rPr>
              <w:t>0.706</w:t>
            </w:r>
          </w:p>
          <w:p w14:paraId="048B8F04" w14:textId="77777777" w:rsidR="00E21D62" w:rsidRPr="008E42B1" w:rsidRDefault="00E21D62" w:rsidP="00822CE8">
            <w:pPr>
              <w:jc w:val="center"/>
              <w:rPr>
                <w:sz w:val="20"/>
                <w:lang w:val="en-US" w:eastAsia="en-US"/>
              </w:rPr>
            </w:pPr>
            <w:r w:rsidRPr="008E42B1">
              <w:rPr>
                <w:sz w:val="20"/>
                <w:lang w:val="en-US" w:eastAsia="en-US"/>
              </w:rPr>
              <w:t>+221.3%</w:t>
            </w:r>
          </w:p>
        </w:tc>
      </w:tr>
      <w:tr w:rsidR="00E21D62" w:rsidRPr="001F281A" w14:paraId="366E92CD" w14:textId="77777777" w:rsidTr="00822CE8">
        <w:tc>
          <w:tcPr>
            <w:tcW w:w="1242" w:type="dxa"/>
            <w:vMerge/>
            <w:shd w:val="clear" w:color="auto" w:fill="FFFFFF"/>
          </w:tcPr>
          <w:p w14:paraId="35844756" w14:textId="77777777" w:rsidR="00E21D62" w:rsidRPr="008E42B1" w:rsidRDefault="00E21D62" w:rsidP="00822CE8">
            <w:pPr>
              <w:rPr>
                <w:b/>
                <w:sz w:val="20"/>
                <w:lang w:val="en-US" w:eastAsia="en-US"/>
              </w:rPr>
            </w:pPr>
          </w:p>
        </w:tc>
        <w:tc>
          <w:tcPr>
            <w:tcW w:w="709" w:type="dxa"/>
            <w:shd w:val="clear" w:color="auto" w:fill="FFFFFF"/>
          </w:tcPr>
          <w:p w14:paraId="2EB190C6" w14:textId="77777777" w:rsidR="00E21D62" w:rsidRPr="008E42B1" w:rsidRDefault="00E21D62" w:rsidP="00822CE8">
            <w:pPr>
              <w:rPr>
                <w:sz w:val="20"/>
                <w:lang w:val="en-US" w:eastAsia="en-US"/>
              </w:rPr>
            </w:pPr>
            <w:r w:rsidRPr="008E42B1">
              <w:rPr>
                <w:sz w:val="20"/>
                <w:lang w:val="en-US" w:eastAsia="en-US"/>
              </w:rPr>
              <w:t>F (6)</w:t>
            </w:r>
          </w:p>
        </w:tc>
        <w:tc>
          <w:tcPr>
            <w:tcW w:w="1280" w:type="dxa"/>
            <w:shd w:val="clear" w:color="auto" w:fill="FFFFFF"/>
            <w:vAlign w:val="center"/>
          </w:tcPr>
          <w:p w14:paraId="6D0BD04C" w14:textId="77777777" w:rsidR="00E21D62" w:rsidRPr="008E42B1" w:rsidRDefault="00E21D62" w:rsidP="00822CE8">
            <w:pPr>
              <w:jc w:val="center"/>
              <w:rPr>
                <w:sz w:val="20"/>
                <w:lang w:val="en-US" w:eastAsia="en-US"/>
              </w:rPr>
            </w:pPr>
            <w:r w:rsidRPr="008E42B1">
              <w:rPr>
                <w:sz w:val="20"/>
                <w:lang w:val="en-US" w:eastAsia="en-US"/>
              </w:rPr>
              <w:t>11.23</w:t>
            </w:r>
          </w:p>
          <w:p w14:paraId="7942E1AD" w14:textId="77777777" w:rsidR="00E21D62" w:rsidRPr="008E42B1" w:rsidRDefault="00E21D62" w:rsidP="00822CE8">
            <w:pPr>
              <w:jc w:val="center"/>
              <w:rPr>
                <w:sz w:val="20"/>
                <w:lang w:val="en-US" w:eastAsia="en-US"/>
              </w:rPr>
            </w:pPr>
            <w:r w:rsidRPr="008E42B1">
              <w:rPr>
                <w:sz w:val="20"/>
                <w:lang w:val="en-US" w:eastAsia="en-US"/>
              </w:rPr>
              <w:t>-32.9%</w:t>
            </w:r>
          </w:p>
        </w:tc>
        <w:tc>
          <w:tcPr>
            <w:tcW w:w="1280" w:type="dxa"/>
            <w:shd w:val="clear" w:color="auto" w:fill="FFFFFF"/>
            <w:vAlign w:val="center"/>
          </w:tcPr>
          <w:p w14:paraId="15D8A39C" w14:textId="77777777" w:rsidR="00E21D62" w:rsidRPr="008E42B1" w:rsidRDefault="00E21D62" w:rsidP="00822CE8">
            <w:pPr>
              <w:jc w:val="center"/>
              <w:rPr>
                <w:sz w:val="20"/>
                <w:lang w:val="en-US" w:eastAsia="en-US"/>
              </w:rPr>
            </w:pPr>
            <w:r w:rsidRPr="008E42B1">
              <w:rPr>
                <w:sz w:val="20"/>
                <w:lang w:val="en-US" w:eastAsia="en-US"/>
              </w:rPr>
              <w:t>1.66</w:t>
            </w:r>
          </w:p>
          <w:p w14:paraId="33095198" w14:textId="77777777" w:rsidR="00E21D62" w:rsidRPr="008E42B1" w:rsidRDefault="00E21D62" w:rsidP="00822CE8">
            <w:pPr>
              <w:jc w:val="center"/>
              <w:rPr>
                <w:sz w:val="20"/>
                <w:lang w:val="en-US" w:eastAsia="en-US"/>
              </w:rPr>
            </w:pPr>
            <w:r w:rsidRPr="008E42B1">
              <w:rPr>
                <w:sz w:val="20"/>
                <w:lang w:val="en-US" w:eastAsia="en-US"/>
              </w:rPr>
              <w:t>-49.0%</w:t>
            </w:r>
          </w:p>
        </w:tc>
        <w:tc>
          <w:tcPr>
            <w:tcW w:w="1280" w:type="dxa"/>
            <w:shd w:val="clear" w:color="auto" w:fill="FFFFFF"/>
            <w:vAlign w:val="center"/>
          </w:tcPr>
          <w:p w14:paraId="078BF75C" w14:textId="77777777" w:rsidR="00E21D62" w:rsidRPr="008E42B1" w:rsidRDefault="00E21D62" w:rsidP="00822CE8">
            <w:pPr>
              <w:jc w:val="center"/>
              <w:rPr>
                <w:sz w:val="20"/>
                <w:lang w:val="en-US" w:eastAsia="en-US"/>
              </w:rPr>
            </w:pPr>
            <w:r w:rsidRPr="008E42B1">
              <w:rPr>
                <w:sz w:val="20"/>
                <w:lang w:val="en-US" w:eastAsia="en-US"/>
              </w:rPr>
              <w:t>1.53</w:t>
            </w:r>
          </w:p>
          <w:p w14:paraId="1F9D2E4F" w14:textId="77777777" w:rsidR="00E21D62" w:rsidRPr="008E42B1" w:rsidRDefault="00E21D62" w:rsidP="00822CE8">
            <w:pPr>
              <w:jc w:val="center"/>
              <w:rPr>
                <w:sz w:val="20"/>
                <w:lang w:val="en-US" w:eastAsia="en-US"/>
              </w:rPr>
            </w:pPr>
            <w:r w:rsidRPr="008E42B1">
              <w:rPr>
                <w:sz w:val="20"/>
                <w:lang w:val="en-US" w:eastAsia="en-US"/>
              </w:rPr>
              <w:t>-20.0%</w:t>
            </w:r>
          </w:p>
        </w:tc>
        <w:tc>
          <w:tcPr>
            <w:tcW w:w="1405" w:type="dxa"/>
            <w:shd w:val="clear" w:color="auto" w:fill="FFFFFF"/>
            <w:vAlign w:val="center"/>
          </w:tcPr>
          <w:p w14:paraId="6C0654C7" w14:textId="77777777" w:rsidR="00E21D62" w:rsidRPr="008E42B1" w:rsidRDefault="00E21D62" w:rsidP="00822CE8">
            <w:pPr>
              <w:jc w:val="center"/>
              <w:rPr>
                <w:sz w:val="20"/>
                <w:lang w:val="en-US" w:eastAsia="en-US"/>
              </w:rPr>
            </w:pPr>
            <w:r w:rsidRPr="008E42B1">
              <w:rPr>
                <w:sz w:val="20"/>
                <w:lang w:val="en-US" w:eastAsia="en-US"/>
              </w:rPr>
              <w:t>0.72</w:t>
            </w:r>
          </w:p>
          <w:p w14:paraId="49EF4C74" w14:textId="77777777" w:rsidR="00E21D62" w:rsidRPr="008E42B1" w:rsidRDefault="00E21D62" w:rsidP="00822CE8">
            <w:pPr>
              <w:jc w:val="center"/>
              <w:rPr>
                <w:sz w:val="20"/>
                <w:lang w:val="en-US" w:eastAsia="en-US"/>
              </w:rPr>
            </w:pPr>
            <w:r w:rsidRPr="008E42B1">
              <w:rPr>
                <w:sz w:val="20"/>
                <w:lang w:val="en-US" w:eastAsia="en-US"/>
              </w:rPr>
              <w:t>+9.4%</w:t>
            </w:r>
          </w:p>
        </w:tc>
        <w:tc>
          <w:tcPr>
            <w:tcW w:w="1559" w:type="dxa"/>
            <w:shd w:val="clear" w:color="auto" w:fill="FFFFFF"/>
            <w:vAlign w:val="center"/>
          </w:tcPr>
          <w:p w14:paraId="7C54E936" w14:textId="77777777" w:rsidR="00E21D62" w:rsidRPr="008E42B1" w:rsidRDefault="00E21D62" w:rsidP="00822CE8">
            <w:pPr>
              <w:jc w:val="center"/>
              <w:rPr>
                <w:sz w:val="20"/>
                <w:lang w:val="en-US" w:eastAsia="en-US"/>
              </w:rPr>
            </w:pPr>
            <w:r w:rsidRPr="008E42B1">
              <w:rPr>
                <w:sz w:val="20"/>
                <w:lang w:val="en-US" w:eastAsia="en-US"/>
              </w:rPr>
              <w:t>0.326</w:t>
            </w:r>
          </w:p>
          <w:p w14:paraId="6083AC1C" w14:textId="77777777" w:rsidR="00E21D62" w:rsidRPr="008E42B1" w:rsidRDefault="00E21D62" w:rsidP="00822CE8">
            <w:pPr>
              <w:jc w:val="center"/>
              <w:rPr>
                <w:sz w:val="20"/>
                <w:lang w:val="en-US" w:eastAsia="en-US"/>
              </w:rPr>
            </w:pPr>
            <w:r w:rsidRPr="008E42B1">
              <w:rPr>
                <w:sz w:val="20"/>
                <w:lang w:val="en-US" w:eastAsia="en-US"/>
              </w:rPr>
              <w:t>-1.3%</w:t>
            </w:r>
          </w:p>
        </w:tc>
      </w:tr>
    </w:tbl>
    <w:p w14:paraId="4B029A23" w14:textId="77777777" w:rsidR="00E21D62" w:rsidRPr="002B2CFC" w:rsidRDefault="00E21D62" w:rsidP="00E21D62">
      <w:pPr>
        <w:rPr>
          <w:sz w:val="20"/>
          <w:lang w:val="en-US" w:eastAsia="en-US"/>
        </w:rPr>
      </w:pPr>
      <w:r w:rsidRPr="002B2CFC">
        <w:rPr>
          <w:sz w:val="20"/>
          <w:vertAlign w:val="superscript"/>
          <w:lang w:val="en-US" w:eastAsia="en-US"/>
        </w:rPr>
        <w:t>*</w:t>
      </w:r>
      <w:r w:rsidRPr="002B2CFC">
        <w:rPr>
          <w:sz w:val="20"/>
          <w:lang w:val="en-US" w:eastAsia="en-US"/>
        </w:rPr>
        <w:t xml:space="preserve"> Estimated by dividing the sum of the DOPAC and HVA concentrations by the </w:t>
      </w:r>
      <w:r w:rsidR="00011149">
        <w:rPr>
          <w:sz w:val="20"/>
          <w:lang w:val="en-US" w:eastAsia="en-US"/>
        </w:rPr>
        <w:t>DA</w:t>
      </w:r>
      <w:r w:rsidRPr="002B2CFC">
        <w:rPr>
          <w:sz w:val="20"/>
          <w:lang w:val="en-US" w:eastAsia="en-US"/>
        </w:rPr>
        <w:t xml:space="preserve"> concentration, and the data is expressed as a ratio. </w:t>
      </w:r>
      <w:r w:rsidRPr="002B2CFC">
        <w:rPr>
          <w:sz w:val="20"/>
          <w:vertAlign w:val="superscript"/>
          <w:lang w:val="en-US" w:eastAsia="en-US"/>
        </w:rPr>
        <w:t>#</w:t>
      </w:r>
      <w:r w:rsidRPr="002B2CFC">
        <w:rPr>
          <w:sz w:val="20"/>
          <w:lang w:val="en-US" w:eastAsia="en-US"/>
        </w:rPr>
        <w:t xml:space="preserve"> </w:t>
      </w:r>
      <w:r>
        <w:rPr>
          <w:sz w:val="20"/>
          <w:lang w:val="en-US" w:eastAsia="en-US"/>
        </w:rPr>
        <w:t>5-HT</w:t>
      </w:r>
      <w:r w:rsidRPr="002B2CFC">
        <w:rPr>
          <w:sz w:val="20"/>
          <w:lang w:val="en-US" w:eastAsia="en-US"/>
        </w:rPr>
        <w:t xml:space="preserve"> levels are considered an estimate only.</w:t>
      </w:r>
    </w:p>
    <w:p w14:paraId="3DE01E7C" w14:textId="77777777" w:rsidR="00E21D62" w:rsidRPr="002B2CFC" w:rsidRDefault="00E21D62" w:rsidP="00E21D62">
      <w:pPr>
        <w:rPr>
          <w:szCs w:val="24"/>
          <w:lang w:val="en-US" w:eastAsia="en-US"/>
        </w:rPr>
      </w:pPr>
    </w:p>
    <w:p w14:paraId="59FE58DB" w14:textId="77777777" w:rsidR="00E21D62" w:rsidRPr="002B2CFC" w:rsidRDefault="00E21D62" w:rsidP="00E21D62">
      <w:pPr>
        <w:rPr>
          <w:b/>
          <w:i/>
          <w:szCs w:val="24"/>
          <w:lang w:val="en-US" w:eastAsia="en-US"/>
        </w:rPr>
      </w:pPr>
      <w:r w:rsidRPr="002B2CFC">
        <w:rPr>
          <w:b/>
          <w:i/>
          <w:szCs w:val="24"/>
          <w:lang w:val="en-US" w:eastAsia="en-US"/>
        </w:rPr>
        <w:t>Conclusion</w:t>
      </w:r>
    </w:p>
    <w:p w14:paraId="0DA3B349" w14:textId="77777777" w:rsidR="00E21D62" w:rsidRPr="002B2CFC" w:rsidRDefault="00E21D62" w:rsidP="00E21D62">
      <w:pPr>
        <w:rPr>
          <w:szCs w:val="24"/>
          <w:lang w:val="en-US" w:eastAsia="en-US"/>
        </w:rPr>
      </w:pPr>
      <w:r w:rsidRPr="002B2CFC">
        <w:rPr>
          <w:szCs w:val="24"/>
          <w:lang w:val="en-US" w:eastAsia="en-US"/>
        </w:rPr>
        <w:t xml:space="preserve">Paraquat </w:t>
      </w:r>
      <w:r>
        <w:rPr>
          <w:szCs w:val="24"/>
          <w:lang w:val="en-US" w:eastAsia="en-US"/>
        </w:rPr>
        <w:t xml:space="preserve">dichloride </w:t>
      </w:r>
      <w:r w:rsidRPr="002B2CFC">
        <w:rPr>
          <w:szCs w:val="24"/>
          <w:lang w:val="en-US" w:eastAsia="en-US"/>
        </w:rPr>
        <w:t xml:space="preserve">administered to male and female mice in the diet at doses of 10 or 50 ppm for 13 weeks did not result in a treatment related effect on the levels of </w:t>
      </w:r>
      <w:r w:rsidR="00011149">
        <w:rPr>
          <w:szCs w:val="24"/>
          <w:lang w:val="en-US" w:eastAsia="en-US"/>
        </w:rPr>
        <w:t>DA</w:t>
      </w:r>
      <w:r w:rsidRPr="002B2CFC">
        <w:rPr>
          <w:szCs w:val="24"/>
          <w:lang w:val="en-US" w:eastAsia="en-US"/>
        </w:rPr>
        <w:t xml:space="preserve"> or its two metabolites (</w:t>
      </w:r>
      <w:r>
        <w:rPr>
          <w:szCs w:val="24"/>
          <w:lang w:val="en-US" w:eastAsia="en-US"/>
        </w:rPr>
        <w:t>HVA</w:t>
      </w:r>
      <w:r w:rsidRPr="002B2CFC">
        <w:rPr>
          <w:szCs w:val="24"/>
          <w:lang w:val="en-US" w:eastAsia="en-US"/>
        </w:rPr>
        <w:t xml:space="preserve"> and </w:t>
      </w:r>
      <w:r>
        <w:rPr>
          <w:szCs w:val="24"/>
          <w:lang w:val="en-US" w:eastAsia="en-US"/>
        </w:rPr>
        <w:t>DOPAC</w:t>
      </w:r>
      <w:r w:rsidRPr="002B2CFC">
        <w:rPr>
          <w:szCs w:val="24"/>
          <w:lang w:val="en-US" w:eastAsia="en-US"/>
        </w:rPr>
        <w:t xml:space="preserve">) in striatal tissues of the brain, as compared to negative control tissues. Positive control male mice showed marked decreases in mean </w:t>
      </w:r>
      <w:r w:rsidR="00011149">
        <w:rPr>
          <w:szCs w:val="24"/>
          <w:lang w:val="en-US" w:eastAsia="en-US"/>
        </w:rPr>
        <w:t>DA</w:t>
      </w:r>
      <w:r w:rsidRPr="002B2CFC">
        <w:rPr>
          <w:szCs w:val="24"/>
          <w:lang w:val="en-US" w:eastAsia="en-US"/>
        </w:rPr>
        <w:t>, DOPAC and HVA concentrations, which is consistent with the known neurotoxicity of MPTP. Effects were not as marked in positive control female mice.</w:t>
      </w:r>
    </w:p>
    <w:p w14:paraId="5C21B64F" w14:textId="77777777" w:rsidR="00436573" w:rsidRPr="003E662D" w:rsidRDefault="00436573">
      <w:pPr>
        <w:sectPr w:rsidR="00436573" w:rsidRPr="003E662D" w:rsidSect="003953F1">
          <w:headerReference w:type="even" r:id="rId26"/>
          <w:headerReference w:type="default" r:id="rId27"/>
          <w:footerReference w:type="even" r:id="rId28"/>
          <w:footerReference w:type="default" r:id="rId29"/>
          <w:pgSz w:w="11907" w:h="16840" w:code="9"/>
          <w:pgMar w:top="1440" w:right="1440" w:bottom="1440" w:left="1440" w:header="720" w:footer="720" w:gutter="0"/>
          <w:paperSrc w:first="15" w:other="15"/>
          <w:cols w:space="720"/>
          <w:docGrid w:linePitch="326"/>
        </w:sectPr>
      </w:pPr>
    </w:p>
    <w:p w14:paraId="145BD6C9" w14:textId="26A6DEB3" w:rsidR="00436573" w:rsidRDefault="001272EC" w:rsidP="005E54CD">
      <w:pPr>
        <w:pStyle w:val="Heading1"/>
        <w:numPr>
          <w:ilvl w:val="0"/>
          <w:numId w:val="17"/>
        </w:numPr>
      </w:pPr>
      <w:bookmarkStart w:id="196" w:name="_Ref420929238"/>
      <w:bookmarkStart w:id="197" w:name="_Toc459108334"/>
      <w:r>
        <w:t>Published Studies Not Relied On</w:t>
      </w:r>
      <w:bookmarkEnd w:id="196"/>
      <w:bookmarkEnd w:id="197"/>
    </w:p>
    <w:p w14:paraId="224B8795" w14:textId="77777777" w:rsidR="006C2979" w:rsidRPr="00023FF6" w:rsidRDefault="006C2979" w:rsidP="006C2979">
      <w:pPr>
        <w:spacing w:line="276" w:lineRule="auto"/>
        <w:rPr>
          <w:color w:val="000000"/>
          <w:szCs w:val="24"/>
        </w:rPr>
      </w:pPr>
      <w:r w:rsidRPr="005543E2">
        <w:rPr>
          <w:color w:val="000000"/>
          <w:szCs w:val="24"/>
        </w:rPr>
        <w:t xml:space="preserve">In 2012, the Office of Research Integrity (ORI) of the US Department of Health &amp; Human </w:t>
      </w:r>
      <w:r>
        <w:rPr>
          <w:color w:val="000000"/>
          <w:szCs w:val="24"/>
        </w:rPr>
        <w:t>s</w:t>
      </w:r>
      <w:r w:rsidRPr="005543E2">
        <w:rPr>
          <w:color w:val="000000"/>
          <w:szCs w:val="24"/>
        </w:rPr>
        <w:t>ervices found that Dr. Mona Thiruchelvam “engaged in research misconduct</w:t>
      </w:r>
      <w:r w:rsidRPr="00023FF6">
        <w:rPr>
          <w:color w:val="000000"/>
          <w:szCs w:val="24"/>
        </w:rPr>
        <w:t xml:space="preserve"> by falsifying and fabricating cell count data that she claimed to have obtained through stereological methods in order to falsely report the effects of combined exposure of the pesticides paraquat and maneb on dopaminergic neuronal death and a neuroprotective role for estrogen in a</w:t>
      </w:r>
      <w:r>
        <w:rPr>
          <w:color w:val="000000"/>
          <w:szCs w:val="24"/>
        </w:rPr>
        <w:t xml:space="preserve"> </w:t>
      </w:r>
      <w:r w:rsidRPr="00023FF6">
        <w:rPr>
          <w:color w:val="000000"/>
          <w:szCs w:val="24"/>
        </w:rPr>
        <w:t xml:space="preserve">murine model of Parkinson's disease. The </w:t>
      </w:r>
      <w:r w:rsidRPr="005543E2">
        <w:rPr>
          <w:color w:val="000000"/>
          <w:szCs w:val="24"/>
        </w:rPr>
        <w:t>r</w:t>
      </w:r>
      <w:r w:rsidRPr="00023FF6">
        <w:rPr>
          <w:color w:val="000000"/>
          <w:szCs w:val="24"/>
        </w:rPr>
        <w:t>espondent provided to the institution corrupted data files as the data for stereological cell counts of nigrostriatal neurons in brains of several mice and rats by copying a single data file from a previous experiment and renaming the copies to fit the description of 13 new experiments composed of 293</w:t>
      </w:r>
      <w:r w:rsidR="0072112D">
        <w:rPr>
          <w:color w:val="000000"/>
          <w:szCs w:val="24"/>
        </w:rPr>
        <w:t xml:space="preserve"> </w:t>
      </w:r>
      <w:r w:rsidRPr="00023FF6">
        <w:rPr>
          <w:color w:val="000000"/>
          <w:szCs w:val="24"/>
        </w:rPr>
        <w:t>data files when</w:t>
      </w:r>
      <w:r>
        <w:rPr>
          <w:color w:val="000000"/>
          <w:szCs w:val="24"/>
        </w:rPr>
        <w:t xml:space="preserve"> </w:t>
      </w:r>
      <w:r w:rsidRPr="00023FF6">
        <w:rPr>
          <w:color w:val="000000"/>
          <w:szCs w:val="24"/>
        </w:rPr>
        <w:t>stereological data collection was never performed for the questioned</w:t>
      </w:r>
      <w:r>
        <w:rPr>
          <w:color w:val="000000"/>
          <w:szCs w:val="24"/>
        </w:rPr>
        <w:t xml:space="preserve"> </w:t>
      </w:r>
      <w:r w:rsidRPr="00023FF6">
        <w:rPr>
          <w:color w:val="000000"/>
          <w:szCs w:val="24"/>
        </w:rPr>
        <w:t>research</w:t>
      </w:r>
      <w:r w:rsidRPr="005543E2">
        <w:rPr>
          <w:color w:val="000000"/>
          <w:szCs w:val="24"/>
        </w:rPr>
        <w:t>”</w:t>
      </w:r>
      <w:r w:rsidRPr="00023FF6">
        <w:rPr>
          <w:color w:val="000000"/>
          <w:szCs w:val="24"/>
        </w:rPr>
        <w:t>.</w:t>
      </w:r>
    </w:p>
    <w:p w14:paraId="469D1933" w14:textId="77777777" w:rsidR="006C2979" w:rsidRDefault="006C2979" w:rsidP="006C2979">
      <w:pPr>
        <w:shd w:val="clear" w:color="auto" w:fill="FFFFFF"/>
        <w:spacing w:line="360" w:lineRule="atLeast"/>
        <w:rPr>
          <w:color w:val="000000"/>
          <w:szCs w:val="24"/>
        </w:rPr>
      </w:pPr>
      <w:r>
        <w:rPr>
          <w:color w:val="000000"/>
          <w:szCs w:val="24"/>
        </w:rPr>
        <w:t>“</w:t>
      </w:r>
      <w:r w:rsidRPr="00023FF6">
        <w:rPr>
          <w:color w:val="000000"/>
          <w:szCs w:val="24"/>
        </w:rPr>
        <w:t>The fabricated data, falsified methodology, and false claims based on fabricated and falsified data were reported in two NIEHS, NIH, grant applications, two publications, a poster, and a manuscript in</w:t>
      </w:r>
      <w:r>
        <w:rPr>
          <w:color w:val="000000"/>
          <w:szCs w:val="24"/>
        </w:rPr>
        <w:t xml:space="preserve"> </w:t>
      </w:r>
      <w:r w:rsidRPr="00023FF6">
        <w:rPr>
          <w:color w:val="000000"/>
          <w:szCs w:val="24"/>
        </w:rPr>
        <w:t>preparation</w:t>
      </w:r>
      <w:r>
        <w:rPr>
          <w:color w:val="000000"/>
          <w:szCs w:val="24"/>
        </w:rPr>
        <w:t>”</w:t>
      </w:r>
      <w:r w:rsidRPr="005543E2">
        <w:rPr>
          <w:color w:val="000000"/>
          <w:szCs w:val="24"/>
        </w:rPr>
        <w:t>.</w:t>
      </w:r>
    </w:p>
    <w:p w14:paraId="13DC8A9A" w14:textId="77777777" w:rsidR="006C2979" w:rsidRDefault="006C2979" w:rsidP="006C2979">
      <w:pPr>
        <w:shd w:val="clear" w:color="auto" w:fill="FFFFFF"/>
        <w:spacing w:line="360" w:lineRule="atLeast"/>
        <w:rPr>
          <w:color w:val="000000"/>
          <w:szCs w:val="24"/>
        </w:rPr>
      </w:pPr>
    </w:p>
    <w:p w14:paraId="0EBDFDF4" w14:textId="77777777" w:rsidR="006C2979" w:rsidRPr="005543E2" w:rsidRDefault="006C2979" w:rsidP="006C2979">
      <w:pPr>
        <w:shd w:val="clear" w:color="auto" w:fill="FFFFFF"/>
        <w:spacing w:line="360" w:lineRule="atLeast"/>
        <w:rPr>
          <w:color w:val="000000"/>
          <w:szCs w:val="24"/>
        </w:rPr>
      </w:pPr>
      <w:r w:rsidRPr="005543E2">
        <w:rPr>
          <w:color w:val="000000"/>
          <w:szCs w:val="24"/>
        </w:rPr>
        <w:t xml:space="preserve"> The following two papers have been retracted</w:t>
      </w:r>
      <w:r w:rsidRPr="00023FF6">
        <w:rPr>
          <w:color w:val="000000"/>
          <w:szCs w:val="24"/>
        </w:rPr>
        <w:t>:</w:t>
      </w:r>
    </w:p>
    <w:p w14:paraId="29C44279" w14:textId="77777777" w:rsidR="006C2979" w:rsidRPr="005543E2" w:rsidRDefault="006C2979" w:rsidP="00DE4D85">
      <w:pPr>
        <w:pStyle w:val="ListParagraph"/>
        <w:numPr>
          <w:ilvl w:val="0"/>
          <w:numId w:val="11"/>
        </w:numPr>
        <w:shd w:val="clear" w:color="auto" w:fill="FFFFFF"/>
        <w:spacing w:line="360" w:lineRule="atLeast"/>
        <w:contextualSpacing/>
        <w:rPr>
          <w:rFonts w:ascii="Times New Roman" w:hAnsi="Times New Roman"/>
          <w:color w:val="000000"/>
          <w:sz w:val="24"/>
          <w:szCs w:val="24"/>
        </w:rPr>
      </w:pPr>
      <w:r w:rsidRPr="005543E2">
        <w:rPr>
          <w:rFonts w:ascii="Times New Roman" w:hAnsi="Times New Roman"/>
          <w:color w:val="000000"/>
          <w:sz w:val="24"/>
          <w:szCs w:val="24"/>
        </w:rPr>
        <w:t xml:space="preserve">Rodriguez, V.M., Thiruchelvam, M., &amp; Cory-Slechta, D.A. " Sustained Exposure to the Widely Used Herbicide, Atrazine: Altered Function and Loss of Neurons in Brain Monamine Systems." </w:t>
      </w:r>
      <w:r w:rsidRPr="004D6C19">
        <w:rPr>
          <w:rFonts w:ascii="Times New Roman" w:hAnsi="Times New Roman"/>
          <w:i/>
          <w:color w:val="000000"/>
          <w:sz w:val="24"/>
          <w:szCs w:val="24"/>
        </w:rPr>
        <w:t>Environ Health Perspect</w:t>
      </w:r>
      <w:r w:rsidRPr="005543E2">
        <w:rPr>
          <w:rFonts w:ascii="Times New Roman" w:hAnsi="Times New Roman"/>
          <w:color w:val="000000"/>
          <w:sz w:val="24"/>
          <w:szCs w:val="24"/>
        </w:rPr>
        <w:t xml:space="preserve">. </w:t>
      </w:r>
      <w:r w:rsidRPr="004D6C19">
        <w:rPr>
          <w:rFonts w:ascii="Times New Roman" w:hAnsi="Times New Roman"/>
          <w:b/>
          <w:color w:val="000000"/>
          <w:sz w:val="24"/>
          <w:szCs w:val="24"/>
        </w:rPr>
        <w:t>113</w:t>
      </w:r>
      <w:r w:rsidRPr="005543E2">
        <w:rPr>
          <w:rFonts w:ascii="Times New Roman" w:hAnsi="Times New Roman"/>
          <w:color w:val="000000"/>
          <w:sz w:val="24"/>
          <w:szCs w:val="24"/>
        </w:rPr>
        <w:t>(6):708-715, 2005.</w:t>
      </w:r>
    </w:p>
    <w:p w14:paraId="6936E4B6" w14:textId="77777777" w:rsidR="006C2979" w:rsidRDefault="006C2979" w:rsidP="00DE4D85">
      <w:pPr>
        <w:pStyle w:val="ListParagraph"/>
        <w:numPr>
          <w:ilvl w:val="0"/>
          <w:numId w:val="11"/>
        </w:numPr>
        <w:shd w:val="clear" w:color="auto" w:fill="FFFFFF"/>
        <w:spacing w:line="360" w:lineRule="atLeast"/>
        <w:contextualSpacing/>
        <w:rPr>
          <w:color w:val="000000"/>
          <w:szCs w:val="24"/>
        </w:rPr>
      </w:pPr>
      <w:r w:rsidRPr="005543E2">
        <w:rPr>
          <w:rFonts w:ascii="Times New Roman" w:hAnsi="Times New Roman"/>
          <w:color w:val="000000"/>
          <w:sz w:val="24"/>
          <w:szCs w:val="24"/>
        </w:rPr>
        <w:t xml:space="preserve">Thiruchelvam, M., Prokopenko, O., Cory-Slechta, D.A., Richfield, E.K., Buckley, B., &amp; Mirochnitchenko, O. "Overexpression of Superoxide Dismutase or Glutathione Peroxidase Protects against the Paraquat + Maneb-induced Parkinson Disease Phenotype." </w:t>
      </w:r>
      <w:r w:rsidRPr="004D6C19">
        <w:rPr>
          <w:rFonts w:ascii="Times New Roman" w:hAnsi="Times New Roman"/>
          <w:i/>
          <w:color w:val="000000"/>
          <w:sz w:val="24"/>
          <w:szCs w:val="24"/>
        </w:rPr>
        <w:t>J. Biol. Chem.</w:t>
      </w:r>
      <w:r w:rsidRPr="005543E2">
        <w:rPr>
          <w:rFonts w:ascii="Times New Roman" w:hAnsi="Times New Roman"/>
          <w:color w:val="000000"/>
          <w:sz w:val="24"/>
          <w:szCs w:val="24"/>
        </w:rPr>
        <w:t xml:space="preserve"> </w:t>
      </w:r>
      <w:r w:rsidRPr="004D6C19">
        <w:rPr>
          <w:rFonts w:ascii="Times New Roman" w:hAnsi="Times New Roman"/>
          <w:b/>
          <w:color w:val="000000"/>
          <w:sz w:val="24"/>
          <w:szCs w:val="24"/>
        </w:rPr>
        <w:t>280</w:t>
      </w:r>
      <w:r w:rsidRPr="005543E2">
        <w:rPr>
          <w:rFonts w:ascii="Times New Roman" w:hAnsi="Times New Roman"/>
          <w:color w:val="000000"/>
          <w:sz w:val="24"/>
          <w:szCs w:val="24"/>
        </w:rPr>
        <w:t>(23):22530-22539, 2005.</w:t>
      </w:r>
    </w:p>
    <w:p w14:paraId="79F10244" w14:textId="77777777" w:rsidR="006C2979" w:rsidRDefault="006C2979" w:rsidP="006C2979">
      <w:pPr>
        <w:rPr>
          <w:color w:val="000000"/>
          <w:szCs w:val="24"/>
        </w:rPr>
      </w:pPr>
      <w:r>
        <w:rPr>
          <w:color w:val="000000"/>
          <w:szCs w:val="24"/>
        </w:rPr>
        <w:t xml:space="preserve">The latter paper was </w:t>
      </w:r>
      <w:r w:rsidR="00187946">
        <w:rPr>
          <w:color w:val="000000"/>
          <w:szCs w:val="24"/>
        </w:rPr>
        <w:t xml:space="preserve">initially </w:t>
      </w:r>
      <w:r>
        <w:rPr>
          <w:color w:val="000000"/>
          <w:szCs w:val="24"/>
        </w:rPr>
        <w:t xml:space="preserve">reviewed for this assessment of paraquat by the OCS, and </w:t>
      </w:r>
      <w:r w:rsidR="00187946">
        <w:rPr>
          <w:color w:val="000000"/>
          <w:szCs w:val="24"/>
        </w:rPr>
        <w:t xml:space="preserve">is discussed in </w:t>
      </w:r>
      <w:r>
        <w:rPr>
          <w:color w:val="000000"/>
          <w:szCs w:val="24"/>
        </w:rPr>
        <w:t xml:space="preserve"> this</w:t>
      </w:r>
      <w:r w:rsidR="00187946">
        <w:rPr>
          <w:color w:val="000000"/>
          <w:szCs w:val="24"/>
        </w:rPr>
        <w:t xml:space="preserve"> neurotoxicity</w:t>
      </w:r>
      <w:r>
        <w:rPr>
          <w:color w:val="000000"/>
          <w:szCs w:val="24"/>
        </w:rPr>
        <w:t xml:space="preserve"> </w:t>
      </w:r>
      <w:r w:rsidR="00BA33FB">
        <w:rPr>
          <w:color w:val="000000"/>
          <w:szCs w:val="24"/>
        </w:rPr>
        <w:t>Supplement</w:t>
      </w:r>
      <w:r>
        <w:rPr>
          <w:color w:val="000000"/>
          <w:szCs w:val="24"/>
        </w:rPr>
        <w:t>.</w:t>
      </w:r>
      <w:r w:rsidR="00187946">
        <w:rPr>
          <w:color w:val="000000"/>
          <w:szCs w:val="24"/>
        </w:rPr>
        <w:t xml:space="preserve"> Following the retraction, this paper was no longer relied on.</w:t>
      </w:r>
    </w:p>
    <w:p w14:paraId="2DF0D6FA" w14:textId="77777777" w:rsidR="00187946" w:rsidRDefault="00187946" w:rsidP="006C2979">
      <w:pPr>
        <w:rPr>
          <w:color w:val="000000"/>
          <w:szCs w:val="24"/>
        </w:rPr>
      </w:pPr>
    </w:p>
    <w:p w14:paraId="0B73FA6F" w14:textId="77777777" w:rsidR="006C2979" w:rsidRPr="005543E2" w:rsidRDefault="006C2979" w:rsidP="006C2979">
      <w:pPr>
        <w:rPr>
          <w:color w:val="000000"/>
          <w:szCs w:val="24"/>
        </w:rPr>
      </w:pPr>
      <w:r>
        <w:rPr>
          <w:color w:val="000000"/>
          <w:szCs w:val="24"/>
        </w:rPr>
        <w:t xml:space="preserve">Source: </w:t>
      </w:r>
      <w:r w:rsidRPr="00023FF6">
        <w:t>http://ori.hhs.gov/content/case-summary-thiruchelvam-mona</w:t>
      </w:r>
    </w:p>
    <w:p w14:paraId="7B5B1DFB" w14:textId="77777777" w:rsidR="00436573" w:rsidRDefault="006C2979" w:rsidP="003E662D">
      <w:pPr>
        <w:rPr>
          <w:rFonts w:ascii="Arial" w:hAnsi="Arial" w:cs="Arial"/>
          <w:color w:val="000000"/>
          <w:sz w:val="20"/>
        </w:rPr>
      </w:pPr>
      <w:r w:rsidRPr="005543E2">
        <w:rPr>
          <w:color w:val="000000"/>
          <w:szCs w:val="24"/>
        </w:rPr>
        <w:t>(Federal Register Volume 77, Number 125 (Thursday, June 28, 2012) Pages 38632-38633. FR Doc No: 2012-15887. http://www.gpo.gov/)</w:t>
      </w:r>
    </w:p>
    <w:p w14:paraId="719A2615" w14:textId="77777777" w:rsidR="006C2979" w:rsidRDefault="006C2979" w:rsidP="006C2979">
      <w:r>
        <w:t xml:space="preserve">Due to the fraudulent nature of Dr.Thiruchelvams’s data in the publications listed above, uncertainty is cast on the reliability of other research papers involving Dr. Thiruchelvam’s input. Therefore, the following papers are considered unsuitable for regulatory purposes: </w:t>
      </w:r>
    </w:p>
    <w:p w14:paraId="41B3F63B" w14:textId="77777777" w:rsidR="006C2979" w:rsidRDefault="006C2979" w:rsidP="006C2979"/>
    <w:p w14:paraId="2FF9FFFD" w14:textId="77777777" w:rsidR="00CE7EF0" w:rsidRPr="002B2CFC" w:rsidRDefault="00CE7EF0" w:rsidP="00CE7EF0">
      <w:pPr>
        <w:keepNext/>
        <w:keepLines/>
        <w:spacing w:before="120"/>
        <w:rPr>
          <w:b/>
          <w:i/>
          <w:color w:val="000000"/>
          <w:szCs w:val="24"/>
          <w:lang w:val="en-US" w:eastAsia="en-US"/>
        </w:rPr>
      </w:pPr>
      <w:r w:rsidRPr="007931A8">
        <w:rPr>
          <w:b/>
          <w:color w:val="000000"/>
          <w:szCs w:val="24"/>
          <w:lang w:val="en-US" w:eastAsia="en-US"/>
        </w:rPr>
        <w:t>McCormack AL, Thiruchelvam M, Manning-Bog AB, Thiffault C, Langston JW, Cory-Slechta DA &amp; Di Monte DA (2002)</w:t>
      </w:r>
      <w:r w:rsidRPr="002B2CFC">
        <w:rPr>
          <w:b/>
          <w:i/>
          <w:color w:val="000000"/>
          <w:szCs w:val="24"/>
          <w:lang w:val="en-US" w:eastAsia="en-US"/>
        </w:rPr>
        <w:t xml:space="preserve"> </w:t>
      </w:r>
      <w:r w:rsidRPr="002B2CFC">
        <w:rPr>
          <w:b/>
          <w:color w:val="000000"/>
          <w:szCs w:val="24"/>
          <w:lang w:val="en-US" w:eastAsia="en-US"/>
        </w:rPr>
        <w:t>Environmental risk factors and Parkinson’s disease: selective degeneration of nigral dopaminergic neurons caused by the herbicide paraquat</w:t>
      </w:r>
      <w:r w:rsidRPr="002B2CFC">
        <w:rPr>
          <w:b/>
          <w:i/>
          <w:color w:val="000000"/>
          <w:szCs w:val="24"/>
          <w:lang w:val="en-US" w:eastAsia="en-US"/>
        </w:rPr>
        <w:t xml:space="preserve">. Neurobiol Dis </w:t>
      </w:r>
      <w:r w:rsidRPr="002B2CFC">
        <w:rPr>
          <w:b/>
          <w:color w:val="000000"/>
          <w:szCs w:val="24"/>
          <w:lang w:val="en-US" w:eastAsia="en-US"/>
        </w:rPr>
        <w:t>10(2):119-127.</w:t>
      </w:r>
    </w:p>
    <w:p w14:paraId="6F1C3FB6" w14:textId="0ECD4B62" w:rsidR="00CE7EF0" w:rsidRPr="002B2CFC" w:rsidRDefault="00CE7EF0" w:rsidP="000E54B2">
      <w:pPr>
        <w:keepNext/>
        <w:keepLines/>
        <w:spacing w:before="120"/>
        <w:rPr>
          <w:szCs w:val="24"/>
          <w:lang w:eastAsia="en-US"/>
        </w:rPr>
      </w:pPr>
      <w:r w:rsidRPr="002B2CFC">
        <w:rPr>
          <w:szCs w:val="24"/>
          <w:lang w:val="en-US" w:eastAsia="en-US"/>
        </w:rPr>
        <w:t xml:space="preserve">McCormack </w:t>
      </w:r>
      <w:r w:rsidRPr="002B2CFC">
        <w:rPr>
          <w:i/>
          <w:szCs w:val="24"/>
          <w:lang w:val="en-US" w:eastAsia="en-US"/>
        </w:rPr>
        <w:t>et al</w:t>
      </w:r>
      <w:r w:rsidRPr="002B2CFC">
        <w:rPr>
          <w:szCs w:val="24"/>
          <w:lang w:val="en-US" w:eastAsia="en-US"/>
        </w:rPr>
        <w:t xml:space="preserve"> (2002) </w:t>
      </w:r>
      <w:r w:rsidRPr="002B2CFC">
        <w:rPr>
          <w:szCs w:val="24"/>
          <w:lang w:eastAsia="en-US"/>
        </w:rPr>
        <w:t xml:space="preserve">using doses of paraquat of 1, 5 and 10 mg/kg bw ip in mice ranging from 6 weeks to 18 months of age, demonstrated the apoptotic death of dopaminergic neurons in the SN of mouse brain which was dose and age dependent. The loss was confined to dopaminergic neurons of the </w:t>
      </w:r>
      <w:r w:rsidRPr="002B2CFC">
        <w:rPr>
          <w:i/>
          <w:szCs w:val="24"/>
          <w:lang w:eastAsia="en-US"/>
        </w:rPr>
        <w:t>pars compacta</w:t>
      </w:r>
      <w:r w:rsidRPr="002B2CFC">
        <w:rPr>
          <w:szCs w:val="24"/>
          <w:lang w:eastAsia="en-US"/>
        </w:rPr>
        <w:t xml:space="preserve"> of the Sn and did not occur among the </w:t>
      </w:r>
      <w:r w:rsidRPr="002B2CFC">
        <w:rPr>
          <w:i/>
          <w:szCs w:val="24"/>
          <w:lang w:eastAsia="en-US"/>
        </w:rPr>
        <w:t xml:space="preserve">pars reticulata </w:t>
      </w:r>
      <w:r w:rsidRPr="002B2CFC">
        <w:rPr>
          <w:szCs w:val="24"/>
          <w:lang w:eastAsia="en-US"/>
        </w:rPr>
        <w:t xml:space="preserve">of the SN or the hippocampus. </w:t>
      </w:r>
    </w:p>
    <w:p w14:paraId="0A76100F" w14:textId="74D19A5B" w:rsidR="00CE7EF0" w:rsidRDefault="00CE7EF0" w:rsidP="00CE7EF0">
      <w:pPr>
        <w:spacing w:before="120"/>
        <w:rPr>
          <w:szCs w:val="24"/>
          <w:lang w:eastAsia="en-US"/>
        </w:rPr>
      </w:pPr>
      <w:r w:rsidRPr="002B2CFC">
        <w:rPr>
          <w:szCs w:val="24"/>
          <w:lang w:eastAsia="en-US"/>
        </w:rPr>
        <w:t>Figure 2: Ty</w:t>
      </w:r>
      <w:r w:rsidR="00875774">
        <w:rPr>
          <w:szCs w:val="24"/>
          <w:lang w:eastAsia="en-US"/>
        </w:rPr>
        <w:t>r</w:t>
      </w:r>
      <w:r w:rsidRPr="002B2CFC">
        <w:rPr>
          <w:szCs w:val="24"/>
          <w:lang w:eastAsia="en-US"/>
        </w:rPr>
        <w:t xml:space="preserve">osine hydroxylate positive neurons were counted using a stereological technique in the </w:t>
      </w:r>
      <w:r w:rsidR="004D01E6" w:rsidRPr="002B2CFC">
        <w:rPr>
          <w:szCs w:val="24"/>
          <w:lang w:val="en-US" w:eastAsia="en-US"/>
        </w:rPr>
        <w:t>SN pc</w:t>
      </w:r>
      <w:r w:rsidR="004D01E6" w:rsidRPr="002B2CFC" w:rsidDel="004D01E6">
        <w:rPr>
          <w:szCs w:val="24"/>
          <w:lang w:eastAsia="en-US"/>
        </w:rPr>
        <w:t xml:space="preserve"> </w:t>
      </w:r>
      <w:r w:rsidRPr="002B2CFC">
        <w:rPr>
          <w:szCs w:val="24"/>
          <w:lang w:eastAsia="en-US"/>
        </w:rPr>
        <w:t xml:space="preserve">of mice treated with different paraquat doses (A), and animals of different ages injected with 10 mg/kg bw paraquat (B). Paraquat was administered once a week for three consecutive weeks, and mice were killed at 7 days after the last paraquat treatment. Data represent mean ± SEM (n ≥ 4). </w:t>
      </w:r>
      <w:r w:rsidRPr="002B2CFC">
        <w:rPr>
          <w:szCs w:val="24"/>
          <w:vertAlign w:val="superscript"/>
          <w:lang w:eastAsia="en-US"/>
        </w:rPr>
        <w:t>*</w:t>
      </w:r>
      <w:r w:rsidRPr="002B2CFC">
        <w:rPr>
          <w:i/>
          <w:szCs w:val="24"/>
          <w:lang w:eastAsia="en-US"/>
        </w:rPr>
        <w:t>p</w:t>
      </w:r>
      <w:r w:rsidRPr="002B2CFC">
        <w:rPr>
          <w:szCs w:val="24"/>
          <w:lang w:eastAsia="en-US"/>
        </w:rPr>
        <w:t xml:space="preserve"> &lt; 0.05 compared with the corresponding saline control. </w:t>
      </w:r>
      <w:r w:rsidRPr="002B2CFC">
        <w:rPr>
          <w:szCs w:val="24"/>
          <w:vertAlign w:val="superscript"/>
          <w:lang w:eastAsia="en-US"/>
        </w:rPr>
        <w:t>†</w:t>
      </w:r>
      <w:r w:rsidRPr="002B2CFC">
        <w:rPr>
          <w:i/>
          <w:szCs w:val="24"/>
          <w:lang w:eastAsia="en-US"/>
        </w:rPr>
        <w:t>p</w:t>
      </w:r>
      <w:r w:rsidRPr="002B2CFC">
        <w:rPr>
          <w:szCs w:val="24"/>
          <w:lang w:eastAsia="en-US"/>
        </w:rPr>
        <w:t xml:space="preserve"> &lt; 0.05 compared with all other treatment groups in B.</w:t>
      </w:r>
    </w:p>
    <w:p w14:paraId="281B9843" w14:textId="77777777" w:rsidR="000E54B2" w:rsidRPr="002B2CFC" w:rsidRDefault="000E54B2" w:rsidP="000E54B2">
      <w:pPr>
        <w:rPr>
          <w:szCs w:val="24"/>
          <w:lang w:eastAsia="en-US"/>
        </w:rPr>
      </w:pPr>
    </w:p>
    <w:p w14:paraId="6E52C53F" w14:textId="77777777" w:rsidR="00CE7EF0" w:rsidRPr="002B2CFC" w:rsidRDefault="00CE7EF0" w:rsidP="00CE7EF0">
      <w:pPr>
        <w:rPr>
          <w:szCs w:val="24"/>
          <w:lang w:eastAsia="en-US"/>
        </w:rPr>
      </w:pPr>
      <w:r w:rsidRPr="002B2CFC">
        <w:rPr>
          <w:szCs w:val="24"/>
          <w:lang w:eastAsia="en-US"/>
        </w:rPr>
        <w:t xml:space="preserve">There was evidence of neurochemical compensatory production in surviving neurons. This loss of dopaminergic neurons was not matched by a significant occurrence of </w:t>
      </w:r>
      <w:r w:rsidR="00011149">
        <w:rPr>
          <w:szCs w:val="24"/>
          <w:lang w:eastAsia="en-US"/>
        </w:rPr>
        <w:t>DA</w:t>
      </w:r>
      <w:r w:rsidRPr="002B2CFC">
        <w:rPr>
          <w:szCs w:val="24"/>
          <w:lang w:eastAsia="en-US"/>
        </w:rPr>
        <w:t xml:space="preserve"> depletion. Measurements of striatal </w:t>
      </w:r>
      <w:r w:rsidR="009E2A0B">
        <w:rPr>
          <w:szCs w:val="24"/>
          <w:lang w:eastAsia="en-US"/>
        </w:rPr>
        <w:t>TH</w:t>
      </w:r>
      <w:r w:rsidRPr="002B2CFC">
        <w:rPr>
          <w:szCs w:val="24"/>
          <w:lang w:eastAsia="en-US"/>
        </w:rPr>
        <w:t xml:space="preserve"> activity revealed a significant increase in all of three age groups injected with paraquat with the greatest effect in the 5 month old mice (70%) and the smallest in the 18 month old mice (28%). This increase suggested an enhancement of </w:t>
      </w:r>
      <w:r w:rsidR="00011149">
        <w:rPr>
          <w:szCs w:val="24"/>
          <w:lang w:eastAsia="en-US"/>
        </w:rPr>
        <w:t>DA</w:t>
      </w:r>
      <w:r w:rsidRPr="002B2CFC">
        <w:rPr>
          <w:szCs w:val="24"/>
          <w:lang w:eastAsia="en-US"/>
        </w:rPr>
        <w:t xml:space="preserve"> synthesis and a period of compensatory activity aimed restoring tissue levels of </w:t>
      </w:r>
      <w:r w:rsidR="00011149">
        <w:rPr>
          <w:szCs w:val="24"/>
          <w:lang w:eastAsia="en-US"/>
        </w:rPr>
        <w:t>DA</w:t>
      </w:r>
      <w:r w:rsidRPr="002B2CFC">
        <w:rPr>
          <w:szCs w:val="24"/>
          <w:lang w:eastAsia="en-US"/>
        </w:rPr>
        <w:t>. A consequence of the compensatory activity may be that induced nigrostriatal injury may remain, at least initially, relatively silent from the neurochemical standpoint.</w:t>
      </w:r>
    </w:p>
    <w:p w14:paraId="7865EBC2" w14:textId="77777777" w:rsidR="00CE7EF0" w:rsidRPr="002B2CFC" w:rsidRDefault="00CE7EF0" w:rsidP="00CE7EF0">
      <w:pPr>
        <w:rPr>
          <w:szCs w:val="24"/>
          <w:lang w:eastAsia="en-US"/>
        </w:rPr>
      </w:pPr>
    </w:p>
    <w:p w14:paraId="791264A3" w14:textId="77777777" w:rsidR="00CE7EF0" w:rsidRPr="002B2CFC" w:rsidRDefault="00CE7EF0" w:rsidP="00CE7EF0">
      <w:pPr>
        <w:rPr>
          <w:szCs w:val="24"/>
          <w:lang w:eastAsia="en-US"/>
        </w:rPr>
      </w:pPr>
      <w:r w:rsidRPr="002B2CFC">
        <w:rPr>
          <w:szCs w:val="24"/>
          <w:lang w:eastAsia="en-US"/>
        </w:rPr>
        <w:t xml:space="preserve">McCormack </w:t>
      </w:r>
      <w:r w:rsidRPr="002B2CFC">
        <w:rPr>
          <w:i/>
          <w:szCs w:val="24"/>
          <w:lang w:eastAsia="en-US"/>
        </w:rPr>
        <w:t>et al</w:t>
      </w:r>
      <w:r w:rsidRPr="002B2CFC">
        <w:rPr>
          <w:szCs w:val="24"/>
          <w:lang w:eastAsia="en-US"/>
        </w:rPr>
        <w:t xml:space="preserve"> (2002) also noted a paraquat induced glial response in homogenates from the ventral mesencephalon, frontal cortex and cerebellum. The highest levels of glial proteins were observed at 2 days after the second and third of the 3 weekly injections.</w:t>
      </w:r>
    </w:p>
    <w:p w14:paraId="46362B76" w14:textId="77777777" w:rsidR="001742C8" w:rsidRDefault="001742C8" w:rsidP="00CE7EF0">
      <w:pPr>
        <w:rPr>
          <w:szCs w:val="24"/>
          <w:lang w:eastAsia="en-US"/>
        </w:rPr>
      </w:pPr>
    </w:p>
    <w:p w14:paraId="272E2A7B" w14:textId="77777777" w:rsidR="00DF7EDC" w:rsidRPr="002B2CFC" w:rsidRDefault="00DF7EDC" w:rsidP="00CE7EF0">
      <w:pPr>
        <w:rPr>
          <w:szCs w:val="24"/>
          <w:lang w:eastAsia="en-US"/>
        </w:rPr>
      </w:pPr>
      <w:r w:rsidRPr="005C45B3">
        <w:rPr>
          <w:szCs w:val="24"/>
          <w:lang w:eastAsia="en-US"/>
        </w:rPr>
        <w:t xml:space="preserve">As described at the beginning of this </w:t>
      </w:r>
      <w:r w:rsidR="00BA33FB">
        <w:rPr>
          <w:szCs w:val="24"/>
          <w:lang w:eastAsia="en-US"/>
        </w:rPr>
        <w:t>Supplement</w:t>
      </w:r>
      <w:r w:rsidRPr="005C45B3">
        <w:rPr>
          <w:szCs w:val="24"/>
          <w:lang w:eastAsia="en-US"/>
        </w:rPr>
        <w:t>,</w:t>
      </w:r>
      <w:r w:rsidR="00D03D9C" w:rsidRPr="005C45B3">
        <w:rPr>
          <w:szCs w:val="24"/>
          <w:lang w:eastAsia="en-US"/>
        </w:rPr>
        <w:t xml:space="preserve"> this study is considered inconclusive and not suitable for regulatory purposes.</w:t>
      </w:r>
    </w:p>
    <w:p w14:paraId="312077A4" w14:textId="77777777" w:rsidR="006C2979" w:rsidRDefault="006C2979" w:rsidP="00136301"/>
    <w:p w14:paraId="459AA8F1" w14:textId="77777777" w:rsidR="00CE7EF0" w:rsidRPr="002B2CFC" w:rsidRDefault="003A31EB" w:rsidP="00CE7EF0">
      <w:pPr>
        <w:keepNext/>
        <w:keepLines/>
        <w:rPr>
          <w:b/>
          <w:szCs w:val="24"/>
          <w:lang w:val="en-US" w:eastAsia="en-US"/>
        </w:rPr>
      </w:pPr>
      <w:hyperlink r:id="rId30" w:history="1">
        <w:r w:rsidR="00CE7EF0" w:rsidRPr="007931A8">
          <w:rPr>
            <w:b/>
            <w:color w:val="000000"/>
            <w:szCs w:val="24"/>
            <w:lang w:val="en-US" w:eastAsia="en-US"/>
          </w:rPr>
          <w:t>Prasad K, Winnik B, Thiruchelvam MJ, Buckley B, Mirochnitchenko O, Richfield EK</w:t>
        </w:r>
      </w:hyperlink>
      <w:r w:rsidR="00CE7EF0" w:rsidRPr="002B2CFC">
        <w:rPr>
          <w:b/>
          <w:szCs w:val="24"/>
          <w:lang w:val="en-US" w:eastAsia="en-US"/>
        </w:rPr>
        <w:t xml:space="preserve"> (2007) Prolonged toxicokinetics and toxicodynamics of paraquat in mouse brain. </w:t>
      </w:r>
      <w:r w:rsidR="00CE7EF0" w:rsidRPr="002B2CFC">
        <w:rPr>
          <w:b/>
          <w:i/>
          <w:szCs w:val="24"/>
          <w:lang w:val="en-US" w:eastAsia="en-US"/>
        </w:rPr>
        <w:t>Environ Health Perspect</w:t>
      </w:r>
      <w:r w:rsidR="00CE7EF0" w:rsidRPr="002B2CFC">
        <w:rPr>
          <w:b/>
          <w:szCs w:val="24"/>
          <w:lang w:val="en-US" w:eastAsia="en-US"/>
        </w:rPr>
        <w:t xml:space="preserve"> Oct;115(10):1448-53.</w:t>
      </w:r>
    </w:p>
    <w:p w14:paraId="595001A3" w14:textId="77777777" w:rsidR="00CE7EF0" w:rsidRPr="002B2CFC" w:rsidRDefault="00CE7EF0" w:rsidP="00CE7EF0">
      <w:pPr>
        <w:rPr>
          <w:szCs w:val="24"/>
          <w:lang w:val="en-US" w:eastAsia="en-US"/>
        </w:rPr>
      </w:pPr>
    </w:p>
    <w:p w14:paraId="6D5BAD1E" w14:textId="77777777" w:rsidR="00CE7EF0" w:rsidRPr="002B2CFC" w:rsidRDefault="00CE7EF0" w:rsidP="00CE7EF0">
      <w:pPr>
        <w:rPr>
          <w:szCs w:val="24"/>
          <w:lang w:val="en-US" w:eastAsia="en-US"/>
        </w:rPr>
      </w:pPr>
      <w:r w:rsidRPr="002B2CFC">
        <w:rPr>
          <w:szCs w:val="24"/>
          <w:lang w:val="en-US" w:eastAsia="en-US"/>
        </w:rPr>
        <w:t xml:space="preserve">Prasad </w:t>
      </w:r>
      <w:r w:rsidRPr="002B2CFC">
        <w:rPr>
          <w:i/>
          <w:szCs w:val="24"/>
          <w:lang w:val="en-US" w:eastAsia="en-US"/>
        </w:rPr>
        <w:t>et al</w:t>
      </w:r>
      <w:r w:rsidRPr="002B2CFC">
        <w:rPr>
          <w:szCs w:val="24"/>
          <w:lang w:val="en-US" w:eastAsia="en-US"/>
        </w:rPr>
        <w:t xml:space="preserve"> (2007) demonstrated that paraquat, following a single dose of 10 mg/kg bw ip, was persistent in the ventral midbrain (VM) and complete elimination did not occur after 4 weeks. When data from the longest time course (4 weeks) was plotted using a log scale, the elimination appeared linear, with a brain half-life of approximately 4 weeks (r</w:t>
      </w:r>
      <w:r w:rsidRPr="002B2CFC">
        <w:rPr>
          <w:szCs w:val="24"/>
          <w:vertAlign w:val="superscript"/>
          <w:lang w:val="en-US" w:eastAsia="en-US"/>
        </w:rPr>
        <w:t>2</w:t>
      </w:r>
      <w:r w:rsidRPr="002B2CFC">
        <w:rPr>
          <w:szCs w:val="24"/>
          <w:lang w:val="en-US" w:eastAsia="en-US"/>
        </w:rPr>
        <w:t xml:space="preserve"> = 0.76 linear regression). [log scale values: -1.3, -2.1, -1.8, -1.9, -2.1, -2.8 at 0, 1, 4, 7, 14 and 28 days respectively (0.28, 0.12, 0.16, 0.13, 0.12, 0.06 ng/mg tissue) – mean data (n=4) extrapolated from curves produced by the authors; cf level in liver of 5.1 ng/mg tissue at 1 day which was eliminated by day 4]. </w:t>
      </w:r>
    </w:p>
    <w:p w14:paraId="710D4F1B" w14:textId="77777777" w:rsidR="00CE7EF0" w:rsidRPr="002B2CFC" w:rsidRDefault="00CE7EF0" w:rsidP="00CE7EF0">
      <w:pPr>
        <w:rPr>
          <w:szCs w:val="24"/>
          <w:lang w:val="en-US" w:eastAsia="en-US"/>
        </w:rPr>
      </w:pPr>
    </w:p>
    <w:p w14:paraId="26A0BEB7" w14:textId="77777777" w:rsidR="00CE7EF0" w:rsidRPr="002B2CFC" w:rsidRDefault="00CE7EF0" w:rsidP="00CE7EF0">
      <w:pPr>
        <w:rPr>
          <w:szCs w:val="24"/>
          <w:lang w:val="en-US" w:eastAsia="en-US"/>
        </w:rPr>
      </w:pPr>
      <w:r w:rsidRPr="002B2CFC">
        <w:rPr>
          <w:szCs w:val="24"/>
          <w:lang w:val="en-US" w:eastAsia="en-US"/>
        </w:rPr>
        <w:t>When administered for a total of 1, 3 (M-W-F) or 5 doses (M-W-F-M-W) at 10 mg/kg bw ip per dose and measured in the VM one week after the last dose, there was a linear increase in the amount of paraquat (</w:t>
      </w:r>
      <w:r w:rsidRPr="002B2CFC">
        <w:rPr>
          <w:i/>
          <w:szCs w:val="24"/>
          <w:lang w:val="en-US" w:eastAsia="en-US"/>
        </w:rPr>
        <w:t>r</w:t>
      </w:r>
      <w:r w:rsidRPr="002B2CFC">
        <w:rPr>
          <w:szCs w:val="24"/>
          <w:vertAlign w:val="superscript"/>
          <w:lang w:val="en-US" w:eastAsia="en-US"/>
        </w:rPr>
        <w:t>2</w:t>
      </w:r>
      <w:r w:rsidRPr="002B2CFC">
        <w:rPr>
          <w:szCs w:val="24"/>
          <w:lang w:val="en-US" w:eastAsia="en-US"/>
        </w:rPr>
        <w:t xml:space="preserve"> = 0.99) with the number of doses. The concentration of paraquat was 0.12, 0.33 and 0.55 ng/mg tissue for the single, 3 dose and 5 dose groups respectively. </w:t>
      </w:r>
    </w:p>
    <w:p w14:paraId="7FC1285A" w14:textId="77777777" w:rsidR="00CE7EF0" w:rsidRPr="002B2CFC" w:rsidRDefault="00CE7EF0" w:rsidP="00CE7EF0">
      <w:pPr>
        <w:rPr>
          <w:szCs w:val="24"/>
          <w:lang w:val="en-US" w:eastAsia="en-US"/>
        </w:rPr>
      </w:pPr>
    </w:p>
    <w:p w14:paraId="3035F58A" w14:textId="77777777" w:rsidR="00CE7EF0" w:rsidRPr="002B2CFC" w:rsidRDefault="00CE7EF0" w:rsidP="00CE7EF0">
      <w:pPr>
        <w:rPr>
          <w:szCs w:val="24"/>
          <w:lang w:val="en-US" w:eastAsia="en-US"/>
        </w:rPr>
      </w:pPr>
      <w:r w:rsidRPr="002B2CFC">
        <w:rPr>
          <w:szCs w:val="24"/>
          <w:lang w:val="en-US" w:eastAsia="en-US"/>
        </w:rPr>
        <w:t>When paraquat was administered orally in single doses of 10, 20, or 50 mg/kg bw, a similar linear increase in paraquat levels was observed in the VM following an increasing dose (</w:t>
      </w:r>
      <w:r w:rsidRPr="002B2CFC">
        <w:rPr>
          <w:i/>
          <w:szCs w:val="24"/>
          <w:lang w:val="en-US" w:eastAsia="en-US"/>
        </w:rPr>
        <w:t>r</w:t>
      </w:r>
      <w:r w:rsidRPr="002B2CFC">
        <w:rPr>
          <w:i/>
          <w:szCs w:val="24"/>
          <w:vertAlign w:val="superscript"/>
          <w:lang w:val="en-US" w:eastAsia="en-US"/>
        </w:rPr>
        <w:t>2</w:t>
      </w:r>
      <w:r w:rsidRPr="002B2CFC">
        <w:rPr>
          <w:szCs w:val="24"/>
          <w:lang w:val="en-US" w:eastAsia="en-US"/>
        </w:rPr>
        <w:t xml:space="preserve"> = 1.00). The concentration of paraquat was 0.07, 0.12 and 0.26 ng/mg tissue for each dose respectively.</w:t>
      </w:r>
    </w:p>
    <w:p w14:paraId="211977E4" w14:textId="77777777" w:rsidR="00CE7EF0" w:rsidRPr="002B2CFC" w:rsidRDefault="00CE7EF0" w:rsidP="00CE7EF0">
      <w:pPr>
        <w:rPr>
          <w:szCs w:val="24"/>
          <w:lang w:val="en-US" w:eastAsia="en-US"/>
        </w:rPr>
      </w:pPr>
    </w:p>
    <w:p w14:paraId="6919279D" w14:textId="77777777" w:rsidR="00CE7EF0" w:rsidRPr="002B2CFC" w:rsidRDefault="00CE7EF0" w:rsidP="00CE7EF0">
      <w:pPr>
        <w:rPr>
          <w:szCs w:val="24"/>
          <w:lang w:val="en-US" w:eastAsia="en-US"/>
        </w:rPr>
      </w:pPr>
      <w:r w:rsidRPr="002B2CFC">
        <w:rPr>
          <w:spacing w:val="2"/>
          <w:szCs w:val="24"/>
          <w:lang w:val="en-US" w:eastAsia="en-US"/>
        </w:rPr>
        <w:t xml:space="preserve">Under the conditions of this study paraquat persisted </w:t>
      </w:r>
      <w:r w:rsidRPr="002B2CFC">
        <w:rPr>
          <w:szCs w:val="24"/>
          <w:lang w:val="en-US" w:eastAsia="en-US"/>
        </w:rPr>
        <w:t>in the VM of mice for a prolonged time with a half-life of approximately one month. The accumulation of paraquat in the ventral midbrain with repeated exposure was demonstrated. The reason for this persistence in brain in contrast to that in other organs was not known.</w:t>
      </w:r>
    </w:p>
    <w:p w14:paraId="05119E4F" w14:textId="77777777" w:rsidR="00CE7EF0" w:rsidRDefault="00CE7EF0" w:rsidP="00136301"/>
    <w:p w14:paraId="0FF3023C" w14:textId="77777777" w:rsidR="00D03D9C" w:rsidRPr="002B2CFC" w:rsidRDefault="00D03D9C" w:rsidP="00D03D9C">
      <w:pPr>
        <w:rPr>
          <w:szCs w:val="24"/>
          <w:lang w:eastAsia="en-US"/>
        </w:rPr>
      </w:pPr>
      <w:r w:rsidRPr="00136301">
        <w:rPr>
          <w:szCs w:val="24"/>
          <w:lang w:eastAsia="en-US"/>
        </w:rPr>
        <w:t xml:space="preserve">As described at the beginning of this </w:t>
      </w:r>
      <w:r w:rsidR="004506EE">
        <w:rPr>
          <w:szCs w:val="24"/>
          <w:lang w:eastAsia="en-US"/>
        </w:rPr>
        <w:t>Appendix</w:t>
      </w:r>
      <w:r w:rsidRPr="00136301">
        <w:rPr>
          <w:szCs w:val="24"/>
          <w:lang w:eastAsia="en-US"/>
        </w:rPr>
        <w:t>, this study is considered inconclusive and not suitable for regulatory purposes.</w:t>
      </w:r>
    </w:p>
    <w:p w14:paraId="78A980D9" w14:textId="77777777" w:rsidR="00CE7EF0" w:rsidRDefault="00CE7EF0" w:rsidP="00136301"/>
    <w:p w14:paraId="19C108DC" w14:textId="77777777" w:rsidR="00CE7EF0" w:rsidRPr="002B2CFC" w:rsidRDefault="00CE7EF0" w:rsidP="00CE7EF0">
      <w:pPr>
        <w:rPr>
          <w:b/>
          <w:szCs w:val="24"/>
          <w:lang w:eastAsia="en-US"/>
        </w:rPr>
      </w:pPr>
      <w:r w:rsidRPr="002B2CFC">
        <w:rPr>
          <w:b/>
          <w:szCs w:val="24"/>
          <w:lang w:eastAsia="en-US"/>
        </w:rPr>
        <w:t xml:space="preserve">Thiruchelvam M, Richfield EK, Baggs RB, Tank AW &amp; Cory-Slechta DA (2000) The nigrostriatal dopaminergic system as a preferential target of repeated exposures to combined paraquat and maneb: implications for Parkinson’s disease. </w:t>
      </w:r>
      <w:r w:rsidRPr="007931A8">
        <w:rPr>
          <w:b/>
          <w:i/>
          <w:szCs w:val="24"/>
          <w:lang w:eastAsia="en-US"/>
        </w:rPr>
        <w:t>Neurosci</w:t>
      </w:r>
      <w:r w:rsidRPr="002B2CFC">
        <w:rPr>
          <w:b/>
          <w:szCs w:val="24"/>
          <w:lang w:eastAsia="en-US"/>
        </w:rPr>
        <w:t xml:space="preserve"> 20(24): 9207-9214. </w:t>
      </w:r>
    </w:p>
    <w:p w14:paraId="1D7D957F" w14:textId="77777777" w:rsidR="00CE7EF0" w:rsidRPr="002B2CFC" w:rsidRDefault="00CE7EF0" w:rsidP="00CE7EF0">
      <w:pPr>
        <w:rPr>
          <w:szCs w:val="24"/>
          <w:lang w:val="en-US" w:eastAsia="en-US"/>
        </w:rPr>
      </w:pPr>
    </w:p>
    <w:p w14:paraId="75DCFE1A" w14:textId="77777777" w:rsidR="00CE7EF0" w:rsidRPr="002B2CFC" w:rsidRDefault="00CE7EF0" w:rsidP="00CE7EF0">
      <w:pPr>
        <w:rPr>
          <w:szCs w:val="24"/>
          <w:lang w:val="en-US" w:eastAsia="en-US"/>
        </w:rPr>
      </w:pPr>
      <w:r w:rsidRPr="002B2CFC">
        <w:rPr>
          <w:szCs w:val="24"/>
          <w:lang w:val="en-US" w:eastAsia="en-US"/>
        </w:rPr>
        <w:t xml:space="preserve">A series of experiments were performed to determine the selectivity and sensitivity of a combination of paraquat and maneb (manganese ethylenebisdithiocarbamate) for the nigrostriatal system, the impact of exposure duration and the involvement of </w:t>
      </w:r>
      <w:r w:rsidR="00A4092E">
        <w:rPr>
          <w:szCs w:val="24"/>
          <w:lang w:val="en-US" w:eastAsia="en-US"/>
        </w:rPr>
        <w:t>SN</w:t>
      </w:r>
      <w:r w:rsidRPr="002B2CFC">
        <w:rPr>
          <w:szCs w:val="24"/>
          <w:lang w:val="en-US" w:eastAsia="en-US"/>
        </w:rPr>
        <w:t xml:space="preserve"> dopamine cell bodies. Male mice were injected intraperitoneally twice a week for 6 weeks with saline, 10 mg/kg bw paraquat (equivalent to 7.2 mg/kg bw paraquat cation), 30 mg/kg bw maneb or a combination of paraquat and maneb (as 2 separate injections). In the absence of any signs of toxicity (histopathological lung abnormalities or effects on body weight), repeated dosing of mice with paraquat/maneb resulted in significantly decreased locomotor activity, neurochemical alterations (increased striatal </w:t>
      </w:r>
      <w:r w:rsidR="00011149">
        <w:rPr>
          <w:szCs w:val="24"/>
          <w:lang w:val="en-US" w:eastAsia="en-US"/>
        </w:rPr>
        <w:t>DA</w:t>
      </w:r>
      <w:r w:rsidRPr="002B2CFC">
        <w:rPr>
          <w:szCs w:val="24"/>
          <w:lang w:val="en-US" w:eastAsia="en-US"/>
        </w:rPr>
        <w:t xml:space="preserve"> and DOPAC) and variations in brain protein levels (decreased TH and </w:t>
      </w:r>
      <w:r w:rsidR="00011149">
        <w:rPr>
          <w:szCs w:val="24"/>
          <w:lang w:val="en-US" w:eastAsia="en-US"/>
        </w:rPr>
        <w:t>DAT</w:t>
      </w:r>
      <w:r w:rsidRPr="002B2CFC">
        <w:rPr>
          <w:szCs w:val="24"/>
          <w:lang w:val="en-US" w:eastAsia="en-US"/>
        </w:rPr>
        <w:t xml:space="preserve">, and increased glial fibrillary acidic protein in the dorsal striatum; reduced TH and cell counts in the </w:t>
      </w:r>
      <w:r w:rsidR="00A4092E">
        <w:rPr>
          <w:szCs w:val="24"/>
          <w:lang w:val="en-US" w:eastAsia="en-US"/>
        </w:rPr>
        <w:t>SN</w:t>
      </w:r>
      <w:r w:rsidRPr="002B2CFC">
        <w:rPr>
          <w:szCs w:val="24"/>
          <w:lang w:val="en-US" w:eastAsia="en-US"/>
        </w:rPr>
        <w:t xml:space="preserve">), the effects of which were greater than either chemical on its own. Evidence of potentiation between paraquat and maneb was minimal with the majority of results suggesting an additive effect. The study authors however, concluded that paraquat and maneb had a synergistic effect. On its own, maneb was shown to cause a significant reversible decrease in motor activity, and to increase striatal </w:t>
      </w:r>
      <w:r w:rsidR="00011149">
        <w:rPr>
          <w:szCs w:val="24"/>
          <w:lang w:val="en-US" w:eastAsia="en-US"/>
        </w:rPr>
        <w:t>DA</w:t>
      </w:r>
      <w:r w:rsidRPr="002B2CFC">
        <w:rPr>
          <w:szCs w:val="24"/>
          <w:lang w:val="en-US" w:eastAsia="en-US"/>
        </w:rPr>
        <w:t xml:space="preserve"> and DOPAC. Paraquat had no effect on locomotor activity (except after a single ip injection of 15 mg/kg bw MPTP given after the 12</w:t>
      </w:r>
      <w:r w:rsidRPr="002B2CFC">
        <w:rPr>
          <w:szCs w:val="24"/>
          <w:vertAlign w:val="superscript"/>
          <w:lang w:val="en-US" w:eastAsia="en-US"/>
        </w:rPr>
        <w:t>th</w:t>
      </w:r>
      <w:r w:rsidRPr="002B2CFC">
        <w:rPr>
          <w:szCs w:val="24"/>
          <w:lang w:val="en-US" w:eastAsia="en-US"/>
        </w:rPr>
        <w:t xml:space="preserve"> injection of paraquat) or brain protein levels, but caused a reversible increase in striatal </w:t>
      </w:r>
      <w:r w:rsidR="00011149">
        <w:rPr>
          <w:szCs w:val="24"/>
          <w:lang w:val="en-US" w:eastAsia="en-US"/>
        </w:rPr>
        <w:t>DA</w:t>
      </w:r>
      <w:r w:rsidRPr="002B2CFC">
        <w:rPr>
          <w:szCs w:val="24"/>
          <w:lang w:val="en-US" w:eastAsia="en-US"/>
        </w:rPr>
        <w:t xml:space="preserve">. A single ip injection of 15 mg/kg bw MPTP potentiated the neurotoxic effect of paraquat, maneb and paraquat/maneb. </w:t>
      </w:r>
    </w:p>
    <w:p w14:paraId="3A0D2AE6" w14:textId="77777777" w:rsidR="00CE7EF0" w:rsidRDefault="00CE7EF0" w:rsidP="00CE7EF0">
      <w:pPr>
        <w:rPr>
          <w:szCs w:val="24"/>
          <w:lang w:val="en-US" w:eastAsia="en-US"/>
        </w:rPr>
      </w:pPr>
    </w:p>
    <w:p w14:paraId="26339259" w14:textId="77777777" w:rsidR="00D03D9C" w:rsidRPr="002B2CFC" w:rsidRDefault="00D03D9C" w:rsidP="00D03D9C">
      <w:pPr>
        <w:rPr>
          <w:szCs w:val="24"/>
          <w:lang w:eastAsia="en-US"/>
        </w:rPr>
      </w:pPr>
      <w:r w:rsidRPr="000E221D">
        <w:rPr>
          <w:szCs w:val="24"/>
          <w:lang w:eastAsia="en-US"/>
        </w:rPr>
        <w:t xml:space="preserve">As described at the beginning of this </w:t>
      </w:r>
      <w:r w:rsidR="005A26E7">
        <w:rPr>
          <w:szCs w:val="24"/>
          <w:lang w:eastAsia="en-US"/>
        </w:rPr>
        <w:t>Appendix</w:t>
      </w:r>
      <w:r w:rsidRPr="000E221D">
        <w:rPr>
          <w:szCs w:val="24"/>
          <w:lang w:eastAsia="en-US"/>
        </w:rPr>
        <w:t>, this study is considered inconclusive and not suitable for regulatory purposes.</w:t>
      </w:r>
    </w:p>
    <w:sectPr w:rsidR="00D03D9C" w:rsidRPr="002B2CFC" w:rsidSect="003953F1">
      <w:pgSz w:w="11907" w:h="16840" w:code="9"/>
      <w:pgMar w:top="1440" w:right="1440" w:bottom="1440" w:left="1440" w:header="720" w:footer="720" w:gutter="0"/>
      <w:paperSrc w:first="15" w:other="15"/>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ABB381" w14:textId="77777777" w:rsidR="00554FA1" w:rsidRDefault="00554FA1">
      <w:r>
        <w:separator/>
      </w:r>
    </w:p>
  </w:endnote>
  <w:endnote w:type="continuationSeparator" w:id="0">
    <w:p w14:paraId="1854ED1A" w14:textId="77777777" w:rsidR="00554FA1" w:rsidRDefault="00554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BA776" w14:textId="77777777" w:rsidR="00022A40" w:rsidRDefault="00022A40">
    <w:pPr>
      <w:rPr>
        <w:sz w:val="20"/>
      </w:rPr>
    </w:pPr>
  </w:p>
  <w:tbl>
    <w:tblPr>
      <w:tblW w:w="0" w:type="auto"/>
      <w:tblBorders>
        <w:top w:val="single" w:sz="4" w:space="0" w:color="auto"/>
      </w:tblBorders>
      <w:tblLayout w:type="fixed"/>
      <w:tblLook w:val="0000" w:firstRow="0" w:lastRow="0" w:firstColumn="0" w:lastColumn="0" w:noHBand="0" w:noVBand="0"/>
    </w:tblPr>
    <w:tblGrid>
      <w:gridCol w:w="9180"/>
    </w:tblGrid>
    <w:tr w:rsidR="00022A40" w14:paraId="29CEE341" w14:textId="77777777">
      <w:tc>
        <w:tcPr>
          <w:tcW w:w="9180" w:type="dxa"/>
        </w:tcPr>
        <w:p w14:paraId="5AA45712" w14:textId="77777777" w:rsidR="00022A40" w:rsidRDefault="00022A40">
          <w:pPr>
            <w:pStyle w:val="Footer"/>
            <w:jc w:val="center"/>
            <w:rPr>
              <w:b/>
              <w:sz w:val="18"/>
            </w:rPr>
          </w:pPr>
          <w:r>
            <w:rPr>
              <w:b/>
              <w:sz w:val="18"/>
            </w:rPr>
            <w:t>Not to be used for commercial or registration purposes without the consent of the owner of the cited information</w:t>
          </w:r>
        </w:p>
        <w:p w14:paraId="6DAD3B75" w14:textId="77777777" w:rsidR="00022A40" w:rsidRDefault="00022A40">
          <w:pPr>
            <w:pStyle w:val="Footer"/>
            <w:jc w:val="center"/>
            <w:rPr>
              <w:b/>
              <w:sz w:val="16"/>
            </w:rPr>
          </w:pP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2</w:t>
          </w:r>
          <w:r>
            <w:rPr>
              <w:rStyle w:val="PageNumber"/>
              <w:b/>
            </w:rPr>
            <w:fldChar w:fldCharType="end"/>
          </w:r>
          <w:r>
            <w:rPr>
              <w:rStyle w:val="PageNumber"/>
              <w:b/>
            </w:rPr>
            <w:t xml:space="preserve"> -</w:t>
          </w:r>
        </w:p>
      </w:tc>
    </w:tr>
  </w:tbl>
  <w:p w14:paraId="00F0EFE3" w14:textId="77777777" w:rsidR="00022A40" w:rsidRDefault="00022A40">
    <w:pPr>
      <w:pStyle w:val="Footer"/>
      <w:jc w:val="center"/>
      <w:rPr>
        <w:sz w:val="20"/>
      </w:rPr>
    </w:pPr>
  </w:p>
  <w:p w14:paraId="362F7E94" w14:textId="77777777" w:rsidR="00022A40" w:rsidRDefault="00022A4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95C9A" w14:textId="77777777" w:rsidR="00022A40" w:rsidRDefault="00022A40">
    <w:pPr>
      <w:rPr>
        <w:sz w:val="20"/>
      </w:rPr>
    </w:pPr>
  </w:p>
  <w:tbl>
    <w:tblPr>
      <w:tblW w:w="0" w:type="auto"/>
      <w:tblBorders>
        <w:top w:val="single" w:sz="4" w:space="0" w:color="auto"/>
      </w:tblBorders>
      <w:tblLayout w:type="fixed"/>
      <w:tblLook w:val="0000" w:firstRow="0" w:lastRow="0" w:firstColumn="0" w:lastColumn="0" w:noHBand="0" w:noVBand="0"/>
    </w:tblPr>
    <w:tblGrid>
      <w:gridCol w:w="9180"/>
    </w:tblGrid>
    <w:tr w:rsidR="00022A40" w14:paraId="60E96194" w14:textId="77777777">
      <w:tc>
        <w:tcPr>
          <w:tcW w:w="9180" w:type="dxa"/>
        </w:tcPr>
        <w:p w14:paraId="3BD25510" w14:textId="77777777" w:rsidR="00022A40" w:rsidRDefault="00022A40">
          <w:pPr>
            <w:pStyle w:val="Footer"/>
            <w:jc w:val="center"/>
            <w:rPr>
              <w:b/>
              <w:sz w:val="18"/>
            </w:rPr>
          </w:pPr>
          <w:r>
            <w:rPr>
              <w:b/>
              <w:sz w:val="18"/>
            </w:rPr>
            <w:t>Not to be used for commercial or registration purposes without the consent of the owner of the cited information</w:t>
          </w:r>
        </w:p>
        <w:p w14:paraId="0F162DD8" w14:textId="77777777" w:rsidR="00022A40" w:rsidRDefault="00022A40">
          <w:pPr>
            <w:pStyle w:val="Footer"/>
            <w:jc w:val="center"/>
            <w:rPr>
              <w:b/>
              <w:sz w:val="16"/>
            </w:rPr>
          </w:pP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sidR="003A31EB">
            <w:rPr>
              <w:rStyle w:val="PageNumber"/>
              <w:b/>
              <w:noProof/>
            </w:rPr>
            <w:t>1</w:t>
          </w:r>
          <w:r>
            <w:rPr>
              <w:rStyle w:val="PageNumber"/>
              <w:b/>
            </w:rPr>
            <w:fldChar w:fldCharType="end"/>
          </w:r>
          <w:r>
            <w:rPr>
              <w:rStyle w:val="PageNumber"/>
              <w:b/>
            </w:rPr>
            <w:t xml:space="preserve"> -</w:t>
          </w:r>
        </w:p>
      </w:tc>
    </w:tr>
  </w:tbl>
  <w:p w14:paraId="745147C0" w14:textId="77777777" w:rsidR="00022A40" w:rsidRDefault="00022A40">
    <w:pPr>
      <w:pStyle w:val="Footer"/>
      <w:rPr>
        <w:sz w:val="20"/>
      </w:rPr>
    </w:pPr>
  </w:p>
  <w:p w14:paraId="6D3A7A8C" w14:textId="77777777" w:rsidR="00022A40" w:rsidRDefault="00022A4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0BA54" w14:textId="77777777" w:rsidR="00554FA1" w:rsidRDefault="00554FA1">
      <w:r>
        <w:separator/>
      </w:r>
    </w:p>
  </w:footnote>
  <w:footnote w:type="continuationSeparator" w:id="0">
    <w:p w14:paraId="2E42F388" w14:textId="77777777" w:rsidR="00554FA1" w:rsidRDefault="00554FA1">
      <w:r>
        <w:continuationSeparator/>
      </w:r>
    </w:p>
  </w:footnote>
  <w:footnote w:id="1">
    <w:p w14:paraId="3C16D9A7" w14:textId="77777777" w:rsidR="00022A40" w:rsidRDefault="00022A40">
      <w:pPr>
        <w:pStyle w:val="FootnoteText"/>
      </w:pPr>
      <w:r>
        <w:rPr>
          <w:rStyle w:val="FootnoteReference"/>
        </w:rPr>
        <w:footnoteRef/>
      </w:r>
      <w:r>
        <w:t xml:space="preserve"> This paper has been retracted as fraudulent (ORI, 2012) (further information in Appendix II)</w:t>
      </w:r>
    </w:p>
  </w:footnote>
  <w:footnote w:id="2">
    <w:p w14:paraId="53A8B8F4" w14:textId="77777777" w:rsidR="00022A40" w:rsidRDefault="00022A40">
      <w:pPr>
        <w:pStyle w:val="FootnoteText"/>
      </w:pPr>
      <w:r>
        <w:rPr>
          <w:rStyle w:val="FootnoteReference"/>
        </w:rPr>
        <w:footnoteRef/>
      </w:r>
      <w:r>
        <w:t xml:space="preserve"> Not suitable for regulatory use following fraudulent actions by  co-author (M.Thiruchelvam) on another paper published 2005 (see </w:t>
      </w:r>
      <w:r w:rsidRPr="008D0BDE">
        <w:t>Appendix I</w:t>
      </w:r>
      <w:r>
        <w:t>I).</w:t>
      </w:r>
    </w:p>
  </w:footnote>
  <w:footnote w:id="3">
    <w:p w14:paraId="0ACC47F4" w14:textId="77777777" w:rsidR="00022A40" w:rsidRDefault="00022A40">
      <w:pPr>
        <w:pStyle w:val="FootnoteText"/>
      </w:pPr>
      <w:r>
        <w:rPr>
          <w:rStyle w:val="FootnoteReference"/>
        </w:rPr>
        <w:footnoteRef/>
      </w:r>
      <w:r>
        <w:t xml:space="preserve"> Referred to simply as 'paraquat'. Unspecified if paraquat dichloride or cation.</w:t>
      </w:r>
    </w:p>
  </w:footnote>
  <w:footnote w:id="4">
    <w:p w14:paraId="18937C0E" w14:textId="77777777" w:rsidR="00022A40" w:rsidRDefault="00022A40" w:rsidP="0005512A">
      <w:pPr>
        <w:pStyle w:val="FootnoteText"/>
      </w:pPr>
      <w:r w:rsidRPr="002B437E">
        <w:rPr>
          <w:rStyle w:val="FootnoteReference"/>
        </w:rPr>
        <w:footnoteRef/>
      </w:r>
      <w:r w:rsidRPr="002B437E">
        <w:t xml:space="preserve"> Not suitable for regulatory use following fraudulent actions by  co-author (M.Thiruchelvam) on another paper published 2005 (see </w:t>
      </w:r>
      <w:r w:rsidRPr="0056108B">
        <w:t>Appendix I</w:t>
      </w:r>
      <w:r w:rsidRPr="002B437E">
        <w:t>I).</w:t>
      </w:r>
    </w:p>
  </w:footnote>
  <w:footnote w:id="5">
    <w:p w14:paraId="6D0AE90B" w14:textId="77777777" w:rsidR="00022A40" w:rsidRDefault="00022A40"/>
    <w:p w14:paraId="569B4188" w14:textId="77777777" w:rsidR="00022A40" w:rsidRDefault="00022A40">
      <w:pPr>
        <w:pStyle w:val="FootnoteText"/>
      </w:pPr>
    </w:p>
  </w:footnote>
  <w:footnote w:id="6">
    <w:p w14:paraId="1D2DE609" w14:textId="77777777" w:rsidR="00022A40" w:rsidRDefault="00022A40">
      <w:pPr>
        <w:pStyle w:val="FootnoteText"/>
      </w:pPr>
      <w:r>
        <w:rPr>
          <w:rStyle w:val="FootnoteReference"/>
        </w:rPr>
        <w:footnoteRef/>
      </w:r>
      <w:r>
        <w:t xml:space="preserve"> The published report refers to 10, 20 or 30 mg/kg bw paraquat doses in the materials and methods section. This is assumed to be paraquat dichloride (ie. 7.2, 14.5 or 20.7 paraquat ion). It is noted in the results section only, a dose of 3 mg/kg paraquat is also referred 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371D1" w14:textId="77777777" w:rsidR="00022A40" w:rsidRDefault="00022A40">
    <w:pPr>
      <w:pStyle w:val="Header"/>
      <w:pBdr>
        <w:bottom w:val="single" w:sz="6" w:space="1" w:color="auto"/>
      </w:pBdr>
      <w:rPr>
        <w:b/>
        <w:sz w:val="20"/>
      </w:rPr>
    </w:pPr>
    <w:r>
      <w:rPr>
        <w:b/>
        <w:sz w:val="20"/>
      </w:rPr>
      <w:t>The APVMA Review of Paraquat</w:t>
    </w:r>
  </w:p>
  <w:p w14:paraId="783230E5" w14:textId="77777777" w:rsidR="00022A40" w:rsidRDefault="00022A40">
    <w:pPr>
      <w:pStyle w:val="Header"/>
      <w:rPr>
        <w:sz w:val="20"/>
      </w:rPr>
    </w:pPr>
  </w:p>
  <w:p w14:paraId="388AB674" w14:textId="77777777" w:rsidR="00022A40" w:rsidRDefault="00022A4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C37203" w14:textId="67AD700D" w:rsidR="00022A40" w:rsidRDefault="00AF3BE1">
    <w:pPr>
      <w:pStyle w:val="Header"/>
      <w:pBdr>
        <w:bottom w:val="single" w:sz="6" w:space="1" w:color="auto"/>
      </w:pBdr>
      <w:jc w:val="right"/>
      <w:rPr>
        <w:b/>
        <w:sz w:val="20"/>
      </w:rPr>
    </w:pPr>
    <w:r>
      <w:rPr>
        <w:b/>
        <w:sz w:val="20"/>
      </w:rPr>
      <w:t>Australian Pesticides and Veterinary Medicines Authority</w:t>
    </w:r>
  </w:p>
  <w:p w14:paraId="06F996DD" w14:textId="77777777" w:rsidR="00022A40" w:rsidRDefault="00022A40">
    <w:pPr>
      <w:pStyle w:val="Header"/>
      <w:jc w:val="center"/>
      <w:rPr>
        <w:sz w:val="20"/>
      </w:rPr>
    </w:pPr>
  </w:p>
  <w:p w14:paraId="301D517C" w14:textId="77777777" w:rsidR="00022A40" w:rsidRDefault="00022A4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37A2B"/>
    <w:multiLevelType w:val="hybridMultilevel"/>
    <w:tmpl w:val="0F9E859E"/>
    <w:lvl w:ilvl="0" w:tplc="04F2F30E">
      <w:start w:val="21"/>
      <w:numFmt w:val="decimal"/>
      <w:lvlText w:val="%1"/>
      <w:lvlJc w:val="left"/>
      <w:pPr>
        <w:ind w:left="1080" w:hanging="36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 w15:restartNumberingAfterBreak="0">
    <w:nsid w:val="125E4C04"/>
    <w:multiLevelType w:val="hybridMultilevel"/>
    <w:tmpl w:val="E77AF3DA"/>
    <w:lvl w:ilvl="0" w:tplc="F5BCB534">
      <w:start w:val="1"/>
      <w:numFmt w:val="bullet"/>
      <w:lvlText w:val=""/>
      <w:lvlJc w:val="left"/>
      <w:pPr>
        <w:ind w:left="720" w:hanging="360"/>
      </w:pPr>
      <w:rPr>
        <w:rFonts w:ascii="Symbol" w:hAnsi="Symbol" w:hint="default"/>
      </w:rPr>
    </w:lvl>
    <w:lvl w:ilvl="1" w:tplc="F856A3EC" w:tentative="1">
      <w:start w:val="1"/>
      <w:numFmt w:val="bullet"/>
      <w:lvlText w:val="o"/>
      <w:lvlJc w:val="left"/>
      <w:pPr>
        <w:ind w:left="1440" w:hanging="360"/>
      </w:pPr>
      <w:rPr>
        <w:rFonts w:ascii="Courier New" w:hAnsi="Courier New" w:cs="Courier New" w:hint="default"/>
      </w:rPr>
    </w:lvl>
    <w:lvl w:ilvl="2" w:tplc="3ED268B4" w:tentative="1">
      <w:start w:val="1"/>
      <w:numFmt w:val="bullet"/>
      <w:lvlText w:val=""/>
      <w:lvlJc w:val="left"/>
      <w:pPr>
        <w:ind w:left="2160" w:hanging="360"/>
      </w:pPr>
      <w:rPr>
        <w:rFonts w:ascii="Wingdings" w:hAnsi="Wingdings" w:hint="default"/>
      </w:rPr>
    </w:lvl>
    <w:lvl w:ilvl="3" w:tplc="5BF40C76" w:tentative="1">
      <w:start w:val="1"/>
      <w:numFmt w:val="bullet"/>
      <w:lvlText w:val=""/>
      <w:lvlJc w:val="left"/>
      <w:pPr>
        <w:ind w:left="2880" w:hanging="360"/>
      </w:pPr>
      <w:rPr>
        <w:rFonts w:ascii="Symbol" w:hAnsi="Symbol" w:hint="default"/>
      </w:rPr>
    </w:lvl>
    <w:lvl w:ilvl="4" w:tplc="6BC86640" w:tentative="1">
      <w:start w:val="1"/>
      <w:numFmt w:val="bullet"/>
      <w:lvlText w:val="o"/>
      <w:lvlJc w:val="left"/>
      <w:pPr>
        <w:ind w:left="3600" w:hanging="360"/>
      </w:pPr>
      <w:rPr>
        <w:rFonts w:ascii="Courier New" w:hAnsi="Courier New" w:cs="Courier New" w:hint="default"/>
      </w:rPr>
    </w:lvl>
    <w:lvl w:ilvl="5" w:tplc="0E96D8B8" w:tentative="1">
      <w:start w:val="1"/>
      <w:numFmt w:val="bullet"/>
      <w:lvlText w:val=""/>
      <w:lvlJc w:val="left"/>
      <w:pPr>
        <w:ind w:left="4320" w:hanging="360"/>
      </w:pPr>
      <w:rPr>
        <w:rFonts w:ascii="Wingdings" w:hAnsi="Wingdings" w:hint="default"/>
      </w:rPr>
    </w:lvl>
    <w:lvl w:ilvl="6" w:tplc="AAA4C920" w:tentative="1">
      <w:start w:val="1"/>
      <w:numFmt w:val="bullet"/>
      <w:lvlText w:val=""/>
      <w:lvlJc w:val="left"/>
      <w:pPr>
        <w:ind w:left="5040" w:hanging="360"/>
      </w:pPr>
      <w:rPr>
        <w:rFonts w:ascii="Symbol" w:hAnsi="Symbol" w:hint="default"/>
      </w:rPr>
    </w:lvl>
    <w:lvl w:ilvl="7" w:tplc="65DE79F4" w:tentative="1">
      <w:start w:val="1"/>
      <w:numFmt w:val="bullet"/>
      <w:lvlText w:val="o"/>
      <w:lvlJc w:val="left"/>
      <w:pPr>
        <w:ind w:left="5760" w:hanging="360"/>
      </w:pPr>
      <w:rPr>
        <w:rFonts w:ascii="Courier New" w:hAnsi="Courier New" w:cs="Courier New" w:hint="default"/>
      </w:rPr>
    </w:lvl>
    <w:lvl w:ilvl="8" w:tplc="F9B2B81E" w:tentative="1">
      <w:start w:val="1"/>
      <w:numFmt w:val="bullet"/>
      <w:lvlText w:val=""/>
      <w:lvlJc w:val="left"/>
      <w:pPr>
        <w:ind w:left="6480" w:hanging="360"/>
      </w:pPr>
      <w:rPr>
        <w:rFonts w:ascii="Wingdings" w:hAnsi="Wingdings" w:hint="default"/>
      </w:rPr>
    </w:lvl>
  </w:abstractNum>
  <w:abstractNum w:abstractNumId="2" w15:restartNumberingAfterBreak="0">
    <w:nsid w:val="12BB4C94"/>
    <w:multiLevelType w:val="hybridMultilevel"/>
    <w:tmpl w:val="EE4EBA2A"/>
    <w:lvl w:ilvl="0" w:tplc="E8A6D76C">
      <w:start w:val="1"/>
      <w:numFmt w:val="upperRoman"/>
      <w:lvlText w:val="APPENDIX %1:"/>
      <w:lvlJc w:val="right"/>
      <w:pPr>
        <w:ind w:left="1152" w:hanging="360"/>
      </w:pPr>
      <w:rPr>
        <w:rFonts w:hint="default"/>
      </w:rPr>
    </w:lvl>
    <w:lvl w:ilvl="1" w:tplc="0C090019" w:tentative="1">
      <w:start w:val="1"/>
      <w:numFmt w:val="lowerLetter"/>
      <w:lvlText w:val="%2."/>
      <w:lvlJc w:val="left"/>
      <w:pPr>
        <w:ind w:left="1872" w:hanging="360"/>
      </w:pPr>
    </w:lvl>
    <w:lvl w:ilvl="2" w:tplc="0C09001B" w:tentative="1">
      <w:start w:val="1"/>
      <w:numFmt w:val="lowerRoman"/>
      <w:lvlText w:val="%3."/>
      <w:lvlJc w:val="right"/>
      <w:pPr>
        <w:ind w:left="2592" w:hanging="180"/>
      </w:pPr>
    </w:lvl>
    <w:lvl w:ilvl="3" w:tplc="0C09000F" w:tentative="1">
      <w:start w:val="1"/>
      <w:numFmt w:val="decimal"/>
      <w:lvlText w:val="%4."/>
      <w:lvlJc w:val="left"/>
      <w:pPr>
        <w:ind w:left="3312" w:hanging="360"/>
      </w:pPr>
    </w:lvl>
    <w:lvl w:ilvl="4" w:tplc="0C090019" w:tentative="1">
      <w:start w:val="1"/>
      <w:numFmt w:val="lowerLetter"/>
      <w:lvlText w:val="%5."/>
      <w:lvlJc w:val="left"/>
      <w:pPr>
        <w:ind w:left="4032" w:hanging="360"/>
      </w:pPr>
    </w:lvl>
    <w:lvl w:ilvl="5" w:tplc="0C09001B" w:tentative="1">
      <w:start w:val="1"/>
      <w:numFmt w:val="lowerRoman"/>
      <w:lvlText w:val="%6."/>
      <w:lvlJc w:val="right"/>
      <w:pPr>
        <w:ind w:left="4752" w:hanging="180"/>
      </w:pPr>
    </w:lvl>
    <w:lvl w:ilvl="6" w:tplc="0C09000F" w:tentative="1">
      <w:start w:val="1"/>
      <w:numFmt w:val="decimal"/>
      <w:lvlText w:val="%7."/>
      <w:lvlJc w:val="left"/>
      <w:pPr>
        <w:ind w:left="5472" w:hanging="360"/>
      </w:pPr>
    </w:lvl>
    <w:lvl w:ilvl="7" w:tplc="0C090019" w:tentative="1">
      <w:start w:val="1"/>
      <w:numFmt w:val="lowerLetter"/>
      <w:lvlText w:val="%8."/>
      <w:lvlJc w:val="left"/>
      <w:pPr>
        <w:ind w:left="6192" w:hanging="360"/>
      </w:pPr>
    </w:lvl>
    <w:lvl w:ilvl="8" w:tplc="0C09001B" w:tentative="1">
      <w:start w:val="1"/>
      <w:numFmt w:val="lowerRoman"/>
      <w:lvlText w:val="%9."/>
      <w:lvlJc w:val="right"/>
      <w:pPr>
        <w:ind w:left="6912" w:hanging="180"/>
      </w:pPr>
    </w:lvl>
  </w:abstractNum>
  <w:abstractNum w:abstractNumId="3" w15:restartNumberingAfterBreak="0">
    <w:nsid w:val="18ED6ED3"/>
    <w:multiLevelType w:val="hybridMultilevel"/>
    <w:tmpl w:val="B476B794"/>
    <w:lvl w:ilvl="0" w:tplc="0C09000F">
      <w:start w:val="1"/>
      <w:numFmt w:val="bullet"/>
      <w:lvlText w:val=""/>
      <w:lvlJc w:val="left"/>
      <w:pPr>
        <w:ind w:left="720" w:hanging="360"/>
      </w:pPr>
      <w:rPr>
        <w:rFonts w:ascii="Symbol" w:hAnsi="Symbol" w:hint="default"/>
      </w:rPr>
    </w:lvl>
    <w:lvl w:ilvl="1" w:tplc="0C090019" w:tentative="1">
      <w:start w:val="1"/>
      <w:numFmt w:val="bullet"/>
      <w:lvlText w:val="o"/>
      <w:lvlJc w:val="left"/>
      <w:pPr>
        <w:ind w:left="1440" w:hanging="360"/>
      </w:pPr>
      <w:rPr>
        <w:rFonts w:ascii="Courier New" w:hAnsi="Courier New" w:cs="Courier New" w:hint="default"/>
      </w:rPr>
    </w:lvl>
    <w:lvl w:ilvl="2" w:tplc="0C09001B" w:tentative="1">
      <w:start w:val="1"/>
      <w:numFmt w:val="bullet"/>
      <w:lvlText w:val=""/>
      <w:lvlJc w:val="left"/>
      <w:pPr>
        <w:ind w:left="2160" w:hanging="360"/>
      </w:pPr>
      <w:rPr>
        <w:rFonts w:ascii="Wingdings" w:hAnsi="Wingdings" w:hint="default"/>
      </w:rPr>
    </w:lvl>
    <w:lvl w:ilvl="3" w:tplc="0C09000F" w:tentative="1">
      <w:start w:val="1"/>
      <w:numFmt w:val="bullet"/>
      <w:lvlText w:val=""/>
      <w:lvlJc w:val="left"/>
      <w:pPr>
        <w:ind w:left="2880" w:hanging="360"/>
      </w:pPr>
      <w:rPr>
        <w:rFonts w:ascii="Symbol" w:hAnsi="Symbol" w:hint="default"/>
      </w:rPr>
    </w:lvl>
    <w:lvl w:ilvl="4" w:tplc="0C090019" w:tentative="1">
      <w:start w:val="1"/>
      <w:numFmt w:val="bullet"/>
      <w:lvlText w:val="o"/>
      <w:lvlJc w:val="left"/>
      <w:pPr>
        <w:ind w:left="3600" w:hanging="360"/>
      </w:pPr>
      <w:rPr>
        <w:rFonts w:ascii="Courier New" w:hAnsi="Courier New" w:cs="Courier New" w:hint="default"/>
      </w:rPr>
    </w:lvl>
    <w:lvl w:ilvl="5" w:tplc="0C09001B" w:tentative="1">
      <w:start w:val="1"/>
      <w:numFmt w:val="bullet"/>
      <w:lvlText w:val=""/>
      <w:lvlJc w:val="left"/>
      <w:pPr>
        <w:ind w:left="4320" w:hanging="360"/>
      </w:pPr>
      <w:rPr>
        <w:rFonts w:ascii="Wingdings" w:hAnsi="Wingdings" w:hint="default"/>
      </w:rPr>
    </w:lvl>
    <w:lvl w:ilvl="6" w:tplc="0C09000F" w:tentative="1">
      <w:start w:val="1"/>
      <w:numFmt w:val="bullet"/>
      <w:lvlText w:val=""/>
      <w:lvlJc w:val="left"/>
      <w:pPr>
        <w:ind w:left="5040" w:hanging="360"/>
      </w:pPr>
      <w:rPr>
        <w:rFonts w:ascii="Symbol" w:hAnsi="Symbol" w:hint="default"/>
      </w:rPr>
    </w:lvl>
    <w:lvl w:ilvl="7" w:tplc="0C090019" w:tentative="1">
      <w:start w:val="1"/>
      <w:numFmt w:val="bullet"/>
      <w:lvlText w:val="o"/>
      <w:lvlJc w:val="left"/>
      <w:pPr>
        <w:ind w:left="5760" w:hanging="360"/>
      </w:pPr>
      <w:rPr>
        <w:rFonts w:ascii="Courier New" w:hAnsi="Courier New" w:cs="Courier New" w:hint="default"/>
      </w:rPr>
    </w:lvl>
    <w:lvl w:ilvl="8" w:tplc="0C09001B" w:tentative="1">
      <w:start w:val="1"/>
      <w:numFmt w:val="bullet"/>
      <w:lvlText w:val=""/>
      <w:lvlJc w:val="left"/>
      <w:pPr>
        <w:ind w:left="6480" w:hanging="360"/>
      </w:pPr>
      <w:rPr>
        <w:rFonts w:ascii="Wingdings" w:hAnsi="Wingdings" w:hint="default"/>
      </w:rPr>
    </w:lvl>
  </w:abstractNum>
  <w:abstractNum w:abstractNumId="4" w15:restartNumberingAfterBreak="0">
    <w:nsid w:val="1E705CDF"/>
    <w:multiLevelType w:val="hybridMultilevel"/>
    <w:tmpl w:val="1EBA33DE"/>
    <w:lvl w:ilvl="0" w:tplc="FE8E18A6">
      <w:start w:val="1"/>
      <w:numFmt w:val="upperRoman"/>
      <w:lvlText w:val="APPENDIX %1"/>
      <w:lvlJc w:val="right"/>
      <w:pPr>
        <w:ind w:left="1152" w:hanging="360"/>
      </w:pPr>
      <w:rPr>
        <w:rFonts w:hint="default"/>
      </w:rPr>
    </w:lvl>
    <w:lvl w:ilvl="1" w:tplc="0C090019" w:tentative="1">
      <w:start w:val="1"/>
      <w:numFmt w:val="lowerLetter"/>
      <w:lvlText w:val="%2."/>
      <w:lvlJc w:val="left"/>
      <w:pPr>
        <w:ind w:left="1872" w:hanging="360"/>
      </w:pPr>
    </w:lvl>
    <w:lvl w:ilvl="2" w:tplc="0C09001B" w:tentative="1">
      <w:start w:val="1"/>
      <w:numFmt w:val="lowerRoman"/>
      <w:lvlText w:val="%3."/>
      <w:lvlJc w:val="right"/>
      <w:pPr>
        <w:ind w:left="2592" w:hanging="180"/>
      </w:pPr>
    </w:lvl>
    <w:lvl w:ilvl="3" w:tplc="0C09000F" w:tentative="1">
      <w:start w:val="1"/>
      <w:numFmt w:val="decimal"/>
      <w:lvlText w:val="%4."/>
      <w:lvlJc w:val="left"/>
      <w:pPr>
        <w:ind w:left="3312" w:hanging="360"/>
      </w:pPr>
    </w:lvl>
    <w:lvl w:ilvl="4" w:tplc="0C090019" w:tentative="1">
      <w:start w:val="1"/>
      <w:numFmt w:val="lowerLetter"/>
      <w:lvlText w:val="%5."/>
      <w:lvlJc w:val="left"/>
      <w:pPr>
        <w:ind w:left="4032" w:hanging="360"/>
      </w:pPr>
    </w:lvl>
    <w:lvl w:ilvl="5" w:tplc="0C09001B" w:tentative="1">
      <w:start w:val="1"/>
      <w:numFmt w:val="lowerRoman"/>
      <w:lvlText w:val="%6."/>
      <w:lvlJc w:val="right"/>
      <w:pPr>
        <w:ind w:left="4752" w:hanging="180"/>
      </w:pPr>
    </w:lvl>
    <w:lvl w:ilvl="6" w:tplc="0C09000F" w:tentative="1">
      <w:start w:val="1"/>
      <w:numFmt w:val="decimal"/>
      <w:lvlText w:val="%7."/>
      <w:lvlJc w:val="left"/>
      <w:pPr>
        <w:ind w:left="5472" w:hanging="360"/>
      </w:pPr>
    </w:lvl>
    <w:lvl w:ilvl="7" w:tplc="0C090019" w:tentative="1">
      <w:start w:val="1"/>
      <w:numFmt w:val="lowerLetter"/>
      <w:lvlText w:val="%8."/>
      <w:lvlJc w:val="left"/>
      <w:pPr>
        <w:ind w:left="6192" w:hanging="360"/>
      </w:pPr>
    </w:lvl>
    <w:lvl w:ilvl="8" w:tplc="0C09001B" w:tentative="1">
      <w:start w:val="1"/>
      <w:numFmt w:val="lowerRoman"/>
      <w:lvlText w:val="%9."/>
      <w:lvlJc w:val="right"/>
      <w:pPr>
        <w:ind w:left="6912" w:hanging="180"/>
      </w:pPr>
    </w:lvl>
  </w:abstractNum>
  <w:abstractNum w:abstractNumId="5" w15:restartNumberingAfterBreak="0">
    <w:nsid w:val="28765EA3"/>
    <w:multiLevelType w:val="hybridMultilevel"/>
    <w:tmpl w:val="F21CA52E"/>
    <w:lvl w:ilvl="0" w:tplc="891C840A">
      <w:start w:val="21"/>
      <w:numFmt w:val="decimal"/>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908599A"/>
    <w:multiLevelType w:val="hybridMultilevel"/>
    <w:tmpl w:val="A71ECA84"/>
    <w:lvl w:ilvl="0" w:tplc="56F4420E">
      <w:start w:val="4"/>
      <w:numFmt w:val="bullet"/>
      <w:lvlText w:val="-"/>
      <w:lvlJc w:val="left"/>
      <w:pPr>
        <w:ind w:left="1060" w:hanging="360"/>
      </w:pPr>
      <w:rPr>
        <w:rFonts w:ascii="Times New Roman" w:eastAsia="Times New Roman" w:hAnsi="Times New Roman" w:cs="Times New Roman" w:hint="default"/>
      </w:rPr>
    </w:lvl>
    <w:lvl w:ilvl="1" w:tplc="0C090003" w:tentative="1">
      <w:start w:val="1"/>
      <w:numFmt w:val="bullet"/>
      <w:lvlText w:val="o"/>
      <w:lvlJc w:val="left"/>
      <w:pPr>
        <w:ind w:left="1780" w:hanging="360"/>
      </w:pPr>
      <w:rPr>
        <w:rFonts w:ascii="Courier New" w:hAnsi="Courier New" w:cs="Courier New" w:hint="default"/>
      </w:rPr>
    </w:lvl>
    <w:lvl w:ilvl="2" w:tplc="0C090005" w:tentative="1">
      <w:start w:val="1"/>
      <w:numFmt w:val="bullet"/>
      <w:lvlText w:val=""/>
      <w:lvlJc w:val="left"/>
      <w:pPr>
        <w:ind w:left="2500" w:hanging="360"/>
      </w:pPr>
      <w:rPr>
        <w:rFonts w:ascii="Wingdings" w:hAnsi="Wingdings" w:hint="default"/>
      </w:rPr>
    </w:lvl>
    <w:lvl w:ilvl="3" w:tplc="0C090001" w:tentative="1">
      <w:start w:val="1"/>
      <w:numFmt w:val="bullet"/>
      <w:lvlText w:val=""/>
      <w:lvlJc w:val="left"/>
      <w:pPr>
        <w:ind w:left="3220" w:hanging="360"/>
      </w:pPr>
      <w:rPr>
        <w:rFonts w:ascii="Symbol" w:hAnsi="Symbol" w:hint="default"/>
      </w:rPr>
    </w:lvl>
    <w:lvl w:ilvl="4" w:tplc="0C090003" w:tentative="1">
      <w:start w:val="1"/>
      <w:numFmt w:val="bullet"/>
      <w:lvlText w:val="o"/>
      <w:lvlJc w:val="left"/>
      <w:pPr>
        <w:ind w:left="3940" w:hanging="360"/>
      </w:pPr>
      <w:rPr>
        <w:rFonts w:ascii="Courier New" w:hAnsi="Courier New" w:cs="Courier New" w:hint="default"/>
      </w:rPr>
    </w:lvl>
    <w:lvl w:ilvl="5" w:tplc="0C090005" w:tentative="1">
      <w:start w:val="1"/>
      <w:numFmt w:val="bullet"/>
      <w:lvlText w:val=""/>
      <w:lvlJc w:val="left"/>
      <w:pPr>
        <w:ind w:left="4660" w:hanging="360"/>
      </w:pPr>
      <w:rPr>
        <w:rFonts w:ascii="Wingdings" w:hAnsi="Wingdings" w:hint="default"/>
      </w:rPr>
    </w:lvl>
    <w:lvl w:ilvl="6" w:tplc="0C090001" w:tentative="1">
      <w:start w:val="1"/>
      <w:numFmt w:val="bullet"/>
      <w:lvlText w:val=""/>
      <w:lvlJc w:val="left"/>
      <w:pPr>
        <w:ind w:left="5380" w:hanging="360"/>
      </w:pPr>
      <w:rPr>
        <w:rFonts w:ascii="Symbol" w:hAnsi="Symbol" w:hint="default"/>
      </w:rPr>
    </w:lvl>
    <w:lvl w:ilvl="7" w:tplc="0C090003" w:tentative="1">
      <w:start w:val="1"/>
      <w:numFmt w:val="bullet"/>
      <w:lvlText w:val="o"/>
      <w:lvlJc w:val="left"/>
      <w:pPr>
        <w:ind w:left="6100" w:hanging="360"/>
      </w:pPr>
      <w:rPr>
        <w:rFonts w:ascii="Courier New" w:hAnsi="Courier New" w:cs="Courier New" w:hint="default"/>
      </w:rPr>
    </w:lvl>
    <w:lvl w:ilvl="8" w:tplc="0C090005" w:tentative="1">
      <w:start w:val="1"/>
      <w:numFmt w:val="bullet"/>
      <w:lvlText w:val=""/>
      <w:lvlJc w:val="left"/>
      <w:pPr>
        <w:ind w:left="6820" w:hanging="360"/>
      </w:pPr>
      <w:rPr>
        <w:rFonts w:ascii="Wingdings" w:hAnsi="Wingdings" w:hint="default"/>
      </w:rPr>
    </w:lvl>
  </w:abstractNum>
  <w:abstractNum w:abstractNumId="7" w15:restartNumberingAfterBreak="0">
    <w:nsid w:val="29F31114"/>
    <w:multiLevelType w:val="multilevel"/>
    <w:tmpl w:val="0C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F2C5E2F"/>
    <w:multiLevelType w:val="hybridMultilevel"/>
    <w:tmpl w:val="1DDA7A28"/>
    <w:lvl w:ilvl="0" w:tplc="F29AAA26">
      <w:start w:val="1"/>
      <w:numFmt w:val="bullet"/>
      <w:lvlText w:val=""/>
      <w:lvlJc w:val="left"/>
      <w:pPr>
        <w:ind w:left="1506" w:hanging="360"/>
      </w:pPr>
      <w:rPr>
        <w:rFonts w:ascii="Symbol" w:hAnsi="Symbol" w:hint="default"/>
      </w:rPr>
    </w:lvl>
    <w:lvl w:ilvl="1" w:tplc="207A6740" w:tentative="1">
      <w:start w:val="1"/>
      <w:numFmt w:val="bullet"/>
      <w:lvlText w:val="o"/>
      <w:lvlJc w:val="left"/>
      <w:pPr>
        <w:ind w:left="2226" w:hanging="360"/>
      </w:pPr>
      <w:rPr>
        <w:rFonts w:ascii="Courier New" w:hAnsi="Courier New" w:cs="Courier New" w:hint="default"/>
      </w:rPr>
    </w:lvl>
    <w:lvl w:ilvl="2" w:tplc="620E1504" w:tentative="1">
      <w:start w:val="1"/>
      <w:numFmt w:val="bullet"/>
      <w:lvlText w:val=""/>
      <w:lvlJc w:val="left"/>
      <w:pPr>
        <w:ind w:left="2946" w:hanging="360"/>
      </w:pPr>
      <w:rPr>
        <w:rFonts w:ascii="Wingdings" w:hAnsi="Wingdings" w:hint="default"/>
      </w:rPr>
    </w:lvl>
    <w:lvl w:ilvl="3" w:tplc="BE543E5E" w:tentative="1">
      <w:start w:val="1"/>
      <w:numFmt w:val="bullet"/>
      <w:lvlText w:val=""/>
      <w:lvlJc w:val="left"/>
      <w:pPr>
        <w:ind w:left="3666" w:hanging="360"/>
      </w:pPr>
      <w:rPr>
        <w:rFonts w:ascii="Symbol" w:hAnsi="Symbol" w:hint="default"/>
      </w:rPr>
    </w:lvl>
    <w:lvl w:ilvl="4" w:tplc="F15CE1B8" w:tentative="1">
      <w:start w:val="1"/>
      <w:numFmt w:val="bullet"/>
      <w:lvlText w:val="o"/>
      <w:lvlJc w:val="left"/>
      <w:pPr>
        <w:ind w:left="4386" w:hanging="360"/>
      </w:pPr>
      <w:rPr>
        <w:rFonts w:ascii="Courier New" w:hAnsi="Courier New" w:cs="Courier New" w:hint="default"/>
      </w:rPr>
    </w:lvl>
    <w:lvl w:ilvl="5" w:tplc="D52E0042" w:tentative="1">
      <w:start w:val="1"/>
      <w:numFmt w:val="bullet"/>
      <w:lvlText w:val=""/>
      <w:lvlJc w:val="left"/>
      <w:pPr>
        <w:ind w:left="5106" w:hanging="360"/>
      </w:pPr>
      <w:rPr>
        <w:rFonts w:ascii="Wingdings" w:hAnsi="Wingdings" w:hint="default"/>
      </w:rPr>
    </w:lvl>
    <w:lvl w:ilvl="6" w:tplc="4748E210" w:tentative="1">
      <w:start w:val="1"/>
      <w:numFmt w:val="bullet"/>
      <w:lvlText w:val=""/>
      <w:lvlJc w:val="left"/>
      <w:pPr>
        <w:ind w:left="5826" w:hanging="360"/>
      </w:pPr>
      <w:rPr>
        <w:rFonts w:ascii="Symbol" w:hAnsi="Symbol" w:hint="default"/>
      </w:rPr>
    </w:lvl>
    <w:lvl w:ilvl="7" w:tplc="31E0DD5C" w:tentative="1">
      <w:start w:val="1"/>
      <w:numFmt w:val="bullet"/>
      <w:lvlText w:val="o"/>
      <w:lvlJc w:val="left"/>
      <w:pPr>
        <w:ind w:left="6546" w:hanging="360"/>
      </w:pPr>
      <w:rPr>
        <w:rFonts w:ascii="Courier New" w:hAnsi="Courier New" w:cs="Courier New" w:hint="default"/>
      </w:rPr>
    </w:lvl>
    <w:lvl w:ilvl="8" w:tplc="BA1A0D40" w:tentative="1">
      <w:start w:val="1"/>
      <w:numFmt w:val="bullet"/>
      <w:lvlText w:val=""/>
      <w:lvlJc w:val="left"/>
      <w:pPr>
        <w:ind w:left="7266" w:hanging="360"/>
      </w:pPr>
      <w:rPr>
        <w:rFonts w:ascii="Wingdings" w:hAnsi="Wingdings" w:hint="default"/>
      </w:rPr>
    </w:lvl>
  </w:abstractNum>
  <w:abstractNum w:abstractNumId="9" w15:restartNumberingAfterBreak="0">
    <w:nsid w:val="34914EE3"/>
    <w:multiLevelType w:val="hybridMultilevel"/>
    <w:tmpl w:val="2288199C"/>
    <w:lvl w:ilvl="0" w:tplc="CECE4BE6">
      <w:start w:val="1"/>
      <w:numFmt w:val="bullet"/>
      <w:lvlText w:val=""/>
      <w:lvlJc w:val="left"/>
      <w:pPr>
        <w:ind w:left="720" w:hanging="360"/>
      </w:pPr>
      <w:rPr>
        <w:rFonts w:ascii="Symbol" w:hAnsi="Symbol" w:hint="default"/>
      </w:rPr>
    </w:lvl>
    <w:lvl w:ilvl="1" w:tplc="1B0AD0CC" w:tentative="1">
      <w:start w:val="1"/>
      <w:numFmt w:val="bullet"/>
      <w:lvlText w:val="o"/>
      <w:lvlJc w:val="left"/>
      <w:pPr>
        <w:ind w:left="1440" w:hanging="360"/>
      </w:pPr>
      <w:rPr>
        <w:rFonts w:ascii="Courier New" w:hAnsi="Courier New" w:cs="Courier New" w:hint="default"/>
      </w:rPr>
    </w:lvl>
    <w:lvl w:ilvl="2" w:tplc="A830BE0A" w:tentative="1">
      <w:start w:val="1"/>
      <w:numFmt w:val="bullet"/>
      <w:lvlText w:val=""/>
      <w:lvlJc w:val="left"/>
      <w:pPr>
        <w:ind w:left="2160" w:hanging="360"/>
      </w:pPr>
      <w:rPr>
        <w:rFonts w:ascii="Wingdings" w:hAnsi="Wingdings" w:hint="default"/>
      </w:rPr>
    </w:lvl>
    <w:lvl w:ilvl="3" w:tplc="05388ACE" w:tentative="1">
      <w:start w:val="1"/>
      <w:numFmt w:val="bullet"/>
      <w:lvlText w:val=""/>
      <w:lvlJc w:val="left"/>
      <w:pPr>
        <w:ind w:left="2880" w:hanging="360"/>
      </w:pPr>
      <w:rPr>
        <w:rFonts w:ascii="Symbol" w:hAnsi="Symbol" w:hint="default"/>
      </w:rPr>
    </w:lvl>
    <w:lvl w:ilvl="4" w:tplc="890E43C8" w:tentative="1">
      <w:start w:val="1"/>
      <w:numFmt w:val="bullet"/>
      <w:lvlText w:val="o"/>
      <w:lvlJc w:val="left"/>
      <w:pPr>
        <w:ind w:left="3600" w:hanging="360"/>
      </w:pPr>
      <w:rPr>
        <w:rFonts w:ascii="Courier New" w:hAnsi="Courier New" w:cs="Courier New" w:hint="default"/>
      </w:rPr>
    </w:lvl>
    <w:lvl w:ilvl="5" w:tplc="9E546624" w:tentative="1">
      <w:start w:val="1"/>
      <w:numFmt w:val="bullet"/>
      <w:lvlText w:val=""/>
      <w:lvlJc w:val="left"/>
      <w:pPr>
        <w:ind w:left="4320" w:hanging="360"/>
      </w:pPr>
      <w:rPr>
        <w:rFonts w:ascii="Wingdings" w:hAnsi="Wingdings" w:hint="default"/>
      </w:rPr>
    </w:lvl>
    <w:lvl w:ilvl="6" w:tplc="DEC268D0" w:tentative="1">
      <w:start w:val="1"/>
      <w:numFmt w:val="bullet"/>
      <w:lvlText w:val=""/>
      <w:lvlJc w:val="left"/>
      <w:pPr>
        <w:ind w:left="5040" w:hanging="360"/>
      </w:pPr>
      <w:rPr>
        <w:rFonts w:ascii="Symbol" w:hAnsi="Symbol" w:hint="default"/>
      </w:rPr>
    </w:lvl>
    <w:lvl w:ilvl="7" w:tplc="8892ECD8" w:tentative="1">
      <w:start w:val="1"/>
      <w:numFmt w:val="bullet"/>
      <w:lvlText w:val="o"/>
      <w:lvlJc w:val="left"/>
      <w:pPr>
        <w:ind w:left="5760" w:hanging="360"/>
      </w:pPr>
      <w:rPr>
        <w:rFonts w:ascii="Courier New" w:hAnsi="Courier New" w:cs="Courier New" w:hint="default"/>
      </w:rPr>
    </w:lvl>
    <w:lvl w:ilvl="8" w:tplc="D71C0C36" w:tentative="1">
      <w:start w:val="1"/>
      <w:numFmt w:val="bullet"/>
      <w:lvlText w:val=""/>
      <w:lvlJc w:val="left"/>
      <w:pPr>
        <w:ind w:left="6480" w:hanging="360"/>
      </w:pPr>
      <w:rPr>
        <w:rFonts w:ascii="Wingdings" w:hAnsi="Wingdings" w:hint="default"/>
      </w:rPr>
    </w:lvl>
  </w:abstractNum>
  <w:abstractNum w:abstractNumId="10" w15:restartNumberingAfterBreak="0">
    <w:nsid w:val="34BC5D41"/>
    <w:multiLevelType w:val="hybridMultilevel"/>
    <w:tmpl w:val="9C1EAC2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EC012E5"/>
    <w:multiLevelType w:val="multilevel"/>
    <w:tmpl w:val="209A12BA"/>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5AD490D"/>
    <w:multiLevelType w:val="hybridMultilevel"/>
    <w:tmpl w:val="5602F4DE"/>
    <w:lvl w:ilvl="0" w:tplc="44340B34">
      <w:start w:val="1"/>
      <w:numFmt w:val="bullet"/>
      <w:lvlText w:val=""/>
      <w:lvlJc w:val="left"/>
      <w:pPr>
        <w:tabs>
          <w:tab w:val="num" w:pos="720"/>
        </w:tabs>
        <w:ind w:left="720" w:hanging="360"/>
      </w:pPr>
      <w:rPr>
        <w:rFonts w:ascii="Symbol" w:hAnsi="Symbol" w:hint="default"/>
      </w:rPr>
    </w:lvl>
    <w:lvl w:ilvl="1" w:tplc="13DC3636" w:tentative="1">
      <w:start w:val="1"/>
      <w:numFmt w:val="bullet"/>
      <w:lvlText w:val="o"/>
      <w:lvlJc w:val="left"/>
      <w:pPr>
        <w:tabs>
          <w:tab w:val="num" w:pos="1440"/>
        </w:tabs>
        <w:ind w:left="1440" w:hanging="360"/>
      </w:pPr>
      <w:rPr>
        <w:rFonts w:ascii="Courier New" w:hAnsi="Courier New" w:cs="Courier New" w:hint="default"/>
      </w:rPr>
    </w:lvl>
    <w:lvl w:ilvl="2" w:tplc="0B3079DA" w:tentative="1">
      <w:start w:val="1"/>
      <w:numFmt w:val="bullet"/>
      <w:lvlText w:val=""/>
      <w:lvlJc w:val="left"/>
      <w:pPr>
        <w:tabs>
          <w:tab w:val="num" w:pos="2160"/>
        </w:tabs>
        <w:ind w:left="2160" w:hanging="360"/>
      </w:pPr>
      <w:rPr>
        <w:rFonts w:ascii="Wingdings" w:hAnsi="Wingdings" w:hint="default"/>
      </w:rPr>
    </w:lvl>
    <w:lvl w:ilvl="3" w:tplc="3F563328" w:tentative="1">
      <w:start w:val="1"/>
      <w:numFmt w:val="bullet"/>
      <w:lvlText w:val=""/>
      <w:lvlJc w:val="left"/>
      <w:pPr>
        <w:tabs>
          <w:tab w:val="num" w:pos="2880"/>
        </w:tabs>
        <w:ind w:left="2880" w:hanging="360"/>
      </w:pPr>
      <w:rPr>
        <w:rFonts w:ascii="Symbol" w:hAnsi="Symbol" w:hint="default"/>
      </w:rPr>
    </w:lvl>
    <w:lvl w:ilvl="4" w:tplc="EB666A8E" w:tentative="1">
      <w:start w:val="1"/>
      <w:numFmt w:val="bullet"/>
      <w:lvlText w:val="o"/>
      <w:lvlJc w:val="left"/>
      <w:pPr>
        <w:tabs>
          <w:tab w:val="num" w:pos="3600"/>
        </w:tabs>
        <w:ind w:left="3600" w:hanging="360"/>
      </w:pPr>
      <w:rPr>
        <w:rFonts w:ascii="Courier New" w:hAnsi="Courier New" w:cs="Courier New" w:hint="default"/>
      </w:rPr>
    </w:lvl>
    <w:lvl w:ilvl="5" w:tplc="36DAD66A" w:tentative="1">
      <w:start w:val="1"/>
      <w:numFmt w:val="bullet"/>
      <w:lvlText w:val=""/>
      <w:lvlJc w:val="left"/>
      <w:pPr>
        <w:tabs>
          <w:tab w:val="num" w:pos="4320"/>
        </w:tabs>
        <w:ind w:left="4320" w:hanging="360"/>
      </w:pPr>
      <w:rPr>
        <w:rFonts w:ascii="Wingdings" w:hAnsi="Wingdings" w:hint="default"/>
      </w:rPr>
    </w:lvl>
    <w:lvl w:ilvl="6" w:tplc="1BAAADB4" w:tentative="1">
      <w:start w:val="1"/>
      <w:numFmt w:val="bullet"/>
      <w:lvlText w:val=""/>
      <w:lvlJc w:val="left"/>
      <w:pPr>
        <w:tabs>
          <w:tab w:val="num" w:pos="5040"/>
        </w:tabs>
        <w:ind w:left="5040" w:hanging="360"/>
      </w:pPr>
      <w:rPr>
        <w:rFonts w:ascii="Symbol" w:hAnsi="Symbol" w:hint="default"/>
      </w:rPr>
    </w:lvl>
    <w:lvl w:ilvl="7" w:tplc="41026E58" w:tentative="1">
      <w:start w:val="1"/>
      <w:numFmt w:val="bullet"/>
      <w:lvlText w:val="o"/>
      <w:lvlJc w:val="left"/>
      <w:pPr>
        <w:tabs>
          <w:tab w:val="num" w:pos="5760"/>
        </w:tabs>
        <w:ind w:left="5760" w:hanging="360"/>
      </w:pPr>
      <w:rPr>
        <w:rFonts w:ascii="Courier New" w:hAnsi="Courier New" w:cs="Courier New" w:hint="default"/>
      </w:rPr>
    </w:lvl>
    <w:lvl w:ilvl="8" w:tplc="C546B71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AB307E"/>
    <w:multiLevelType w:val="hybridMultilevel"/>
    <w:tmpl w:val="371EC804"/>
    <w:lvl w:ilvl="0" w:tplc="0C09000F">
      <w:start w:val="1"/>
      <w:numFmt w:val="upperRoman"/>
      <w:lvlText w:val="%1."/>
      <w:lvlJc w:val="righ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CDA51B8"/>
    <w:multiLevelType w:val="hybridMultilevel"/>
    <w:tmpl w:val="7C380682"/>
    <w:lvl w:ilvl="0" w:tplc="858A8852">
      <w:start w:val="1"/>
      <w:numFmt w:val="bullet"/>
      <w:lvlText w:val=""/>
      <w:lvlJc w:val="left"/>
      <w:pPr>
        <w:ind w:left="1060" w:hanging="360"/>
      </w:pPr>
      <w:rPr>
        <w:rFonts w:ascii="Symbol" w:hAnsi="Symbol" w:hint="default"/>
      </w:rPr>
    </w:lvl>
    <w:lvl w:ilvl="1" w:tplc="4B8CB5D4" w:tentative="1">
      <w:start w:val="1"/>
      <w:numFmt w:val="bullet"/>
      <w:lvlText w:val="o"/>
      <w:lvlJc w:val="left"/>
      <w:pPr>
        <w:ind w:left="1780" w:hanging="360"/>
      </w:pPr>
      <w:rPr>
        <w:rFonts w:ascii="Courier New" w:hAnsi="Courier New" w:cs="Courier New" w:hint="default"/>
      </w:rPr>
    </w:lvl>
    <w:lvl w:ilvl="2" w:tplc="2534B8C6" w:tentative="1">
      <w:start w:val="1"/>
      <w:numFmt w:val="bullet"/>
      <w:lvlText w:val=""/>
      <w:lvlJc w:val="left"/>
      <w:pPr>
        <w:ind w:left="2500" w:hanging="360"/>
      </w:pPr>
      <w:rPr>
        <w:rFonts w:ascii="Wingdings" w:hAnsi="Wingdings" w:hint="default"/>
      </w:rPr>
    </w:lvl>
    <w:lvl w:ilvl="3" w:tplc="2F9A7F9A" w:tentative="1">
      <w:start w:val="1"/>
      <w:numFmt w:val="bullet"/>
      <w:lvlText w:val=""/>
      <w:lvlJc w:val="left"/>
      <w:pPr>
        <w:ind w:left="3220" w:hanging="360"/>
      </w:pPr>
      <w:rPr>
        <w:rFonts w:ascii="Symbol" w:hAnsi="Symbol" w:hint="default"/>
      </w:rPr>
    </w:lvl>
    <w:lvl w:ilvl="4" w:tplc="B674339C" w:tentative="1">
      <w:start w:val="1"/>
      <w:numFmt w:val="bullet"/>
      <w:lvlText w:val="o"/>
      <w:lvlJc w:val="left"/>
      <w:pPr>
        <w:ind w:left="3940" w:hanging="360"/>
      </w:pPr>
      <w:rPr>
        <w:rFonts w:ascii="Courier New" w:hAnsi="Courier New" w:cs="Courier New" w:hint="default"/>
      </w:rPr>
    </w:lvl>
    <w:lvl w:ilvl="5" w:tplc="54ACC054" w:tentative="1">
      <w:start w:val="1"/>
      <w:numFmt w:val="bullet"/>
      <w:lvlText w:val=""/>
      <w:lvlJc w:val="left"/>
      <w:pPr>
        <w:ind w:left="4660" w:hanging="360"/>
      </w:pPr>
      <w:rPr>
        <w:rFonts w:ascii="Wingdings" w:hAnsi="Wingdings" w:hint="default"/>
      </w:rPr>
    </w:lvl>
    <w:lvl w:ilvl="6" w:tplc="11B480CA" w:tentative="1">
      <w:start w:val="1"/>
      <w:numFmt w:val="bullet"/>
      <w:lvlText w:val=""/>
      <w:lvlJc w:val="left"/>
      <w:pPr>
        <w:ind w:left="5380" w:hanging="360"/>
      </w:pPr>
      <w:rPr>
        <w:rFonts w:ascii="Symbol" w:hAnsi="Symbol" w:hint="default"/>
      </w:rPr>
    </w:lvl>
    <w:lvl w:ilvl="7" w:tplc="625CFF1E" w:tentative="1">
      <w:start w:val="1"/>
      <w:numFmt w:val="bullet"/>
      <w:lvlText w:val="o"/>
      <w:lvlJc w:val="left"/>
      <w:pPr>
        <w:ind w:left="6100" w:hanging="360"/>
      </w:pPr>
      <w:rPr>
        <w:rFonts w:ascii="Courier New" w:hAnsi="Courier New" w:cs="Courier New" w:hint="default"/>
      </w:rPr>
    </w:lvl>
    <w:lvl w:ilvl="8" w:tplc="A8400C2A" w:tentative="1">
      <w:start w:val="1"/>
      <w:numFmt w:val="bullet"/>
      <w:lvlText w:val=""/>
      <w:lvlJc w:val="left"/>
      <w:pPr>
        <w:ind w:left="6820" w:hanging="360"/>
      </w:pPr>
      <w:rPr>
        <w:rFonts w:ascii="Wingdings" w:hAnsi="Wingdings" w:hint="default"/>
      </w:rPr>
    </w:lvl>
  </w:abstractNum>
  <w:abstractNum w:abstractNumId="15" w15:restartNumberingAfterBreak="0">
    <w:nsid w:val="5D095F2F"/>
    <w:multiLevelType w:val="hybridMultilevel"/>
    <w:tmpl w:val="0B983D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E273B5C"/>
    <w:multiLevelType w:val="hybridMultilevel"/>
    <w:tmpl w:val="DDF6E2D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7" w15:restartNumberingAfterBreak="0">
    <w:nsid w:val="69DA1187"/>
    <w:multiLevelType w:val="hybridMultilevel"/>
    <w:tmpl w:val="E06667EA"/>
    <w:lvl w:ilvl="0" w:tplc="B9F44270">
      <w:start w:val="1"/>
      <w:numFmt w:val="bullet"/>
      <w:lvlText w:val=""/>
      <w:lvlJc w:val="left"/>
      <w:pPr>
        <w:ind w:left="720" w:hanging="360"/>
      </w:pPr>
      <w:rPr>
        <w:rFonts w:ascii="Symbol" w:hAnsi="Symbol" w:hint="default"/>
      </w:rPr>
    </w:lvl>
    <w:lvl w:ilvl="1" w:tplc="2BE680EE" w:tentative="1">
      <w:start w:val="1"/>
      <w:numFmt w:val="bullet"/>
      <w:lvlText w:val="o"/>
      <w:lvlJc w:val="left"/>
      <w:pPr>
        <w:ind w:left="1440" w:hanging="360"/>
      </w:pPr>
      <w:rPr>
        <w:rFonts w:ascii="Courier New" w:hAnsi="Courier New" w:cs="Courier New" w:hint="default"/>
      </w:rPr>
    </w:lvl>
    <w:lvl w:ilvl="2" w:tplc="C82A8164" w:tentative="1">
      <w:start w:val="1"/>
      <w:numFmt w:val="bullet"/>
      <w:lvlText w:val=""/>
      <w:lvlJc w:val="left"/>
      <w:pPr>
        <w:ind w:left="2160" w:hanging="360"/>
      </w:pPr>
      <w:rPr>
        <w:rFonts w:ascii="Wingdings" w:hAnsi="Wingdings" w:hint="default"/>
      </w:rPr>
    </w:lvl>
    <w:lvl w:ilvl="3" w:tplc="75BC33A8" w:tentative="1">
      <w:start w:val="1"/>
      <w:numFmt w:val="bullet"/>
      <w:lvlText w:val=""/>
      <w:lvlJc w:val="left"/>
      <w:pPr>
        <w:ind w:left="2880" w:hanging="360"/>
      </w:pPr>
      <w:rPr>
        <w:rFonts w:ascii="Symbol" w:hAnsi="Symbol" w:hint="default"/>
      </w:rPr>
    </w:lvl>
    <w:lvl w:ilvl="4" w:tplc="257C92AA" w:tentative="1">
      <w:start w:val="1"/>
      <w:numFmt w:val="bullet"/>
      <w:lvlText w:val="o"/>
      <w:lvlJc w:val="left"/>
      <w:pPr>
        <w:ind w:left="3600" w:hanging="360"/>
      </w:pPr>
      <w:rPr>
        <w:rFonts w:ascii="Courier New" w:hAnsi="Courier New" w:cs="Courier New" w:hint="default"/>
      </w:rPr>
    </w:lvl>
    <w:lvl w:ilvl="5" w:tplc="FF4C934A" w:tentative="1">
      <w:start w:val="1"/>
      <w:numFmt w:val="bullet"/>
      <w:lvlText w:val=""/>
      <w:lvlJc w:val="left"/>
      <w:pPr>
        <w:ind w:left="4320" w:hanging="360"/>
      </w:pPr>
      <w:rPr>
        <w:rFonts w:ascii="Wingdings" w:hAnsi="Wingdings" w:hint="default"/>
      </w:rPr>
    </w:lvl>
    <w:lvl w:ilvl="6" w:tplc="1EEA3E92" w:tentative="1">
      <w:start w:val="1"/>
      <w:numFmt w:val="bullet"/>
      <w:lvlText w:val=""/>
      <w:lvlJc w:val="left"/>
      <w:pPr>
        <w:ind w:left="5040" w:hanging="360"/>
      </w:pPr>
      <w:rPr>
        <w:rFonts w:ascii="Symbol" w:hAnsi="Symbol" w:hint="default"/>
      </w:rPr>
    </w:lvl>
    <w:lvl w:ilvl="7" w:tplc="C5307DD2" w:tentative="1">
      <w:start w:val="1"/>
      <w:numFmt w:val="bullet"/>
      <w:lvlText w:val="o"/>
      <w:lvlJc w:val="left"/>
      <w:pPr>
        <w:ind w:left="5760" w:hanging="360"/>
      </w:pPr>
      <w:rPr>
        <w:rFonts w:ascii="Courier New" w:hAnsi="Courier New" w:cs="Courier New" w:hint="default"/>
      </w:rPr>
    </w:lvl>
    <w:lvl w:ilvl="8" w:tplc="5D668FB8" w:tentative="1">
      <w:start w:val="1"/>
      <w:numFmt w:val="bullet"/>
      <w:lvlText w:val=""/>
      <w:lvlJc w:val="left"/>
      <w:pPr>
        <w:ind w:left="6480" w:hanging="360"/>
      </w:pPr>
      <w:rPr>
        <w:rFonts w:ascii="Wingdings" w:hAnsi="Wingdings" w:hint="default"/>
      </w:rPr>
    </w:lvl>
  </w:abstractNum>
  <w:abstractNum w:abstractNumId="18" w15:restartNumberingAfterBreak="0">
    <w:nsid w:val="6E3C3713"/>
    <w:multiLevelType w:val="hybridMultilevel"/>
    <w:tmpl w:val="118A4108"/>
    <w:lvl w:ilvl="0" w:tplc="E8A6D76C">
      <w:start w:val="1"/>
      <w:numFmt w:val="upperRoman"/>
      <w:lvlText w:val="APPENDIX %1:"/>
      <w:lvlJc w:val="right"/>
      <w:pPr>
        <w:ind w:left="1152" w:hanging="360"/>
      </w:pPr>
      <w:rPr>
        <w:rFonts w:hint="default"/>
      </w:rPr>
    </w:lvl>
    <w:lvl w:ilvl="1" w:tplc="0C090019" w:tentative="1">
      <w:start w:val="1"/>
      <w:numFmt w:val="lowerLetter"/>
      <w:lvlText w:val="%2."/>
      <w:lvlJc w:val="left"/>
      <w:pPr>
        <w:ind w:left="1872" w:hanging="360"/>
      </w:pPr>
    </w:lvl>
    <w:lvl w:ilvl="2" w:tplc="0C09001B" w:tentative="1">
      <w:start w:val="1"/>
      <w:numFmt w:val="lowerRoman"/>
      <w:lvlText w:val="%3."/>
      <w:lvlJc w:val="right"/>
      <w:pPr>
        <w:ind w:left="2592" w:hanging="180"/>
      </w:pPr>
    </w:lvl>
    <w:lvl w:ilvl="3" w:tplc="0C09000F" w:tentative="1">
      <w:start w:val="1"/>
      <w:numFmt w:val="decimal"/>
      <w:lvlText w:val="%4."/>
      <w:lvlJc w:val="left"/>
      <w:pPr>
        <w:ind w:left="3312" w:hanging="360"/>
      </w:pPr>
    </w:lvl>
    <w:lvl w:ilvl="4" w:tplc="0C090019" w:tentative="1">
      <w:start w:val="1"/>
      <w:numFmt w:val="lowerLetter"/>
      <w:lvlText w:val="%5."/>
      <w:lvlJc w:val="left"/>
      <w:pPr>
        <w:ind w:left="4032" w:hanging="360"/>
      </w:pPr>
    </w:lvl>
    <w:lvl w:ilvl="5" w:tplc="0C09001B" w:tentative="1">
      <w:start w:val="1"/>
      <w:numFmt w:val="lowerRoman"/>
      <w:lvlText w:val="%6."/>
      <w:lvlJc w:val="right"/>
      <w:pPr>
        <w:ind w:left="4752" w:hanging="180"/>
      </w:pPr>
    </w:lvl>
    <w:lvl w:ilvl="6" w:tplc="0C09000F" w:tentative="1">
      <w:start w:val="1"/>
      <w:numFmt w:val="decimal"/>
      <w:lvlText w:val="%7."/>
      <w:lvlJc w:val="left"/>
      <w:pPr>
        <w:ind w:left="5472" w:hanging="360"/>
      </w:pPr>
    </w:lvl>
    <w:lvl w:ilvl="7" w:tplc="0C090019" w:tentative="1">
      <w:start w:val="1"/>
      <w:numFmt w:val="lowerLetter"/>
      <w:lvlText w:val="%8."/>
      <w:lvlJc w:val="left"/>
      <w:pPr>
        <w:ind w:left="6192" w:hanging="360"/>
      </w:pPr>
    </w:lvl>
    <w:lvl w:ilvl="8" w:tplc="0C09001B" w:tentative="1">
      <w:start w:val="1"/>
      <w:numFmt w:val="lowerRoman"/>
      <w:lvlText w:val="%9."/>
      <w:lvlJc w:val="right"/>
      <w:pPr>
        <w:ind w:left="6912" w:hanging="180"/>
      </w:pPr>
    </w:lvl>
  </w:abstractNum>
  <w:abstractNum w:abstractNumId="19" w15:restartNumberingAfterBreak="0">
    <w:nsid w:val="6F6E197A"/>
    <w:multiLevelType w:val="hybridMultilevel"/>
    <w:tmpl w:val="DA2A270E"/>
    <w:lvl w:ilvl="0" w:tplc="952405B2">
      <w:start w:val="17"/>
      <w:numFmt w:val="decimal"/>
      <w:lvlText w:val="%1."/>
      <w:lvlJc w:val="left"/>
      <w:pPr>
        <w:ind w:left="1031" w:hanging="360"/>
      </w:pPr>
      <w:rPr>
        <w:rFonts w:hint="default"/>
      </w:rPr>
    </w:lvl>
    <w:lvl w:ilvl="1" w:tplc="0C090019" w:tentative="1">
      <w:start w:val="1"/>
      <w:numFmt w:val="lowerLetter"/>
      <w:lvlText w:val="%2."/>
      <w:lvlJc w:val="left"/>
      <w:pPr>
        <w:ind w:left="1751" w:hanging="360"/>
      </w:pPr>
    </w:lvl>
    <w:lvl w:ilvl="2" w:tplc="0C09001B" w:tentative="1">
      <w:start w:val="1"/>
      <w:numFmt w:val="lowerRoman"/>
      <w:lvlText w:val="%3."/>
      <w:lvlJc w:val="right"/>
      <w:pPr>
        <w:ind w:left="2471" w:hanging="180"/>
      </w:pPr>
    </w:lvl>
    <w:lvl w:ilvl="3" w:tplc="0C09000F" w:tentative="1">
      <w:start w:val="1"/>
      <w:numFmt w:val="decimal"/>
      <w:lvlText w:val="%4."/>
      <w:lvlJc w:val="left"/>
      <w:pPr>
        <w:ind w:left="3191" w:hanging="360"/>
      </w:pPr>
    </w:lvl>
    <w:lvl w:ilvl="4" w:tplc="0C090019" w:tentative="1">
      <w:start w:val="1"/>
      <w:numFmt w:val="lowerLetter"/>
      <w:lvlText w:val="%5."/>
      <w:lvlJc w:val="left"/>
      <w:pPr>
        <w:ind w:left="3911" w:hanging="360"/>
      </w:pPr>
    </w:lvl>
    <w:lvl w:ilvl="5" w:tplc="0C09001B" w:tentative="1">
      <w:start w:val="1"/>
      <w:numFmt w:val="lowerRoman"/>
      <w:lvlText w:val="%6."/>
      <w:lvlJc w:val="right"/>
      <w:pPr>
        <w:ind w:left="4631" w:hanging="180"/>
      </w:pPr>
    </w:lvl>
    <w:lvl w:ilvl="6" w:tplc="0C09000F" w:tentative="1">
      <w:start w:val="1"/>
      <w:numFmt w:val="decimal"/>
      <w:lvlText w:val="%7."/>
      <w:lvlJc w:val="left"/>
      <w:pPr>
        <w:ind w:left="5351" w:hanging="360"/>
      </w:pPr>
    </w:lvl>
    <w:lvl w:ilvl="7" w:tplc="0C090019" w:tentative="1">
      <w:start w:val="1"/>
      <w:numFmt w:val="lowerLetter"/>
      <w:lvlText w:val="%8."/>
      <w:lvlJc w:val="left"/>
      <w:pPr>
        <w:ind w:left="6071" w:hanging="360"/>
      </w:pPr>
    </w:lvl>
    <w:lvl w:ilvl="8" w:tplc="0C09001B" w:tentative="1">
      <w:start w:val="1"/>
      <w:numFmt w:val="lowerRoman"/>
      <w:lvlText w:val="%9."/>
      <w:lvlJc w:val="right"/>
      <w:pPr>
        <w:ind w:left="6791" w:hanging="180"/>
      </w:pPr>
    </w:lvl>
  </w:abstractNum>
  <w:abstractNum w:abstractNumId="20" w15:restartNumberingAfterBreak="0">
    <w:nsid w:val="717C71CB"/>
    <w:multiLevelType w:val="hybridMultilevel"/>
    <w:tmpl w:val="C100CAAA"/>
    <w:lvl w:ilvl="0" w:tplc="95CE8770">
      <w:start w:val="1"/>
      <w:numFmt w:val="decimal"/>
      <w:lvlText w:val="%1."/>
      <w:lvlJc w:val="left"/>
      <w:pPr>
        <w:ind w:left="720" w:hanging="360"/>
      </w:pPr>
    </w:lvl>
    <w:lvl w:ilvl="1" w:tplc="69C2C38E" w:tentative="1">
      <w:start w:val="1"/>
      <w:numFmt w:val="lowerLetter"/>
      <w:lvlText w:val="%2."/>
      <w:lvlJc w:val="left"/>
      <w:pPr>
        <w:ind w:left="1440" w:hanging="360"/>
      </w:pPr>
    </w:lvl>
    <w:lvl w:ilvl="2" w:tplc="C22CC0A2" w:tentative="1">
      <w:start w:val="1"/>
      <w:numFmt w:val="lowerRoman"/>
      <w:lvlText w:val="%3."/>
      <w:lvlJc w:val="right"/>
      <w:pPr>
        <w:ind w:left="2160" w:hanging="180"/>
      </w:pPr>
    </w:lvl>
    <w:lvl w:ilvl="3" w:tplc="AA7A7D20" w:tentative="1">
      <w:start w:val="1"/>
      <w:numFmt w:val="decimal"/>
      <w:lvlText w:val="%4."/>
      <w:lvlJc w:val="left"/>
      <w:pPr>
        <w:ind w:left="2880" w:hanging="360"/>
      </w:pPr>
    </w:lvl>
    <w:lvl w:ilvl="4" w:tplc="AF4CA66E" w:tentative="1">
      <w:start w:val="1"/>
      <w:numFmt w:val="lowerLetter"/>
      <w:lvlText w:val="%5."/>
      <w:lvlJc w:val="left"/>
      <w:pPr>
        <w:ind w:left="3600" w:hanging="360"/>
      </w:pPr>
    </w:lvl>
    <w:lvl w:ilvl="5" w:tplc="4814BC2A" w:tentative="1">
      <w:start w:val="1"/>
      <w:numFmt w:val="lowerRoman"/>
      <w:lvlText w:val="%6."/>
      <w:lvlJc w:val="right"/>
      <w:pPr>
        <w:ind w:left="4320" w:hanging="180"/>
      </w:pPr>
    </w:lvl>
    <w:lvl w:ilvl="6" w:tplc="2416B770" w:tentative="1">
      <w:start w:val="1"/>
      <w:numFmt w:val="decimal"/>
      <w:lvlText w:val="%7."/>
      <w:lvlJc w:val="left"/>
      <w:pPr>
        <w:ind w:left="5040" w:hanging="360"/>
      </w:pPr>
    </w:lvl>
    <w:lvl w:ilvl="7" w:tplc="D6E4A2E8" w:tentative="1">
      <w:start w:val="1"/>
      <w:numFmt w:val="lowerLetter"/>
      <w:lvlText w:val="%8."/>
      <w:lvlJc w:val="left"/>
      <w:pPr>
        <w:ind w:left="5760" w:hanging="360"/>
      </w:pPr>
    </w:lvl>
    <w:lvl w:ilvl="8" w:tplc="3AA06E48" w:tentative="1">
      <w:start w:val="1"/>
      <w:numFmt w:val="lowerRoman"/>
      <w:lvlText w:val="%9."/>
      <w:lvlJc w:val="right"/>
      <w:pPr>
        <w:ind w:left="6480" w:hanging="180"/>
      </w:pPr>
    </w:lvl>
  </w:abstractNum>
  <w:abstractNum w:abstractNumId="21" w15:restartNumberingAfterBreak="0">
    <w:nsid w:val="7F20493F"/>
    <w:multiLevelType w:val="hybridMultilevel"/>
    <w:tmpl w:val="3AB80C46"/>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9"/>
  </w:num>
  <w:num w:numId="2">
    <w:abstractNumId w:val="12"/>
  </w:num>
  <w:num w:numId="3">
    <w:abstractNumId w:val="17"/>
  </w:num>
  <w:num w:numId="4">
    <w:abstractNumId w:val="13"/>
  </w:num>
  <w:num w:numId="5">
    <w:abstractNumId w:val="8"/>
  </w:num>
  <w:num w:numId="6">
    <w:abstractNumId w:val="3"/>
  </w:num>
  <w:num w:numId="7">
    <w:abstractNumId w:val="1"/>
  </w:num>
  <w:num w:numId="8">
    <w:abstractNumId w:val="15"/>
  </w:num>
  <w:num w:numId="9">
    <w:abstractNumId w:val="20"/>
  </w:num>
  <w:num w:numId="10">
    <w:abstractNumId w:val="14"/>
  </w:num>
  <w:num w:numId="11">
    <w:abstractNumId w:val="16"/>
  </w:num>
  <w:num w:numId="12">
    <w:abstractNumId w:val="6"/>
  </w:num>
  <w:num w:numId="13">
    <w:abstractNumId w:val="7"/>
  </w:num>
  <w:num w:numId="14">
    <w:abstractNumId w:val="21"/>
  </w:num>
  <w:num w:numId="15">
    <w:abstractNumId w:val="10"/>
  </w:num>
  <w:num w:numId="16">
    <w:abstractNumId w:val="11"/>
  </w:num>
  <w:num w:numId="17">
    <w:abstractNumId w:val="4"/>
  </w:num>
  <w:num w:numId="18">
    <w:abstractNumId w:val="2"/>
  </w:num>
  <w:num w:numId="19">
    <w:abstractNumId w:val="18"/>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5"/>
  </w:num>
  <w:num w:numId="23">
    <w:abstractNumId w:val="0"/>
  </w:num>
  <w:num w:numId="24">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hideSpellingErrors/>
  <w:hideGrammaticalErrors/>
  <w:activeWritingStyle w:appName="MSWord" w:lang="en-AU" w:vendorID="8" w:dllVersion="513" w:checkStyle="1"/>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4AA"/>
    <w:rsid w:val="000002B0"/>
    <w:rsid w:val="000004A4"/>
    <w:rsid w:val="000013E5"/>
    <w:rsid w:val="0000221A"/>
    <w:rsid w:val="00002522"/>
    <w:rsid w:val="000030B7"/>
    <w:rsid w:val="00003296"/>
    <w:rsid w:val="000058E8"/>
    <w:rsid w:val="000067AA"/>
    <w:rsid w:val="00007759"/>
    <w:rsid w:val="00011149"/>
    <w:rsid w:val="000128B7"/>
    <w:rsid w:val="00014C5B"/>
    <w:rsid w:val="00015D8F"/>
    <w:rsid w:val="0001630A"/>
    <w:rsid w:val="00016627"/>
    <w:rsid w:val="0002030C"/>
    <w:rsid w:val="00020D1C"/>
    <w:rsid w:val="000218BE"/>
    <w:rsid w:val="00021994"/>
    <w:rsid w:val="00021DE0"/>
    <w:rsid w:val="0002283E"/>
    <w:rsid w:val="00022A40"/>
    <w:rsid w:val="00023BA7"/>
    <w:rsid w:val="00023E5B"/>
    <w:rsid w:val="000262A1"/>
    <w:rsid w:val="00027005"/>
    <w:rsid w:val="0003425F"/>
    <w:rsid w:val="000352F7"/>
    <w:rsid w:val="000355D9"/>
    <w:rsid w:val="00035AEF"/>
    <w:rsid w:val="00035BA6"/>
    <w:rsid w:val="000405A4"/>
    <w:rsid w:val="000409E8"/>
    <w:rsid w:val="00042025"/>
    <w:rsid w:val="000422DB"/>
    <w:rsid w:val="00044F22"/>
    <w:rsid w:val="00046081"/>
    <w:rsid w:val="000466C7"/>
    <w:rsid w:val="00050CFC"/>
    <w:rsid w:val="00051BD0"/>
    <w:rsid w:val="00054BED"/>
    <w:rsid w:val="00054D46"/>
    <w:rsid w:val="0005510B"/>
    <w:rsid w:val="0005512A"/>
    <w:rsid w:val="00057D25"/>
    <w:rsid w:val="00064010"/>
    <w:rsid w:val="00064D04"/>
    <w:rsid w:val="000652CE"/>
    <w:rsid w:val="00065BAE"/>
    <w:rsid w:val="00067044"/>
    <w:rsid w:val="00070044"/>
    <w:rsid w:val="00070102"/>
    <w:rsid w:val="000716B3"/>
    <w:rsid w:val="000716D8"/>
    <w:rsid w:val="0007238C"/>
    <w:rsid w:val="00072AD2"/>
    <w:rsid w:val="00072EA3"/>
    <w:rsid w:val="00072FD7"/>
    <w:rsid w:val="00073631"/>
    <w:rsid w:val="00073775"/>
    <w:rsid w:val="0007396F"/>
    <w:rsid w:val="00073ABC"/>
    <w:rsid w:val="00074638"/>
    <w:rsid w:val="00074C47"/>
    <w:rsid w:val="00074F01"/>
    <w:rsid w:val="00076426"/>
    <w:rsid w:val="00076B6B"/>
    <w:rsid w:val="00076EF8"/>
    <w:rsid w:val="000816C3"/>
    <w:rsid w:val="000822C7"/>
    <w:rsid w:val="00082D6B"/>
    <w:rsid w:val="0008427E"/>
    <w:rsid w:val="000848FD"/>
    <w:rsid w:val="00085746"/>
    <w:rsid w:val="0009290E"/>
    <w:rsid w:val="00093D78"/>
    <w:rsid w:val="00093DFF"/>
    <w:rsid w:val="00093FB6"/>
    <w:rsid w:val="000945E3"/>
    <w:rsid w:val="00096A1E"/>
    <w:rsid w:val="00097555"/>
    <w:rsid w:val="000A1828"/>
    <w:rsid w:val="000A29B2"/>
    <w:rsid w:val="000A2C27"/>
    <w:rsid w:val="000A399D"/>
    <w:rsid w:val="000A48C3"/>
    <w:rsid w:val="000B0AE3"/>
    <w:rsid w:val="000B18E5"/>
    <w:rsid w:val="000B2657"/>
    <w:rsid w:val="000B31FE"/>
    <w:rsid w:val="000B42C0"/>
    <w:rsid w:val="000B4618"/>
    <w:rsid w:val="000B4BCC"/>
    <w:rsid w:val="000B5DC8"/>
    <w:rsid w:val="000B5DD4"/>
    <w:rsid w:val="000B6856"/>
    <w:rsid w:val="000B71F2"/>
    <w:rsid w:val="000B7575"/>
    <w:rsid w:val="000B7A84"/>
    <w:rsid w:val="000B7C4A"/>
    <w:rsid w:val="000C0C8E"/>
    <w:rsid w:val="000C1531"/>
    <w:rsid w:val="000C1DBB"/>
    <w:rsid w:val="000C2C3D"/>
    <w:rsid w:val="000C5F78"/>
    <w:rsid w:val="000C79A2"/>
    <w:rsid w:val="000D3016"/>
    <w:rsid w:val="000D369A"/>
    <w:rsid w:val="000D41CF"/>
    <w:rsid w:val="000D49B1"/>
    <w:rsid w:val="000E0918"/>
    <w:rsid w:val="000E1766"/>
    <w:rsid w:val="000E1FB3"/>
    <w:rsid w:val="000E221D"/>
    <w:rsid w:val="000E2268"/>
    <w:rsid w:val="000E275D"/>
    <w:rsid w:val="000E2D8C"/>
    <w:rsid w:val="000E3F7F"/>
    <w:rsid w:val="000E4143"/>
    <w:rsid w:val="000E54B2"/>
    <w:rsid w:val="000F1244"/>
    <w:rsid w:val="000F2C6E"/>
    <w:rsid w:val="000F3526"/>
    <w:rsid w:val="000F4F6F"/>
    <w:rsid w:val="000F5BF3"/>
    <w:rsid w:val="000F64D5"/>
    <w:rsid w:val="000F6BC3"/>
    <w:rsid w:val="000F7C51"/>
    <w:rsid w:val="00100390"/>
    <w:rsid w:val="00100A0B"/>
    <w:rsid w:val="00102048"/>
    <w:rsid w:val="0010232C"/>
    <w:rsid w:val="0010286C"/>
    <w:rsid w:val="00104BF5"/>
    <w:rsid w:val="00104C9C"/>
    <w:rsid w:val="00105852"/>
    <w:rsid w:val="001068D6"/>
    <w:rsid w:val="00107305"/>
    <w:rsid w:val="001074F8"/>
    <w:rsid w:val="00107D04"/>
    <w:rsid w:val="00110E09"/>
    <w:rsid w:val="00112850"/>
    <w:rsid w:val="00113957"/>
    <w:rsid w:val="001144B0"/>
    <w:rsid w:val="00114AAE"/>
    <w:rsid w:val="001167EC"/>
    <w:rsid w:val="00116941"/>
    <w:rsid w:val="00116F8F"/>
    <w:rsid w:val="00117A96"/>
    <w:rsid w:val="00117C4E"/>
    <w:rsid w:val="0012067E"/>
    <w:rsid w:val="00120920"/>
    <w:rsid w:val="00122DDB"/>
    <w:rsid w:val="00123786"/>
    <w:rsid w:val="00124687"/>
    <w:rsid w:val="0012492B"/>
    <w:rsid w:val="001272EC"/>
    <w:rsid w:val="001274CB"/>
    <w:rsid w:val="001277D7"/>
    <w:rsid w:val="0012792F"/>
    <w:rsid w:val="001304CB"/>
    <w:rsid w:val="0013121D"/>
    <w:rsid w:val="00131A96"/>
    <w:rsid w:val="00132D6B"/>
    <w:rsid w:val="001339A4"/>
    <w:rsid w:val="00136301"/>
    <w:rsid w:val="0013636C"/>
    <w:rsid w:val="001375F1"/>
    <w:rsid w:val="001403EF"/>
    <w:rsid w:val="00140E7C"/>
    <w:rsid w:val="00142A36"/>
    <w:rsid w:val="00143894"/>
    <w:rsid w:val="0014556F"/>
    <w:rsid w:val="001458FE"/>
    <w:rsid w:val="00146962"/>
    <w:rsid w:val="0014779C"/>
    <w:rsid w:val="00147AE6"/>
    <w:rsid w:val="0015009A"/>
    <w:rsid w:val="00150647"/>
    <w:rsid w:val="00153B45"/>
    <w:rsid w:val="00156CF5"/>
    <w:rsid w:val="00157CE6"/>
    <w:rsid w:val="00162838"/>
    <w:rsid w:val="0016306B"/>
    <w:rsid w:val="00163193"/>
    <w:rsid w:val="00163706"/>
    <w:rsid w:val="0016454F"/>
    <w:rsid w:val="00170241"/>
    <w:rsid w:val="0017063C"/>
    <w:rsid w:val="0017167F"/>
    <w:rsid w:val="00171993"/>
    <w:rsid w:val="001726EA"/>
    <w:rsid w:val="0017290D"/>
    <w:rsid w:val="00172D5B"/>
    <w:rsid w:val="001737D6"/>
    <w:rsid w:val="001742C8"/>
    <w:rsid w:val="001744B4"/>
    <w:rsid w:val="00174F97"/>
    <w:rsid w:val="00181841"/>
    <w:rsid w:val="00183F67"/>
    <w:rsid w:val="00184256"/>
    <w:rsid w:val="00184812"/>
    <w:rsid w:val="00184D5F"/>
    <w:rsid w:val="001850AF"/>
    <w:rsid w:val="00185689"/>
    <w:rsid w:val="00185B5D"/>
    <w:rsid w:val="001875D7"/>
    <w:rsid w:val="00187946"/>
    <w:rsid w:val="0019013B"/>
    <w:rsid w:val="0019093F"/>
    <w:rsid w:val="00190AB8"/>
    <w:rsid w:val="00192962"/>
    <w:rsid w:val="00193360"/>
    <w:rsid w:val="00193F9E"/>
    <w:rsid w:val="00195D7F"/>
    <w:rsid w:val="0019719F"/>
    <w:rsid w:val="00197DA9"/>
    <w:rsid w:val="00197E41"/>
    <w:rsid w:val="001A053A"/>
    <w:rsid w:val="001A091E"/>
    <w:rsid w:val="001A1D8E"/>
    <w:rsid w:val="001A1FAA"/>
    <w:rsid w:val="001A59BA"/>
    <w:rsid w:val="001A6975"/>
    <w:rsid w:val="001B0B0E"/>
    <w:rsid w:val="001B16DC"/>
    <w:rsid w:val="001B38FE"/>
    <w:rsid w:val="001B41CA"/>
    <w:rsid w:val="001B5DD8"/>
    <w:rsid w:val="001C086F"/>
    <w:rsid w:val="001C2B3C"/>
    <w:rsid w:val="001C3229"/>
    <w:rsid w:val="001C3ACA"/>
    <w:rsid w:val="001D02A6"/>
    <w:rsid w:val="001D0906"/>
    <w:rsid w:val="001D130E"/>
    <w:rsid w:val="001D4AEE"/>
    <w:rsid w:val="001D5D30"/>
    <w:rsid w:val="001D5ECF"/>
    <w:rsid w:val="001D793F"/>
    <w:rsid w:val="001E24C6"/>
    <w:rsid w:val="001E39F8"/>
    <w:rsid w:val="001E3A17"/>
    <w:rsid w:val="001E3C81"/>
    <w:rsid w:val="001E476B"/>
    <w:rsid w:val="001E4FA9"/>
    <w:rsid w:val="001E5092"/>
    <w:rsid w:val="001E632B"/>
    <w:rsid w:val="001F2115"/>
    <w:rsid w:val="001F281A"/>
    <w:rsid w:val="001F290D"/>
    <w:rsid w:val="001F2CC0"/>
    <w:rsid w:val="001F5DD9"/>
    <w:rsid w:val="001F5F9E"/>
    <w:rsid w:val="001F65BE"/>
    <w:rsid w:val="001F6686"/>
    <w:rsid w:val="001F685E"/>
    <w:rsid w:val="00200F17"/>
    <w:rsid w:val="00201224"/>
    <w:rsid w:val="0020143D"/>
    <w:rsid w:val="00202FD4"/>
    <w:rsid w:val="00207248"/>
    <w:rsid w:val="0021017C"/>
    <w:rsid w:val="0021197C"/>
    <w:rsid w:val="00212568"/>
    <w:rsid w:val="0021256F"/>
    <w:rsid w:val="00212D60"/>
    <w:rsid w:val="00214962"/>
    <w:rsid w:val="00215191"/>
    <w:rsid w:val="00215741"/>
    <w:rsid w:val="0021609B"/>
    <w:rsid w:val="002177ED"/>
    <w:rsid w:val="00220495"/>
    <w:rsid w:val="002206D3"/>
    <w:rsid w:val="00221E98"/>
    <w:rsid w:val="00222576"/>
    <w:rsid w:val="002237D0"/>
    <w:rsid w:val="00224ECC"/>
    <w:rsid w:val="00225468"/>
    <w:rsid w:val="0023142F"/>
    <w:rsid w:val="00232836"/>
    <w:rsid w:val="00232844"/>
    <w:rsid w:val="00232861"/>
    <w:rsid w:val="0023356F"/>
    <w:rsid w:val="00235031"/>
    <w:rsid w:val="00235B81"/>
    <w:rsid w:val="00236FA3"/>
    <w:rsid w:val="002375CB"/>
    <w:rsid w:val="00237A83"/>
    <w:rsid w:val="00237E31"/>
    <w:rsid w:val="00240173"/>
    <w:rsid w:val="0024057E"/>
    <w:rsid w:val="00240E90"/>
    <w:rsid w:val="0024132A"/>
    <w:rsid w:val="0024148A"/>
    <w:rsid w:val="00244115"/>
    <w:rsid w:val="00244708"/>
    <w:rsid w:val="002447C7"/>
    <w:rsid w:val="00251893"/>
    <w:rsid w:val="00251F8D"/>
    <w:rsid w:val="00252814"/>
    <w:rsid w:val="00255F4C"/>
    <w:rsid w:val="002561F0"/>
    <w:rsid w:val="00260059"/>
    <w:rsid w:val="00260064"/>
    <w:rsid w:val="00260817"/>
    <w:rsid w:val="00262DAE"/>
    <w:rsid w:val="002634AF"/>
    <w:rsid w:val="00264416"/>
    <w:rsid w:val="00266EE1"/>
    <w:rsid w:val="0027090A"/>
    <w:rsid w:val="002710A6"/>
    <w:rsid w:val="00271D89"/>
    <w:rsid w:val="00280CE9"/>
    <w:rsid w:val="002815B8"/>
    <w:rsid w:val="002819F6"/>
    <w:rsid w:val="00285047"/>
    <w:rsid w:val="00285094"/>
    <w:rsid w:val="002859C8"/>
    <w:rsid w:val="00285F3D"/>
    <w:rsid w:val="0028600B"/>
    <w:rsid w:val="002862E7"/>
    <w:rsid w:val="002862F9"/>
    <w:rsid w:val="00286EE1"/>
    <w:rsid w:val="00286F02"/>
    <w:rsid w:val="002917D9"/>
    <w:rsid w:val="002922BD"/>
    <w:rsid w:val="00292677"/>
    <w:rsid w:val="002937D0"/>
    <w:rsid w:val="00293A87"/>
    <w:rsid w:val="00293BFE"/>
    <w:rsid w:val="0029508D"/>
    <w:rsid w:val="0029604D"/>
    <w:rsid w:val="0029738F"/>
    <w:rsid w:val="0029774A"/>
    <w:rsid w:val="00297F3C"/>
    <w:rsid w:val="002A02E3"/>
    <w:rsid w:val="002A342E"/>
    <w:rsid w:val="002A3A85"/>
    <w:rsid w:val="002A3EB2"/>
    <w:rsid w:val="002A55B5"/>
    <w:rsid w:val="002A5724"/>
    <w:rsid w:val="002A5B2E"/>
    <w:rsid w:val="002A68CE"/>
    <w:rsid w:val="002A706A"/>
    <w:rsid w:val="002A70D9"/>
    <w:rsid w:val="002A7CE4"/>
    <w:rsid w:val="002A7EED"/>
    <w:rsid w:val="002B12E8"/>
    <w:rsid w:val="002B1F28"/>
    <w:rsid w:val="002B25F4"/>
    <w:rsid w:val="002B2CFC"/>
    <w:rsid w:val="002B437E"/>
    <w:rsid w:val="002B536E"/>
    <w:rsid w:val="002B567E"/>
    <w:rsid w:val="002C074F"/>
    <w:rsid w:val="002C23B8"/>
    <w:rsid w:val="002C25E5"/>
    <w:rsid w:val="002C2C34"/>
    <w:rsid w:val="002C3FF1"/>
    <w:rsid w:val="002C4540"/>
    <w:rsid w:val="002C4C48"/>
    <w:rsid w:val="002C769E"/>
    <w:rsid w:val="002D08DE"/>
    <w:rsid w:val="002D0C73"/>
    <w:rsid w:val="002D2A09"/>
    <w:rsid w:val="002D47FA"/>
    <w:rsid w:val="002D4EC0"/>
    <w:rsid w:val="002D5C14"/>
    <w:rsid w:val="002D5CE7"/>
    <w:rsid w:val="002D66E0"/>
    <w:rsid w:val="002D6799"/>
    <w:rsid w:val="002E0E6D"/>
    <w:rsid w:val="002E3C99"/>
    <w:rsid w:val="002E5835"/>
    <w:rsid w:val="002E5975"/>
    <w:rsid w:val="002E5B08"/>
    <w:rsid w:val="002E6ABD"/>
    <w:rsid w:val="002E75B1"/>
    <w:rsid w:val="002F03FC"/>
    <w:rsid w:val="002F3105"/>
    <w:rsid w:val="002F3490"/>
    <w:rsid w:val="002F3E88"/>
    <w:rsid w:val="002F4195"/>
    <w:rsid w:val="002F7F66"/>
    <w:rsid w:val="00302A05"/>
    <w:rsid w:val="00302FC4"/>
    <w:rsid w:val="0030423B"/>
    <w:rsid w:val="00305AB8"/>
    <w:rsid w:val="00306093"/>
    <w:rsid w:val="00307943"/>
    <w:rsid w:val="00310899"/>
    <w:rsid w:val="00312C7A"/>
    <w:rsid w:val="00313AA3"/>
    <w:rsid w:val="00314428"/>
    <w:rsid w:val="0031585B"/>
    <w:rsid w:val="003164EF"/>
    <w:rsid w:val="003169C7"/>
    <w:rsid w:val="00316AA0"/>
    <w:rsid w:val="00316DC4"/>
    <w:rsid w:val="0031707D"/>
    <w:rsid w:val="0032222B"/>
    <w:rsid w:val="003236C5"/>
    <w:rsid w:val="00323D2C"/>
    <w:rsid w:val="0032494A"/>
    <w:rsid w:val="00325B71"/>
    <w:rsid w:val="0032683E"/>
    <w:rsid w:val="003310CD"/>
    <w:rsid w:val="00331284"/>
    <w:rsid w:val="00332672"/>
    <w:rsid w:val="003343C6"/>
    <w:rsid w:val="00334BEE"/>
    <w:rsid w:val="00337247"/>
    <w:rsid w:val="00340105"/>
    <w:rsid w:val="00340E30"/>
    <w:rsid w:val="00340F7C"/>
    <w:rsid w:val="003443AE"/>
    <w:rsid w:val="00344FA3"/>
    <w:rsid w:val="00345289"/>
    <w:rsid w:val="00345593"/>
    <w:rsid w:val="00345DCE"/>
    <w:rsid w:val="0034603F"/>
    <w:rsid w:val="00346AC6"/>
    <w:rsid w:val="00350D22"/>
    <w:rsid w:val="00351964"/>
    <w:rsid w:val="003531BD"/>
    <w:rsid w:val="00354CB9"/>
    <w:rsid w:val="0035544D"/>
    <w:rsid w:val="0035588E"/>
    <w:rsid w:val="00356FBB"/>
    <w:rsid w:val="0036133F"/>
    <w:rsid w:val="0036302E"/>
    <w:rsid w:val="00364CF2"/>
    <w:rsid w:val="00366C8D"/>
    <w:rsid w:val="00367294"/>
    <w:rsid w:val="003716AF"/>
    <w:rsid w:val="00372CF0"/>
    <w:rsid w:val="003745D2"/>
    <w:rsid w:val="00374E7C"/>
    <w:rsid w:val="00376A13"/>
    <w:rsid w:val="00380CC1"/>
    <w:rsid w:val="00380D5F"/>
    <w:rsid w:val="003819AD"/>
    <w:rsid w:val="003819B6"/>
    <w:rsid w:val="0038217A"/>
    <w:rsid w:val="00382B1B"/>
    <w:rsid w:val="003835DA"/>
    <w:rsid w:val="0038398F"/>
    <w:rsid w:val="0038405B"/>
    <w:rsid w:val="00384BA3"/>
    <w:rsid w:val="00385097"/>
    <w:rsid w:val="003865FF"/>
    <w:rsid w:val="0038699D"/>
    <w:rsid w:val="0038797A"/>
    <w:rsid w:val="00387A1B"/>
    <w:rsid w:val="00387D78"/>
    <w:rsid w:val="00390294"/>
    <w:rsid w:val="00390ECE"/>
    <w:rsid w:val="003910E3"/>
    <w:rsid w:val="0039146C"/>
    <w:rsid w:val="00391498"/>
    <w:rsid w:val="003917EB"/>
    <w:rsid w:val="00391A6B"/>
    <w:rsid w:val="003926AF"/>
    <w:rsid w:val="00393058"/>
    <w:rsid w:val="00393F11"/>
    <w:rsid w:val="003953F1"/>
    <w:rsid w:val="00396229"/>
    <w:rsid w:val="003963A5"/>
    <w:rsid w:val="00396CC1"/>
    <w:rsid w:val="00396D9D"/>
    <w:rsid w:val="00397668"/>
    <w:rsid w:val="00397F81"/>
    <w:rsid w:val="003A0426"/>
    <w:rsid w:val="003A08FC"/>
    <w:rsid w:val="003A0BE5"/>
    <w:rsid w:val="003A1442"/>
    <w:rsid w:val="003A18FF"/>
    <w:rsid w:val="003A31EB"/>
    <w:rsid w:val="003A3A9A"/>
    <w:rsid w:val="003A4C16"/>
    <w:rsid w:val="003B3BA3"/>
    <w:rsid w:val="003B5812"/>
    <w:rsid w:val="003B78C5"/>
    <w:rsid w:val="003B7AF9"/>
    <w:rsid w:val="003B7C7E"/>
    <w:rsid w:val="003C02D6"/>
    <w:rsid w:val="003C3036"/>
    <w:rsid w:val="003C6E4F"/>
    <w:rsid w:val="003D1D11"/>
    <w:rsid w:val="003D2196"/>
    <w:rsid w:val="003D6B7A"/>
    <w:rsid w:val="003D755A"/>
    <w:rsid w:val="003D7B4C"/>
    <w:rsid w:val="003D7D3C"/>
    <w:rsid w:val="003E14A1"/>
    <w:rsid w:val="003E3285"/>
    <w:rsid w:val="003E376C"/>
    <w:rsid w:val="003E410B"/>
    <w:rsid w:val="003E453A"/>
    <w:rsid w:val="003E4CEF"/>
    <w:rsid w:val="003E5F1E"/>
    <w:rsid w:val="003E662D"/>
    <w:rsid w:val="003E6A36"/>
    <w:rsid w:val="003E6B28"/>
    <w:rsid w:val="003E6F8E"/>
    <w:rsid w:val="003E7C7F"/>
    <w:rsid w:val="003F4152"/>
    <w:rsid w:val="003F4657"/>
    <w:rsid w:val="00401199"/>
    <w:rsid w:val="004015CC"/>
    <w:rsid w:val="0040178F"/>
    <w:rsid w:val="00406205"/>
    <w:rsid w:val="004066E6"/>
    <w:rsid w:val="00406924"/>
    <w:rsid w:val="004119F2"/>
    <w:rsid w:val="004121C3"/>
    <w:rsid w:val="0041370C"/>
    <w:rsid w:val="00413B58"/>
    <w:rsid w:val="00413DF7"/>
    <w:rsid w:val="00414DCF"/>
    <w:rsid w:val="00415855"/>
    <w:rsid w:val="00416F5E"/>
    <w:rsid w:val="0041709A"/>
    <w:rsid w:val="00420103"/>
    <w:rsid w:val="004217D1"/>
    <w:rsid w:val="00421BA5"/>
    <w:rsid w:val="004226B4"/>
    <w:rsid w:val="00422CB0"/>
    <w:rsid w:val="00422DAD"/>
    <w:rsid w:val="004233CC"/>
    <w:rsid w:val="004242F3"/>
    <w:rsid w:val="00424C1E"/>
    <w:rsid w:val="00425529"/>
    <w:rsid w:val="004278E0"/>
    <w:rsid w:val="004311E8"/>
    <w:rsid w:val="00432BFB"/>
    <w:rsid w:val="004349CE"/>
    <w:rsid w:val="00434E5B"/>
    <w:rsid w:val="00434F02"/>
    <w:rsid w:val="00435656"/>
    <w:rsid w:val="00436573"/>
    <w:rsid w:val="004377A2"/>
    <w:rsid w:val="00440B23"/>
    <w:rsid w:val="00441FE4"/>
    <w:rsid w:val="004421F2"/>
    <w:rsid w:val="004422D2"/>
    <w:rsid w:val="0044257A"/>
    <w:rsid w:val="00444041"/>
    <w:rsid w:val="0044502D"/>
    <w:rsid w:val="0044641F"/>
    <w:rsid w:val="0044696E"/>
    <w:rsid w:val="00446FE1"/>
    <w:rsid w:val="00450331"/>
    <w:rsid w:val="004506EE"/>
    <w:rsid w:val="0045139E"/>
    <w:rsid w:val="00451404"/>
    <w:rsid w:val="00451653"/>
    <w:rsid w:val="004524BE"/>
    <w:rsid w:val="00452FA0"/>
    <w:rsid w:val="00453389"/>
    <w:rsid w:val="00453886"/>
    <w:rsid w:val="00454E33"/>
    <w:rsid w:val="00455338"/>
    <w:rsid w:val="00456D68"/>
    <w:rsid w:val="00456F42"/>
    <w:rsid w:val="00457B54"/>
    <w:rsid w:val="00457C96"/>
    <w:rsid w:val="00457F5A"/>
    <w:rsid w:val="00461351"/>
    <w:rsid w:val="00461581"/>
    <w:rsid w:val="00462129"/>
    <w:rsid w:val="004646FD"/>
    <w:rsid w:val="00464C3F"/>
    <w:rsid w:val="004666B5"/>
    <w:rsid w:val="00466852"/>
    <w:rsid w:val="004675E1"/>
    <w:rsid w:val="00467786"/>
    <w:rsid w:val="00467F55"/>
    <w:rsid w:val="00474F1E"/>
    <w:rsid w:val="00477216"/>
    <w:rsid w:val="004824FD"/>
    <w:rsid w:val="00482C2C"/>
    <w:rsid w:val="00485990"/>
    <w:rsid w:val="00485B6A"/>
    <w:rsid w:val="00486FE3"/>
    <w:rsid w:val="0048731F"/>
    <w:rsid w:val="00487396"/>
    <w:rsid w:val="0049000E"/>
    <w:rsid w:val="004900FE"/>
    <w:rsid w:val="00492D35"/>
    <w:rsid w:val="004941D1"/>
    <w:rsid w:val="00496207"/>
    <w:rsid w:val="00496727"/>
    <w:rsid w:val="00496B2D"/>
    <w:rsid w:val="00497A53"/>
    <w:rsid w:val="004A0E47"/>
    <w:rsid w:val="004A397F"/>
    <w:rsid w:val="004A46EC"/>
    <w:rsid w:val="004A505D"/>
    <w:rsid w:val="004A5564"/>
    <w:rsid w:val="004A55D5"/>
    <w:rsid w:val="004A5677"/>
    <w:rsid w:val="004A5C6E"/>
    <w:rsid w:val="004A5D7D"/>
    <w:rsid w:val="004A7723"/>
    <w:rsid w:val="004A785F"/>
    <w:rsid w:val="004B0627"/>
    <w:rsid w:val="004B0F97"/>
    <w:rsid w:val="004B341D"/>
    <w:rsid w:val="004B52EA"/>
    <w:rsid w:val="004B55E7"/>
    <w:rsid w:val="004B6483"/>
    <w:rsid w:val="004B66E0"/>
    <w:rsid w:val="004B674B"/>
    <w:rsid w:val="004B6F03"/>
    <w:rsid w:val="004C01A1"/>
    <w:rsid w:val="004C1709"/>
    <w:rsid w:val="004C3D87"/>
    <w:rsid w:val="004C533D"/>
    <w:rsid w:val="004C5539"/>
    <w:rsid w:val="004C5889"/>
    <w:rsid w:val="004C6A69"/>
    <w:rsid w:val="004D01E6"/>
    <w:rsid w:val="004D12D8"/>
    <w:rsid w:val="004D2548"/>
    <w:rsid w:val="004D3841"/>
    <w:rsid w:val="004D38FD"/>
    <w:rsid w:val="004D4701"/>
    <w:rsid w:val="004D5209"/>
    <w:rsid w:val="004D58CA"/>
    <w:rsid w:val="004D61CD"/>
    <w:rsid w:val="004D6C19"/>
    <w:rsid w:val="004D6EB1"/>
    <w:rsid w:val="004D7374"/>
    <w:rsid w:val="004E0011"/>
    <w:rsid w:val="004E081C"/>
    <w:rsid w:val="004E0C85"/>
    <w:rsid w:val="004E13D7"/>
    <w:rsid w:val="004E23B0"/>
    <w:rsid w:val="004E3F7B"/>
    <w:rsid w:val="004E66EF"/>
    <w:rsid w:val="004E67F1"/>
    <w:rsid w:val="004E7E29"/>
    <w:rsid w:val="004F072B"/>
    <w:rsid w:val="004F0BFD"/>
    <w:rsid w:val="004F3EB1"/>
    <w:rsid w:val="004F42BE"/>
    <w:rsid w:val="004F4F8B"/>
    <w:rsid w:val="004F6073"/>
    <w:rsid w:val="004F616A"/>
    <w:rsid w:val="004F6497"/>
    <w:rsid w:val="004F7952"/>
    <w:rsid w:val="005104CB"/>
    <w:rsid w:val="005104D4"/>
    <w:rsid w:val="005122B3"/>
    <w:rsid w:val="005125BC"/>
    <w:rsid w:val="00513590"/>
    <w:rsid w:val="00514C88"/>
    <w:rsid w:val="00516DA8"/>
    <w:rsid w:val="00517357"/>
    <w:rsid w:val="00521316"/>
    <w:rsid w:val="005220B4"/>
    <w:rsid w:val="005225ED"/>
    <w:rsid w:val="00523637"/>
    <w:rsid w:val="005251FC"/>
    <w:rsid w:val="00525B0E"/>
    <w:rsid w:val="00526111"/>
    <w:rsid w:val="00526AE2"/>
    <w:rsid w:val="00526F2F"/>
    <w:rsid w:val="005347ED"/>
    <w:rsid w:val="00535114"/>
    <w:rsid w:val="005359E5"/>
    <w:rsid w:val="00536350"/>
    <w:rsid w:val="00541B92"/>
    <w:rsid w:val="00543BEA"/>
    <w:rsid w:val="00546567"/>
    <w:rsid w:val="00546778"/>
    <w:rsid w:val="005474F0"/>
    <w:rsid w:val="00554391"/>
    <w:rsid w:val="00554705"/>
    <w:rsid w:val="00554FA1"/>
    <w:rsid w:val="005567CA"/>
    <w:rsid w:val="0055725C"/>
    <w:rsid w:val="00557BB3"/>
    <w:rsid w:val="00560CA6"/>
    <w:rsid w:val="0056108B"/>
    <w:rsid w:val="00561554"/>
    <w:rsid w:val="005620DD"/>
    <w:rsid w:val="00563F4C"/>
    <w:rsid w:val="005640D2"/>
    <w:rsid w:val="00565BEB"/>
    <w:rsid w:val="0056704E"/>
    <w:rsid w:val="0056718F"/>
    <w:rsid w:val="005671A7"/>
    <w:rsid w:val="00567303"/>
    <w:rsid w:val="00567C94"/>
    <w:rsid w:val="00567CF4"/>
    <w:rsid w:val="005718D4"/>
    <w:rsid w:val="005729F1"/>
    <w:rsid w:val="00572A22"/>
    <w:rsid w:val="00572EE9"/>
    <w:rsid w:val="00573204"/>
    <w:rsid w:val="00574B46"/>
    <w:rsid w:val="00576071"/>
    <w:rsid w:val="005761B0"/>
    <w:rsid w:val="00576B2A"/>
    <w:rsid w:val="005777E4"/>
    <w:rsid w:val="00577F66"/>
    <w:rsid w:val="005809A4"/>
    <w:rsid w:val="005824CB"/>
    <w:rsid w:val="00584D9C"/>
    <w:rsid w:val="00585716"/>
    <w:rsid w:val="0058670C"/>
    <w:rsid w:val="005873F5"/>
    <w:rsid w:val="00587815"/>
    <w:rsid w:val="00591166"/>
    <w:rsid w:val="0059290A"/>
    <w:rsid w:val="00592B96"/>
    <w:rsid w:val="00593BA9"/>
    <w:rsid w:val="0059502A"/>
    <w:rsid w:val="0059714C"/>
    <w:rsid w:val="005A10DF"/>
    <w:rsid w:val="005A18BB"/>
    <w:rsid w:val="005A26E7"/>
    <w:rsid w:val="005A3200"/>
    <w:rsid w:val="005A4082"/>
    <w:rsid w:val="005A6398"/>
    <w:rsid w:val="005A71DC"/>
    <w:rsid w:val="005A7A10"/>
    <w:rsid w:val="005B1682"/>
    <w:rsid w:val="005B1776"/>
    <w:rsid w:val="005B511D"/>
    <w:rsid w:val="005B5B72"/>
    <w:rsid w:val="005B5EFE"/>
    <w:rsid w:val="005B6667"/>
    <w:rsid w:val="005B6825"/>
    <w:rsid w:val="005B6F39"/>
    <w:rsid w:val="005C1177"/>
    <w:rsid w:val="005C1BA0"/>
    <w:rsid w:val="005C416F"/>
    <w:rsid w:val="005C45B3"/>
    <w:rsid w:val="005C4D6B"/>
    <w:rsid w:val="005C4EB0"/>
    <w:rsid w:val="005C54A5"/>
    <w:rsid w:val="005C69E6"/>
    <w:rsid w:val="005C6BFE"/>
    <w:rsid w:val="005D1966"/>
    <w:rsid w:val="005D1F31"/>
    <w:rsid w:val="005D5AF2"/>
    <w:rsid w:val="005D71ED"/>
    <w:rsid w:val="005D724D"/>
    <w:rsid w:val="005E016E"/>
    <w:rsid w:val="005E0CDC"/>
    <w:rsid w:val="005E15E3"/>
    <w:rsid w:val="005E3183"/>
    <w:rsid w:val="005E54CD"/>
    <w:rsid w:val="005E5854"/>
    <w:rsid w:val="005F0EF3"/>
    <w:rsid w:val="005F2D39"/>
    <w:rsid w:val="005F3A7A"/>
    <w:rsid w:val="005F51F9"/>
    <w:rsid w:val="005F5D09"/>
    <w:rsid w:val="005F6C60"/>
    <w:rsid w:val="005F72CA"/>
    <w:rsid w:val="005F7ACC"/>
    <w:rsid w:val="006004CE"/>
    <w:rsid w:val="00600B01"/>
    <w:rsid w:val="006047E8"/>
    <w:rsid w:val="0060495A"/>
    <w:rsid w:val="0060620D"/>
    <w:rsid w:val="00606305"/>
    <w:rsid w:val="0060690D"/>
    <w:rsid w:val="00612A66"/>
    <w:rsid w:val="0061323E"/>
    <w:rsid w:val="00613F5F"/>
    <w:rsid w:val="00616D2E"/>
    <w:rsid w:val="00621808"/>
    <w:rsid w:val="00623C61"/>
    <w:rsid w:val="00624233"/>
    <w:rsid w:val="00624880"/>
    <w:rsid w:val="00625370"/>
    <w:rsid w:val="00625446"/>
    <w:rsid w:val="00625D48"/>
    <w:rsid w:val="00627DF7"/>
    <w:rsid w:val="006302B6"/>
    <w:rsid w:val="00631317"/>
    <w:rsid w:val="0063177C"/>
    <w:rsid w:val="00631AE6"/>
    <w:rsid w:val="006325C0"/>
    <w:rsid w:val="006326A9"/>
    <w:rsid w:val="0063299C"/>
    <w:rsid w:val="00635151"/>
    <w:rsid w:val="006351EF"/>
    <w:rsid w:val="0063605E"/>
    <w:rsid w:val="0063781A"/>
    <w:rsid w:val="00637ADB"/>
    <w:rsid w:val="00641CE8"/>
    <w:rsid w:val="00643A72"/>
    <w:rsid w:val="00643CA2"/>
    <w:rsid w:val="006441EF"/>
    <w:rsid w:val="00644D11"/>
    <w:rsid w:val="00646973"/>
    <w:rsid w:val="006507B1"/>
    <w:rsid w:val="006508CB"/>
    <w:rsid w:val="00650D71"/>
    <w:rsid w:val="0065247E"/>
    <w:rsid w:val="00654A98"/>
    <w:rsid w:val="006555BB"/>
    <w:rsid w:val="006561EB"/>
    <w:rsid w:val="006564E3"/>
    <w:rsid w:val="00657C20"/>
    <w:rsid w:val="00660228"/>
    <w:rsid w:val="00660BD1"/>
    <w:rsid w:val="006617C3"/>
    <w:rsid w:val="00662F47"/>
    <w:rsid w:val="00662FDA"/>
    <w:rsid w:val="00663149"/>
    <w:rsid w:val="0066476D"/>
    <w:rsid w:val="00664D8C"/>
    <w:rsid w:val="00664EC0"/>
    <w:rsid w:val="006653AF"/>
    <w:rsid w:val="006659F7"/>
    <w:rsid w:val="0066739B"/>
    <w:rsid w:val="00671CF7"/>
    <w:rsid w:val="006723DC"/>
    <w:rsid w:val="00672D6D"/>
    <w:rsid w:val="00672F40"/>
    <w:rsid w:val="00673925"/>
    <w:rsid w:val="00673C05"/>
    <w:rsid w:val="00674AE2"/>
    <w:rsid w:val="00674B78"/>
    <w:rsid w:val="00675C2F"/>
    <w:rsid w:val="00682065"/>
    <w:rsid w:val="006834F5"/>
    <w:rsid w:val="00684A1F"/>
    <w:rsid w:val="00685ADF"/>
    <w:rsid w:val="00686CE1"/>
    <w:rsid w:val="006907B1"/>
    <w:rsid w:val="00691664"/>
    <w:rsid w:val="00691B04"/>
    <w:rsid w:val="00691C6D"/>
    <w:rsid w:val="00691E35"/>
    <w:rsid w:val="00692442"/>
    <w:rsid w:val="00694227"/>
    <w:rsid w:val="006965D0"/>
    <w:rsid w:val="006978FE"/>
    <w:rsid w:val="006A0E85"/>
    <w:rsid w:val="006A14E1"/>
    <w:rsid w:val="006A42B1"/>
    <w:rsid w:val="006A432E"/>
    <w:rsid w:val="006A67DD"/>
    <w:rsid w:val="006A77BB"/>
    <w:rsid w:val="006A7AC7"/>
    <w:rsid w:val="006B022C"/>
    <w:rsid w:val="006B0B6C"/>
    <w:rsid w:val="006B1635"/>
    <w:rsid w:val="006B2463"/>
    <w:rsid w:val="006B2B97"/>
    <w:rsid w:val="006B5739"/>
    <w:rsid w:val="006B5E92"/>
    <w:rsid w:val="006B7174"/>
    <w:rsid w:val="006B7A16"/>
    <w:rsid w:val="006C2788"/>
    <w:rsid w:val="006C278E"/>
    <w:rsid w:val="006C2979"/>
    <w:rsid w:val="006C3AA9"/>
    <w:rsid w:val="006C3B08"/>
    <w:rsid w:val="006C44A8"/>
    <w:rsid w:val="006C542A"/>
    <w:rsid w:val="006C5EC0"/>
    <w:rsid w:val="006C6335"/>
    <w:rsid w:val="006C7509"/>
    <w:rsid w:val="006D370F"/>
    <w:rsid w:val="006D386E"/>
    <w:rsid w:val="006D4579"/>
    <w:rsid w:val="006D45B6"/>
    <w:rsid w:val="006D4D78"/>
    <w:rsid w:val="006D5075"/>
    <w:rsid w:val="006D535A"/>
    <w:rsid w:val="006D64FA"/>
    <w:rsid w:val="006E087A"/>
    <w:rsid w:val="006E0A02"/>
    <w:rsid w:val="006E0B90"/>
    <w:rsid w:val="006E1828"/>
    <w:rsid w:val="006E1DEB"/>
    <w:rsid w:val="006E5589"/>
    <w:rsid w:val="006F1933"/>
    <w:rsid w:val="006F1A34"/>
    <w:rsid w:val="006F38DD"/>
    <w:rsid w:val="006F63D5"/>
    <w:rsid w:val="006F7B0B"/>
    <w:rsid w:val="0070079F"/>
    <w:rsid w:val="00702C3B"/>
    <w:rsid w:val="00703B62"/>
    <w:rsid w:val="0070443D"/>
    <w:rsid w:val="0070638B"/>
    <w:rsid w:val="007068EE"/>
    <w:rsid w:val="00706EC7"/>
    <w:rsid w:val="00707F4A"/>
    <w:rsid w:val="00710CA6"/>
    <w:rsid w:val="00712867"/>
    <w:rsid w:val="00714492"/>
    <w:rsid w:val="00714567"/>
    <w:rsid w:val="00715BCB"/>
    <w:rsid w:val="007175D1"/>
    <w:rsid w:val="007202C4"/>
    <w:rsid w:val="0072112D"/>
    <w:rsid w:val="00721219"/>
    <w:rsid w:val="00721946"/>
    <w:rsid w:val="00722DBB"/>
    <w:rsid w:val="00725CED"/>
    <w:rsid w:val="007260CE"/>
    <w:rsid w:val="00726562"/>
    <w:rsid w:val="00727C17"/>
    <w:rsid w:val="0073031E"/>
    <w:rsid w:val="007303DE"/>
    <w:rsid w:val="00731436"/>
    <w:rsid w:val="007328A5"/>
    <w:rsid w:val="00734E51"/>
    <w:rsid w:val="00735081"/>
    <w:rsid w:val="00736114"/>
    <w:rsid w:val="00736BA5"/>
    <w:rsid w:val="00737580"/>
    <w:rsid w:val="00737E71"/>
    <w:rsid w:val="00740BDF"/>
    <w:rsid w:val="00741754"/>
    <w:rsid w:val="00741C80"/>
    <w:rsid w:val="00742FA9"/>
    <w:rsid w:val="007446B6"/>
    <w:rsid w:val="0074595B"/>
    <w:rsid w:val="007464AA"/>
    <w:rsid w:val="007469FF"/>
    <w:rsid w:val="00746E62"/>
    <w:rsid w:val="00747E73"/>
    <w:rsid w:val="00747E8A"/>
    <w:rsid w:val="007522B3"/>
    <w:rsid w:val="00753079"/>
    <w:rsid w:val="00753289"/>
    <w:rsid w:val="007546BA"/>
    <w:rsid w:val="007547EF"/>
    <w:rsid w:val="00754956"/>
    <w:rsid w:val="007553D1"/>
    <w:rsid w:val="00755A7E"/>
    <w:rsid w:val="00760571"/>
    <w:rsid w:val="007611FB"/>
    <w:rsid w:val="00762DF3"/>
    <w:rsid w:val="00763753"/>
    <w:rsid w:val="00764726"/>
    <w:rsid w:val="00766E4A"/>
    <w:rsid w:val="00771E0A"/>
    <w:rsid w:val="00772B39"/>
    <w:rsid w:val="0077519C"/>
    <w:rsid w:val="00775D39"/>
    <w:rsid w:val="00776B42"/>
    <w:rsid w:val="007808EF"/>
    <w:rsid w:val="007820E5"/>
    <w:rsid w:val="00782FA4"/>
    <w:rsid w:val="00783ECA"/>
    <w:rsid w:val="00783FB8"/>
    <w:rsid w:val="00784E58"/>
    <w:rsid w:val="00785B58"/>
    <w:rsid w:val="00786BD1"/>
    <w:rsid w:val="00787C24"/>
    <w:rsid w:val="0079288E"/>
    <w:rsid w:val="007931A8"/>
    <w:rsid w:val="00794515"/>
    <w:rsid w:val="00794F11"/>
    <w:rsid w:val="0079643E"/>
    <w:rsid w:val="0079680B"/>
    <w:rsid w:val="007A0A47"/>
    <w:rsid w:val="007A184C"/>
    <w:rsid w:val="007A37B1"/>
    <w:rsid w:val="007A42D9"/>
    <w:rsid w:val="007A5E9A"/>
    <w:rsid w:val="007A7F87"/>
    <w:rsid w:val="007B0410"/>
    <w:rsid w:val="007B280E"/>
    <w:rsid w:val="007B332F"/>
    <w:rsid w:val="007B53B3"/>
    <w:rsid w:val="007B5FC6"/>
    <w:rsid w:val="007B6401"/>
    <w:rsid w:val="007B6C76"/>
    <w:rsid w:val="007C0100"/>
    <w:rsid w:val="007C03B9"/>
    <w:rsid w:val="007C1A0F"/>
    <w:rsid w:val="007C2138"/>
    <w:rsid w:val="007C5372"/>
    <w:rsid w:val="007C65FC"/>
    <w:rsid w:val="007C6F0D"/>
    <w:rsid w:val="007C7E25"/>
    <w:rsid w:val="007D09ED"/>
    <w:rsid w:val="007D1112"/>
    <w:rsid w:val="007D1D82"/>
    <w:rsid w:val="007D26BA"/>
    <w:rsid w:val="007D3737"/>
    <w:rsid w:val="007D3CB1"/>
    <w:rsid w:val="007D776E"/>
    <w:rsid w:val="007D7B64"/>
    <w:rsid w:val="007E1124"/>
    <w:rsid w:val="007E1B8A"/>
    <w:rsid w:val="007E27D3"/>
    <w:rsid w:val="007E4A5D"/>
    <w:rsid w:val="007E5B4E"/>
    <w:rsid w:val="007F04C1"/>
    <w:rsid w:val="007F0859"/>
    <w:rsid w:val="007F09A3"/>
    <w:rsid w:val="007F1BC1"/>
    <w:rsid w:val="007F1D89"/>
    <w:rsid w:val="007F266F"/>
    <w:rsid w:val="007F4EE0"/>
    <w:rsid w:val="007F6FAE"/>
    <w:rsid w:val="007F7108"/>
    <w:rsid w:val="008000D7"/>
    <w:rsid w:val="00802ED7"/>
    <w:rsid w:val="008032C6"/>
    <w:rsid w:val="008039E3"/>
    <w:rsid w:val="00804E39"/>
    <w:rsid w:val="0080578E"/>
    <w:rsid w:val="008057DB"/>
    <w:rsid w:val="00805AFE"/>
    <w:rsid w:val="0080760E"/>
    <w:rsid w:val="008079B6"/>
    <w:rsid w:val="00811405"/>
    <w:rsid w:val="00814488"/>
    <w:rsid w:val="00814823"/>
    <w:rsid w:val="008149C2"/>
    <w:rsid w:val="00816626"/>
    <w:rsid w:val="008177D4"/>
    <w:rsid w:val="00817BC8"/>
    <w:rsid w:val="00817D57"/>
    <w:rsid w:val="00820594"/>
    <w:rsid w:val="00820F59"/>
    <w:rsid w:val="00822CE8"/>
    <w:rsid w:val="00823AD4"/>
    <w:rsid w:val="00823E7A"/>
    <w:rsid w:val="008249DC"/>
    <w:rsid w:val="00826146"/>
    <w:rsid w:val="008269E1"/>
    <w:rsid w:val="0083011C"/>
    <w:rsid w:val="0083190F"/>
    <w:rsid w:val="008341CE"/>
    <w:rsid w:val="0083454F"/>
    <w:rsid w:val="00836521"/>
    <w:rsid w:val="0083689C"/>
    <w:rsid w:val="008376A9"/>
    <w:rsid w:val="00841CA6"/>
    <w:rsid w:val="0084215F"/>
    <w:rsid w:val="008430C1"/>
    <w:rsid w:val="008430D6"/>
    <w:rsid w:val="00843286"/>
    <w:rsid w:val="00844D4C"/>
    <w:rsid w:val="00845CCC"/>
    <w:rsid w:val="00845E43"/>
    <w:rsid w:val="00846325"/>
    <w:rsid w:val="00846DA3"/>
    <w:rsid w:val="00850B6E"/>
    <w:rsid w:val="00853DBF"/>
    <w:rsid w:val="008558E6"/>
    <w:rsid w:val="00855984"/>
    <w:rsid w:val="00855A21"/>
    <w:rsid w:val="00855D48"/>
    <w:rsid w:val="00857D38"/>
    <w:rsid w:val="008606AB"/>
    <w:rsid w:val="0086192B"/>
    <w:rsid w:val="00863519"/>
    <w:rsid w:val="00863A00"/>
    <w:rsid w:val="008663C1"/>
    <w:rsid w:val="00867368"/>
    <w:rsid w:val="0086766A"/>
    <w:rsid w:val="00873D20"/>
    <w:rsid w:val="00874E26"/>
    <w:rsid w:val="00875774"/>
    <w:rsid w:val="00875CA1"/>
    <w:rsid w:val="0087761C"/>
    <w:rsid w:val="008806F3"/>
    <w:rsid w:val="00880CDD"/>
    <w:rsid w:val="00881435"/>
    <w:rsid w:val="00882739"/>
    <w:rsid w:val="00882B64"/>
    <w:rsid w:val="0088497F"/>
    <w:rsid w:val="008857B9"/>
    <w:rsid w:val="00885859"/>
    <w:rsid w:val="008903CD"/>
    <w:rsid w:val="008914EA"/>
    <w:rsid w:val="00891CB1"/>
    <w:rsid w:val="00893161"/>
    <w:rsid w:val="00893658"/>
    <w:rsid w:val="00895DB6"/>
    <w:rsid w:val="00896A23"/>
    <w:rsid w:val="00896A8E"/>
    <w:rsid w:val="00896AE0"/>
    <w:rsid w:val="008971EF"/>
    <w:rsid w:val="008973C6"/>
    <w:rsid w:val="00897462"/>
    <w:rsid w:val="00897ED0"/>
    <w:rsid w:val="008A0A0B"/>
    <w:rsid w:val="008A1C3A"/>
    <w:rsid w:val="008A2A4E"/>
    <w:rsid w:val="008A46E0"/>
    <w:rsid w:val="008A689B"/>
    <w:rsid w:val="008B3649"/>
    <w:rsid w:val="008B39AB"/>
    <w:rsid w:val="008B6EC5"/>
    <w:rsid w:val="008B70C6"/>
    <w:rsid w:val="008B794A"/>
    <w:rsid w:val="008C055F"/>
    <w:rsid w:val="008C0DF6"/>
    <w:rsid w:val="008C151D"/>
    <w:rsid w:val="008C253E"/>
    <w:rsid w:val="008C2559"/>
    <w:rsid w:val="008C4510"/>
    <w:rsid w:val="008C5CD7"/>
    <w:rsid w:val="008C6051"/>
    <w:rsid w:val="008C642C"/>
    <w:rsid w:val="008C6C71"/>
    <w:rsid w:val="008C73A6"/>
    <w:rsid w:val="008D06C1"/>
    <w:rsid w:val="008D0BDE"/>
    <w:rsid w:val="008D282D"/>
    <w:rsid w:val="008D315F"/>
    <w:rsid w:val="008D32F7"/>
    <w:rsid w:val="008D78CD"/>
    <w:rsid w:val="008E1943"/>
    <w:rsid w:val="008E1AE4"/>
    <w:rsid w:val="008E268D"/>
    <w:rsid w:val="008E356B"/>
    <w:rsid w:val="008E3EB0"/>
    <w:rsid w:val="008E4E3F"/>
    <w:rsid w:val="008E503E"/>
    <w:rsid w:val="008F04C8"/>
    <w:rsid w:val="008F08F5"/>
    <w:rsid w:val="008F1D53"/>
    <w:rsid w:val="008F291C"/>
    <w:rsid w:val="008F4A91"/>
    <w:rsid w:val="008F4BAA"/>
    <w:rsid w:val="008F5911"/>
    <w:rsid w:val="008F5F13"/>
    <w:rsid w:val="008F60E3"/>
    <w:rsid w:val="008F6AB9"/>
    <w:rsid w:val="008F7A2A"/>
    <w:rsid w:val="008F7E4E"/>
    <w:rsid w:val="00901928"/>
    <w:rsid w:val="009065D4"/>
    <w:rsid w:val="0091026C"/>
    <w:rsid w:val="00911524"/>
    <w:rsid w:val="009133D0"/>
    <w:rsid w:val="00913FF1"/>
    <w:rsid w:val="0091411A"/>
    <w:rsid w:val="009144CB"/>
    <w:rsid w:val="009159F8"/>
    <w:rsid w:val="00921E8E"/>
    <w:rsid w:val="00923076"/>
    <w:rsid w:val="00924B9B"/>
    <w:rsid w:val="00930584"/>
    <w:rsid w:val="0093179F"/>
    <w:rsid w:val="00934FCF"/>
    <w:rsid w:val="00936DB5"/>
    <w:rsid w:val="00940773"/>
    <w:rsid w:val="00941985"/>
    <w:rsid w:val="00945B1A"/>
    <w:rsid w:val="00945D9F"/>
    <w:rsid w:val="00947B8A"/>
    <w:rsid w:val="00947C52"/>
    <w:rsid w:val="00951770"/>
    <w:rsid w:val="009547AE"/>
    <w:rsid w:val="0095617C"/>
    <w:rsid w:val="00960840"/>
    <w:rsid w:val="00960ACA"/>
    <w:rsid w:val="00963B49"/>
    <w:rsid w:val="00963B7B"/>
    <w:rsid w:val="00965DF2"/>
    <w:rsid w:val="00965E16"/>
    <w:rsid w:val="00966543"/>
    <w:rsid w:val="0096663B"/>
    <w:rsid w:val="009675F4"/>
    <w:rsid w:val="00967768"/>
    <w:rsid w:val="00967D3B"/>
    <w:rsid w:val="0097104F"/>
    <w:rsid w:val="00972518"/>
    <w:rsid w:val="00972C6E"/>
    <w:rsid w:val="00972DEF"/>
    <w:rsid w:val="00973750"/>
    <w:rsid w:val="00973BAF"/>
    <w:rsid w:val="00974156"/>
    <w:rsid w:val="00974292"/>
    <w:rsid w:val="0097551D"/>
    <w:rsid w:val="00981669"/>
    <w:rsid w:val="00981DE9"/>
    <w:rsid w:val="00982627"/>
    <w:rsid w:val="00983434"/>
    <w:rsid w:val="00983A6F"/>
    <w:rsid w:val="00984032"/>
    <w:rsid w:val="00986258"/>
    <w:rsid w:val="00986B69"/>
    <w:rsid w:val="00990AE5"/>
    <w:rsid w:val="009910C5"/>
    <w:rsid w:val="00995905"/>
    <w:rsid w:val="009A2695"/>
    <w:rsid w:val="009A3E5A"/>
    <w:rsid w:val="009A44B5"/>
    <w:rsid w:val="009A69B8"/>
    <w:rsid w:val="009A7F6D"/>
    <w:rsid w:val="009B0D96"/>
    <w:rsid w:val="009B17F5"/>
    <w:rsid w:val="009B20BD"/>
    <w:rsid w:val="009B26E0"/>
    <w:rsid w:val="009B2E45"/>
    <w:rsid w:val="009B36E2"/>
    <w:rsid w:val="009B3939"/>
    <w:rsid w:val="009B5BE4"/>
    <w:rsid w:val="009B61D1"/>
    <w:rsid w:val="009B6B5B"/>
    <w:rsid w:val="009C0117"/>
    <w:rsid w:val="009C0E86"/>
    <w:rsid w:val="009C13EE"/>
    <w:rsid w:val="009C18AA"/>
    <w:rsid w:val="009C1B7C"/>
    <w:rsid w:val="009C1F4E"/>
    <w:rsid w:val="009C22CC"/>
    <w:rsid w:val="009C3747"/>
    <w:rsid w:val="009C4727"/>
    <w:rsid w:val="009C63FB"/>
    <w:rsid w:val="009D0058"/>
    <w:rsid w:val="009D005A"/>
    <w:rsid w:val="009D0CD4"/>
    <w:rsid w:val="009D0D8F"/>
    <w:rsid w:val="009D1196"/>
    <w:rsid w:val="009D120B"/>
    <w:rsid w:val="009D3858"/>
    <w:rsid w:val="009D54C8"/>
    <w:rsid w:val="009D62C7"/>
    <w:rsid w:val="009D6E2E"/>
    <w:rsid w:val="009E0338"/>
    <w:rsid w:val="009E048A"/>
    <w:rsid w:val="009E17FA"/>
    <w:rsid w:val="009E23BB"/>
    <w:rsid w:val="009E25DE"/>
    <w:rsid w:val="009E2A0B"/>
    <w:rsid w:val="009E2C62"/>
    <w:rsid w:val="009E3E7A"/>
    <w:rsid w:val="009E3F25"/>
    <w:rsid w:val="009E40A8"/>
    <w:rsid w:val="009E7300"/>
    <w:rsid w:val="009F030F"/>
    <w:rsid w:val="009F1144"/>
    <w:rsid w:val="009F19B0"/>
    <w:rsid w:val="009F40E8"/>
    <w:rsid w:val="009F41BF"/>
    <w:rsid w:val="009F4623"/>
    <w:rsid w:val="009F4625"/>
    <w:rsid w:val="009F658B"/>
    <w:rsid w:val="009F70DC"/>
    <w:rsid w:val="009F7EB6"/>
    <w:rsid w:val="00A00DB3"/>
    <w:rsid w:val="00A02E79"/>
    <w:rsid w:val="00A0300E"/>
    <w:rsid w:val="00A0316D"/>
    <w:rsid w:val="00A03EA4"/>
    <w:rsid w:val="00A05176"/>
    <w:rsid w:val="00A057DF"/>
    <w:rsid w:val="00A0640A"/>
    <w:rsid w:val="00A07C68"/>
    <w:rsid w:val="00A11E70"/>
    <w:rsid w:val="00A1249E"/>
    <w:rsid w:val="00A13D25"/>
    <w:rsid w:val="00A14648"/>
    <w:rsid w:val="00A150EE"/>
    <w:rsid w:val="00A15533"/>
    <w:rsid w:val="00A17714"/>
    <w:rsid w:val="00A17805"/>
    <w:rsid w:val="00A202EF"/>
    <w:rsid w:val="00A20443"/>
    <w:rsid w:val="00A23178"/>
    <w:rsid w:val="00A240E1"/>
    <w:rsid w:val="00A25122"/>
    <w:rsid w:val="00A25C6D"/>
    <w:rsid w:val="00A276BE"/>
    <w:rsid w:val="00A31473"/>
    <w:rsid w:val="00A318C4"/>
    <w:rsid w:val="00A32496"/>
    <w:rsid w:val="00A33C8D"/>
    <w:rsid w:val="00A343C0"/>
    <w:rsid w:val="00A349B6"/>
    <w:rsid w:val="00A351FA"/>
    <w:rsid w:val="00A356CD"/>
    <w:rsid w:val="00A35AFB"/>
    <w:rsid w:val="00A36CB0"/>
    <w:rsid w:val="00A372C4"/>
    <w:rsid w:val="00A4015A"/>
    <w:rsid w:val="00A40823"/>
    <w:rsid w:val="00A40882"/>
    <w:rsid w:val="00A4092E"/>
    <w:rsid w:val="00A41403"/>
    <w:rsid w:val="00A4169F"/>
    <w:rsid w:val="00A41FF7"/>
    <w:rsid w:val="00A44577"/>
    <w:rsid w:val="00A44F4A"/>
    <w:rsid w:val="00A47333"/>
    <w:rsid w:val="00A52AE9"/>
    <w:rsid w:val="00A53860"/>
    <w:rsid w:val="00A553D4"/>
    <w:rsid w:val="00A572A1"/>
    <w:rsid w:val="00A57777"/>
    <w:rsid w:val="00A616B7"/>
    <w:rsid w:val="00A6182B"/>
    <w:rsid w:val="00A623AA"/>
    <w:rsid w:val="00A6385E"/>
    <w:rsid w:val="00A63BC3"/>
    <w:rsid w:val="00A64090"/>
    <w:rsid w:val="00A64210"/>
    <w:rsid w:val="00A65F97"/>
    <w:rsid w:val="00A672E2"/>
    <w:rsid w:val="00A7047E"/>
    <w:rsid w:val="00A71C8C"/>
    <w:rsid w:val="00A72386"/>
    <w:rsid w:val="00A72D2B"/>
    <w:rsid w:val="00A7556B"/>
    <w:rsid w:val="00A80789"/>
    <w:rsid w:val="00A817ED"/>
    <w:rsid w:val="00A82C54"/>
    <w:rsid w:val="00A833E4"/>
    <w:rsid w:val="00A83A62"/>
    <w:rsid w:val="00A83F5E"/>
    <w:rsid w:val="00A8525F"/>
    <w:rsid w:val="00A8562B"/>
    <w:rsid w:val="00A85CC3"/>
    <w:rsid w:val="00A9129C"/>
    <w:rsid w:val="00A9327A"/>
    <w:rsid w:val="00A94D83"/>
    <w:rsid w:val="00A95F5D"/>
    <w:rsid w:val="00A95F6D"/>
    <w:rsid w:val="00A96A04"/>
    <w:rsid w:val="00A96AF5"/>
    <w:rsid w:val="00AA0086"/>
    <w:rsid w:val="00AA1EA2"/>
    <w:rsid w:val="00AA20D9"/>
    <w:rsid w:val="00AA26F7"/>
    <w:rsid w:val="00AA49EC"/>
    <w:rsid w:val="00AA5985"/>
    <w:rsid w:val="00AA5BB6"/>
    <w:rsid w:val="00AA5BE6"/>
    <w:rsid w:val="00AA6C56"/>
    <w:rsid w:val="00AA6F80"/>
    <w:rsid w:val="00AA7812"/>
    <w:rsid w:val="00AA7F63"/>
    <w:rsid w:val="00AB04F7"/>
    <w:rsid w:val="00AB07BD"/>
    <w:rsid w:val="00AB09D4"/>
    <w:rsid w:val="00AB0C09"/>
    <w:rsid w:val="00AB1FD2"/>
    <w:rsid w:val="00AB2296"/>
    <w:rsid w:val="00AB53F3"/>
    <w:rsid w:val="00AB6428"/>
    <w:rsid w:val="00AC054C"/>
    <w:rsid w:val="00AC0A38"/>
    <w:rsid w:val="00AC1A1B"/>
    <w:rsid w:val="00AC1AE7"/>
    <w:rsid w:val="00AC2B2A"/>
    <w:rsid w:val="00AC304B"/>
    <w:rsid w:val="00AC32F4"/>
    <w:rsid w:val="00AC3460"/>
    <w:rsid w:val="00AC36CC"/>
    <w:rsid w:val="00AC5DFA"/>
    <w:rsid w:val="00AC6132"/>
    <w:rsid w:val="00AC6AB9"/>
    <w:rsid w:val="00AC7F3C"/>
    <w:rsid w:val="00AD0060"/>
    <w:rsid w:val="00AD155C"/>
    <w:rsid w:val="00AD4C4D"/>
    <w:rsid w:val="00AD4CEE"/>
    <w:rsid w:val="00AD5505"/>
    <w:rsid w:val="00AD60E5"/>
    <w:rsid w:val="00AD61B4"/>
    <w:rsid w:val="00AD66E6"/>
    <w:rsid w:val="00AD7A1A"/>
    <w:rsid w:val="00AE0BA4"/>
    <w:rsid w:val="00AE109E"/>
    <w:rsid w:val="00AE2E2B"/>
    <w:rsid w:val="00AE4925"/>
    <w:rsid w:val="00AE4990"/>
    <w:rsid w:val="00AE56E4"/>
    <w:rsid w:val="00AE6C16"/>
    <w:rsid w:val="00AF01C8"/>
    <w:rsid w:val="00AF0C46"/>
    <w:rsid w:val="00AF138B"/>
    <w:rsid w:val="00AF13C1"/>
    <w:rsid w:val="00AF16AA"/>
    <w:rsid w:val="00AF173F"/>
    <w:rsid w:val="00AF3BE1"/>
    <w:rsid w:val="00AF5C6E"/>
    <w:rsid w:val="00AF647F"/>
    <w:rsid w:val="00AF77C0"/>
    <w:rsid w:val="00B0045F"/>
    <w:rsid w:val="00B01384"/>
    <w:rsid w:val="00B01C4E"/>
    <w:rsid w:val="00B03777"/>
    <w:rsid w:val="00B04886"/>
    <w:rsid w:val="00B07BAE"/>
    <w:rsid w:val="00B13E13"/>
    <w:rsid w:val="00B14188"/>
    <w:rsid w:val="00B169BA"/>
    <w:rsid w:val="00B204C3"/>
    <w:rsid w:val="00B21BDE"/>
    <w:rsid w:val="00B235F7"/>
    <w:rsid w:val="00B256D2"/>
    <w:rsid w:val="00B27B77"/>
    <w:rsid w:val="00B27B9F"/>
    <w:rsid w:val="00B30605"/>
    <w:rsid w:val="00B317A9"/>
    <w:rsid w:val="00B3193A"/>
    <w:rsid w:val="00B31DF1"/>
    <w:rsid w:val="00B31EF5"/>
    <w:rsid w:val="00B33466"/>
    <w:rsid w:val="00B33B61"/>
    <w:rsid w:val="00B366DC"/>
    <w:rsid w:val="00B41251"/>
    <w:rsid w:val="00B43FD4"/>
    <w:rsid w:val="00B46CFA"/>
    <w:rsid w:val="00B46E0C"/>
    <w:rsid w:val="00B5216A"/>
    <w:rsid w:val="00B521A7"/>
    <w:rsid w:val="00B522B5"/>
    <w:rsid w:val="00B529B3"/>
    <w:rsid w:val="00B5352B"/>
    <w:rsid w:val="00B544D3"/>
    <w:rsid w:val="00B5481D"/>
    <w:rsid w:val="00B613D1"/>
    <w:rsid w:val="00B62B89"/>
    <w:rsid w:val="00B6409E"/>
    <w:rsid w:val="00B7039B"/>
    <w:rsid w:val="00B708EF"/>
    <w:rsid w:val="00B71BB9"/>
    <w:rsid w:val="00B71F2A"/>
    <w:rsid w:val="00B729E3"/>
    <w:rsid w:val="00B73085"/>
    <w:rsid w:val="00B7462F"/>
    <w:rsid w:val="00B74769"/>
    <w:rsid w:val="00B747F0"/>
    <w:rsid w:val="00B75034"/>
    <w:rsid w:val="00B76ABE"/>
    <w:rsid w:val="00B77DB3"/>
    <w:rsid w:val="00B80B40"/>
    <w:rsid w:val="00B81F8C"/>
    <w:rsid w:val="00B828C8"/>
    <w:rsid w:val="00B8436A"/>
    <w:rsid w:val="00B847B4"/>
    <w:rsid w:val="00B85F50"/>
    <w:rsid w:val="00B86E39"/>
    <w:rsid w:val="00B90627"/>
    <w:rsid w:val="00B907BE"/>
    <w:rsid w:val="00B910F6"/>
    <w:rsid w:val="00B91657"/>
    <w:rsid w:val="00B92603"/>
    <w:rsid w:val="00B935F1"/>
    <w:rsid w:val="00B938C4"/>
    <w:rsid w:val="00B952B6"/>
    <w:rsid w:val="00B96AD8"/>
    <w:rsid w:val="00B96C54"/>
    <w:rsid w:val="00BA0746"/>
    <w:rsid w:val="00BA2375"/>
    <w:rsid w:val="00BA33FB"/>
    <w:rsid w:val="00BA3A7A"/>
    <w:rsid w:val="00BA54BD"/>
    <w:rsid w:val="00BA58FE"/>
    <w:rsid w:val="00BA6D26"/>
    <w:rsid w:val="00BA73DC"/>
    <w:rsid w:val="00BA77D9"/>
    <w:rsid w:val="00BB07A7"/>
    <w:rsid w:val="00BB4006"/>
    <w:rsid w:val="00BB554A"/>
    <w:rsid w:val="00BB5DA2"/>
    <w:rsid w:val="00BB7090"/>
    <w:rsid w:val="00BB7A91"/>
    <w:rsid w:val="00BC046D"/>
    <w:rsid w:val="00BC101B"/>
    <w:rsid w:val="00BC1D02"/>
    <w:rsid w:val="00BC4C03"/>
    <w:rsid w:val="00BC4C3B"/>
    <w:rsid w:val="00BC58C8"/>
    <w:rsid w:val="00BC591B"/>
    <w:rsid w:val="00BC63D8"/>
    <w:rsid w:val="00BC6798"/>
    <w:rsid w:val="00BC6D40"/>
    <w:rsid w:val="00BC7458"/>
    <w:rsid w:val="00BC7DB3"/>
    <w:rsid w:val="00BD149F"/>
    <w:rsid w:val="00BD1F65"/>
    <w:rsid w:val="00BD3CBA"/>
    <w:rsid w:val="00BD3F37"/>
    <w:rsid w:val="00BD4732"/>
    <w:rsid w:val="00BD54C7"/>
    <w:rsid w:val="00BD666E"/>
    <w:rsid w:val="00BE016D"/>
    <w:rsid w:val="00BE0929"/>
    <w:rsid w:val="00BE1D3F"/>
    <w:rsid w:val="00BE264B"/>
    <w:rsid w:val="00BE28C8"/>
    <w:rsid w:val="00BE376F"/>
    <w:rsid w:val="00BE3886"/>
    <w:rsid w:val="00BE3F8F"/>
    <w:rsid w:val="00BE68D0"/>
    <w:rsid w:val="00BE6A59"/>
    <w:rsid w:val="00BE6D58"/>
    <w:rsid w:val="00BF00F5"/>
    <w:rsid w:val="00BF144B"/>
    <w:rsid w:val="00BF193E"/>
    <w:rsid w:val="00BF2FA2"/>
    <w:rsid w:val="00BF47F2"/>
    <w:rsid w:val="00BF4A61"/>
    <w:rsid w:val="00BF6496"/>
    <w:rsid w:val="00BF6B62"/>
    <w:rsid w:val="00C01366"/>
    <w:rsid w:val="00C0145B"/>
    <w:rsid w:val="00C01752"/>
    <w:rsid w:val="00C01923"/>
    <w:rsid w:val="00C01CA1"/>
    <w:rsid w:val="00C02CBE"/>
    <w:rsid w:val="00C02D65"/>
    <w:rsid w:val="00C02D86"/>
    <w:rsid w:val="00C04FF2"/>
    <w:rsid w:val="00C052B9"/>
    <w:rsid w:val="00C05659"/>
    <w:rsid w:val="00C108F6"/>
    <w:rsid w:val="00C111A1"/>
    <w:rsid w:val="00C118D0"/>
    <w:rsid w:val="00C143F5"/>
    <w:rsid w:val="00C20EC0"/>
    <w:rsid w:val="00C229F8"/>
    <w:rsid w:val="00C23D8A"/>
    <w:rsid w:val="00C2420A"/>
    <w:rsid w:val="00C2444C"/>
    <w:rsid w:val="00C24906"/>
    <w:rsid w:val="00C24E0E"/>
    <w:rsid w:val="00C24EB7"/>
    <w:rsid w:val="00C2576F"/>
    <w:rsid w:val="00C25DFD"/>
    <w:rsid w:val="00C27C07"/>
    <w:rsid w:val="00C27F52"/>
    <w:rsid w:val="00C27FE7"/>
    <w:rsid w:val="00C30199"/>
    <w:rsid w:val="00C306CA"/>
    <w:rsid w:val="00C31370"/>
    <w:rsid w:val="00C31869"/>
    <w:rsid w:val="00C31A63"/>
    <w:rsid w:val="00C31EB1"/>
    <w:rsid w:val="00C3297F"/>
    <w:rsid w:val="00C32B48"/>
    <w:rsid w:val="00C32D83"/>
    <w:rsid w:val="00C3356A"/>
    <w:rsid w:val="00C335D9"/>
    <w:rsid w:val="00C34954"/>
    <w:rsid w:val="00C354A9"/>
    <w:rsid w:val="00C40146"/>
    <w:rsid w:val="00C40647"/>
    <w:rsid w:val="00C4247E"/>
    <w:rsid w:val="00C4547E"/>
    <w:rsid w:val="00C45DD1"/>
    <w:rsid w:val="00C4613D"/>
    <w:rsid w:val="00C46DB2"/>
    <w:rsid w:val="00C46E43"/>
    <w:rsid w:val="00C47478"/>
    <w:rsid w:val="00C476B6"/>
    <w:rsid w:val="00C50394"/>
    <w:rsid w:val="00C50F31"/>
    <w:rsid w:val="00C52954"/>
    <w:rsid w:val="00C5313F"/>
    <w:rsid w:val="00C54ECC"/>
    <w:rsid w:val="00C556CC"/>
    <w:rsid w:val="00C56F08"/>
    <w:rsid w:val="00C57460"/>
    <w:rsid w:val="00C627AE"/>
    <w:rsid w:val="00C63C9E"/>
    <w:rsid w:val="00C67C0B"/>
    <w:rsid w:val="00C67CFF"/>
    <w:rsid w:val="00C67EAD"/>
    <w:rsid w:val="00C700BA"/>
    <w:rsid w:val="00C71C2E"/>
    <w:rsid w:val="00C725D0"/>
    <w:rsid w:val="00C7412B"/>
    <w:rsid w:val="00C74B74"/>
    <w:rsid w:val="00C75ECD"/>
    <w:rsid w:val="00C76EAC"/>
    <w:rsid w:val="00C77DED"/>
    <w:rsid w:val="00C81203"/>
    <w:rsid w:val="00C81627"/>
    <w:rsid w:val="00C8171A"/>
    <w:rsid w:val="00C831F1"/>
    <w:rsid w:val="00C858C1"/>
    <w:rsid w:val="00C8614E"/>
    <w:rsid w:val="00C8696E"/>
    <w:rsid w:val="00C86B6C"/>
    <w:rsid w:val="00C8798E"/>
    <w:rsid w:val="00C87A0F"/>
    <w:rsid w:val="00C90532"/>
    <w:rsid w:val="00C925FD"/>
    <w:rsid w:val="00C965EF"/>
    <w:rsid w:val="00C96D9F"/>
    <w:rsid w:val="00C97E4D"/>
    <w:rsid w:val="00CA4128"/>
    <w:rsid w:val="00CA4165"/>
    <w:rsid w:val="00CA4634"/>
    <w:rsid w:val="00CA466F"/>
    <w:rsid w:val="00CA5B8F"/>
    <w:rsid w:val="00CA5D27"/>
    <w:rsid w:val="00CB0935"/>
    <w:rsid w:val="00CB20F2"/>
    <w:rsid w:val="00CB225C"/>
    <w:rsid w:val="00CB2D4C"/>
    <w:rsid w:val="00CB2E73"/>
    <w:rsid w:val="00CB3988"/>
    <w:rsid w:val="00CB729E"/>
    <w:rsid w:val="00CB7AFE"/>
    <w:rsid w:val="00CB7CD1"/>
    <w:rsid w:val="00CC12FE"/>
    <w:rsid w:val="00CC22F4"/>
    <w:rsid w:val="00CC2A0D"/>
    <w:rsid w:val="00CC30D3"/>
    <w:rsid w:val="00CC4532"/>
    <w:rsid w:val="00CC6382"/>
    <w:rsid w:val="00CC65A3"/>
    <w:rsid w:val="00CC67A2"/>
    <w:rsid w:val="00CC7264"/>
    <w:rsid w:val="00CD177E"/>
    <w:rsid w:val="00CD3593"/>
    <w:rsid w:val="00CD4ED1"/>
    <w:rsid w:val="00CD6912"/>
    <w:rsid w:val="00CD6F8D"/>
    <w:rsid w:val="00CE03DF"/>
    <w:rsid w:val="00CE0C20"/>
    <w:rsid w:val="00CE0CC4"/>
    <w:rsid w:val="00CE0FAB"/>
    <w:rsid w:val="00CE108B"/>
    <w:rsid w:val="00CE19FE"/>
    <w:rsid w:val="00CE38A2"/>
    <w:rsid w:val="00CE4398"/>
    <w:rsid w:val="00CE4A5E"/>
    <w:rsid w:val="00CE5FD2"/>
    <w:rsid w:val="00CE661A"/>
    <w:rsid w:val="00CE7EF0"/>
    <w:rsid w:val="00CF2072"/>
    <w:rsid w:val="00CF3219"/>
    <w:rsid w:val="00CF3B17"/>
    <w:rsid w:val="00CF4EF6"/>
    <w:rsid w:val="00CF5340"/>
    <w:rsid w:val="00CF56FF"/>
    <w:rsid w:val="00CF592C"/>
    <w:rsid w:val="00CF6BF1"/>
    <w:rsid w:val="00CF77D9"/>
    <w:rsid w:val="00D003C0"/>
    <w:rsid w:val="00D00B39"/>
    <w:rsid w:val="00D013DB"/>
    <w:rsid w:val="00D01913"/>
    <w:rsid w:val="00D01A0B"/>
    <w:rsid w:val="00D03228"/>
    <w:rsid w:val="00D0339C"/>
    <w:rsid w:val="00D03D9C"/>
    <w:rsid w:val="00D043A8"/>
    <w:rsid w:val="00D054DD"/>
    <w:rsid w:val="00D05516"/>
    <w:rsid w:val="00D05861"/>
    <w:rsid w:val="00D058F6"/>
    <w:rsid w:val="00D06A55"/>
    <w:rsid w:val="00D06B09"/>
    <w:rsid w:val="00D06EAA"/>
    <w:rsid w:val="00D12594"/>
    <w:rsid w:val="00D1273A"/>
    <w:rsid w:val="00D12BB0"/>
    <w:rsid w:val="00D132E6"/>
    <w:rsid w:val="00D133D4"/>
    <w:rsid w:val="00D13606"/>
    <w:rsid w:val="00D1459B"/>
    <w:rsid w:val="00D16988"/>
    <w:rsid w:val="00D169AF"/>
    <w:rsid w:val="00D20B1D"/>
    <w:rsid w:val="00D20C86"/>
    <w:rsid w:val="00D21BA0"/>
    <w:rsid w:val="00D22572"/>
    <w:rsid w:val="00D23AB4"/>
    <w:rsid w:val="00D24BAA"/>
    <w:rsid w:val="00D24DD9"/>
    <w:rsid w:val="00D250D0"/>
    <w:rsid w:val="00D255BB"/>
    <w:rsid w:val="00D25CDE"/>
    <w:rsid w:val="00D26504"/>
    <w:rsid w:val="00D26F8F"/>
    <w:rsid w:val="00D32AFD"/>
    <w:rsid w:val="00D338CF"/>
    <w:rsid w:val="00D33E17"/>
    <w:rsid w:val="00D34838"/>
    <w:rsid w:val="00D359AF"/>
    <w:rsid w:val="00D35BF4"/>
    <w:rsid w:val="00D35D7C"/>
    <w:rsid w:val="00D362CA"/>
    <w:rsid w:val="00D379C6"/>
    <w:rsid w:val="00D40236"/>
    <w:rsid w:val="00D407A2"/>
    <w:rsid w:val="00D417BB"/>
    <w:rsid w:val="00D438D9"/>
    <w:rsid w:val="00D43CEC"/>
    <w:rsid w:val="00D4400A"/>
    <w:rsid w:val="00D4504E"/>
    <w:rsid w:val="00D45AF5"/>
    <w:rsid w:val="00D46DA7"/>
    <w:rsid w:val="00D46DCD"/>
    <w:rsid w:val="00D46F4D"/>
    <w:rsid w:val="00D475B7"/>
    <w:rsid w:val="00D509C0"/>
    <w:rsid w:val="00D52533"/>
    <w:rsid w:val="00D52A40"/>
    <w:rsid w:val="00D53667"/>
    <w:rsid w:val="00D545CF"/>
    <w:rsid w:val="00D5465C"/>
    <w:rsid w:val="00D54974"/>
    <w:rsid w:val="00D54D9F"/>
    <w:rsid w:val="00D54F4B"/>
    <w:rsid w:val="00D55A2E"/>
    <w:rsid w:val="00D5636D"/>
    <w:rsid w:val="00D5659B"/>
    <w:rsid w:val="00D57F0D"/>
    <w:rsid w:val="00D57F5A"/>
    <w:rsid w:val="00D628E8"/>
    <w:rsid w:val="00D632E2"/>
    <w:rsid w:val="00D642FF"/>
    <w:rsid w:val="00D650DD"/>
    <w:rsid w:val="00D653F6"/>
    <w:rsid w:val="00D66381"/>
    <w:rsid w:val="00D6709B"/>
    <w:rsid w:val="00D704E4"/>
    <w:rsid w:val="00D7086C"/>
    <w:rsid w:val="00D709F1"/>
    <w:rsid w:val="00D70D0A"/>
    <w:rsid w:val="00D71B9F"/>
    <w:rsid w:val="00D71F73"/>
    <w:rsid w:val="00D72122"/>
    <w:rsid w:val="00D7287A"/>
    <w:rsid w:val="00D7312A"/>
    <w:rsid w:val="00D7583C"/>
    <w:rsid w:val="00D765BA"/>
    <w:rsid w:val="00D76E82"/>
    <w:rsid w:val="00D77BC2"/>
    <w:rsid w:val="00D808A5"/>
    <w:rsid w:val="00D811D5"/>
    <w:rsid w:val="00D83D61"/>
    <w:rsid w:val="00D8490A"/>
    <w:rsid w:val="00D85D3B"/>
    <w:rsid w:val="00D86AC2"/>
    <w:rsid w:val="00D87DCE"/>
    <w:rsid w:val="00D90EC7"/>
    <w:rsid w:val="00D91150"/>
    <w:rsid w:val="00D91DD1"/>
    <w:rsid w:val="00D92952"/>
    <w:rsid w:val="00D9334D"/>
    <w:rsid w:val="00D939E9"/>
    <w:rsid w:val="00D94169"/>
    <w:rsid w:val="00D94442"/>
    <w:rsid w:val="00D94AB2"/>
    <w:rsid w:val="00D9575F"/>
    <w:rsid w:val="00D96756"/>
    <w:rsid w:val="00D978F8"/>
    <w:rsid w:val="00DA0175"/>
    <w:rsid w:val="00DA1235"/>
    <w:rsid w:val="00DA2A83"/>
    <w:rsid w:val="00DA4463"/>
    <w:rsid w:val="00DA64F8"/>
    <w:rsid w:val="00DA69D9"/>
    <w:rsid w:val="00DA6A40"/>
    <w:rsid w:val="00DB34D3"/>
    <w:rsid w:val="00DB3E70"/>
    <w:rsid w:val="00DB53A3"/>
    <w:rsid w:val="00DB5919"/>
    <w:rsid w:val="00DB7FC4"/>
    <w:rsid w:val="00DC07C7"/>
    <w:rsid w:val="00DC0D2A"/>
    <w:rsid w:val="00DC0FA1"/>
    <w:rsid w:val="00DC1F65"/>
    <w:rsid w:val="00DC2490"/>
    <w:rsid w:val="00DC3931"/>
    <w:rsid w:val="00DC39EE"/>
    <w:rsid w:val="00DC53B8"/>
    <w:rsid w:val="00DC6241"/>
    <w:rsid w:val="00DC6DF6"/>
    <w:rsid w:val="00DD0EAC"/>
    <w:rsid w:val="00DD14E7"/>
    <w:rsid w:val="00DD1AF9"/>
    <w:rsid w:val="00DD1FD4"/>
    <w:rsid w:val="00DD24F3"/>
    <w:rsid w:val="00DD4F8C"/>
    <w:rsid w:val="00DD54E9"/>
    <w:rsid w:val="00DD65EB"/>
    <w:rsid w:val="00DD6A91"/>
    <w:rsid w:val="00DD7061"/>
    <w:rsid w:val="00DE192C"/>
    <w:rsid w:val="00DE382C"/>
    <w:rsid w:val="00DE4D85"/>
    <w:rsid w:val="00DE542B"/>
    <w:rsid w:val="00DE5B50"/>
    <w:rsid w:val="00DE6066"/>
    <w:rsid w:val="00DE6872"/>
    <w:rsid w:val="00DE72FE"/>
    <w:rsid w:val="00DE7E25"/>
    <w:rsid w:val="00DF10A7"/>
    <w:rsid w:val="00DF1D20"/>
    <w:rsid w:val="00DF2134"/>
    <w:rsid w:val="00DF238D"/>
    <w:rsid w:val="00DF2E96"/>
    <w:rsid w:val="00DF386D"/>
    <w:rsid w:val="00DF4D57"/>
    <w:rsid w:val="00DF5EFB"/>
    <w:rsid w:val="00DF7EDC"/>
    <w:rsid w:val="00E008FA"/>
    <w:rsid w:val="00E009FF"/>
    <w:rsid w:val="00E043AC"/>
    <w:rsid w:val="00E043D9"/>
    <w:rsid w:val="00E046F1"/>
    <w:rsid w:val="00E04A8C"/>
    <w:rsid w:val="00E055D5"/>
    <w:rsid w:val="00E0620D"/>
    <w:rsid w:val="00E10790"/>
    <w:rsid w:val="00E11333"/>
    <w:rsid w:val="00E119C9"/>
    <w:rsid w:val="00E11D22"/>
    <w:rsid w:val="00E1250B"/>
    <w:rsid w:val="00E151CB"/>
    <w:rsid w:val="00E179D4"/>
    <w:rsid w:val="00E21B78"/>
    <w:rsid w:val="00E21D62"/>
    <w:rsid w:val="00E239B5"/>
    <w:rsid w:val="00E23F9C"/>
    <w:rsid w:val="00E24229"/>
    <w:rsid w:val="00E24E79"/>
    <w:rsid w:val="00E27049"/>
    <w:rsid w:val="00E271A9"/>
    <w:rsid w:val="00E3046F"/>
    <w:rsid w:val="00E30FF4"/>
    <w:rsid w:val="00E32515"/>
    <w:rsid w:val="00E3287C"/>
    <w:rsid w:val="00E33B8B"/>
    <w:rsid w:val="00E36FD9"/>
    <w:rsid w:val="00E374FB"/>
    <w:rsid w:val="00E4029E"/>
    <w:rsid w:val="00E40DFE"/>
    <w:rsid w:val="00E43530"/>
    <w:rsid w:val="00E439AD"/>
    <w:rsid w:val="00E50487"/>
    <w:rsid w:val="00E51B3D"/>
    <w:rsid w:val="00E51B4F"/>
    <w:rsid w:val="00E5254E"/>
    <w:rsid w:val="00E540EE"/>
    <w:rsid w:val="00E54F4C"/>
    <w:rsid w:val="00E57F07"/>
    <w:rsid w:val="00E606A7"/>
    <w:rsid w:val="00E60F76"/>
    <w:rsid w:val="00E615B9"/>
    <w:rsid w:val="00E62787"/>
    <w:rsid w:val="00E62A7A"/>
    <w:rsid w:val="00E63342"/>
    <w:rsid w:val="00E6349C"/>
    <w:rsid w:val="00E63606"/>
    <w:rsid w:val="00E64956"/>
    <w:rsid w:val="00E65BFB"/>
    <w:rsid w:val="00E66AD9"/>
    <w:rsid w:val="00E700C6"/>
    <w:rsid w:val="00E716CB"/>
    <w:rsid w:val="00E716F0"/>
    <w:rsid w:val="00E73DF7"/>
    <w:rsid w:val="00E73E53"/>
    <w:rsid w:val="00E73ED5"/>
    <w:rsid w:val="00E7461B"/>
    <w:rsid w:val="00E74D98"/>
    <w:rsid w:val="00E74E3A"/>
    <w:rsid w:val="00E74EBE"/>
    <w:rsid w:val="00E74FD6"/>
    <w:rsid w:val="00E75747"/>
    <w:rsid w:val="00E7784C"/>
    <w:rsid w:val="00E82F3A"/>
    <w:rsid w:val="00E8411C"/>
    <w:rsid w:val="00E845F7"/>
    <w:rsid w:val="00E84A11"/>
    <w:rsid w:val="00E84AD0"/>
    <w:rsid w:val="00E84C12"/>
    <w:rsid w:val="00E84F6E"/>
    <w:rsid w:val="00E875E0"/>
    <w:rsid w:val="00E90A01"/>
    <w:rsid w:val="00E92701"/>
    <w:rsid w:val="00E92DC9"/>
    <w:rsid w:val="00E934AA"/>
    <w:rsid w:val="00E93FFF"/>
    <w:rsid w:val="00E950E1"/>
    <w:rsid w:val="00E963D1"/>
    <w:rsid w:val="00EA0E35"/>
    <w:rsid w:val="00EA0FA2"/>
    <w:rsid w:val="00EA160F"/>
    <w:rsid w:val="00EA1753"/>
    <w:rsid w:val="00EA2EB5"/>
    <w:rsid w:val="00EA2EB8"/>
    <w:rsid w:val="00EA3539"/>
    <w:rsid w:val="00EA4D49"/>
    <w:rsid w:val="00EA679D"/>
    <w:rsid w:val="00EA690D"/>
    <w:rsid w:val="00EA69BB"/>
    <w:rsid w:val="00EB102B"/>
    <w:rsid w:val="00EB1583"/>
    <w:rsid w:val="00EB1D17"/>
    <w:rsid w:val="00EB26E6"/>
    <w:rsid w:val="00EB4C40"/>
    <w:rsid w:val="00EB5C97"/>
    <w:rsid w:val="00EB7FB8"/>
    <w:rsid w:val="00EC12FD"/>
    <w:rsid w:val="00EC133C"/>
    <w:rsid w:val="00EC4207"/>
    <w:rsid w:val="00EC4D7A"/>
    <w:rsid w:val="00EC68B1"/>
    <w:rsid w:val="00EC6A19"/>
    <w:rsid w:val="00ED06BC"/>
    <w:rsid w:val="00ED1222"/>
    <w:rsid w:val="00ED22D5"/>
    <w:rsid w:val="00ED237E"/>
    <w:rsid w:val="00ED2D73"/>
    <w:rsid w:val="00ED4866"/>
    <w:rsid w:val="00ED48DE"/>
    <w:rsid w:val="00ED6823"/>
    <w:rsid w:val="00EE25B0"/>
    <w:rsid w:val="00EE3B5B"/>
    <w:rsid w:val="00EE5B8C"/>
    <w:rsid w:val="00EE5CEB"/>
    <w:rsid w:val="00EE6668"/>
    <w:rsid w:val="00EE681B"/>
    <w:rsid w:val="00EF19EE"/>
    <w:rsid w:val="00EF28F6"/>
    <w:rsid w:val="00EF338B"/>
    <w:rsid w:val="00EF57F2"/>
    <w:rsid w:val="00EF62F3"/>
    <w:rsid w:val="00EF75A6"/>
    <w:rsid w:val="00EF7786"/>
    <w:rsid w:val="00EF7D33"/>
    <w:rsid w:val="00F008DB"/>
    <w:rsid w:val="00F015D9"/>
    <w:rsid w:val="00F01A80"/>
    <w:rsid w:val="00F04F35"/>
    <w:rsid w:val="00F0526E"/>
    <w:rsid w:val="00F05677"/>
    <w:rsid w:val="00F0700D"/>
    <w:rsid w:val="00F07346"/>
    <w:rsid w:val="00F11A82"/>
    <w:rsid w:val="00F1227F"/>
    <w:rsid w:val="00F12F03"/>
    <w:rsid w:val="00F1364C"/>
    <w:rsid w:val="00F148B5"/>
    <w:rsid w:val="00F167A3"/>
    <w:rsid w:val="00F16AEA"/>
    <w:rsid w:val="00F17745"/>
    <w:rsid w:val="00F17F6A"/>
    <w:rsid w:val="00F21118"/>
    <w:rsid w:val="00F23ED2"/>
    <w:rsid w:val="00F271D6"/>
    <w:rsid w:val="00F27A9B"/>
    <w:rsid w:val="00F32409"/>
    <w:rsid w:val="00F3276C"/>
    <w:rsid w:val="00F3371F"/>
    <w:rsid w:val="00F33D8B"/>
    <w:rsid w:val="00F34495"/>
    <w:rsid w:val="00F36A50"/>
    <w:rsid w:val="00F37AE9"/>
    <w:rsid w:val="00F37FFA"/>
    <w:rsid w:val="00F404C3"/>
    <w:rsid w:val="00F43A40"/>
    <w:rsid w:val="00F45306"/>
    <w:rsid w:val="00F47D1C"/>
    <w:rsid w:val="00F502CD"/>
    <w:rsid w:val="00F50B06"/>
    <w:rsid w:val="00F51136"/>
    <w:rsid w:val="00F52181"/>
    <w:rsid w:val="00F52310"/>
    <w:rsid w:val="00F534B5"/>
    <w:rsid w:val="00F56ED7"/>
    <w:rsid w:val="00F57662"/>
    <w:rsid w:val="00F57CCE"/>
    <w:rsid w:val="00F61A49"/>
    <w:rsid w:val="00F62BCB"/>
    <w:rsid w:val="00F62C08"/>
    <w:rsid w:val="00F6593C"/>
    <w:rsid w:val="00F66995"/>
    <w:rsid w:val="00F70098"/>
    <w:rsid w:val="00F70C01"/>
    <w:rsid w:val="00F72A87"/>
    <w:rsid w:val="00F72BDC"/>
    <w:rsid w:val="00F72C56"/>
    <w:rsid w:val="00F740B7"/>
    <w:rsid w:val="00F75082"/>
    <w:rsid w:val="00F75A7C"/>
    <w:rsid w:val="00F77C9B"/>
    <w:rsid w:val="00F811BF"/>
    <w:rsid w:val="00F82258"/>
    <w:rsid w:val="00F83961"/>
    <w:rsid w:val="00F8476C"/>
    <w:rsid w:val="00F87A43"/>
    <w:rsid w:val="00F87E4F"/>
    <w:rsid w:val="00F90362"/>
    <w:rsid w:val="00F90EE1"/>
    <w:rsid w:val="00F91656"/>
    <w:rsid w:val="00F9170B"/>
    <w:rsid w:val="00F92968"/>
    <w:rsid w:val="00F94A48"/>
    <w:rsid w:val="00F95139"/>
    <w:rsid w:val="00F96B9E"/>
    <w:rsid w:val="00F96C8B"/>
    <w:rsid w:val="00FA1CEB"/>
    <w:rsid w:val="00FA1EA0"/>
    <w:rsid w:val="00FA42BA"/>
    <w:rsid w:val="00FA4CBC"/>
    <w:rsid w:val="00FA4DFE"/>
    <w:rsid w:val="00FA5540"/>
    <w:rsid w:val="00FA566B"/>
    <w:rsid w:val="00FA569C"/>
    <w:rsid w:val="00FA59B8"/>
    <w:rsid w:val="00FA5F22"/>
    <w:rsid w:val="00FA6670"/>
    <w:rsid w:val="00FB03CF"/>
    <w:rsid w:val="00FB348F"/>
    <w:rsid w:val="00FB3616"/>
    <w:rsid w:val="00FB7CC6"/>
    <w:rsid w:val="00FC0735"/>
    <w:rsid w:val="00FC2560"/>
    <w:rsid w:val="00FC3EA4"/>
    <w:rsid w:val="00FC437F"/>
    <w:rsid w:val="00FC4B02"/>
    <w:rsid w:val="00FC4D0C"/>
    <w:rsid w:val="00FC65BF"/>
    <w:rsid w:val="00FC6B80"/>
    <w:rsid w:val="00FC749B"/>
    <w:rsid w:val="00FC776E"/>
    <w:rsid w:val="00FC7CD3"/>
    <w:rsid w:val="00FD2A2D"/>
    <w:rsid w:val="00FD2C5D"/>
    <w:rsid w:val="00FD38A3"/>
    <w:rsid w:val="00FD3CC2"/>
    <w:rsid w:val="00FD5416"/>
    <w:rsid w:val="00FD64E2"/>
    <w:rsid w:val="00FE1A01"/>
    <w:rsid w:val="00FE1B27"/>
    <w:rsid w:val="00FE27C4"/>
    <w:rsid w:val="00FE30F7"/>
    <w:rsid w:val="00FE579B"/>
    <w:rsid w:val="00FE5B59"/>
    <w:rsid w:val="00FE5EE6"/>
    <w:rsid w:val="00FE6175"/>
    <w:rsid w:val="00FE6941"/>
    <w:rsid w:val="00FE6C4A"/>
    <w:rsid w:val="00FE6D86"/>
    <w:rsid w:val="00FF18EE"/>
    <w:rsid w:val="00FF2579"/>
    <w:rsid w:val="00FF2A0B"/>
    <w:rsid w:val="00FF3CEE"/>
    <w:rsid w:val="00FF506E"/>
    <w:rsid w:val="00FF5515"/>
    <w:rsid w:val="00FF5D9C"/>
    <w:rsid w:val="00FF7273"/>
    <w:rsid w:val="00FF738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2A1F2D"/>
  <w15:docId w15:val="{C5986320-5065-4F12-A662-D5D605466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15F"/>
    <w:pPr>
      <w:jc w:val="both"/>
    </w:pPr>
    <w:rPr>
      <w:sz w:val="24"/>
    </w:rPr>
  </w:style>
  <w:style w:type="paragraph" w:styleId="Heading1">
    <w:name w:val="heading 1"/>
    <w:basedOn w:val="Normal"/>
    <w:next w:val="Normal"/>
    <w:link w:val="Heading1Char"/>
    <w:qFormat/>
    <w:rsid w:val="00385097"/>
    <w:pPr>
      <w:numPr>
        <w:numId w:val="13"/>
      </w:numPr>
      <w:spacing w:before="120" w:after="240"/>
      <w:ind w:left="431" w:hanging="431"/>
      <w:outlineLvl w:val="0"/>
    </w:pPr>
    <w:rPr>
      <w:rFonts w:ascii="Times New Roman Bold" w:hAnsi="Times New Roman Bold"/>
      <w:b/>
      <w:caps/>
    </w:rPr>
  </w:style>
  <w:style w:type="paragraph" w:styleId="Heading2">
    <w:name w:val="heading 2"/>
    <w:basedOn w:val="Normal"/>
    <w:next w:val="Normal"/>
    <w:link w:val="Heading2Char1"/>
    <w:qFormat/>
    <w:rsid w:val="00385097"/>
    <w:pPr>
      <w:keepNext/>
      <w:numPr>
        <w:ilvl w:val="1"/>
        <w:numId w:val="13"/>
      </w:numPr>
      <w:spacing w:before="60" w:after="240"/>
      <w:outlineLvl w:val="1"/>
    </w:pPr>
    <w:rPr>
      <w:b/>
      <w:i/>
    </w:rPr>
  </w:style>
  <w:style w:type="paragraph" w:styleId="Heading3">
    <w:name w:val="heading 3"/>
    <w:basedOn w:val="Normal"/>
    <w:next w:val="Normal"/>
    <w:link w:val="Heading3Char"/>
    <w:qFormat/>
    <w:rsid w:val="006E0A02"/>
    <w:pPr>
      <w:keepNext/>
      <w:numPr>
        <w:ilvl w:val="2"/>
        <w:numId w:val="13"/>
      </w:numPr>
      <w:spacing w:after="120"/>
      <w:ind w:left="1060"/>
      <w:outlineLvl w:val="2"/>
    </w:pPr>
    <w:rPr>
      <w:b/>
    </w:rPr>
  </w:style>
  <w:style w:type="paragraph" w:styleId="Heading4">
    <w:name w:val="heading 4"/>
    <w:basedOn w:val="Normal"/>
    <w:next w:val="Normal"/>
    <w:link w:val="Heading4Char"/>
    <w:qFormat/>
    <w:pPr>
      <w:keepNext/>
      <w:numPr>
        <w:ilvl w:val="3"/>
        <w:numId w:val="13"/>
      </w:numPr>
      <w:outlineLvl w:val="3"/>
    </w:pPr>
    <w:rPr>
      <w:i/>
    </w:rPr>
  </w:style>
  <w:style w:type="paragraph" w:styleId="Heading5">
    <w:name w:val="heading 5"/>
    <w:basedOn w:val="Normal"/>
    <w:next w:val="Normal"/>
    <w:link w:val="Heading5Char"/>
    <w:qFormat/>
    <w:pPr>
      <w:keepNext/>
      <w:numPr>
        <w:ilvl w:val="4"/>
        <w:numId w:val="13"/>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560"/>
        <w:tab w:val="left" w:pos="8280"/>
      </w:tabs>
      <w:spacing w:line="279" w:lineRule="exact"/>
      <w:ind w:right="-4"/>
      <w:outlineLvl w:val="4"/>
    </w:pPr>
    <w:rPr>
      <w:b/>
    </w:rPr>
  </w:style>
  <w:style w:type="paragraph" w:styleId="Heading6">
    <w:name w:val="heading 6"/>
    <w:basedOn w:val="Normal"/>
    <w:next w:val="Normal"/>
    <w:link w:val="Heading6Char"/>
    <w:qFormat/>
    <w:pPr>
      <w:keepNext/>
      <w:numPr>
        <w:ilvl w:val="5"/>
        <w:numId w:val="13"/>
      </w:numPr>
      <w:outlineLvl w:val="5"/>
    </w:pPr>
    <w:rPr>
      <w:i/>
    </w:rPr>
  </w:style>
  <w:style w:type="paragraph" w:styleId="Heading7">
    <w:name w:val="heading 7"/>
    <w:basedOn w:val="Normal"/>
    <w:next w:val="Normal"/>
    <w:link w:val="Heading7Char"/>
    <w:qFormat/>
    <w:pPr>
      <w:keepNext/>
      <w:numPr>
        <w:ilvl w:val="6"/>
        <w:numId w:val="13"/>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560"/>
        <w:tab w:val="left" w:pos="8280"/>
      </w:tabs>
      <w:spacing w:line="279" w:lineRule="exact"/>
      <w:ind w:right="-4"/>
      <w:outlineLvl w:val="6"/>
    </w:pPr>
    <w:rPr>
      <w:i/>
    </w:rPr>
  </w:style>
  <w:style w:type="paragraph" w:styleId="Heading8">
    <w:name w:val="heading 8"/>
    <w:basedOn w:val="Normal"/>
    <w:next w:val="Normal"/>
    <w:link w:val="Heading8Char"/>
    <w:qFormat/>
    <w:pPr>
      <w:keepNext/>
      <w:numPr>
        <w:ilvl w:val="7"/>
        <w:numId w:val="13"/>
      </w:numPr>
      <w:tabs>
        <w:tab w:val="left" w:pos="360"/>
        <w:tab w:val="left" w:pos="720"/>
        <w:tab w:val="left" w:pos="1440"/>
        <w:tab w:val="left" w:pos="2160"/>
        <w:tab w:val="left" w:pos="2880"/>
        <w:tab w:val="left" w:pos="3600"/>
        <w:tab w:val="left" w:pos="4320"/>
        <w:tab w:val="left" w:pos="5040"/>
        <w:tab w:val="left" w:pos="5760"/>
        <w:tab w:val="left" w:pos="6480"/>
        <w:tab w:val="left" w:pos="7200"/>
        <w:tab w:val="left" w:pos="7560"/>
        <w:tab w:val="left" w:pos="8280"/>
      </w:tabs>
      <w:spacing w:line="279" w:lineRule="exact"/>
      <w:ind w:right="-4"/>
      <w:jc w:val="center"/>
      <w:outlineLvl w:val="7"/>
    </w:pPr>
    <w:rPr>
      <w:b/>
    </w:rPr>
  </w:style>
  <w:style w:type="paragraph" w:styleId="Heading9">
    <w:name w:val="heading 9"/>
    <w:basedOn w:val="Normal"/>
    <w:next w:val="Normal"/>
    <w:link w:val="Heading9Char"/>
    <w:qFormat/>
    <w:pPr>
      <w:keepNext/>
      <w:numPr>
        <w:ilvl w:val="8"/>
        <w:numId w:val="13"/>
      </w:numPr>
      <w:outlineLvl w:val="8"/>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Normal">
    <w:name w:val="Bold Normal"/>
    <w:basedOn w:val="Normal"/>
    <w:pPr>
      <w:tabs>
        <w:tab w:val="left" w:pos="1"/>
        <w:tab w:val="left" w:pos="360"/>
        <w:tab w:val="left" w:pos="1080"/>
        <w:tab w:val="left" w:pos="1800"/>
        <w:tab w:val="left" w:pos="2520"/>
        <w:tab w:val="left" w:pos="2835"/>
        <w:tab w:val="left" w:pos="3240"/>
        <w:tab w:val="left" w:pos="3600"/>
        <w:tab w:val="left" w:pos="3960"/>
        <w:tab w:val="left" w:pos="4320"/>
        <w:tab w:val="left" w:pos="4680"/>
        <w:tab w:val="left" w:pos="5040"/>
        <w:tab w:val="left" w:pos="5400"/>
        <w:tab w:val="left" w:pos="5616"/>
        <w:tab w:val="left" w:pos="5760"/>
        <w:tab w:val="left" w:pos="6120"/>
        <w:tab w:val="left" w:pos="6480"/>
        <w:tab w:val="left" w:pos="6840"/>
        <w:tab w:val="left" w:pos="7200"/>
        <w:tab w:val="left" w:pos="7560"/>
        <w:tab w:val="left" w:pos="8280"/>
        <w:tab w:val="right" w:pos="9216"/>
      </w:tabs>
      <w:spacing w:line="279" w:lineRule="exact"/>
      <w:ind w:right="-7"/>
    </w:pPr>
    <w:rPr>
      <w:b/>
      <w:lang w:val="en-GB"/>
    </w:rPr>
  </w:style>
  <w:style w:type="paragraph" w:styleId="Date">
    <w:name w:val="Date"/>
    <w:basedOn w:val="Normal"/>
    <w:next w:val="Normal"/>
    <w:link w:val="DateChar"/>
  </w:style>
  <w:style w:type="paragraph" w:styleId="TOC1">
    <w:name w:val="toc 1"/>
    <w:basedOn w:val="Normal"/>
    <w:next w:val="Normal"/>
    <w:autoRedefine/>
    <w:uiPriority w:val="39"/>
    <w:rsid w:val="00385097"/>
    <w:pPr>
      <w:tabs>
        <w:tab w:val="right" w:leader="dot" w:pos="9016"/>
      </w:tabs>
      <w:spacing w:before="120" w:after="120"/>
      <w:ind w:left="1560" w:hanging="1560"/>
    </w:pPr>
    <w:rPr>
      <w:b/>
      <w:caps/>
      <w:noProof/>
      <w:sz w:val="20"/>
    </w:rPr>
  </w:style>
  <w:style w:type="paragraph" w:styleId="TOC2">
    <w:name w:val="toc 2"/>
    <w:basedOn w:val="Normal"/>
    <w:next w:val="Normal"/>
    <w:autoRedefine/>
    <w:uiPriority w:val="39"/>
    <w:pPr>
      <w:ind w:left="240"/>
    </w:pPr>
    <w:rPr>
      <w:smallCaps/>
      <w:sz w:val="20"/>
    </w:rPr>
  </w:style>
  <w:style w:type="paragraph" w:styleId="TOC3">
    <w:name w:val="toc 3"/>
    <w:basedOn w:val="Normal"/>
    <w:next w:val="Normal"/>
    <w:autoRedefine/>
    <w:uiPriority w:val="39"/>
    <w:pPr>
      <w:ind w:left="480"/>
    </w:pPr>
    <w:rPr>
      <w:i/>
      <w:sz w:val="20"/>
    </w:rPr>
  </w:style>
  <w:style w:type="paragraph" w:styleId="Header">
    <w:name w:val="header"/>
    <w:basedOn w:val="Normal"/>
    <w:link w:val="HeaderChar"/>
    <w:uiPriority w:val="99"/>
    <w:pPr>
      <w:tabs>
        <w:tab w:val="center" w:pos="4153"/>
        <w:tab w:val="right" w:pos="8306"/>
      </w:tabs>
    </w:pPr>
  </w:style>
  <w:style w:type="paragraph" w:styleId="BodyText">
    <w:name w:val="Body Text"/>
    <w:basedOn w:val="Normal"/>
    <w:link w:val="BodyTextChar"/>
    <w:rPr>
      <w:b/>
      <w:i/>
    </w:rPr>
  </w:style>
  <w:style w:type="paragraph" w:styleId="CommentText">
    <w:name w:val="annotation text"/>
    <w:basedOn w:val="Normal"/>
    <w:link w:val="CommentTextChar"/>
    <w:uiPriority w:val="99"/>
    <w:semiHidden/>
    <w:rPr>
      <w:sz w:val="20"/>
    </w:rPr>
  </w:style>
  <w:style w:type="character" w:styleId="Hyperlink">
    <w:name w:val="Hyperlink"/>
    <w:uiPriority w:val="99"/>
    <w:rPr>
      <w:color w:val="0000FF"/>
      <w:u w:val="single"/>
    </w:rPr>
  </w:style>
  <w:style w:type="paragraph" w:styleId="BodyText3">
    <w:name w:val="Body Text 3"/>
    <w:basedOn w:val="Normal"/>
    <w:link w:val="BodyText3Char"/>
    <w:rPr>
      <w:b/>
      <w:lang w:val="en-GB"/>
    </w:rPr>
  </w:style>
  <w:style w:type="paragraph" w:styleId="BodyTextIndent">
    <w:name w:val="Body Text Indent"/>
    <w:basedOn w:val="Normal"/>
    <w:link w:val="BodyTextIndentChar"/>
    <w:pPr>
      <w:tabs>
        <w:tab w:val="left" w:pos="4253"/>
        <w:tab w:val="left" w:pos="4536"/>
      </w:tabs>
      <w:ind w:left="4253" w:hanging="4253"/>
    </w:pPr>
    <w:rPr>
      <w:lang w:val="en-US"/>
    </w:rPr>
  </w:style>
  <w:style w:type="paragraph" w:styleId="BodyText2">
    <w:name w:val="Body Text 2"/>
    <w:basedOn w:val="Normal"/>
    <w:link w:val="BodyText2Char"/>
    <w:rPr>
      <w:b/>
    </w:rPr>
  </w:style>
  <w:style w:type="paragraph" w:styleId="TOC8">
    <w:name w:val="toc 8"/>
    <w:basedOn w:val="Normal"/>
    <w:next w:val="Normal"/>
    <w:autoRedefine/>
    <w:uiPriority w:val="39"/>
    <w:pPr>
      <w:ind w:left="1680"/>
    </w:pPr>
    <w:rPr>
      <w:sz w:val="18"/>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TOC4">
    <w:name w:val="toc 4"/>
    <w:basedOn w:val="Normal"/>
    <w:next w:val="Normal"/>
    <w:autoRedefine/>
    <w:uiPriority w:val="39"/>
    <w:pPr>
      <w:ind w:left="720"/>
    </w:pPr>
  </w:style>
  <w:style w:type="paragraph" w:styleId="TOC5">
    <w:name w:val="toc 5"/>
    <w:basedOn w:val="Normal"/>
    <w:next w:val="Normal"/>
    <w:autoRedefine/>
    <w:uiPriority w:val="39"/>
    <w:pPr>
      <w:ind w:left="960"/>
    </w:pPr>
  </w:style>
  <w:style w:type="paragraph" w:styleId="TOC6">
    <w:name w:val="toc 6"/>
    <w:basedOn w:val="Normal"/>
    <w:next w:val="Normal"/>
    <w:autoRedefine/>
    <w:uiPriority w:val="39"/>
    <w:pPr>
      <w:ind w:left="1200"/>
    </w:pPr>
  </w:style>
  <w:style w:type="paragraph" w:styleId="TOC7">
    <w:name w:val="toc 7"/>
    <w:basedOn w:val="Normal"/>
    <w:next w:val="Normal"/>
    <w:autoRedefine/>
    <w:uiPriority w:val="39"/>
    <w:pPr>
      <w:ind w:left="1440"/>
    </w:pPr>
  </w:style>
  <w:style w:type="paragraph" w:styleId="TOC9">
    <w:name w:val="toc 9"/>
    <w:basedOn w:val="Normal"/>
    <w:next w:val="Normal"/>
    <w:autoRedefine/>
    <w:uiPriority w:val="39"/>
    <w:pPr>
      <w:ind w:left="1920"/>
    </w:pPr>
  </w:style>
  <w:style w:type="character" w:styleId="FollowedHyperlink">
    <w:name w:val="FollowedHyperlink"/>
    <w:rPr>
      <w:color w:val="800080"/>
      <w:u w:val="single"/>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pages">
    <w:name w:val="pages"/>
    <w:basedOn w:val="DefaultParagraphFont"/>
  </w:style>
  <w:style w:type="character" w:customStyle="1" w:styleId="volume">
    <w:name w:val="volume"/>
    <w:basedOn w:val="DefaultParagraphFont"/>
  </w:style>
  <w:style w:type="character" w:customStyle="1" w:styleId="issue">
    <w:name w:val="issue"/>
    <w:basedOn w:val="DefaultParagraphFont"/>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Pr>
      <w:sz w:val="24"/>
      <w:lang w:val="en-AU" w:eastAsia="en-AU" w:bidi="ar-SA"/>
    </w:rPr>
  </w:style>
  <w:style w:type="character" w:styleId="CommentReference">
    <w:name w:val="annotation reference"/>
    <w:uiPriority w:val="99"/>
    <w:semiHidden/>
    <w:rPr>
      <w:sz w:val="16"/>
      <w:szCs w:val="16"/>
    </w:rPr>
  </w:style>
  <w:style w:type="paragraph" w:styleId="CommentSubject">
    <w:name w:val="annotation subject"/>
    <w:basedOn w:val="CommentText"/>
    <w:next w:val="CommentText"/>
    <w:link w:val="CommentSubjectChar"/>
    <w:uiPriority w:val="99"/>
    <w:semiHidden/>
    <w:rPr>
      <w:b/>
      <w:bCs/>
    </w:rPr>
  </w:style>
  <w:style w:type="character" w:customStyle="1" w:styleId="ti">
    <w:name w:val="ti"/>
    <w:basedOn w:val="DefaultParagraphFont"/>
  </w:style>
  <w:style w:type="paragraph" w:styleId="Title">
    <w:name w:val="Title"/>
    <w:basedOn w:val="Normal"/>
    <w:next w:val="Normal"/>
    <w:link w:val="TitleChar"/>
    <w:qFormat/>
    <w:pPr>
      <w:spacing w:before="240" w:after="60" w:line="276" w:lineRule="auto"/>
      <w:jc w:val="center"/>
      <w:outlineLvl w:val="0"/>
    </w:pPr>
    <w:rPr>
      <w:rFonts w:ascii="Cambria" w:hAnsi="Cambria"/>
      <w:b/>
      <w:bCs/>
      <w:kern w:val="28"/>
      <w:sz w:val="32"/>
      <w:szCs w:val="32"/>
      <w:lang w:eastAsia="en-US"/>
    </w:rPr>
  </w:style>
  <w:style w:type="character" w:customStyle="1" w:styleId="TitleChar">
    <w:name w:val="Title Char"/>
    <w:link w:val="Title"/>
    <w:rPr>
      <w:rFonts w:ascii="Cambria" w:hAnsi="Cambria"/>
      <w:b/>
      <w:bCs/>
      <w:kern w:val="28"/>
      <w:sz w:val="32"/>
      <w:szCs w:val="32"/>
      <w:lang w:val="en-AU" w:eastAsia="en-US" w:bidi="ar-SA"/>
    </w:rPr>
  </w:style>
  <w:style w:type="paragraph" w:styleId="NormalWeb">
    <w:name w:val="Normal (Web)"/>
    <w:basedOn w:val="Normal"/>
    <w:uiPriority w:val="99"/>
    <w:pPr>
      <w:spacing w:before="100" w:beforeAutospacing="1" w:after="100" w:afterAutospacing="1"/>
    </w:pPr>
    <w:rPr>
      <w:szCs w:val="24"/>
    </w:rPr>
  </w:style>
  <w:style w:type="paragraph" w:customStyle="1" w:styleId="Table">
    <w:name w:val="Table"/>
    <w:aliases w:val="t,T,table"/>
    <w:basedOn w:val="Normal"/>
    <w:link w:val="TableChar"/>
    <w:pPr>
      <w:keepNext/>
      <w:keepLines/>
    </w:pPr>
    <w:rPr>
      <w:sz w:val="20"/>
    </w:rPr>
  </w:style>
  <w:style w:type="character" w:customStyle="1" w:styleId="TableChar">
    <w:name w:val="Table Char"/>
    <w:link w:val="Table"/>
    <w:rPr>
      <w:lang w:val="en-AU" w:eastAsia="en-AU" w:bidi="ar-SA"/>
    </w:rPr>
  </w:style>
  <w:style w:type="paragraph" w:styleId="ListParagraph">
    <w:name w:val="List Paragraph"/>
    <w:basedOn w:val="Normal"/>
    <w:uiPriority w:val="34"/>
    <w:qFormat/>
    <w:rsid w:val="00EA2EB5"/>
    <w:pPr>
      <w:ind w:left="720"/>
    </w:pPr>
    <w:rPr>
      <w:rFonts w:ascii="Calibri" w:hAnsi="Calibri"/>
      <w:sz w:val="22"/>
      <w:szCs w:val="22"/>
    </w:rPr>
  </w:style>
  <w:style w:type="paragraph" w:styleId="Caption">
    <w:name w:val="caption"/>
    <w:basedOn w:val="Normal"/>
    <w:next w:val="Normal"/>
    <w:uiPriority w:val="35"/>
    <w:qFormat/>
    <w:rsid w:val="00967D3B"/>
    <w:rPr>
      <w:b/>
      <w:bCs/>
      <w:sz w:val="20"/>
      <w:lang w:val="en-US" w:eastAsia="en-US"/>
    </w:rPr>
  </w:style>
  <w:style w:type="paragraph" w:styleId="Revision">
    <w:name w:val="Revision"/>
    <w:hidden/>
    <w:uiPriority w:val="99"/>
    <w:semiHidden/>
    <w:rsid w:val="007C65FC"/>
    <w:rPr>
      <w:sz w:val="24"/>
    </w:rPr>
  </w:style>
  <w:style w:type="paragraph" w:customStyle="1" w:styleId="Normalguidance">
    <w:name w:val="Normal (guidance)"/>
    <w:basedOn w:val="Normal"/>
    <w:link w:val="NormalguidanceChar"/>
    <w:rsid w:val="00DD1FD4"/>
    <w:pPr>
      <w:spacing w:before="120" w:after="120"/>
    </w:pPr>
    <w:rPr>
      <w:color w:val="3366FF"/>
      <w:szCs w:val="24"/>
    </w:rPr>
  </w:style>
  <w:style w:type="character" w:customStyle="1" w:styleId="NormalguidanceChar">
    <w:name w:val="Normal (guidance) Char"/>
    <w:link w:val="Normalguidance"/>
    <w:rsid w:val="00DD1FD4"/>
    <w:rPr>
      <w:color w:val="3366FF"/>
      <w:sz w:val="24"/>
      <w:szCs w:val="24"/>
    </w:rPr>
  </w:style>
  <w:style w:type="numbering" w:customStyle="1" w:styleId="NoList1">
    <w:name w:val="No List1"/>
    <w:next w:val="NoList"/>
    <w:uiPriority w:val="99"/>
    <w:semiHidden/>
    <w:unhideWhenUsed/>
    <w:rsid w:val="002B2CFC"/>
  </w:style>
  <w:style w:type="table" w:customStyle="1" w:styleId="NewTable">
    <w:name w:val="New Table"/>
    <w:basedOn w:val="TableGrid"/>
    <w:semiHidden/>
    <w:rsid w:val="002B2CFC"/>
    <w:pPr>
      <w:ind w:left="57"/>
      <w:jc w:val="center"/>
    </w:pPr>
    <w:tblPr>
      <w:tblInd w:w="113" w:type="dxa"/>
    </w:tblPr>
    <w:tcPr>
      <w:vAlign w:val="center"/>
    </w:tcPr>
    <w:tblStylePr w:type="firstRow">
      <w:pPr>
        <w:jc w:val="center"/>
      </w:pPr>
      <w:rPr>
        <w:b/>
      </w:rPr>
      <w:tblPr/>
      <w:tcPr>
        <w:vAlign w:val="center"/>
      </w:tcPr>
    </w:tblStylePr>
    <w:tblStylePr w:type="firstCol">
      <w:pPr>
        <w:jc w:val="left"/>
      </w:pPr>
    </w:tblStylePr>
    <w:tblStylePr w:type="nwCell">
      <w:pPr>
        <w:jc w:val="center"/>
      </w:pPr>
      <w:rPr>
        <w:b/>
      </w:rPr>
    </w:tblStylePr>
  </w:style>
  <w:style w:type="paragraph" w:customStyle="1" w:styleId="ActionBullet">
    <w:name w:val="Action Bullet"/>
    <w:basedOn w:val="Normal"/>
    <w:semiHidden/>
    <w:rsid w:val="002B2CFC"/>
    <w:pPr>
      <w:tabs>
        <w:tab w:val="left" w:pos="1440"/>
      </w:tabs>
      <w:spacing w:after="240"/>
    </w:pPr>
    <w:rPr>
      <w:i/>
    </w:rPr>
  </w:style>
  <w:style w:type="paragraph" w:customStyle="1" w:styleId="AppendixA">
    <w:name w:val="Appendix A"/>
    <w:basedOn w:val="Normal"/>
    <w:next w:val="Normal"/>
    <w:semiHidden/>
    <w:rsid w:val="002B2CFC"/>
    <w:pPr>
      <w:tabs>
        <w:tab w:val="left" w:pos="1440"/>
      </w:tabs>
      <w:spacing w:after="240"/>
      <w:ind w:left="851" w:hanging="851"/>
    </w:pPr>
  </w:style>
  <w:style w:type="paragraph" w:customStyle="1" w:styleId="AppendixE2">
    <w:name w:val="Appendix E2"/>
    <w:basedOn w:val="Normal"/>
    <w:semiHidden/>
    <w:rsid w:val="002B2CFC"/>
    <w:pPr>
      <w:tabs>
        <w:tab w:val="left" w:leader="dot" w:pos="5103"/>
      </w:tabs>
    </w:pPr>
  </w:style>
  <w:style w:type="paragraph" w:customStyle="1" w:styleId="AppendixF3">
    <w:name w:val="Appendix F3"/>
    <w:basedOn w:val="Normal"/>
    <w:next w:val="Normal"/>
    <w:autoRedefine/>
    <w:semiHidden/>
    <w:rsid w:val="002B2CFC"/>
    <w:pPr>
      <w:tabs>
        <w:tab w:val="left" w:pos="851"/>
        <w:tab w:val="left" w:leader="dot" w:pos="5103"/>
      </w:tabs>
    </w:pPr>
  </w:style>
  <w:style w:type="paragraph" w:customStyle="1" w:styleId="AppendixG">
    <w:name w:val="Appendix G"/>
    <w:basedOn w:val="Normal"/>
    <w:next w:val="Normal"/>
    <w:semiHidden/>
    <w:rsid w:val="002B2CFC"/>
    <w:pPr>
      <w:tabs>
        <w:tab w:val="left" w:pos="5103"/>
      </w:tabs>
    </w:pPr>
  </w:style>
  <w:style w:type="paragraph" w:customStyle="1" w:styleId="AppendixXPart1">
    <w:name w:val="Appendix X Part 1"/>
    <w:aliases w:val="2 - Codes"/>
    <w:basedOn w:val="Normal"/>
    <w:semiHidden/>
    <w:rsid w:val="002B2CFC"/>
    <w:pPr>
      <w:keepLines/>
      <w:tabs>
        <w:tab w:val="left" w:pos="851"/>
      </w:tabs>
      <w:spacing w:after="240"/>
      <w:ind w:left="851" w:hanging="851"/>
    </w:pPr>
  </w:style>
  <w:style w:type="paragraph" w:customStyle="1" w:styleId="GazetteXX">
    <w:name w:val="Gazette X.X"/>
    <w:basedOn w:val="Normal"/>
    <w:semiHidden/>
    <w:rsid w:val="002B2CFC"/>
    <w:pPr>
      <w:tabs>
        <w:tab w:val="left" w:pos="1440"/>
      </w:tabs>
      <w:ind w:left="567" w:hanging="567"/>
    </w:pPr>
  </w:style>
  <w:style w:type="paragraph" w:styleId="ListBullet">
    <w:name w:val="List Bullet"/>
    <w:basedOn w:val="Normal"/>
    <w:rsid w:val="002B2CFC"/>
    <w:pPr>
      <w:tabs>
        <w:tab w:val="left" w:pos="1440"/>
      </w:tabs>
      <w:spacing w:after="120"/>
    </w:pPr>
  </w:style>
  <w:style w:type="paragraph" w:customStyle="1" w:styleId="Schedulea">
    <w:name w:val="Schedule (a)"/>
    <w:basedOn w:val="Normal"/>
    <w:semiHidden/>
    <w:rsid w:val="002B2CFC"/>
    <w:pPr>
      <w:tabs>
        <w:tab w:val="left" w:pos="1418"/>
      </w:tabs>
      <w:spacing w:after="240"/>
      <w:ind w:left="1418" w:right="1418" w:hanging="567"/>
    </w:pPr>
  </w:style>
  <w:style w:type="paragraph" w:customStyle="1" w:styleId="ScheduleA0">
    <w:name w:val="Schedule (A)"/>
    <w:basedOn w:val="Normal"/>
    <w:semiHidden/>
    <w:rsid w:val="002B2CFC"/>
    <w:pPr>
      <w:tabs>
        <w:tab w:val="left" w:pos="2977"/>
      </w:tabs>
      <w:spacing w:after="240"/>
      <w:ind w:left="2977" w:right="1418" w:hanging="709"/>
    </w:pPr>
    <w:rPr>
      <w:snapToGrid w:val="0"/>
      <w:lang w:eastAsia="en-US"/>
    </w:rPr>
  </w:style>
  <w:style w:type="paragraph" w:customStyle="1" w:styleId="Schedulei">
    <w:name w:val="Schedule (i)"/>
    <w:basedOn w:val="Schedulea"/>
    <w:semiHidden/>
    <w:rsid w:val="002B2CFC"/>
    <w:pPr>
      <w:tabs>
        <w:tab w:val="clear" w:pos="1418"/>
        <w:tab w:val="left" w:pos="2268"/>
      </w:tabs>
      <w:ind w:left="2268" w:hanging="850"/>
    </w:pPr>
  </w:style>
  <w:style w:type="paragraph" w:customStyle="1" w:styleId="ScheduleBody">
    <w:name w:val="Schedule Body"/>
    <w:basedOn w:val="Normal"/>
    <w:next w:val="Normal"/>
    <w:semiHidden/>
    <w:rsid w:val="002B2CFC"/>
    <w:pPr>
      <w:spacing w:after="240"/>
      <w:ind w:left="851" w:hanging="851"/>
    </w:pPr>
  </w:style>
  <w:style w:type="paragraph" w:customStyle="1" w:styleId="ScheduleWS">
    <w:name w:val="Schedule WS"/>
    <w:basedOn w:val="Schedulei"/>
    <w:semiHidden/>
    <w:rsid w:val="002B2CFC"/>
    <w:pPr>
      <w:spacing w:after="0"/>
      <w:ind w:left="2269" w:hanging="851"/>
    </w:pPr>
  </w:style>
  <w:style w:type="paragraph" w:customStyle="1" w:styleId="StyleHeading3NotAllcaps1">
    <w:name w:val="Style Heading 3 + Not All caps1"/>
    <w:basedOn w:val="Heading3"/>
    <w:autoRedefine/>
    <w:semiHidden/>
    <w:rsid w:val="002B2CFC"/>
    <w:pPr>
      <w:numPr>
        <w:numId w:val="0"/>
      </w:numPr>
      <w:tabs>
        <w:tab w:val="num" w:pos="720"/>
        <w:tab w:val="left" w:pos="873"/>
      </w:tabs>
      <w:ind w:left="720" w:hanging="720"/>
    </w:pPr>
    <w:rPr>
      <w:rFonts w:ascii="Times New Roman Bold" w:hAnsi="Times New Roman Bold"/>
      <w:b w:val="0"/>
      <w:bCs/>
      <w:caps/>
    </w:rPr>
  </w:style>
  <w:style w:type="character" w:styleId="Emphasis">
    <w:name w:val="Emphasis"/>
    <w:qFormat/>
    <w:rsid w:val="002B2CFC"/>
    <w:rPr>
      <w:i/>
      <w:iCs/>
    </w:rPr>
  </w:style>
  <w:style w:type="character" w:customStyle="1" w:styleId="cit-auth2">
    <w:name w:val="cit-auth2"/>
    <w:basedOn w:val="DefaultParagraphFont"/>
    <w:semiHidden/>
    <w:rsid w:val="002B2CFC"/>
  </w:style>
  <w:style w:type="character" w:customStyle="1" w:styleId="cit-name-surname">
    <w:name w:val="cit-name-surname"/>
    <w:basedOn w:val="DefaultParagraphFont"/>
    <w:semiHidden/>
    <w:rsid w:val="002B2CFC"/>
  </w:style>
  <w:style w:type="character" w:customStyle="1" w:styleId="cit-name-given-names">
    <w:name w:val="cit-name-given-names"/>
    <w:basedOn w:val="DefaultParagraphFont"/>
    <w:semiHidden/>
    <w:rsid w:val="002B2CFC"/>
  </w:style>
  <w:style w:type="character" w:customStyle="1" w:styleId="Heading2Char">
    <w:name w:val="Heading 2 Char"/>
    <w:rsid w:val="002B2CFC"/>
    <w:rPr>
      <w:rFonts w:ascii="Arial" w:hAnsi="Arial" w:cs="Arial"/>
      <w:b/>
      <w:bCs/>
      <w:i/>
      <w:iCs/>
      <w:sz w:val="28"/>
      <w:szCs w:val="28"/>
      <w:lang w:val="en-US" w:eastAsia="en-US" w:bidi="ar-SA"/>
    </w:rPr>
  </w:style>
  <w:style w:type="paragraph" w:customStyle="1" w:styleId="Document">
    <w:name w:val="Document"/>
    <w:basedOn w:val="Normal"/>
    <w:semiHidden/>
    <w:rsid w:val="002B2CFC"/>
    <w:pPr>
      <w:spacing w:before="120" w:after="120"/>
      <w:jc w:val="center"/>
    </w:pPr>
    <w:rPr>
      <w:b/>
      <w:bCs/>
      <w:sz w:val="36"/>
      <w:szCs w:val="36"/>
    </w:rPr>
  </w:style>
  <w:style w:type="character" w:customStyle="1" w:styleId="title1">
    <w:name w:val="title1"/>
    <w:semiHidden/>
    <w:rsid w:val="002B2CFC"/>
    <w:rPr>
      <w:color w:val="9A0C2E"/>
    </w:rPr>
  </w:style>
  <w:style w:type="character" w:customStyle="1" w:styleId="source1">
    <w:name w:val="source1"/>
    <w:semiHidden/>
    <w:rsid w:val="002B2CFC"/>
    <w:rPr>
      <w:i/>
      <w:iCs/>
    </w:rPr>
  </w:style>
  <w:style w:type="paragraph" w:customStyle="1" w:styleId="copyright2">
    <w:name w:val="copyright2"/>
    <w:basedOn w:val="Normal"/>
    <w:semiHidden/>
    <w:rsid w:val="002B2CFC"/>
    <w:pPr>
      <w:spacing w:after="120" w:line="312" w:lineRule="atLeast"/>
    </w:pPr>
    <w:rPr>
      <w:color w:val="A3A2A2"/>
      <w:sz w:val="26"/>
      <w:szCs w:val="26"/>
    </w:rPr>
  </w:style>
  <w:style w:type="paragraph" w:customStyle="1" w:styleId="articlecategory5">
    <w:name w:val="articlecategory5"/>
    <w:basedOn w:val="Normal"/>
    <w:semiHidden/>
    <w:rsid w:val="002B2CFC"/>
    <w:pPr>
      <w:shd w:val="clear" w:color="auto" w:fill="FFFFFF"/>
      <w:spacing w:after="120" w:line="312" w:lineRule="atLeast"/>
    </w:pPr>
    <w:rPr>
      <w:b/>
      <w:bCs/>
      <w:color w:val="A3A2A2"/>
      <w:sz w:val="29"/>
      <w:szCs w:val="29"/>
    </w:rPr>
  </w:style>
  <w:style w:type="paragraph" w:customStyle="1" w:styleId="Char1">
    <w:name w:val="Char1"/>
    <w:basedOn w:val="Normal"/>
    <w:rsid w:val="002B2CFC"/>
    <w:rPr>
      <w:rFonts w:ascii="Arial" w:hAnsi="Arial" w:cs="Arial"/>
      <w:sz w:val="22"/>
      <w:szCs w:val="22"/>
      <w:lang w:eastAsia="en-US"/>
    </w:rPr>
  </w:style>
  <w:style w:type="character" w:customStyle="1" w:styleId="Heading2Char1">
    <w:name w:val="Heading 2 Char1"/>
    <w:link w:val="Heading2"/>
    <w:rsid w:val="00385097"/>
    <w:rPr>
      <w:b/>
      <w:i/>
      <w:sz w:val="24"/>
    </w:rPr>
  </w:style>
  <w:style w:type="character" w:styleId="HTMLCite">
    <w:name w:val="HTML Cite"/>
    <w:rsid w:val="002B2CFC"/>
    <w:rPr>
      <w:i/>
      <w:iCs/>
    </w:rPr>
  </w:style>
  <w:style w:type="character" w:customStyle="1" w:styleId="cit-authcit-auth-type-author">
    <w:name w:val="cit-auth cit-auth-type-author"/>
    <w:basedOn w:val="DefaultParagraphFont"/>
    <w:rsid w:val="002B2CFC"/>
  </w:style>
  <w:style w:type="character" w:customStyle="1" w:styleId="cit-sepcit-sep-separator">
    <w:name w:val="cit-sep cit-sep-separator"/>
    <w:basedOn w:val="DefaultParagraphFont"/>
    <w:rsid w:val="002B2CFC"/>
  </w:style>
  <w:style w:type="character" w:customStyle="1" w:styleId="cit-sepcit-sep-last-separator">
    <w:name w:val="cit-sep cit-sep-last-separator"/>
    <w:basedOn w:val="DefaultParagraphFont"/>
    <w:rsid w:val="002B2CFC"/>
  </w:style>
  <w:style w:type="character" w:customStyle="1" w:styleId="cit-print-date">
    <w:name w:val="cit-print-date"/>
    <w:basedOn w:val="DefaultParagraphFont"/>
    <w:rsid w:val="002B2CFC"/>
  </w:style>
  <w:style w:type="character" w:customStyle="1" w:styleId="cit-vol">
    <w:name w:val="cit-vol"/>
    <w:basedOn w:val="DefaultParagraphFont"/>
    <w:rsid w:val="002B2CFC"/>
  </w:style>
  <w:style w:type="character" w:customStyle="1" w:styleId="cit-issue">
    <w:name w:val="cit-issue"/>
    <w:basedOn w:val="DefaultParagraphFont"/>
    <w:rsid w:val="002B2CFC"/>
  </w:style>
  <w:style w:type="character" w:customStyle="1" w:styleId="cit-sepcit-sep-before-article-issue">
    <w:name w:val="cit-sep cit-sep-before-article-issue"/>
    <w:basedOn w:val="DefaultParagraphFont"/>
    <w:rsid w:val="002B2CFC"/>
  </w:style>
  <w:style w:type="character" w:customStyle="1" w:styleId="cit-sepcit-sep-after-article-issue">
    <w:name w:val="cit-sep cit-sep-after-article-issue"/>
    <w:basedOn w:val="DefaultParagraphFont"/>
    <w:rsid w:val="002B2CFC"/>
  </w:style>
  <w:style w:type="character" w:customStyle="1" w:styleId="cit-first-page">
    <w:name w:val="cit-first-page"/>
    <w:basedOn w:val="DefaultParagraphFont"/>
    <w:rsid w:val="002B2CFC"/>
  </w:style>
  <w:style w:type="character" w:customStyle="1" w:styleId="cit-sep2">
    <w:name w:val="cit-sep2"/>
    <w:basedOn w:val="DefaultParagraphFont"/>
    <w:rsid w:val="002B2CFC"/>
  </w:style>
  <w:style w:type="character" w:customStyle="1" w:styleId="cit-last-page">
    <w:name w:val="cit-last-page"/>
    <w:basedOn w:val="DefaultParagraphFont"/>
    <w:rsid w:val="002B2CFC"/>
  </w:style>
  <w:style w:type="character" w:customStyle="1" w:styleId="CommentTextChar">
    <w:name w:val="Comment Text Char"/>
    <w:link w:val="CommentText"/>
    <w:uiPriority w:val="99"/>
    <w:semiHidden/>
    <w:rsid w:val="002B2CFC"/>
  </w:style>
  <w:style w:type="paragraph" w:customStyle="1" w:styleId="Tableheader">
    <w:name w:val="Table header"/>
    <w:basedOn w:val="Table"/>
    <w:link w:val="TableheaderChar"/>
    <w:rsid w:val="002B2CFC"/>
    <w:pPr>
      <w:spacing w:before="120"/>
      <w:jc w:val="center"/>
    </w:pPr>
    <w:rPr>
      <w:b/>
    </w:rPr>
  </w:style>
  <w:style w:type="character" w:customStyle="1" w:styleId="TableheaderChar">
    <w:name w:val="Table header Char"/>
    <w:link w:val="Tableheader"/>
    <w:rsid w:val="002B2CFC"/>
    <w:rPr>
      <w:b/>
    </w:rPr>
  </w:style>
  <w:style w:type="character" w:customStyle="1" w:styleId="CommentSubjectChar">
    <w:name w:val="Comment Subject Char"/>
    <w:link w:val="CommentSubject"/>
    <w:uiPriority w:val="99"/>
    <w:semiHidden/>
    <w:rsid w:val="002B2CFC"/>
    <w:rPr>
      <w:b/>
      <w:bCs/>
    </w:rPr>
  </w:style>
  <w:style w:type="character" w:customStyle="1" w:styleId="BalloonTextChar">
    <w:name w:val="Balloon Text Char"/>
    <w:link w:val="BalloonText"/>
    <w:uiPriority w:val="99"/>
    <w:semiHidden/>
    <w:rsid w:val="002B2CFC"/>
    <w:rPr>
      <w:rFonts w:ascii="Tahoma" w:hAnsi="Tahoma" w:cs="Tahoma"/>
      <w:sz w:val="16"/>
      <w:szCs w:val="16"/>
    </w:rPr>
  </w:style>
  <w:style w:type="numbering" w:customStyle="1" w:styleId="NoList11">
    <w:name w:val="No List11"/>
    <w:next w:val="NoList"/>
    <w:uiPriority w:val="99"/>
    <w:semiHidden/>
    <w:unhideWhenUsed/>
    <w:rsid w:val="002B2CFC"/>
  </w:style>
  <w:style w:type="table" w:customStyle="1" w:styleId="TableGrid1">
    <w:name w:val="Table Grid1"/>
    <w:basedOn w:val="TableNormal"/>
    <w:next w:val="TableGrid"/>
    <w:uiPriority w:val="59"/>
    <w:rsid w:val="002B2CFC"/>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2B2CFC"/>
  </w:style>
  <w:style w:type="table" w:customStyle="1" w:styleId="TableGrid2">
    <w:name w:val="Table Grid2"/>
    <w:basedOn w:val="TableNormal"/>
    <w:next w:val="TableGrid"/>
    <w:uiPriority w:val="59"/>
    <w:rsid w:val="002B2CFC"/>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B2CFC"/>
    <w:rPr>
      <w:sz w:val="24"/>
      <w:szCs w:val="24"/>
    </w:rPr>
  </w:style>
  <w:style w:type="paragraph" w:customStyle="1" w:styleId="Default">
    <w:name w:val="Default"/>
    <w:rsid w:val="004D4701"/>
    <w:pPr>
      <w:autoSpaceDE w:val="0"/>
      <w:autoSpaceDN w:val="0"/>
      <w:adjustRightInd w:val="0"/>
    </w:pPr>
    <w:rPr>
      <w:rFonts w:ascii="Arial" w:hAnsi="Arial" w:cs="Arial"/>
      <w:color w:val="000000"/>
      <w:sz w:val="24"/>
      <w:szCs w:val="24"/>
    </w:rPr>
  </w:style>
  <w:style w:type="character" w:customStyle="1" w:styleId="textboldarial101">
    <w:name w:val="textboldarial101"/>
    <w:basedOn w:val="DefaultParagraphFont"/>
    <w:rsid w:val="004B6483"/>
    <w:rPr>
      <w:b/>
      <w:bCs/>
    </w:rPr>
  </w:style>
  <w:style w:type="paragraph" w:styleId="TOCHeading">
    <w:name w:val="TOC Heading"/>
    <w:basedOn w:val="Heading1"/>
    <w:next w:val="Normal"/>
    <w:uiPriority w:val="39"/>
    <w:semiHidden/>
    <w:unhideWhenUsed/>
    <w:qFormat/>
    <w:rsid w:val="00C02D86"/>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customStyle="1" w:styleId="Style1">
    <w:name w:val="Style1"/>
    <w:basedOn w:val="Normal"/>
    <w:next w:val="Normal"/>
    <w:link w:val="Style1Char"/>
    <w:qFormat/>
    <w:rsid w:val="00385097"/>
    <w:pPr>
      <w:keepNext/>
      <w:tabs>
        <w:tab w:val="num" w:pos="432"/>
        <w:tab w:val="left" w:pos="1440"/>
      </w:tabs>
      <w:spacing w:after="240"/>
      <w:ind w:left="431" w:hanging="431"/>
      <w:outlineLvl w:val="0"/>
    </w:pPr>
    <w:rPr>
      <w:b/>
      <w:caps/>
    </w:rPr>
  </w:style>
  <w:style w:type="character" w:customStyle="1" w:styleId="Style1Char">
    <w:name w:val="Style1 Char"/>
    <w:basedOn w:val="DefaultParagraphFont"/>
    <w:link w:val="Style1"/>
    <w:rsid w:val="00385097"/>
    <w:rPr>
      <w:b/>
      <w:caps/>
      <w:sz w:val="24"/>
    </w:rPr>
  </w:style>
  <w:style w:type="paragraph" w:styleId="FootnoteText">
    <w:name w:val="footnote text"/>
    <w:basedOn w:val="Normal"/>
    <w:link w:val="FootnoteTextChar"/>
    <w:rsid w:val="004E13D7"/>
    <w:rPr>
      <w:sz w:val="20"/>
    </w:rPr>
  </w:style>
  <w:style w:type="character" w:customStyle="1" w:styleId="FootnoteTextChar">
    <w:name w:val="Footnote Text Char"/>
    <w:basedOn w:val="DefaultParagraphFont"/>
    <w:link w:val="FootnoteText"/>
    <w:rsid w:val="004E13D7"/>
  </w:style>
  <w:style w:type="character" w:styleId="FootnoteReference">
    <w:name w:val="footnote reference"/>
    <w:basedOn w:val="DefaultParagraphFont"/>
    <w:rsid w:val="004E13D7"/>
    <w:rPr>
      <w:vertAlign w:val="superscript"/>
    </w:rPr>
  </w:style>
  <w:style w:type="character" w:customStyle="1" w:styleId="BodyTextChar">
    <w:name w:val="Body Text Char"/>
    <w:basedOn w:val="DefaultParagraphFont"/>
    <w:link w:val="BodyText"/>
    <w:rsid w:val="00B256D2"/>
    <w:rPr>
      <w:b/>
      <w:i/>
      <w:sz w:val="24"/>
    </w:rPr>
  </w:style>
  <w:style w:type="character" w:customStyle="1" w:styleId="BodyText2Char">
    <w:name w:val="Body Text 2 Char"/>
    <w:basedOn w:val="DefaultParagraphFont"/>
    <w:link w:val="BodyText2"/>
    <w:rsid w:val="00A41403"/>
    <w:rPr>
      <w:b/>
      <w:sz w:val="24"/>
    </w:rPr>
  </w:style>
  <w:style w:type="character" w:customStyle="1" w:styleId="Heading1Char">
    <w:name w:val="Heading 1 Char"/>
    <w:basedOn w:val="DefaultParagraphFont"/>
    <w:link w:val="Heading1"/>
    <w:rsid w:val="00385097"/>
    <w:rPr>
      <w:rFonts w:ascii="Times New Roman Bold" w:hAnsi="Times New Roman Bold"/>
      <w:b/>
      <w:caps/>
      <w:sz w:val="24"/>
    </w:rPr>
  </w:style>
  <w:style w:type="character" w:customStyle="1" w:styleId="HeaderChar">
    <w:name w:val="Header Char"/>
    <w:basedOn w:val="DefaultParagraphFont"/>
    <w:link w:val="Header"/>
    <w:uiPriority w:val="99"/>
    <w:rsid w:val="00C01923"/>
    <w:rPr>
      <w:sz w:val="24"/>
    </w:rPr>
  </w:style>
  <w:style w:type="character" w:customStyle="1" w:styleId="DateChar">
    <w:name w:val="Date Char"/>
    <w:basedOn w:val="DefaultParagraphFont"/>
    <w:link w:val="Date"/>
    <w:rsid w:val="00C01923"/>
    <w:rPr>
      <w:sz w:val="24"/>
    </w:rPr>
  </w:style>
  <w:style w:type="paragraph" w:customStyle="1" w:styleId="Part">
    <w:name w:val="Part"/>
    <w:basedOn w:val="Normal"/>
    <w:next w:val="Normal"/>
    <w:link w:val="PartChar"/>
    <w:qFormat/>
    <w:rsid w:val="00385097"/>
    <w:pPr>
      <w:spacing w:before="120" w:after="120"/>
      <w:outlineLvl w:val="0"/>
    </w:pPr>
    <w:rPr>
      <w:rFonts w:ascii="Times New Roman Bold" w:hAnsi="Times New Roman Bold"/>
      <w:b/>
      <w:caps/>
    </w:rPr>
  </w:style>
  <w:style w:type="character" w:customStyle="1" w:styleId="PartChar">
    <w:name w:val="Part Char"/>
    <w:basedOn w:val="DefaultParagraphFont"/>
    <w:link w:val="Part"/>
    <w:rsid w:val="00FC749B"/>
    <w:rPr>
      <w:rFonts w:ascii="Times New Roman Bold" w:hAnsi="Times New Roman Bold"/>
      <w:b/>
      <w:caps/>
      <w:sz w:val="24"/>
    </w:rPr>
  </w:style>
  <w:style w:type="character" w:customStyle="1" w:styleId="Heading3Char">
    <w:name w:val="Heading 3 Char"/>
    <w:basedOn w:val="DefaultParagraphFont"/>
    <w:link w:val="Heading3"/>
    <w:rsid w:val="0005512A"/>
    <w:rPr>
      <w:b/>
      <w:sz w:val="24"/>
    </w:rPr>
  </w:style>
  <w:style w:type="character" w:customStyle="1" w:styleId="Heading4Char">
    <w:name w:val="Heading 4 Char"/>
    <w:basedOn w:val="DefaultParagraphFont"/>
    <w:link w:val="Heading4"/>
    <w:rsid w:val="0005512A"/>
    <w:rPr>
      <w:i/>
      <w:sz w:val="24"/>
    </w:rPr>
  </w:style>
  <w:style w:type="character" w:customStyle="1" w:styleId="Heading5Char">
    <w:name w:val="Heading 5 Char"/>
    <w:basedOn w:val="DefaultParagraphFont"/>
    <w:link w:val="Heading5"/>
    <w:rsid w:val="0005512A"/>
    <w:rPr>
      <w:b/>
      <w:sz w:val="24"/>
    </w:rPr>
  </w:style>
  <w:style w:type="character" w:customStyle="1" w:styleId="Heading6Char">
    <w:name w:val="Heading 6 Char"/>
    <w:basedOn w:val="DefaultParagraphFont"/>
    <w:link w:val="Heading6"/>
    <w:rsid w:val="0005512A"/>
    <w:rPr>
      <w:i/>
      <w:sz w:val="24"/>
    </w:rPr>
  </w:style>
  <w:style w:type="character" w:customStyle="1" w:styleId="Heading7Char">
    <w:name w:val="Heading 7 Char"/>
    <w:basedOn w:val="DefaultParagraphFont"/>
    <w:link w:val="Heading7"/>
    <w:rsid w:val="0005512A"/>
    <w:rPr>
      <w:i/>
      <w:sz w:val="24"/>
    </w:rPr>
  </w:style>
  <w:style w:type="character" w:customStyle="1" w:styleId="Heading8Char">
    <w:name w:val="Heading 8 Char"/>
    <w:basedOn w:val="DefaultParagraphFont"/>
    <w:link w:val="Heading8"/>
    <w:rsid w:val="0005512A"/>
    <w:rPr>
      <w:b/>
      <w:sz w:val="24"/>
    </w:rPr>
  </w:style>
  <w:style w:type="character" w:customStyle="1" w:styleId="Heading9Char">
    <w:name w:val="Heading 9 Char"/>
    <w:basedOn w:val="DefaultParagraphFont"/>
    <w:link w:val="Heading9"/>
    <w:rsid w:val="0005512A"/>
    <w:rPr>
      <w:b/>
    </w:rPr>
  </w:style>
  <w:style w:type="character" w:customStyle="1" w:styleId="BodyText3Char">
    <w:name w:val="Body Text 3 Char"/>
    <w:basedOn w:val="DefaultParagraphFont"/>
    <w:link w:val="BodyText3"/>
    <w:rsid w:val="0005512A"/>
    <w:rPr>
      <w:b/>
      <w:sz w:val="24"/>
      <w:lang w:val="en-GB"/>
    </w:rPr>
  </w:style>
  <w:style w:type="character" w:customStyle="1" w:styleId="BodyTextIndentChar">
    <w:name w:val="Body Text Indent Char"/>
    <w:basedOn w:val="DefaultParagraphFont"/>
    <w:link w:val="BodyTextIndent"/>
    <w:rsid w:val="0005512A"/>
    <w:rPr>
      <w:sz w:val="24"/>
      <w:lang w:val="en-US"/>
    </w:rPr>
  </w:style>
  <w:style w:type="table" w:styleId="LightList-Accent1">
    <w:name w:val="Light List Accent 1"/>
    <w:basedOn w:val="TableNormal"/>
    <w:uiPriority w:val="61"/>
    <w:rsid w:val="001D130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6831">
      <w:bodyDiv w:val="1"/>
      <w:marLeft w:val="0"/>
      <w:marRight w:val="0"/>
      <w:marTop w:val="0"/>
      <w:marBottom w:val="0"/>
      <w:divBdr>
        <w:top w:val="none" w:sz="0" w:space="0" w:color="auto"/>
        <w:left w:val="none" w:sz="0" w:space="0" w:color="auto"/>
        <w:bottom w:val="none" w:sz="0" w:space="0" w:color="auto"/>
        <w:right w:val="none" w:sz="0" w:space="0" w:color="auto"/>
      </w:divBdr>
    </w:div>
    <w:div w:id="63066886">
      <w:bodyDiv w:val="1"/>
      <w:marLeft w:val="0"/>
      <w:marRight w:val="0"/>
      <w:marTop w:val="0"/>
      <w:marBottom w:val="0"/>
      <w:divBdr>
        <w:top w:val="none" w:sz="0" w:space="0" w:color="auto"/>
        <w:left w:val="none" w:sz="0" w:space="0" w:color="auto"/>
        <w:bottom w:val="none" w:sz="0" w:space="0" w:color="auto"/>
        <w:right w:val="none" w:sz="0" w:space="0" w:color="auto"/>
      </w:divBdr>
    </w:div>
    <w:div w:id="64962488">
      <w:bodyDiv w:val="1"/>
      <w:marLeft w:val="0"/>
      <w:marRight w:val="0"/>
      <w:marTop w:val="0"/>
      <w:marBottom w:val="0"/>
      <w:divBdr>
        <w:top w:val="none" w:sz="0" w:space="0" w:color="auto"/>
        <w:left w:val="none" w:sz="0" w:space="0" w:color="auto"/>
        <w:bottom w:val="none" w:sz="0" w:space="0" w:color="auto"/>
        <w:right w:val="none" w:sz="0" w:space="0" w:color="auto"/>
      </w:divBdr>
    </w:div>
    <w:div w:id="67773121">
      <w:bodyDiv w:val="1"/>
      <w:marLeft w:val="0"/>
      <w:marRight w:val="0"/>
      <w:marTop w:val="0"/>
      <w:marBottom w:val="0"/>
      <w:divBdr>
        <w:top w:val="none" w:sz="0" w:space="0" w:color="auto"/>
        <w:left w:val="none" w:sz="0" w:space="0" w:color="auto"/>
        <w:bottom w:val="none" w:sz="0" w:space="0" w:color="auto"/>
        <w:right w:val="none" w:sz="0" w:space="0" w:color="auto"/>
      </w:divBdr>
    </w:div>
    <w:div w:id="75369760">
      <w:bodyDiv w:val="1"/>
      <w:marLeft w:val="0"/>
      <w:marRight w:val="0"/>
      <w:marTop w:val="0"/>
      <w:marBottom w:val="0"/>
      <w:divBdr>
        <w:top w:val="none" w:sz="0" w:space="0" w:color="auto"/>
        <w:left w:val="none" w:sz="0" w:space="0" w:color="auto"/>
        <w:bottom w:val="none" w:sz="0" w:space="0" w:color="auto"/>
        <w:right w:val="none" w:sz="0" w:space="0" w:color="auto"/>
      </w:divBdr>
    </w:div>
    <w:div w:id="85465764">
      <w:bodyDiv w:val="1"/>
      <w:marLeft w:val="0"/>
      <w:marRight w:val="0"/>
      <w:marTop w:val="0"/>
      <w:marBottom w:val="0"/>
      <w:divBdr>
        <w:top w:val="none" w:sz="0" w:space="0" w:color="auto"/>
        <w:left w:val="none" w:sz="0" w:space="0" w:color="auto"/>
        <w:bottom w:val="none" w:sz="0" w:space="0" w:color="auto"/>
        <w:right w:val="none" w:sz="0" w:space="0" w:color="auto"/>
      </w:divBdr>
      <w:divsChild>
        <w:div w:id="1535462010">
          <w:marLeft w:val="0"/>
          <w:marRight w:val="0"/>
          <w:marTop w:val="0"/>
          <w:marBottom w:val="0"/>
          <w:divBdr>
            <w:top w:val="none" w:sz="0" w:space="0" w:color="auto"/>
            <w:left w:val="none" w:sz="0" w:space="0" w:color="auto"/>
            <w:bottom w:val="none" w:sz="0" w:space="0" w:color="auto"/>
            <w:right w:val="none" w:sz="0" w:space="0" w:color="auto"/>
          </w:divBdr>
        </w:div>
      </w:divsChild>
    </w:div>
    <w:div w:id="91365818">
      <w:bodyDiv w:val="1"/>
      <w:marLeft w:val="0"/>
      <w:marRight w:val="0"/>
      <w:marTop w:val="0"/>
      <w:marBottom w:val="0"/>
      <w:divBdr>
        <w:top w:val="none" w:sz="0" w:space="0" w:color="auto"/>
        <w:left w:val="none" w:sz="0" w:space="0" w:color="auto"/>
        <w:bottom w:val="none" w:sz="0" w:space="0" w:color="auto"/>
        <w:right w:val="none" w:sz="0" w:space="0" w:color="auto"/>
      </w:divBdr>
    </w:div>
    <w:div w:id="135148834">
      <w:bodyDiv w:val="1"/>
      <w:marLeft w:val="0"/>
      <w:marRight w:val="0"/>
      <w:marTop w:val="0"/>
      <w:marBottom w:val="0"/>
      <w:divBdr>
        <w:top w:val="none" w:sz="0" w:space="0" w:color="auto"/>
        <w:left w:val="none" w:sz="0" w:space="0" w:color="auto"/>
        <w:bottom w:val="none" w:sz="0" w:space="0" w:color="auto"/>
        <w:right w:val="none" w:sz="0" w:space="0" w:color="auto"/>
      </w:divBdr>
    </w:div>
    <w:div w:id="320160171">
      <w:bodyDiv w:val="1"/>
      <w:marLeft w:val="0"/>
      <w:marRight w:val="0"/>
      <w:marTop w:val="0"/>
      <w:marBottom w:val="0"/>
      <w:divBdr>
        <w:top w:val="none" w:sz="0" w:space="0" w:color="auto"/>
        <w:left w:val="none" w:sz="0" w:space="0" w:color="auto"/>
        <w:bottom w:val="none" w:sz="0" w:space="0" w:color="auto"/>
        <w:right w:val="none" w:sz="0" w:space="0" w:color="auto"/>
      </w:divBdr>
    </w:div>
    <w:div w:id="397170859">
      <w:bodyDiv w:val="1"/>
      <w:marLeft w:val="0"/>
      <w:marRight w:val="0"/>
      <w:marTop w:val="0"/>
      <w:marBottom w:val="0"/>
      <w:divBdr>
        <w:top w:val="none" w:sz="0" w:space="0" w:color="auto"/>
        <w:left w:val="none" w:sz="0" w:space="0" w:color="auto"/>
        <w:bottom w:val="none" w:sz="0" w:space="0" w:color="auto"/>
        <w:right w:val="none" w:sz="0" w:space="0" w:color="auto"/>
      </w:divBdr>
      <w:divsChild>
        <w:div w:id="1381856835">
          <w:marLeft w:val="0"/>
          <w:marRight w:val="0"/>
          <w:marTop w:val="0"/>
          <w:marBottom w:val="0"/>
          <w:divBdr>
            <w:top w:val="none" w:sz="0" w:space="0" w:color="auto"/>
            <w:left w:val="none" w:sz="0" w:space="0" w:color="auto"/>
            <w:bottom w:val="none" w:sz="0" w:space="0" w:color="auto"/>
            <w:right w:val="none" w:sz="0" w:space="0" w:color="auto"/>
          </w:divBdr>
        </w:div>
      </w:divsChild>
    </w:div>
    <w:div w:id="405495768">
      <w:bodyDiv w:val="1"/>
      <w:marLeft w:val="0"/>
      <w:marRight w:val="0"/>
      <w:marTop w:val="0"/>
      <w:marBottom w:val="0"/>
      <w:divBdr>
        <w:top w:val="none" w:sz="0" w:space="0" w:color="auto"/>
        <w:left w:val="none" w:sz="0" w:space="0" w:color="auto"/>
        <w:bottom w:val="none" w:sz="0" w:space="0" w:color="auto"/>
        <w:right w:val="none" w:sz="0" w:space="0" w:color="auto"/>
      </w:divBdr>
    </w:div>
    <w:div w:id="460077281">
      <w:bodyDiv w:val="1"/>
      <w:marLeft w:val="0"/>
      <w:marRight w:val="0"/>
      <w:marTop w:val="0"/>
      <w:marBottom w:val="0"/>
      <w:divBdr>
        <w:top w:val="none" w:sz="0" w:space="0" w:color="auto"/>
        <w:left w:val="none" w:sz="0" w:space="0" w:color="auto"/>
        <w:bottom w:val="none" w:sz="0" w:space="0" w:color="auto"/>
        <w:right w:val="none" w:sz="0" w:space="0" w:color="auto"/>
      </w:divBdr>
    </w:div>
    <w:div w:id="531721724">
      <w:bodyDiv w:val="1"/>
      <w:marLeft w:val="0"/>
      <w:marRight w:val="0"/>
      <w:marTop w:val="0"/>
      <w:marBottom w:val="0"/>
      <w:divBdr>
        <w:top w:val="none" w:sz="0" w:space="0" w:color="auto"/>
        <w:left w:val="none" w:sz="0" w:space="0" w:color="auto"/>
        <w:bottom w:val="none" w:sz="0" w:space="0" w:color="auto"/>
        <w:right w:val="none" w:sz="0" w:space="0" w:color="auto"/>
      </w:divBdr>
      <w:divsChild>
        <w:div w:id="1228228371">
          <w:marLeft w:val="0"/>
          <w:marRight w:val="0"/>
          <w:marTop w:val="0"/>
          <w:marBottom w:val="0"/>
          <w:divBdr>
            <w:top w:val="none" w:sz="0" w:space="0" w:color="auto"/>
            <w:left w:val="none" w:sz="0" w:space="0" w:color="auto"/>
            <w:bottom w:val="none" w:sz="0" w:space="0" w:color="auto"/>
            <w:right w:val="none" w:sz="0" w:space="0" w:color="auto"/>
          </w:divBdr>
        </w:div>
      </w:divsChild>
    </w:div>
    <w:div w:id="573197356">
      <w:bodyDiv w:val="1"/>
      <w:marLeft w:val="0"/>
      <w:marRight w:val="0"/>
      <w:marTop w:val="0"/>
      <w:marBottom w:val="0"/>
      <w:divBdr>
        <w:top w:val="none" w:sz="0" w:space="0" w:color="auto"/>
        <w:left w:val="none" w:sz="0" w:space="0" w:color="auto"/>
        <w:bottom w:val="none" w:sz="0" w:space="0" w:color="auto"/>
        <w:right w:val="none" w:sz="0" w:space="0" w:color="auto"/>
      </w:divBdr>
    </w:div>
    <w:div w:id="593365630">
      <w:bodyDiv w:val="1"/>
      <w:marLeft w:val="0"/>
      <w:marRight w:val="0"/>
      <w:marTop w:val="0"/>
      <w:marBottom w:val="0"/>
      <w:divBdr>
        <w:top w:val="none" w:sz="0" w:space="0" w:color="auto"/>
        <w:left w:val="none" w:sz="0" w:space="0" w:color="auto"/>
        <w:bottom w:val="none" w:sz="0" w:space="0" w:color="auto"/>
        <w:right w:val="none" w:sz="0" w:space="0" w:color="auto"/>
      </w:divBdr>
      <w:divsChild>
        <w:div w:id="152187772">
          <w:marLeft w:val="0"/>
          <w:marRight w:val="0"/>
          <w:marTop w:val="0"/>
          <w:marBottom w:val="0"/>
          <w:divBdr>
            <w:top w:val="none" w:sz="0" w:space="0" w:color="auto"/>
            <w:left w:val="none" w:sz="0" w:space="0" w:color="auto"/>
            <w:bottom w:val="none" w:sz="0" w:space="0" w:color="auto"/>
            <w:right w:val="none" w:sz="0" w:space="0" w:color="auto"/>
          </w:divBdr>
        </w:div>
      </w:divsChild>
    </w:div>
    <w:div w:id="602227256">
      <w:bodyDiv w:val="1"/>
      <w:marLeft w:val="0"/>
      <w:marRight w:val="0"/>
      <w:marTop w:val="0"/>
      <w:marBottom w:val="0"/>
      <w:divBdr>
        <w:top w:val="none" w:sz="0" w:space="0" w:color="auto"/>
        <w:left w:val="none" w:sz="0" w:space="0" w:color="auto"/>
        <w:bottom w:val="none" w:sz="0" w:space="0" w:color="auto"/>
        <w:right w:val="none" w:sz="0" w:space="0" w:color="auto"/>
      </w:divBdr>
      <w:divsChild>
        <w:div w:id="1295210550">
          <w:marLeft w:val="120"/>
          <w:marRight w:val="120"/>
          <w:marTop w:val="0"/>
          <w:marBottom w:val="0"/>
          <w:divBdr>
            <w:top w:val="none" w:sz="0" w:space="0" w:color="auto"/>
            <w:left w:val="none" w:sz="0" w:space="0" w:color="auto"/>
            <w:bottom w:val="none" w:sz="0" w:space="0" w:color="auto"/>
            <w:right w:val="none" w:sz="0" w:space="0" w:color="auto"/>
          </w:divBdr>
          <w:divsChild>
            <w:div w:id="1067456462">
              <w:marLeft w:val="0"/>
              <w:marRight w:val="0"/>
              <w:marTop w:val="0"/>
              <w:marBottom w:val="0"/>
              <w:divBdr>
                <w:top w:val="none" w:sz="0" w:space="0" w:color="auto"/>
                <w:left w:val="none" w:sz="0" w:space="0" w:color="auto"/>
                <w:bottom w:val="none" w:sz="0" w:space="0" w:color="auto"/>
                <w:right w:val="none" w:sz="0" w:space="0" w:color="auto"/>
              </w:divBdr>
              <w:divsChild>
                <w:div w:id="282736649">
                  <w:marLeft w:val="0"/>
                  <w:marRight w:val="0"/>
                  <w:marTop w:val="72"/>
                  <w:marBottom w:val="0"/>
                  <w:divBdr>
                    <w:top w:val="none" w:sz="0" w:space="0" w:color="auto"/>
                    <w:left w:val="none" w:sz="0" w:space="0" w:color="auto"/>
                    <w:bottom w:val="none" w:sz="0" w:space="0" w:color="auto"/>
                    <w:right w:val="none" w:sz="0" w:space="0" w:color="auto"/>
                  </w:divBdr>
                  <w:divsChild>
                    <w:div w:id="1623922053">
                      <w:marLeft w:val="0"/>
                      <w:marRight w:val="0"/>
                      <w:marTop w:val="0"/>
                      <w:marBottom w:val="0"/>
                      <w:divBdr>
                        <w:top w:val="none" w:sz="0" w:space="0" w:color="auto"/>
                        <w:left w:val="none" w:sz="0" w:space="0" w:color="auto"/>
                        <w:bottom w:val="none" w:sz="0" w:space="0" w:color="auto"/>
                        <w:right w:val="none" w:sz="0" w:space="0" w:color="auto"/>
                      </w:divBdr>
                      <w:divsChild>
                        <w:div w:id="99025743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1570923">
      <w:bodyDiv w:val="1"/>
      <w:marLeft w:val="0"/>
      <w:marRight w:val="0"/>
      <w:marTop w:val="0"/>
      <w:marBottom w:val="0"/>
      <w:divBdr>
        <w:top w:val="none" w:sz="0" w:space="0" w:color="auto"/>
        <w:left w:val="none" w:sz="0" w:space="0" w:color="auto"/>
        <w:bottom w:val="none" w:sz="0" w:space="0" w:color="auto"/>
        <w:right w:val="none" w:sz="0" w:space="0" w:color="auto"/>
      </w:divBdr>
    </w:div>
    <w:div w:id="629746283">
      <w:bodyDiv w:val="1"/>
      <w:marLeft w:val="0"/>
      <w:marRight w:val="0"/>
      <w:marTop w:val="0"/>
      <w:marBottom w:val="0"/>
      <w:divBdr>
        <w:top w:val="none" w:sz="0" w:space="0" w:color="auto"/>
        <w:left w:val="none" w:sz="0" w:space="0" w:color="auto"/>
        <w:bottom w:val="none" w:sz="0" w:space="0" w:color="auto"/>
        <w:right w:val="none" w:sz="0" w:space="0" w:color="auto"/>
      </w:divBdr>
    </w:div>
    <w:div w:id="632490289">
      <w:bodyDiv w:val="1"/>
      <w:marLeft w:val="0"/>
      <w:marRight w:val="0"/>
      <w:marTop w:val="0"/>
      <w:marBottom w:val="0"/>
      <w:divBdr>
        <w:top w:val="none" w:sz="0" w:space="0" w:color="auto"/>
        <w:left w:val="none" w:sz="0" w:space="0" w:color="auto"/>
        <w:bottom w:val="none" w:sz="0" w:space="0" w:color="auto"/>
        <w:right w:val="none" w:sz="0" w:space="0" w:color="auto"/>
      </w:divBdr>
    </w:div>
    <w:div w:id="663321075">
      <w:bodyDiv w:val="1"/>
      <w:marLeft w:val="0"/>
      <w:marRight w:val="0"/>
      <w:marTop w:val="0"/>
      <w:marBottom w:val="0"/>
      <w:divBdr>
        <w:top w:val="none" w:sz="0" w:space="0" w:color="auto"/>
        <w:left w:val="none" w:sz="0" w:space="0" w:color="auto"/>
        <w:bottom w:val="none" w:sz="0" w:space="0" w:color="auto"/>
        <w:right w:val="none" w:sz="0" w:space="0" w:color="auto"/>
      </w:divBdr>
    </w:div>
    <w:div w:id="697704256">
      <w:bodyDiv w:val="1"/>
      <w:marLeft w:val="0"/>
      <w:marRight w:val="0"/>
      <w:marTop w:val="0"/>
      <w:marBottom w:val="0"/>
      <w:divBdr>
        <w:top w:val="none" w:sz="0" w:space="0" w:color="auto"/>
        <w:left w:val="none" w:sz="0" w:space="0" w:color="auto"/>
        <w:bottom w:val="none" w:sz="0" w:space="0" w:color="auto"/>
        <w:right w:val="none" w:sz="0" w:space="0" w:color="auto"/>
      </w:divBdr>
    </w:div>
    <w:div w:id="703025302">
      <w:bodyDiv w:val="1"/>
      <w:marLeft w:val="0"/>
      <w:marRight w:val="0"/>
      <w:marTop w:val="0"/>
      <w:marBottom w:val="0"/>
      <w:divBdr>
        <w:top w:val="none" w:sz="0" w:space="0" w:color="auto"/>
        <w:left w:val="none" w:sz="0" w:space="0" w:color="auto"/>
        <w:bottom w:val="none" w:sz="0" w:space="0" w:color="auto"/>
        <w:right w:val="none" w:sz="0" w:space="0" w:color="auto"/>
      </w:divBdr>
      <w:divsChild>
        <w:div w:id="725683306">
          <w:marLeft w:val="0"/>
          <w:marRight w:val="0"/>
          <w:marTop w:val="0"/>
          <w:marBottom w:val="0"/>
          <w:divBdr>
            <w:top w:val="none" w:sz="0" w:space="0" w:color="auto"/>
            <w:left w:val="none" w:sz="0" w:space="0" w:color="auto"/>
            <w:bottom w:val="none" w:sz="0" w:space="0" w:color="auto"/>
            <w:right w:val="none" w:sz="0" w:space="0" w:color="auto"/>
          </w:divBdr>
        </w:div>
      </w:divsChild>
    </w:div>
    <w:div w:id="734862618">
      <w:bodyDiv w:val="1"/>
      <w:marLeft w:val="0"/>
      <w:marRight w:val="0"/>
      <w:marTop w:val="0"/>
      <w:marBottom w:val="0"/>
      <w:divBdr>
        <w:top w:val="none" w:sz="0" w:space="0" w:color="auto"/>
        <w:left w:val="none" w:sz="0" w:space="0" w:color="auto"/>
        <w:bottom w:val="none" w:sz="0" w:space="0" w:color="auto"/>
        <w:right w:val="none" w:sz="0" w:space="0" w:color="auto"/>
      </w:divBdr>
    </w:div>
    <w:div w:id="773860444">
      <w:bodyDiv w:val="1"/>
      <w:marLeft w:val="0"/>
      <w:marRight w:val="0"/>
      <w:marTop w:val="0"/>
      <w:marBottom w:val="0"/>
      <w:divBdr>
        <w:top w:val="none" w:sz="0" w:space="0" w:color="auto"/>
        <w:left w:val="none" w:sz="0" w:space="0" w:color="auto"/>
        <w:bottom w:val="none" w:sz="0" w:space="0" w:color="auto"/>
        <w:right w:val="none" w:sz="0" w:space="0" w:color="auto"/>
      </w:divBdr>
      <w:divsChild>
        <w:div w:id="1636762299">
          <w:marLeft w:val="0"/>
          <w:marRight w:val="0"/>
          <w:marTop w:val="0"/>
          <w:marBottom w:val="0"/>
          <w:divBdr>
            <w:top w:val="none" w:sz="0" w:space="0" w:color="auto"/>
            <w:left w:val="none" w:sz="0" w:space="0" w:color="auto"/>
            <w:bottom w:val="none" w:sz="0" w:space="0" w:color="auto"/>
            <w:right w:val="none" w:sz="0" w:space="0" w:color="auto"/>
          </w:divBdr>
        </w:div>
      </w:divsChild>
    </w:div>
    <w:div w:id="794063006">
      <w:bodyDiv w:val="1"/>
      <w:marLeft w:val="0"/>
      <w:marRight w:val="0"/>
      <w:marTop w:val="0"/>
      <w:marBottom w:val="0"/>
      <w:divBdr>
        <w:top w:val="none" w:sz="0" w:space="0" w:color="auto"/>
        <w:left w:val="none" w:sz="0" w:space="0" w:color="auto"/>
        <w:bottom w:val="none" w:sz="0" w:space="0" w:color="auto"/>
        <w:right w:val="none" w:sz="0" w:space="0" w:color="auto"/>
      </w:divBdr>
    </w:div>
    <w:div w:id="817039819">
      <w:bodyDiv w:val="1"/>
      <w:marLeft w:val="0"/>
      <w:marRight w:val="0"/>
      <w:marTop w:val="0"/>
      <w:marBottom w:val="0"/>
      <w:divBdr>
        <w:top w:val="none" w:sz="0" w:space="0" w:color="auto"/>
        <w:left w:val="none" w:sz="0" w:space="0" w:color="auto"/>
        <w:bottom w:val="none" w:sz="0" w:space="0" w:color="auto"/>
        <w:right w:val="none" w:sz="0" w:space="0" w:color="auto"/>
      </w:divBdr>
    </w:div>
    <w:div w:id="823202650">
      <w:bodyDiv w:val="1"/>
      <w:marLeft w:val="0"/>
      <w:marRight w:val="0"/>
      <w:marTop w:val="0"/>
      <w:marBottom w:val="0"/>
      <w:divBdr>
        <w:top w:val="none" w:sz="0" w:space="0" w:color="auto"/>
        <w:left w:val="none" w:sz="0" w:space="0" w:color="auto"/>
        <w:bottom w:val="none" w:sz="0" w:space="0" w:color="auto"/>
        <w:right w:val="none" w:sz="0" w:space="0" w:color="auto"/>
      </w:divBdr>
    </w:div>
    <w:div w:id="853571735">
      <w:bodyDiv w:val="1"/>
      <w:marLeft w:val="0"/>
      <w:marRight w:val="0"/>
      <w:marTop w:val="0"/>
      <w:marBottom w:val="0"/>
      <w:divBdr>
        <w:top w:val="none" w:sz="0" w:space="0" w:color="auto"/>
        <w:left w:val="none" w:sz="0" w:space="0" w:color="auto"/>
        <w:bottom w:val="none" w:sz="0" w:space="0" w:color="auto"/>
        <w:right w:val="none" w:sz="0" w:space="0" w:color="auto"/>
      </w:divBdr>
    </w:div>
    <w:div w:id="909460473">
      <w:bodyDiv w:val="1"/>
      <w:marLeft w:val="0"/>
      <w:marRight w:val="0"/>
      <w:marTop w:val="0"/>
      <w:marBottom w:val="0"/>
      <w:divBdr>
        <w:top w:val="none" w:sz="0" w:space="0" w:color="auto"/>
        <w:left w:val="none" w:sz="0" w:space="0" w:color="auto"/>
        <w:bottom w:val="none" w:sz="0" w:space="0" w:color="auto"/>
        <w:right w:val="none" w:sz="0" w:space="0" w:color="auto"/>
      </w:divBdr>
    </w:div>
    <w:div w:id="916861056">
      <w:bodyDiv w:val="1"/>
      <w:marLeft w:val="0"/>
      <w:marRight w:val="0"/>
      <w:marTop w:val="0"/>
      <w:marBottom w:val="0"/>
      <w:divBdr>
        <w:top w:val="none" w:sz="0" w:space="0" w:color="auto"/>
        <w:left w:val="none" w:sz="0" w:space="0" w:color="auto"/>
        <w:bottom w:val="none" w:sz="0" w:space="0" w:color="auto"/>
        <w:right w:val="none" w:sz="0" w:space="0" w:color="auto"/>
      </w:divBdr>
      <w:divsChild>
        <w:div w:id="766122574">
          <w:marLeft w:val="120"/>
          <w:marRight w:val="120"/>
          <w:marTop w:val="0"/>
          <w:marBottom w:val="0"/>
          <w:divBdr>
            <w:top w:val="none" w:sz="0" w:space="0" w:color="auto"/>
            <w:left w:val="none" w:sz="0" w:space="0" w:color="auto"/>
            <w:bottom w:val="none" w:sz="0" w:space="0" w:color="auto"/>
            <w:right w:val="none" w:sz="0" w:space="0" w:color="auto"/>
          </w:divBdr>
          <w:divsChild>
            <w:div w:id="316963760">
              <w:marLeft w:val="0"/>
              <w:marRight w:val="0"/>
              <w:marTop w:val="0"/>
              <w:marBottom w:val="0"/>
              <w:divBdr>
                <w:top w:val="none" w:sz="0" w:space="0" w:color="auto"/>
                <w:left w:val="none" w:sz="0" w:space="0" w:color="auto"/>
                <w:bottom w:val="none" w:sz="0" w:space="0" w:color="auto"/>
                <w:right w:val="none" w:sz="0" w:space="0" w:color="auto"/>
              </w:divBdr>
              <w:divsChild>
                <w:div w:id="1397977323">
                  <w:marLeft w:val="0"/>
                  <w:marRight w:val="0"/>
                  <w:marTop w:val="72"/>
                  <w:marBottom w:val="0"/>
                  <w:divBdr>
                    <w:top w:val="none" w:sz="0" w:space="0" w:color="auto"/>
                    <w:left w:val="none" w:sz="0" w:space="0" w:color="auto"/>
                    <w:bottom w:val="none" w:sz="0" w:space="0" w:color="auto"/>
                    <w:right w:val="none" w:sz="0" w:space="0" w:color="auto"/>
                  </w:divBdr>
                  <w:divsChild>
                    <w:div w:id="947542922">
                      <w:marLeft w:val="0"/>
                      <w:marRight w:val="0"/>
                      <w:marTop w:val="0"/>
                      <w:marBottom w:val="0"/>
                      <w:divBdr>
                        <w:top w:val="none" w:sz="0" w:space="0" w:color="auto"/>
                        <w:left w:val="none" w:sz="0" w:space="0" w:color="auto"/>
                        <w:bottom w:val="none" w:sz="0" w:space="0" w:color="auto"/>
                        <w:right w:val="none" w:sz="0" w:space="0" w:color="auto"/>
                      </w:divBdr>
                      <w:divsChild>
                        <w:div w:id="70510759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8562744">
      <w:bodyDiv w:val="1"/>
      <w:marLeft w:val="0"/>
      <w:marRight w:val="0"/>
      <w:marTop w:val="0"/>
      <w:marBottom w:val="0"/>
      <w:divBdr>
        <w:top w:val="none" w:sz="0" w:space="0" w:color="auto"/>
        <w:left w:val="none" w:sz="0" w:space="0" w:color="auto"/>
        <w:bottom w:val="none" w:sz="0" w:space="0" w:color="auto"/>
        <w:right w:val="none" w:sz="0" w:space="0" w:color="auto"/>
      </w:divBdr>
    </w:div>
    <w:div w:id="968978451">
      <w:bodyDiv w:val="1"/>
      <w:marLeft w:val="0"/>
      <w:marRight w:val="0"/>
      <w:marTop w:val="0"/>
      <w:marBottom w:val="0"/>
      <w:divBdr>
        <w:top w:val="none" w:sz="0" w:space="0" w:color="auto"/>
        <w:left w:val="none" w:sz="0" w:space="0" w:color="auto"/>
        <w:bottom w:val="none" w:sz="0" w:space="0" w:color="auto"/>
        <w:right w:val="none" w:sz="0" w:space="0" w:color="auto"/>
      </w:divBdr>
    </w:div>
    <w:div w:id="973947527">
      <w:bodyDiv w:val="1"/>
      <w:marLeft w:val="0"/>
      <w:marRight w:val="0"/>
      <w:marTop w:val="0"/>
      <w:marBottom w:val="0"/>
      <w:divBdr>
        <w:top w:val="none" w:sz="0" w:space="0" w:color="auto"/>
        <w:left w:val="none" w:sz="0" w:space="0" w:color="auto"/>
        <w:bottom w:val="none" w:sz="0" w:space="0" w:color="auto"/>
        <w:right w:val="none" w:sz="0" w:space="0" w:color="auto"/>
      </w:divBdr>
    </w:div>
    <w:div w:id="1017578018">
      <w:bodyDiv w:val="1"/>
      <w:marLeft w:val="0"/>
      <w:marRight w:val="0"/>
      <w:marTop w:val="0"/>
      <w:marBottom w:val="0"/>
      <w:divBdr>
        <w:top w:val="none" w:sz="0" w:space="0" w:color="auto"/>
        <w:left w:val="none" w:sz="0" w:space="0" w:color="auto"/>
        <w:bottom w:val="none" w:sz="0" w:space="0" w:color="auto"/>
        <w:right w:val="none" w:sz="0" w:space="0" w:color="auto"/>
      </w:divBdr>
    </w:div>
    <w:div w:id="1047224893">
      <w:bodyDiv w:val="1"/>
      <w:marLeft w:val="0"/>
      <w:marRight w:val="0"/>
      <w:marTop w:val="0"/>
      <w:marBottom w:val="0"/>
      <w:divBdr>
        <w:top w:val="none" w:sz="0" w:space="0" w:color="auto"/>
        <w:left w:val="none" w:sz="0" w:space="0" w:color="auto"/>
        <w:bottom w:val="none" w:sz="0" w:space="0" w:color="auto"/>
        <w:right w:val="none" w:sz="0" w:space="0" w:color="auto"/>
      </w:divBdr>
      <w:divsChild>
        <w:div w:id="1936861675">
          <w:marLeft w:val="0"/>
          <w:marRight w:val="0"/>
          <w:marTop w:val="0"/>
          <w:marBottom w:val="0"/>
          <w:divBdr>
            <w:top w:val="none" w:sz="0" w:space="0" w:color="auto"/>
            <w:left w:val="none" w:sz="0" w:space="0" w:color="auto"/>
            <w:bottom w:val="none" w:sz="0" w:space="0" w:color="auto"/>
            <w:right w:val="none" w:sz="0" w:space="0" w:color="auto"/>
          </w:divBdr>
        </w:div>
      </w:divsChild>
    </w:div>
    <w:div w:id="1065374298">
      <w:bodyDiv w:val="1"/>
      <w:marLeft w:val="0"/>
      <w:marRight w:val="0"/>
      <w:marTop w:val="0"/>
      <w:marBottom w:val="0"/>
      <w:divBdr>
        <w:top w:val="none" w:sz="0" w:space="0" w:color="auto"/>
        <w:left w:val="none" w:sz="0" w:space="0" w:color="auto"/>
        <w:bottom w:val="none" w:sz="0" w:space="0" w:color="auto"/>
        <w:right w:val="none" w:sz="0" w:space="0" w:color="auto"/>
      </w:divBdr>
      <w:divsChild>
        <w:div w:id="2062944837">
          <w:marLeft w:val="0"/>
          <w:marRight w:val="0"/>
          <w:marTop w:val="0"/>
          <w:marBottom w:val="0"/>
          <w:divBdr>
            <w:top w:val="none" w:sz="0" w:space="0" w:color="auto"/>
            <w:left w:val="none" w:sz="0" w:space="0" w:color="auto"/>
            <w:bottom w:val="none" w:sz="0" w:space="0" w:color="auto"/>
            <w:right w:val="none" w:sz="0" w:space="0" w:color="auto"/>
          </w:divBdr>
        </w:div>
      </w:divsChild>
    </w:div>
    <w:div w:id="1091781046">
      <w:bodyDiv w:val="1"/>
      <w:marLeft w:val="0"/>
      <w:marRight w:val="0"/>
      <w:marTop w:val="0"/>
      <w:marBottom w:val="0"/>
      <w:divBdr>
        <w:top w:val="none" w:sz="0" w:space="0" w:color="auto"/>
        <w:left w:val="none" w:sz="0" w:space="0" w:color="auto"/>
        <w:bottom w:val="none" w:sz="0" w:space="0" w:color="auto"/>
        <w:right w:val="none" w:sz="0" w:space="0" w:color="auto"/>
      </w:divBdr>
    </w:div>
    <w:div w:id="1094210418">
      <w:bodyDiv w:val="1"/>
      <w:marLeft w:val="0"/>
      <w:marRight w:val="0"/>
      <w:marTop w:val="0"/>
      <w:marBottom w:val="0"/>
      <w:divBdr>
        <w:top w:val="none" w:sz="0" w:space="0" w:color="auto"/>
        <w:left w:val="none" w:sz="0" w:space="0" w:color="auto"/>
        <w:bottom w:val="none" w:sz="0" w:space="0" w:color="auto"/>
        <w:right w:val="none" w:sz="0" w:space="0" w:color="auto"/>
      </w:divBdr>
    </w:div>
    <w:div w:id="1146899714">
      <w:bodyDiv w:val="1"/>
      <w:marLeft w:val="0"/>
      <w:marRight w:val="0"/>
      <w:marTop w:val="0"/>
      <w:marBottom w:val="0"/>
      <w:divBdr>
        <w:top w:val="none" w:sz="0" w:space="0" w:color="auto"/>
        <w:left w:val="none" w:sz="0" w:space="0" w:color="auto"/>
        <w:bottom w:val="none" w:sz="0" w:space="0" w:color="auto"/>
        <w:right w:val="none" w:sz="0" w:space="0" w:color="auto"/>
      </w:divBdr>
    </w:div>
    <w:div w:id="1151749351">
      <w:bodyDiv w:val="1"/>
      <w:marLeft w:val="0"/>
      <w:marRight w:val="0"/>
      <w:marTop w:val="0"/>
      <w:marBottom w:val="0"/>
      <w:divBdr>
        <w:top w:val="none" w:sz="0" w:space="0" w:color="auto"/>
        <w:left w:val="none" w:sz="0" w:space="0" w:color="auto"/>
        <w:bottom w:val="none" w:sz="0" w:space="0" w:color="auto"/>
        <w:right w:val="none" w:sz="0" w:space="0" w:color="auto"/>
      </w:divBdr>
      <w:divsChild>
        <w:div w:id="324288961">
          <w:marLeft w:val="0"/>
          <w:marRight w:val="0"/>
          <w:marTop w:val="0"/>
          <w:marBottom w:val="0"/>
          <w:divBdr>
            <w:top w:val="none" w:sz="0" w:space="0" w:color="auto"/>
            <w:left w:val="none" w:sz="0" w:space="0" w:color="auto"/>
            <w:bottom w:val="none" w:sz="0" w:space="0" w:color="auto"/>
            <w:right w:val="none" w:sz="0" w:space="0" w:color="auto"/>
          </w:divBdr>
        </w:div>
      </w:divsChild>
    </w:div>
    <w:div w:id="1222904153">
      <w:bodyDiv w:val="1"/>
      <w:marLeft w:val="0"/>
      <w:marRight w:val="0"/>
      <w:marTop w:val="0"/>
      <w:marBottom w:val="0"/>
      <w:divBdr>
        <w:top w:val="none" w:sz="0" w:space="0" w:color="auto"/>
        <w:left w:val="none" w:sz="0" w:space="0" w:color="auto"/>
        <w:bottom w:val="none" w:sz="0" w:space="0" w:color="auto"/>
        <w:right w:val="none" w:sz="0" w:space="0" w:color="auto"/>
      </w:divBdr>
      <w:divsChild>
        <w:div w:id="1016618206">
          <w:marLeft w:val="0"/>
          <w:marRight w:val="0"/>
          <w:marTop w:val="0"/>
          <w:marBottom w:val="0"/>
          <w:divBdr>
            <w:top w:val="none" w:sz="0" w:space="0" w:color="auto"/>
            <w:left w:val="none" w:sz="0" w:space="0" w:color="auto"/>
            <w:bottom w:val="none" w:sz="0" w:space="0" w:color="auto"/>
            <w:right w:val="none" w:sz="0" w:space="0" w:color="auto"/>
          </w:divBdr>
          <w:divsChild>
            <w:div w:id="1625498007">
              <w:marLeft w:val="0"/>
              <w:marRight w:val="0"/>
              <w:marTop w:val="0"/>
              <w:marBottom w:val="0"/>
              <w:divBdr>
                <w:top w:val="none" w:sz="0" w:space="0" w:color="auto"/>
                <w:left w:val="none" w:sz="0" w:space="0" w:color="auto"/>
                <w:bottom w:val="none" w:sz="0" w:space="0" w:color="auto"/>
                <w:right w:val="none" w:sz="0" w:space="0" w:color="auto"/>
              </w:divBdr>
              <w:divsChild>
                <w:div w:id="195770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371118">
      <w:bodyDiv w:val="1"/>
      <w:marLeft w:val="0"/>
      <w:marRight w:val="0"/>
      <w:marTop w:val="0"/>
      <w:marBottom w:val="0"/>
      <w:divBdr>
        <w:top w:val="none" w:sz="0" w:space="0" w:color="auto"/>
        <w:left w:val="none" w:sz="0" w:space="0" w:color="auto"/>
        <w:bottom w:val="none" w:sz="0" w:space="0" w:color="auto"/>
        <w:right w:val="none" w:sz="0" w:space="0" w:color="auto"/>
      </w:divBdr>
    </w:div>
    <w:div w:id="1260025747">
      <w:bodyDiv w:val="1"/>
      <w:marLeft w:val="0"/>
      <w:marRight w:val="0"/>
      <w:marTop w:val="0"/>
      <w:marBottom w:val="0"/>
      <w:divBdr>
        <w:top w:val="none" w:sz="0" w:space="0" w:color="auto"/>
        <w:left w:val="none" w:sz="0" w:space="0" w:color="auto"/>
        <w:bottom w:val="none" w:sz="0" w:space="0" w:color="auto"/>
        <w:right w:val="none" w:sz="0" w:space="0" w:color="auto"/>
      </w:divBdr>
    </w:div>
    <w:div w:id="1286503236">
      <w:bodyDiv w:val="1"/>
      <w:marLeft w:val="0"/>
      <w:marRight w:val="0"/>
      <w:marTop w:val="0"/>
      <w:marBottom w:val="0"/>
      <w:divBdr>
        <w:top w:val="none" w:sz="0" w:space="0" w:color="auto"/>
        <w:left w:val="none" w:sz="0" w:space="0" w:color="auto"/>
        <w:bottom w:val="none" w:sz="0" w:space="0" w:color="auto"/>
        <w:right w:val="none" w:sz="0" w:space="0" w:color="auto"/>
      </w:divBdr>
      <w:divsChild>
        <w:div w:id="1167210969">
          <w:marLeft w:val="0"/>
          <w:marRight w:val="0"/>
          <w:marTop w:val="0"/>
          <w:marBottom w:val="0"/>
          <w:divBdr>
            <w:top w:val="none" w:sz="0" w:space="0" w:color="auto"/>
            <w:left w:val="none" w:sz="0" w:space="0" w:color="auto"/>
            <w:bottom w:val="none" w:sz="0" w:space="0" w:color="auto"/>
            <w:right w:val="none" w:sz="0" w:space="0" w:color="auto"/>
          </w:divBdr>
        </w:div>
      </w:divsChild>
    </w:div>
    <w:div w:id="1307933772">
      <w:bodyDiv w:val="1"/>
      <w:marLeft w:val="0"/>
      <w:marRight w:val="0"/>
      <w:marTop w:val="0"/>
      <w:marBottom w:val="0"/>
      <w:divBdr>
        <w:top w:val="none" w:sz="0" w:space="0" w:color="auto"/>
        <w:left w:val="none" w:sz="0" w:space="0" w:color="auto"/>
        <w:bottom w:val="none" w:sz="0" w:space="0" w:color="auto"/>
        <w:right w:val="none" w:sz="0" w:space="0" w:color="auto"/>
      </w:divBdr>
    </w:div>
    <w:div w:id="1320422965">
      <w:bodyDiv w:val="1"/>
      <w:marLeft w:val="0"/>
      <w:marRight w:val="0"/>
      <w:marTop w:val="0"/>
      <w:marBottom w:val="0"/>
      <w:divBdr>
        <w:top w:val="none" w:sz="0" w:space="0" w:color="auto"/>
        <w:left w:val="none" w:sz="0" w:space="0" w:color="auto"/>
        <w:bottom w:val="none" w:sz="0" w:space="0" w:color="auto"/>
        <w:right w:val="none" w:sz="0" w:space="0" w:color="auto"/>
      </w:divBdr>
    </w:div>
    <w:div w:id="1368020626">
      <w:bodyDiv w:val="1"/>
      <w:marLeft w:val="0"/>
      <w:marRight w:val="0"/>
      <w:marTop w:val="0"/>
      <w:marBottom w:val="0"/>
      <w:divBdr>
        <w:top w:val="none" w:sz="0" w:space="0" w:color="auto"/>
        <w:left w:val="none" w:sz="0" w:space="0" w:color="auto"/>
        <w:bottom w:val="none" w:sz="0" w:space="0" w:color="auto"/>
        <w:right w:val="none" w:sz="0" w:space="0" w:color="auto"/>
      </w:divBdr>
    </w:div>
    <w:div w:id="1380669068">
      <w:bodyDiv w:val="1"/>
      <w:marLeft w:val="0"/>
      <w:marRight w:val="0"/>
      <w:marTop w:val="0"/>
      <w:marBottom w:val="0"/>
      <w:divBdr>
        <w:top w:val="none" w:sz="0" w:space="0" w:color="auto"/>
        <w:left w:val="none" w:sz="0" w:space="0" w:color="auto"/>
        <w:bottom w:val="none" w:sz="0" w:space="0" w:color="auto"/>
        <w:right w:val="none" w:sz="0" w:space="0" w:color="auto"/>
      </w:divBdr>
    </w:div>
    <w:div w:id="1402101789">
      <w:bodyDiv w:val="1"/>
      <w:marLeft w:val="0"/>
      <w:marRight w:val="0"/>
      <w:marTop w:val="0"/>
      <w:marBottom w:val="0"/>
      <w:divBdr>
        <w:top w:val="none" w:sz="0" w:space="0" w:color="auto"/>
        <w:left w:val="none" w:sz="0" w:space="0" w:color="auto"/>
        <w:bottom w:val="none" w:sz="0" w:space="0" w:color="auto"/>
        <w:right w:val="none" w:sz="0" w:space="0" w:color="auto"/>
      </w:divBdr>
    </w:div>
    <w:div w:id="1454640952">
      <w:bodyDiv w:val="1"/>
      <w:marLeft w:val="0"/>
      <w:marRight w:val="0"/>
      <w:marTop w:val="0"/>
      <w:marBottom w:val="0"/>
      <w:divBdr>
        <w:top w:val="none" w:sz="0" w:space="0" w:color="auto"/>
        <w:left w:val="none" w:sz="0" w:space="0" w:color="auto"/>
        <w:bottom w:val="none" w:sz="0" w:space="0" w:color="auto"/>
        <w:right w:val="none" w:sz="0" w:space="0" w:color="auto"/>
      </w:divBdr>
    </w:div>
    <w:div w:id="1474566934">
      <w:bodyDiv w:val="1"/>
      <w:marLeft w:val="0"/>
      <w:marRight w:val="0"/>
      <w:marTop w:val="0"/>
      <w:marBottom w:val="0"/>
      <w:divBdr>
        <w:top w:val="none" w:sz="0" w:space="0" w:color="auto"/>
        <w:left w:val="none" w:sz="0" w:space="0" w:color="auto"/>
        <w:bottom w:val="none" w:sz="0" w:space="0" w:color="auto"/>
        <w:right w:val="none" w:sz="0" w:space="0" w:color="auto"/>
      </w:divBdr>
    </w:div>
    <w:div w:id="1492453134">
      <w:bodyDiv w:val="1"/>
      <w:marLeft w:val="0"/>
      <w:marRight w:val="0"/>
      <w:marTop w:val="0"/>
      <w:marBottom w:val="0"/>
      <w:divBdr>
        <w:top w:val="none" w:sz="0" w:space="0" w:color="auto"/>
        <w:left w:val="none" w:sz="0" w:space="0" w:color="auto"/>
        <w:bottom w:val="none" w:sz="0" w:space="0" w:color="auto"/>
        <w:right w:val="none" w:sz="0" w:space="0" w:color="auto"/>
      </w:divBdr>
    </w:div>
    <w:div w:id="1628504924">
      <w:bodyDiv w:val="1"/>
      <w:marLeft w:val="0"/>
      <w:marRight w:val="0"/>
      <w:marTop w:val="0"/>
      <w:marBottom w:val="0"/>
      <w:divBdr>
        <w:top w:val="none" w:sz="0" w:space="0" w:color="auto"/>
        <w:left w:val="none" w:sz="0" w:space="0" w:color="auto"/>
        <w:bottom w:val="none" w:sz="0" w:space="0" w:color="auto"/>
        <w:right w:val="none" w:sz="0" w:space="0" w:color="auto"/>
      </w:divBdr>
    </w:div>
    <w:div w:id="1638752950">
      <w:bodyDiv w:val="1"/>
      <w:marLeft w:val="0"/>
      <w:marRight w:val="0"/>
      <w:marTop w:val="0"/>
      <w:marBottom w:val="0"/>
      <w:divBdr>
        <w:top w:val="none" w:sz="0" w:space="0" w:color="auto"/>
        <w:left w:val="none" w:sz="0" w:space="0" w:color="auto"/>
        <w:bottom w:val="none" w:sz="0" w:space="0" w:color="auto"/>
        <w:right w:val="none" w:sz="0" w:space="0" w:color="auto"/>
      </w:divBdr>
      <w:divsChild>
        <w:div w:id="76102671">
          <w:marLeft w:val="0"/>
          <w:marRight w:val="0"/>
          <w:marTop w:val="0"/>
          <w:marBottom w:val="0"/>
          <w:divBdr>
            <w:top w:val="none" w:sz="0" w:space="0" w:color="auto"/>
            <w:left w:val="none" w:sz="0" w:space="0" w:color="auto"/>
            <w:bottom w:val="none" w:sz="0" w:space="0" w:color="auto"/>
            <w:right w:val="none" w:sz="0" w:space="0" w:color="auto"/>
          </w:divBdr>
        </w:div>
      </w:divsChild>
    </w:div>
    <w:div w:id="1640960094">
      <w:bodyDiv w:val="1"/>
      <w:marLeft w:val="0"/>
      <w:marRight w:val="0"/>
      <w:marTop w:val="0"/>
      <w:marBottom w:val="0"/>
      <w:divBdr>
        <w:top w:val="none" w:sz="0" w:space="0" w:color="auto"/>
        <w:left w:val="none" w:sz="0" w:space="0" w:color="auto"/>
        <w:bottom w:val="none" w:sz="0" w:space="0" w:color="auto"/>
        <w:right w:val="none" w:sz="0" w:space="0" w:color="auto"/>
      </w:divBdr>
    </w:div>
    <w:div w:id="1653364596">
      <w:bodyDiv w:val="1"/>
      <w:marLeft w:val="0"/>
      <w:marRight w:val="0"/>
      <w:marTop w:val="0"/>
      <w:marBottom w:val="0"/>
      <w:divBdr>
        <w:top w:val="none" w:sz="0" w:space="0" w:color="auto"/>
        <w:left w:val="none" w:sz="0" w:space="0" w:color="auto"/>
        <w:bottom w:val="none" w:sz="0" w:space="0" w:color="auto"/>
        <w:right w:val="none" w:sz="0" w:space="0" w:color="auto"/>
      </w:divBdr>
    </w:div>
    <w:div w:id="1658344059">
      <w:bodyDiv w:val="1"/>
      <w:marLeft w:val="0"/>
      <w:marRight w:val="0"/>
      <w:marTop w:val="0"/>
      <w:marBottom w:val="0"/>
      <w:divBdr>
        <w:top w:val="none" w:sz="0" w:space="0" w:color="auto"/>
        <w:left w:val="none" w:sz="0" w:space="0" w:color="auto"/>
        <w:bottom w:val="none" w:sz="0" w:space="0" w:color="auto"/>
        <w:right w:val="none" w:sz="0" w:space="0" w:color="auto"/>
      </w:divBdr>
    </w:div>
    <w:div w:id="1767573749">
      <w:bodyDiv w:val="1"/>
      <w:marLeft w:val="0"/>
      <w:marRight w:val="0"/>
      <w:marTop w:val="0"/>
      <w:marBottom w:val="0"/>
      <w:divBdr>
        <w:top w:val="none" w:sz="0" w:space="0" w:color="auto"/>
        <w:left w:val="none" w:sz="0" w:space="0" w:color="auto"/>
        <w:bottom w:val="none" w:sz="0" w:space="0" w:color="auto"/>
        <w:right w:val="none" w:sz="0" w:space="0" w:color="auto"/>
      </w:divBdr>
    </w:div>
    <w:div w:id="1788740130">
      <w:bodyDiv w:val="1"/>
      <w:marLeft w:val="0"/>
      <w:marRight w:val="0"/>
      <w:marTop w:val="0"/>
      <w:marBottom w:val="0"/>
      <w:divBdr>
        <w:top w:val="none" w:sz="0" w:space="0" w:color="auto"/>
        <w:left w:val="none" w:sz="0" w:space="0" w:color="auto"/>
        <w:bottom w:val="none" w:sz="0" w:space="0" w:color="auto"/>
        <w:right w:val="none" w:sz="0" w:space="0" w:color="auto"/>
      </w:divBdr>
    </w:div>
    <w:div w:id="1854567784">
      <w:bodyDiv w:val="1"/>
      <w:marLeft w:val="0"/>
      <w:marRight w:val="0"/>
      <w:marTop w:val="0"/>
      <w:marBottom w:val="0"/>
      <w:divBdr>
        <w:top w:val="none" w:sz="0" w:space="0" w:color="auto"/>
        <w:left w:val="none" w:sz="0" w:space="0" w:color="auto"/>
        <w:bottom w:val="none" w:sz="0" w:space="0" w:color="auto"/>
        <w:right w:val="none" w:sz="0" w:space="0" w:color="auto"/>
      </w:divBdr>
    </w:div>
    <w:div w:id="1866408525">
      <w:bodyDiv w:val="1"/>
      <w:marLeft w:val="0"/>
      <w:marRight w:val="0"/>
      <w:marTop w:val="0"/>
      <w:marBottom w:val="0"/>
      <w:divBdr>
        <w:top w:val="none" w:sz="0" w:space="0" w:color="auto"/>
        <w:left w:val="none" w:sz="0" w:space="0" w:color="auto"/>
        <w:bottom w:val="none" w:sz="0" w:space="0" w:color="auto"/>
        <w:right w:val="none" w:sz="0" w:space="0" w:color="auto"/>
      </w:divBdr>
    </w:div>
    <w:div w:id="1870414796">
      <w:bodyDiv w:val="1"/>
      <w:marLeft w:val="0"/>
      <w:marRight w:val="0"/>
      <w:marTop w:val="0"/>
      <w:marBottom w:val="0"/>
      <w:divBdr>
        <w:top w:val="none" w:sz="0" w:space="0" w:color="auto"/>
        <w:left w:val="none" w:sz="0" w:space="0" w:color="auto"/>
        <w:bottom w:val="none" w:sz="0" w:space="0" w:color="auto"/>
        <w:right w:val="none" w:sz="0" w:space="0" w:color="auto"/>
      </w:divBdr>
      <w:divsChild>
        <w:div w:id="90705556">
          <w:marLeft w:val="0"/>
          <w:marRight w:val="0"/>
          <w:marTop w:val="0"/>
          <w:marBottom w:val="0"/>
          <w:divBdr>
            <w:top w:val="none" w:sz="0" w:space="0" w:color="auto"/>
            <w:left w:val="none" w:sz="0" w:space="0" w:color="auto"/>
            <w:bottom w:val="none" w:sz="0" w:space="0" w:color="auto"/>
            <w:right w:val="none" w:sz="0" w:space="0" w:color="auto"/>
          </w:divBdr>
        </w:div>
      </w:divsChild>
    </w:div>
    <w:div w:id="1873684847">
      <w:bodyDiv w:val="1"/>
      <w:marLeft w:val="0"/>
      <w:marRight w:val="0"/>
      <w:marTop w:val="0"/>
      <w:marBottom w:val="0"/>
      <w:divBdr>
        <w:top w:val="none" w:sz="0" w:space="0" w:color="auto"/>
        <w:left w:val="none" w:sz="0" w:space="0" w:color="auto"/>
        <w:bottom w:val="none" w:sz="0" w:space="0" w:color="auto"/>
        <w:right w:val="none" w:sz="0" w:space="0" w:color="auto"/>
      </w:divBdr>
    </w:div>
    <w:div w:id="1967394356">
      <w:bodyDiv w:val="1"/>
      <w:marLeft w:val="0"/>
      <w:marRight w:val="0"/>
      <w:marTop w:val="0"/>
      <w:marBottom w:val="0"/>
      <w:divBdr>
        <w:top w:val="none" w:sz="0" w:space="0" w:color="auto"/>
        <w:left w:val="none" w:sz="0" w:space="0" w:color="auto"/>
        <w:bottom w:val="none" w:sz="0" w:space="0" w:color="auto"/>
        <w:right w:val="none" w:sz="0" w:space="0" w:color="auto"/>
      </w:divBdr>
    </w:div>
    <w:div w:id="2008552129">
      <w:bodyDiv w:val="1"/>
      <w:marLeft w:val="0"/>
      <w:marRight w:val="0"/>
      <w:marTop w:val="0"/>
      <w:marBottom w:val="0"/>
      <w:divBdr>
        <w:top w:val="none" w:sz="0" w:space="0" w:color="auto"/>
        <w:left w:val="none" w:sz="0" w:space="0" w:color="auto"/>
        <w:bottom w:val="none" w:sz="0" w:space="0" w:color="auto"/>
        <w:right w:val="none" w:sz="0" w:space="0" w:color="auto"/>
      </w:divBdr>
    </w:div>
    <w:div w:id="2071153210">
      <w:bodyDiv w:val="1"/>
      <w:marLeft w:val="0"/>
      <w:marRight w:val="0"/>
      <w:marTop w:val="0"/>
      <w:marBottom w:val="0"/>
      <w:divBdr>
        <w:top w:val="none" w:sz="0" w:space="0" w:color="auto"/>
        <w:left w:val="none" w:sz="0" w:space="0" w:color="auto"/>
        <w:bottom w:val="none" w:sz="0" w:space="0" w:color="auto"/>
        <w:right w:val="none" w:sz="0" w:space="0" w:color="auto"/>
      </w:divBdr>
    </w:div>
    <w:div w:id="2096631342">
      <w:bodyDiv w:val="1"/>
      <w:marLeft w:val="0"/>
      <w:marRight w:val="0"/>
      <w:marTop w:val="0"/>
      <w:marBottom w:val="0"/>
      <w:divBdr>
        <w:top w:val="none" w:sz="0" w:space="0" w:color="auto"/>
        <w:left w:val="none" w:sz="0" w:space="0" w:color="auto"/>
        <w:bottom w:val="none" w:sz="0" w:space="0" w:color="auto"/>
        <w:right w:val="none" w:sz="0" w:space="0" w:color="auto"/>
      </w:divBdr>
    </w:div>
    <w:div w:id="213890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cbi.nlm.nih.gov/pubmed/17938734?ordinalpos=145&amp;itool=EntrezSystem2.PEntrez.Pubmed.Pubmed_ResultsPanel.Pubmed_RVDocSum" TargetMode="External"/><Relationship Id="rId18" Type="http://schemas.openxmlformats.org/officeDocument/2006/relationships/hyperlink" Target="http://www.ncbi.nlm.nih.gov/pubmed/18247460?ordinalpos=90&amp;itool=EntrezSystem2.PEntrez.Pubmed.Pubmed_ResultsPanel.Pubmed_RVDocSu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ncbi.nlm.nih.gov/pubmed/18187236?ordinalpos=100&amp;itool=EntrezSystem2.PEntrez.Pubmed.Pubmed_ResultsPanel.Pubmed_RVDocSum" TargetMode="Externa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javascript:AL_get(this,%20'jour',%20'Br%20Med%20Bull.');" TargetMode="External"/><Relationship Id="rId25" Type="http://schemas.openxmlformats.org/officeDocument/2006/relationships/hyperlink" Target="http://www.ncbi.nlm.nih.gov/pubmed/18605226?ordinalpos=6&amp;itool=EntrezSystem2.PEntrez.Pubmed.Pubmed_ResultsPanel.Pubmed_RVDocSum" TargetMode="External"/><Relationship Id="rId2" Type="http://schemas.openxmlformats.org/officeDocument/2006/relationships/numbering" Target="numbering.xml"/><Relationship Id="rId16" Type="http://schemas.openxmlformats.org/officeDocument/2006/relationships/hyperlink" Target="http://www.ncbi.nlm.nih.gov/sites/entrez?Db=pubmed&amp;Cmd=Search&amp;Term=%22Dick%20FD%22%5BAuthor%5D&amp;itool=EntrezSystem2.PEntrez.Pubmed.Pubmed_ResultsPanel.Pubmed_DiscoveryPanel.Pubmed_RVAbstractPlus" TargetMode="External"/><Relationship Id="rId20" Type="http://schemas.openxmlformats.org/officeDocument/2006/relationships/hyperlink" Target="http://www.ncbi.nlm.nih.gov/pubmed/18335519?ordinalpos=2&amp;itool=EntrezSystem2.PEntrez.Pubmed.Pubmed_ResultsPanel.Pubmed_RVDocSu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hyperlink" Target="http://www.ncbi.nlm.nih.gov/pubmed/18386188?ordinalpos=59&amp;itool=EntrezSystem2.PEntrez.Pubmed.Pubmed_ResultsPanel.Pubmed_RVDocSu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cbi.nlm.nih.gov/pubmed/17938734?ordinalpos=145&amp;itool=EntrezSystem2.PEntrez.Pubmed.Pubmed_ResultsPanel.Pubmed_RVDocSum" TargetMode="External"/><Relationship Id="rId23" Type="http://schemas.openxmlformats.org/officeDocument/2006/relationships/hyperlink" Target="http://www.ncbi.nlm.nih.gov/pubmed/18386188?ordinalpos=59&amp;itool=EntrezSystem2.PEntrez.Pubmed.Pubmed_ResultsPanel.Pubmed_RVDocSum"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www.ncbi.nlm.nih.gov/pubmed/17043098?ordinalpos=8&amp;itool=EntrezSystem2.PEntrez.Pubmed.Pubmed_ResultsPanel.Pubmed_RVDocSu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ghealth.nci.nih.gov/qnaires/enrol_pr.html" TargetMode="External"/><Relationship Id="rId22" Type="http://schemas.openxmlformats.org/officeDocument/2006/relationships/hyperlink" Target="http://www.ncbi.nlm.nih.gov/pubmed/18606871?ordinalpos=4&amp;itool=EntrezSystem2.PEntrez.Pubmed.Pubmed_ResultsPanel.Pubmed_RVDocSum" TargetMode="External"/><Relationship Id="rId27" Type="http://schemas.openxmlformats.org/officeDocument/2006/relationships/header" Target="header2.xml"/><Relationship Id="rId30" Type="http://schemas.openxmlformats.org/officeDocument/2006/relationships/hyperlink" Target="http://www.ncbi.nlm.nih.gov/pubmed/17938734?ordinalpos=145&amp;itool=EntrezSystem2.PEntrez.Pubmed.Pubmed_ResultsPanel.Pubmed_RVDocS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FB1EAD6-8248-4702-8454-4C4D5C18E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E2F1EDFE.dotm</Template>
  <TotalTime>1</TotalTime>
  <Pages>149</Pages>
  <Words>70283</Words>
  <Characters>400616</Characters>
  <Application>Microsoft Office Word</Application>
  <DocSecurity>4</DocSecurity>
  <Lines>3338</Lines>
  <Paragraphs>939</Paragraphs>
  <ScaleCrop>false</ScaleCrop>
  <HeadingPairs>
    <vt:vector size="2" baseType="variant">
      <vt:variant>
        <vt:lpstr>Title</vt:lpstr>
      </vt:variant>
      <vt:variant>
        <vt:i4>1</vt:i4>
      </vt:variant>
    </vt:vector>
  </HeadingPairs>
  <TitlesOfParts>
    <vt:vector size="1" baseType="lpstr">
      <vt:lpstr>NATIONAL REGISTRATION SCHEME</vt:lpstr>
    </vt:vector>
  </TitlesOfParts>
  <Company>HFS</Company>
  <LinksUpToDate>false</LinksUpToDate>
  <CharactersWithSpaces>469960</CharactersWithSpaces>
  <SharedDoc>false</SharedDoc>
  <HLinks>
    <vt:vector size="1110" baseType="variant">
      <vt:variant>
        <vt:i4>7733296</vt:i4>
      </vt:variant>
      <vt:variant>
        <vt:i4>948</vt:i4>
      </vt:variant>
      <vt:variant>
        <vt:i4>0</vt:i4>
      </vt:variant>
      <vt:variant>
        <vt:i4>5</vt:i4>
      </vt:variant>
      <vt:variant>
        <vt:lpwstr>http://www.ncbi.nlm.nih.gov/pubmed/18072151?ordinalpos=4&amp;itool=EntrezSystem2.PEntrez.Pubmed.Pubmed_ResultsPanel.Pubmed_RVDocSum</vt:lpwstr>
      </vt:variant>
      <vt:variant>
        <vt:lpwstr/>
      </vt:variant>
      <vt:variant>
        <vt:i4>7471155</vt:i4>
      </vt:variant>
      <vt:variant>
        <vt:i4>945</vt:i4>
      </vt:variant>
      <vt:variant>
        <vt:i4>0</vt:i4>
      </vt:variant>
      <vt:variant>
        <vt:i4>5</vt:i4>
      </vt:variant>
      <vt:variant>
        <vt:lpwstr>http://www.ncbi.nlm.nih.gov/pubmed/18605226?ordinalpos=6&amp;itool=EntrezSystem2.PEntrez.Pubmed.Pubmed_ResultsPanel.Pubmed_RVDocSum</vt:lpwstr>
      </vt:variant>
      <vt:variant>
        <vt:lpwstr/>
      </vt:variant>
      <vt:variant>
        <vt:i4>4784130</vt:i4>
      </vt:variant>
      <vt:variant>
        <vt:i4>942</vt:i4>
      </vt:variant>
      <vt:variant>
        <vt:i4>0</vt:i4>
      </vt:variant>
      <vt:variant>
        <vt:i4>5</vt:i4>
      </vt:variant>
      <vt:variant>
        <vt:lpwstr>http://www.ncbi.nlm.nih.gov/pubmed/17954833?ordinalpos=143&amp;itool=EntrezSystem2.PEntrez.Pubmed.Pubmed_ResultsPanel.Pubmed_RVDocSum</vt:lpwstr>
      </vt:variant>
      <vt:variant>
        <vt:lpwstr/>
      </vt:variant>
      <vt:variant>
        <vt:i4>5177348</vt:i4>
      </vt:variant>
      <vt:variant>
        <vt:i4>939</vt:i4>
      </vt:variant>
      <vt:variant>
        <vt:i4>0</vt:i4>
      </vt:variant>
      <vt:variant>
        <vt:i4>5</vt:i4>
      </vt:variant>
      <vt:variant>
        <vt:lpwstr>http://www.ncbi.nlm.nih.gov/pubmed/18096359?ordinalpos=108&amp;itool=EntrezSystem2.PEntrez.Pubmed.Pubmed_ResultsPanel.Pubmed_RVDocSum</vt:lpwstr>
      </vt:variant>
      <vt:variant>
        <vt:lpwstr/>
      </vt:variant>
      <vt:variant>
        <vt:i4>4915203</vt:i4>
      </vt:variant>
      <vt:variant>
        <vt:i4>936</vt:i4>
      </vt:variant>
      <vt:variant>
        <vt:i4>0</vt:i4>
      </vt:variant>
      <vt:variant>
        <vt:i4>5</vt:i4>
      </vt:variant>
      <vt:variant>
        <vt:lpwstr>http://www.ncbi.nlm.nih.gov/pubmed/17909977?ordinalpos=158&amp;itool=EntrezSystem2.PEntrez.Pubmed.Pubmed_ResultsPanel.Pubmed_RVDocSum</vt:lpwstr>
      </vt:variant>
      <vt:variant>
        <vt:lpwstr/>
      </vt:variant>
      <vt:variant>
        <vt:i4>5242959</vt:i4>
      </vt:variant>
      <vt:variant>
        <vt:i4>933</vt:i4>
      </vt:variant>
      <vt:variant>
        <vt:i4>0</vt:i4>
      </vt:variant>
      <vt:variant>
        <vt:i4>5</vt:i4>
      </vt:variant>
      <vt:variant>
        <vt:lpwstr>http://www.ncbi.nlm.nih.gov/pubmed/18386188?ordinalpos=59&amp;itool=EntrezSystem2.PEntrez.Pubmed.Pubmed_ResultsPanel.Pubmed_RVDocSum</vt:lpwstr>
      </vt:variant>
      <vt:variant>
        <vt:lpwstr/>
      </vt:variant>
      <vt:variant>
        <vt:i4>5242959</vt:i4>
      </vt:variant>
      <vt:variant>
        <vt:i4>930</vt:i4>
      </vt:variant>
      <vt:variant>
        <vt:i4>0</vt:i4>
      </vt:variant>
      <vt:variant>
        <vt:i4>5</vt:i4>
      </vt:variant>
      <vt:variant>
        <vt:lpwstr>http://www.ncbi.nlm.nih.gov/pubmed/18386188?ordinalpos=59&amp;itool=EntrezSystem2.PEntrez.Pubmed.Pubmed_ResultsPanel.Pubmed_RVDocSum</vt:lpwstr>
      </vt:variant>
      <vt:variant>
        <vt:lpwstr/>
      </vt:variant>
      <vt:variant>
        <vt:i4>7733310</vt:i4>
      </vt:variant>
      <vt:variant>
        <vt:i4>927</vt:i4>
      </vt:variant>
      <vt:variant>
        <vt:i4>0</vt:i4>
      </vt:variant>
      <vt:variant>
        <vt:i4>5</vt:i4>
      </vt:variant>
      <vt:variant>
        <vt:lpwstr>http://www.ncbi.nlm.nih.gov/pubmed/18606871?ordinalpos=4&amp;itool=EntrezSystem2.PEntrez.Pubmed.Pubmed_ResultsPanel.Pubmed_RVDocSum</vt:lpwstr>
      </vt:variant>
      <vt:variant>
        <vt:lpwstr/>
      </vt:variant>
      <vt:variant>
        <vt:i4>4259851</vt:i4>
      </vt:variant>
      <vt:variant>
        <vt:i4>924</vt:i4>
      </vt:variant>
      <vt:variant>
        <vt:i4>0</vt:i4>
      </vt:variant>
      <vt:variant>
        <vt:i4>5</vt:i4>
      </vt:variant>
      <vt:variant>
        <vt:lpwstr>http://www.ncbi.nlm.nih.gov/pubmed/18187236?ordinalpos=100&amp;itool=EntrezSystem2.PEntrez.Pubmed.Pubmed_ResultsPanel.Pubmed_RVDocSum</vt:lpwstr>
      </vt:variant>
      <vt:variant>
        <vt:lpwstr/>
      </vt:variant>
      <vt:variant>
        <vt:i4>5505096</vt:i4>
      </vt:variant>
      <vt:variant>
        <vt:i4>921</vt:i4>
      </vt:variant>
      <vt:variant>
        <vt:i4>0</vt:i4>
      </vt:variant>
      <vt:variant>
        <vt:i4>5</vt:i4>
      </vt:variant>
      <vt:variant>
        <vt:lpwstr>http://www.ncbi.nlm.nih.gov/pubmed/16854511?ordinalpos=10&amp;itool=EntrezSystem2.PEntrez.Pubmed.Pubmed_ResultsPanel.Pubmed_RVDocSum</vt:lpwstr>
      </vt:variant>
      <vt:variant>
        <vt:lpwstr/>
      </vt:variant>
      <vt:variant>
        <vt:i4>4718636</vt:i4>
      </vt:variant>
      <vt:variant>
        <vt:i4>918</vt:i4>
      </vt:variant>
      <vt:variant>
        <vt:i4>0</vt:i4>
      </vt:variant>
      <vt:variant>
        <vt:i4>5</vt:i4>
      </vt:variant>
      <vt:variant>
        <vt:lpwstr>javascript:AL_get(this, 'jour', 'Exp Neurol.');</vt:lpwstr>
      </vt:variant>
      <vt:variant>
        <vt:lpwstr/>
      </vt:variant>
      <vt:variant>
        <vt:i4>4063260</vt:i4>
      </vt:variant>
      <vt:variant>
        <vt:i4>915</vt:i4>
      </vt:variant>
      <vt:variant>
        <vt:i4>0</vt:i4>
      </vt:variant>
      <vt:variant>
        <vt:i4>5</vt:i4>
      </vt:variant>
      <vt:variant>
        <vt:lpwstr>http://www.ncbi.nlm.nih.gov/sites/entrez?Db=pubmed&amp;Cmd=Search&amp;Term=%22German%20DC%22%5BAuthor%5D&amp;itool=EntrezSystem2.PEntrez.Pubmed.Pubmed_ResultsPanel.Pubmed_DiscoveryPanel.Pubmed_RVAbstractPlus</vt:lpwstr>
      </vt:variant>
      <vt:variant>
        <vt:lpwstr/>
      </vt:variant>
      <vt:variant>
        <vt:i4>7471123</vt:i4>
      </vt:variant>
      <vt:variant>
        <vt:i4>912</vt:i4>
      </vt:variant>
      <vt:variant>
        <vt:i4>0</vt:i4>
      </vt:variant>
      <vt:variant>
        <vt:i4>5</vt:i4>
      </vt:variant>
      <vt:variant>
        <vt:lpwstr>http://www.ncbi.nlm.nih.gov/sites/entrez?Db=pubmed&amp;Cmd=Search&amp;Term=%22Luby-Phelps%20K%22%5BAuthor%5D&amp;itool=EntrezSystem2.PEntrez.Pubmed.Pubmed_ResultsPanel.Pubmed_DiscoveryPanel.Pubmed_RVAbstractPlus</vt:lpwstr>
      </vt:variant>
      <vt:variant>
        <vt:lpwstr/>
      </vt:variant>
      <vt:variant>
        <vt:i4>5111910</vt:i4>
      </vt:variant>
      <vt:variant>
        <vt:i4>909</vt:i4>
      </vt:variant>
      <vt:variant>
        <vt:i4>0</vt:i4>
      </vt:variant>
      <vt:variant>
        <vt:i4>5</vt:i4>
      </vt:variant>
      <vt:variant>
        <vt:lpwstr>http://www.ncbi.nlm.nih.gov/sites/entrez?Db=pubmed&amp;Cmd=Search&amp;Term=%22Wang%20TT%22%5BAuthor%5D&amp;itool=EntrezSystem2.PEntrez.Pubmed.Pubmed_ResultsPanel.Pubmed_DiscoveryPanel.Pubmed_RVAbstractPlus</vt:lpwstr>
      </vt:variant>
      <vt:variant>
        <vt:lpwstr/>
      </vt:variant>
      <vt:variant>
        <vt:i4>1310770</vt:i4>
      </vt:variant>
      <vt:variant>
        <vt:i4>906</vt:i4>
      </vt:variant>
      <vt:variant>
        <vt:i4>0</vt:i4>
      </vt:variant>
      <vt:variant>
        <vt:i4>5</vt:i4>
      </vt:variant>
      <vt:variant>
        <vt:lpwstr>http://www.ncbi.nlm.nih.gov/sites/entrez?Db=pubmed&amp;Cmd=Search&amp;Term=%22Liang%20CL%22%5BAuthor%5D&amp;itool=EntrezSystem2.PEntrez.Pubmed.Pubmed_ResultsPanel.Pubmed_DiscoveryPanel.Pubmed_RVAbstractPlus</vt:lpwstr>
      </vt:variant>
      <vt:variant>
        <vt:lpwstr/>
      </vt:variant>
      <vt:variant>
        <vt:i4>4587530</vt:i4>
      </vt:variant>
      <vt:variant>
        <vt:i4>903</vt:i4>
      </vt:variant>
      <vt:variant>
        <vt:i4>0</vt:i4>
      </vt:variant>
      <vt:variant>
        <vt:i4>5</vt:i4>
      </vt:variant>
      <vt:variant>
        <vt:lpwstr>http://www.ncbi.nlm.nih.gov/pubmed/18182104?ordinalpos=101&amp;itool=EntrezSystem2.PEntrez.Pubmed.Pubmed_ResultsPanel.Pubmed_RVDocSum</vt:lpwstr>
      </vt:variant>
      <vt:variant>
        <vt:lpwstr/>
      </vt:variant>
      <vt:variant>
        <vt:i4>7340088</vt:i4>
      </vt:variant>
      <vt:variant>
        <vt:i4>900</vt:i4>
      </vt:variant>
      <vt:variant>
        <vt:i4>0</vt:i4>
      </vt:variant>
      <vt:variant>
        <vt:i4>5</vt:i4>
      </vt:variant>
      <vt:variant>
        <vt:lpwstr>http://www.ncbi.nlm.nih.gov/pubmed/18335519?ordinalpos=2&amp;itool=EntrezSystem2.PEntrez.Pubmed.Pubmed_ResultsPanel.Pubmed_RVDocSum</vt:lpwstr>
      </vt:variant>
      <vt:variant>
        <vt:lpwstr/>
      </vt:variant>
      <vt:variant>
        <vt:i4>7602235</vt:i4>
      </vt:variant>
      <vt:variant>
        <vt:i4>897</vt:i4>
      </vt:variant>
      <vt:variant>
        <vt:i4>0</vt:i4>
      </vt:variant>
      <vt:variant>
        <vt:i4>5</vt:i4>
      </vt:variant>
      <vt:variant>
        <vt:lpwstr>http://www.ncbi.nlm.nih.gov/pubmed/17174135?ordinalpos=7&amp;itool=EntrezSystem2.PEntrez.Pubmed.Pubmed_ResultsPanel.Pubmed_RVDocSum</vt:lpwstr>
      </vt:variant>
      <vt:variant>
        <vt:lpwstr/>
      </vt:variant>
      <vt:variant>
        <vt:i4>6160460</vt:i4>
      </vt:variant>
      <vt:variant>
        <vt:i4>894</vt:i4>
      </vt:variant>
      <vt:variant>
        <vt:i4>0</vt:i4>
      </vt:variant>
      <vt:variant>
        <vt:i4>5</vt:i4>
      </vt:variant>
      <vt:variant>
        <vt:lpwstr>http://www.ncbi.nlm.nih.gov/pubmed/18584363?ordinalpos=13&amp;itool=EntrezSystem2.PEntrez.Pubmed.Pubmed_ResultsPanel.Pubmed_RVDocSum</vt:lpwstr>
      </vt:variant>
      <vt:variant>
        <vt:lpwstr/>
      </vt:variant>
      <vt:variant>
        <vt:i4>7405619</vt:i4>
      </vt:variant>
      <vt:variant>
        <vt:i4>891</vt:i4>
      </vt:variant>
      <vt:variant>
        <vt:i4>0</vt:i4>
      </vt:variant>
      <vt:variant>
        <vt:i4>5</vt:i4>
      </vt:variant>
      <vt:variant>
        <vt:lpwstr>http://www.ncbi.nlm.nih.gov/pubmed/17384251?ordinalpos=6&amp;itool=EntrezSystem2.PEntrez.Pubmed.Pubmed_ResultsPanel.Pubmed_RVDocSum</vt:lpwstr>
      </vt:variant>
      <vt:variant>
        <vt:lpwstr/>
      </vt:variant>
      <vt:variant>
        <vt:i4>7798836</vt:i4>
      </vt:variant>
      <vt:variant>
        <vt:i4>888</vt:i4>
      </vt:variant>
      <vt:variant>
        <vt:i4>0</vt:i4>
      </vt:variant>
      <vt:variant>
        <vt:i4>5</vt:i4>
      </vt:variant>
      <vt:variant>
        <vt:lpwstr>http://www.ncbi.nlm.nih.gov/pubmed/17043098?ordinalpos=8&amp;itool=EntrezSystem2.PEntrez.Pubmed.Pubmed_ResultsPanel.Pubmed_RVDocSum</vt:lpwstr>
      </vt:variant>
      <vt:variant>
        <vt:lpwstr/>
      </vt:variant>
      <vt:variant>
        <vt:i4>5374023</vt:i4>
      </vt:variant>
      <vt:variant>
        <vt:i4>885</vt:i4>
      </vt:variant>
      <vt:variant>
        <vt:i4>0</vt:i4>
      </vt:variant>
      <vt:variant>
        <vt:i4>5</vt:i4>
      </vt:variant>
      <vt:variant>
        <vt:lpwstr>http://www.ncbi.nlm.nih.gov/pubmed/18247460?ordinalpos=90&amp;itool=EntrezSystem2.PEntrez.Pubmed.Pubmed_ResultsPanel.Pubmed_RVDocSum</vt:lpwstr>
      </vt:variant>
      <vt:variant>
        <vt:lpwstr/>
      </vt:variant>
      <vt:variant>
        <vt:i4>2883674</vt:i4>
      </vt:variant>
      <vt:variant>
        <vt:i4>882</vt:i4>
      </vt:variant>
      <vt:variant>
        <vt:i4>0</vt:i4>
      </vt:variant>
      <vt:variant>
        <vt:i4>5</vt:i4>
      </vt:variant>
      <vt:variant>
        <vt:lpwstr>javascript:AL_get(this, 'jour', 'Br Med Bull.');</vt:lpwstr>
      </vt:variant>
      <vt:variant>
        <vt:lpwstr/>
      </vt:variant>
      <vt:variant>
        <vt:i4>5767272</vt:i4>
      </vt:variant>
      <vt:variant>
        <vt:i4>879</vt:i4>
      </vt:variant>
      <vt:variant>
        <vt:i4>0</vt:i4>
      </vt:variant>
      <vt:variant>
        <vt:i4>5</vt:i4>
      </vt:variant>
      <vt:variant>
        <vt:lpwstr>http://www.ncbi.nlm.nih.gov/sites/entrez?Db=pubmed&amp;Cmd=Search&amp;Term=%22Dick%20FD%22%5BAuthor%5D&amp;itool=EntrezSystem2.PEntrez.Pubmed.Pubmed_ResultsPanel.Pubmed_DiscoveryPanel.Pubmed_RVAbstractPlus</vt:lpwstr>
      </vt:variant>
      <vt:variant>
        <vt:lpwstr/>
      </vt:variant>
      <vt:variant>
        <vt:i4>6225989</vt:i4>
      </vt:variant>
      <vt:variant>
        <vt:i4>876</vt:i4>
      </vt:variant>
      <vt:variant>
        <vt:i4>0</vt:i4>
      </vt:variant>
      <vt:variant>
        <vt:i4>5</vt:i4>
      </vt:variant>
      <vt:variant>
        <vt:lpwstr>http://www.ncbi.nlm.nih.gov/pubmed/18365879?ordinalpos=65&amp;itool=EntrezSystem2.PEntrez.Pubmed.Pubmed_ResultsPanel.Pubmed_RVDocSum</vt:lpwstr>
      </vt:variant>
      <vt:variant>
        <vt:lpwstr/>
      </vt:variant>
      <vt:variant>
        <vt:i4>4456449</vt:i4>
      </vt:variant>
      <vt:variant>
        <vt:i4>873</vt:i4>
      </vt:variant>
      <vt:variant>
        <vt:i4>0</vt:i4>
      </vt:variant>
      <vt:variant>
        <vt:i4>5</vt:i4>
      </vt:variant>
      <vt:variant>
        <vt:lpwstr>http://www.ncbi.nlm.nih.gov/pubmed/18162474?ordinalpos=104&amp;itool=EntrezSystem2.PEntrez.Pubmed.Pubmed_ResultsPanel.Pubmed_RVDocSum</vt:lpwstr>
      </vt:variant>
      <vt:variant>
        <vt:lpwstr/>
      </vt:variant>
      <vt:variant>
        <vt:i4>7864389</vt:i4>
      </vt:variant>
      <vt:variant>
        <vt:i4>870</vt:i4>
      </vt:variant>
      <vt:variant>
        <vt:i4>0</vt:i4>
      </vt:variant>
      <vt:variant>
        <vt:i4>5</vt:i4>
      </vt:variant>
      <vt:variant>
        <vt:lpwstr>javascript:AL_get(this, 'jour', 'Toxicol In Vitro.');</vt:lpwstr>
      </vt:variant>
      <vt:variant>
        <vt:lpwstr/>
      </vt:variant>
      <vt:variant>
        <vt:i4>5242993</vt:i4>
      </vt:variant>
      <vt:variant>
        <vt:i4>867</vt:i4>
      </vt:variant>
      <vt:variant>
        <vt:i4>0</vt:i4>
      </vt:variant>
      <vt:variant>
        <vt:i4>5</vt:i4>
      </vt:variant>
      <vt:variant>
        <vt:lpwstr>http://www.ncbi.nlm.nih.gov/sites/entrez?Db=pubmed&amp;Cmd=Search&amp;Term=%22Liao%20JW%22%5BAuthor%5D&amp;itool=EntrezSystem2.PEntrez.Pubmed.Pubmed_ResultsPanel.Pubmed_DiscoveryPanel.Pubmed_RVAbstractPlus</vt:lpwstr>
      </vt:variant>
      <vt:variant>
        <vt:lpwstr/>
      </vt:variant>
      <vt:variant>
        <vt:i4>4784241</vt:i4>
      </vt:variant>
      <vt:variant>
        <vt:i4>864</vt:i4>
      </vt:variant>
      <vt:variant>
        <vt:i4>0</vt:i4>
      </vt:variant>
      <vt:variant>
        <vt:i4>5</vt:i4>
      </vt:variant>
      <vt:variant>
        <vt:lpwstr>http://www.ncbi.nlm.nih.gov/sites/entrez?Db=pubmed&amp;Cmd=Search&amp;Term=%22Wang%20SC%22%5BAuthor%5D&amp;itool=EntrezSystem2.PEntrez.Pubmed.Pubmed_ResultsPanel.Pubmed_DiscoveryPanel.Pubmed_RVAbstractPlus</vt:lpwstr>
      </vt:variant>
      <vt:variant>
        <vt:lpwstr/>
      </vt:variant>
      <vt:variant>
        <vt:i4>5242980</vt:i4>
      </vt:variant>
      <vt:variant>
        <vt:i4>861</vt:i4>
      </vt:variant>
      <vt:variant>
        <vt:i4>0</vt:i4>
      </vt:variant>
      <vt:variant>
        <vt:i4>5</vt:i4>
      </vt:variant>
      <vt:variant>
        <vt:lpwstr>http://www.ncbi.nlm.nih.gov/sites/entrez?Db=pubmed&amp;Cmd=Search&amp;Term=%22Kang%20JJ%22%5BAuthor%5D&amp;itool=EntrezSystem2.PEntrez.Pubmed.Pubmed_ResultsPanel.Pubmed_DiscoveryPanel.Pubmed_RVAbstractPlus</vt:lpwstr>
      </vt:variant>
      <vt:variant>
        <vt:lpwstr/>
      </vt:variant>
      <vt:variant>
        <vt:i4>7929925</vt:i4>
      </vt:variant>
      <vt:variant>
        <vt:i4>858</vt:i4>
      </vt:variant>
      <vt:variant>
        <vt:i4>0</vt:i4>
      </vt:variant>
      <vt:variant>
        <vt:i4>5</vt:i4>
      </vt:variant>
      <vt:variant>
        <vt:lpwstr>http://www.ncbi.nlm.nih.gov/sites/entrez?Db=pubmed&amp;Cmd=Search&amp;Term=%22Lee%20WC%22%5BAuthor%5D&amp;itool=EntrezSystem2.PEntrez.Pubmed.Pubmed_ResultsPanel.Pubmed_DiscoveryPanel.Pubmed_RVAbstractPlus</vt:lpwstr>
      </vt:variant>
      <vt:variant>
        <vt:lpwstr/>
      </vt:variant>
      <vt:variant>
        <vt:i4>65586</vt:i4>
      </vt:variant>
      <vt:variant>
        <vt:i4>855</vt:i4>
      </vt:variant>
      <vt:variant>
        <vt:i4>0</vt:i4>
      </vt:variant>
      <vt:variant>
        <vt:i4>5</vt:i4>
      </vt:variant>
      <vt:variant>
        <vt:lpwstr>http://www.ncbi.nlm.nih.gov/sites/entrez?Db=pubmed&amp;Cmd=Search&amp;Term=%22Chien%20MS%22%5BAuthor%5D&amp;itool=EntrezSystem2.PEntrez.Pubmed.Pubmed_ResultsPanel.Pubmed_DiscoveryPanel.Pubmed_RVAbstractPlus</vt:lpwstr>
      </vt:variant>
      <vt:variant>
        <vt:lpwstr/>
      </vt:variant>
      <vt:variant>
        <vt:i4>65595</vt:i4>
      </vt:variant>
      <vt:variant>
        <vt:i4>852</vt:i4>
      </vt:variant>
      <vt:variant>
        <vt:i4>0</vt:i4>
      </vt:variant>
      <vt:variant>
        <vt:i4>5</vt:i4>
      </vt:variant>
      <vt:variant>
        <vt:lpwstr>http://www.ncbi.nlm.nih.gov/sites/entrez?Db=pubmed&amp;Cmd=Search&amp;Term=%22Hsuan%20SL%22%5BAuthor%5D&amp;itool=EntrezSystem2.PEntrez.Pubmed.Pubmed_ResultsPanel.Pubmed_DiscoveryPanel.Pubmed_RVAbstractPlus</vt:lpwstr>
      </vt:variant>
      <vt:variant>
        <vt:lpwstr/>
      </vt:variant>
      <vt:variant>
        <vt:i4>1703981</vt:i4>
      </vt:variant>
      <vt:variant>
        <vt:i4>849</vt:i4>
      </vt:variant>
      <vt:variant>
        <vt:i4>0</vt:i4>
      </vt:variant>
      <vt:variant>
        <vt:i4>5</vt:i4>
      </vt:variant>
      <vt:variant>
        <vt:lpwstr>http://www.ncbi.nlm.nih.gov/sites/entrez?Db=pubmed&amp;Cmd=Search&amp;Term=%22Chang%20SC%22%5BAuthor%5D&amp;itool=EntrezSystem2.PEntrez.Pubmed.Pubmed_ResultsPanel.Pubmed_DiscoveryPanel.Pubmed_RVAbstractPlus</vt:lpwstr>
      </vt:variant>
      <vt:variant>
        <vt:lpwstr/>
      </vt:variant>
      <vt:variant>
        <vt:i4>4391018</vt:i4>
      </vt:variant>
      <vt:variant>
        <vt:i4>846</vt:i4>
      </vt:variant>
      <vt:variant>
        <vt:i4>0</vt:i4>
      </vt:variant>
      <vt:variant>
        <vt:i4>5</vt:i4>
      </vt:variant>
      <vt:variant>
        <vt:lpwstr>http://www.ncbi.nlm.nih.gov/sites/entrez?Db=pubmed&amp;Cmd=Search&amp;Term=%22Chan%20YC%22%5BAuthor%5D&amp;itool=EntrezSystem2.PEntrez.Pubmed.Pubmed_ResultsPanel.Pubmed_DiscoveryPanel.Pubmed_RVAbstractPlus</vt:lpwstr>
      </vt:variant>
      <vt:variant>
        <vt:lpwstr/>
      </vt:variant>
      <vt:variant>
        <vt:i4>3276811</vt:i4>
      </vt:variant>
      <vt:variant>
        <vt:i4>843</vt:i4>
      </vt:variant>
      <vt:variant>
        <vt:i4>0</vt:i4>
      </vt:variant>
      <vt:variant>
        <vt:i4>5</vt:i4>
      </vt:variant>
      <vt:variant>
        <vt:lpwstr>javascript:AL_get(this, 'jour', 'Clin Toxicol (Phila).');</vt:lpwstr>
      </vt:variant>
      <vt:variant>
        <vt:lpwstr/>
      </vt:variant>
      <vt:variant>
        <vt:i4>6094947</vt:i4>
      </vt:variant>
      <vt:variant>
        <vt:i4>840</vt:i4>
      </vt:variant>
      <vt:variant>
        <vt:i4>0</vt:i4>
      </vt:variant>
      <vt:variant>
        <vt:i4>5</vt:i4>
      </vt:variant>
      <vt:variant>
        <vt:lpwstr>http://www.ncbi.nlm.nih.gov/sites/entrez?Db=pubmed&amp;Cmd=Search&amp;Term=%22Blondell%20JM%22%5BAuthor%5D&amp;itool=EntrezSystem2.PEntrez.Pubmed.Pubmed_ResultsPanel.Pubmed_DiscoveryPanel.Pubmed_RVAbstractPlus</vt:lpwstr>
      </vt:variant>
      <vt:variant>
        <vt:lpwstr/>
      </vt:variant>
      <vt:variant>
        <vt:i4>983081</vt:i4>
      </vt:variant>
      <vt:variant>
        <vt:i4>837</vt:i4>
      </vt:variant>
      <vt:variant>
        <vt:i4>0</vt:i4>
      </vt:variant>
      <vt:variant>
        <vt:i4>5</vt:i4>
      </vt:variant>
      <vt:variant>
        <vt:lpwstr>javascript:AL_get(this, 'jour', 'Toxicol Appl Pharmacol.');</vt:lpwstr>
      </vt:variant>
      <vt:variant>
        <vt:lpwstr/>
      </vt:variant>
      <vt:variant>
        <vt:i4>3276825</vt:i4>
      </vt:variant>
      <vt:variant>
        <vt:i4>834</vt:i4>
      </vt:variant>
      <vt:variant>
        <vt:i4>0</vt:i4>
      </vt:variant>
      <vt:variant>
        <vt:i4>5</vt:i4>
      </vt:variant>
      <vt:variant>
        <vt:lpwstr>http://www.ncbi.nlm.nih.gov/sites/entrez?Db=pubmed&amp;Cmd=Search&amp;Term=%22Laskin%20JD%22%5BAuthor%5D&amp;itool=EntrezSystem2.PEntrez.Pubmed.Pubmed_ResultsPanel.Pubmed_DiscoveryPanel.Pubmed_RVAbstractPlus</vt:lpwstr>
      </vt:variant>
      <vt:variant>
        <vt:lpwstr/>
      </vt:variant>
      <vt:variant>
        <vt:i4>5636197</vt:i4>
      </vt:variant>
      <vt:variant>
        <vt:i4>831</vt:i4>
      </vt:variant>
      <vt:variant>
        <vt:i4>0</vt:i4>
      </vt:variant>
      <vt:variant>
        <vt:i4>5</vt:i4>
      </vt:variant>
      <vt:variant>
        <vt:lpwstr>http://www.ncbi.nlm.nih.gov/sites/entrez?Db=pubmed&amp;Cmd=Search&amp;Term=%22Heck%20DE%22%5BAuthor%5D&amp;itool=EntrezSystem2.PEntrez.Pubmed.Pubmed_ResultsPanel.Pubmed_DiscoveryPanel.Pubmed_RVAbstractPlus</vt:lpwstr>
      </vt:variant>
      <vt:variant>
        <vt:lpwstr/>
      </vt:variant>
      <vt:variant>
        <vt:i4>3932177</vt:i4>
      </vt:variant>
      <vt:variant>
        <vt:i4>828</vt:i4>
      </vt:variant>
      <vt:variant>
        <vt:i4>0</vt:i4>
      </vt:variant>
      <vt:variant>
        <vt:i4>5</vt:i4>
      </vt:variant>
      <vt:variant>
        <vt:lpwstr>http://www.ncbi.nlm.nih.gov/sites/entrez?Db=pubmed&amp;Cmd=Search&amp;Term=%22Laskin%20DL%22%5BAuthor%5D&amp;itool=EntrezSystem2.PEntrez.Pubmed.Pubmed_ResultsPanel.Pubmed_DiscoveryPanel.Pubmed_RVAbstractPlus</vt:lpwstr>
      </vt:variant>
      <vt:variant>
        <vt:lpwstr/>
      </vt:variant>
      <vt:variant>
        <vt:i4>2555907</vt:i4>
      </vt:variant>
      <vt:variant>
        <vt:i4>825</vt:i4>
      </vt:variant>
      <vt:variant>
        <vt:i4>0</vt:i4>
      </vt:variant>
      <vt:variant>
        <vt:i4>5</vt:i4>
      </vt:variant>
      <vt:variant>
        <vt:lpwstr>http://www.ncbi.nlm.nih.gov/sites/entrez?Db=pubmed&amp;Cmd=Search&amp;Term=%22Shakarjian%20MP%22%5BAuthor%5D&amp;itool=EntrezSystem2.PEntrez.Pubmed.Pubmed_ResultsPanel.Pubmed_DiscoveryPanel.Pubmed_RVAbstractPlus</vt:lpwstr>
      </vt:variant>
      <vt:variant>
        <vt:lpwstr/>
      </vt:variant>
      <vt:variant>
        <vt:i4>6094973</vt:i4>
      </vt:variant>
      <vt:variant>
        <vt:i4>822</vt:i4>
      </vt:variant>
      <vt:variant>
        <vt:i4>0</vt:i4>
      </vt:variant>
      <vt:variant>
        <vt:i4>5</vt:i4>
      </vt:variant>
      <vt:variant>
        <vt:lpwstr>http://www.ncbi.nlm.nih.gov/sites/entrez?Db=pubmed&amp;Cmd=Search&amp;Term=%22Gray%20JP%22%5BAuthor%5D&amp;itool=EntrezSystem2.PEntrez.Pubmed.Pubmed_ResultsPanel.Pubmed_DiscoveryPanel.Pubmed_RVAbstractPlus</vt:lpwstr>
      </vt:variant>
      <vt:variant>
        <vt:lpwstr/>
      </vt:variant>
      <vt:variant>
        <vt:i4>262194</vt:i4>
      </vt:variant>
      <vt:variant>
        <vt:i4>819</vt:i4>
      </vt:variant>
      <vt:variant>
        <vt:i4>0</vt:i4>
      </vt:variant>
      <vt:variant>
        <vt:i4>5</vt:i4>
      </vt:variant>
      <vt:variant>
        <vt:lpwstr>http://www.ncbi.nlm.nih.gov/sites/entrez?Db=pubmed&amp;Cmd=Search&amp;Term=%22Black%20AT%22%5BAuthor%5D&amp;itool=EntrezSystem2.PEntrez.Pubmed.Pubmed_ResultsPanel.Pubmed_DiscoveryPanel.Pubmed_RVAbstractPlus</vt:lpwstr>
      </vt:variant>
      <vt:variant>
        <vt:lpwstr/>
      </vt:variant>
      <vt:variant>
        <vt:i4>6225998</vt:i4>
      </vt:variant>
      <vt:variant>
        <vt:i4>816</vt:i4>
      </vt:variant>
      <vt:variant>
        <vt:i4>0</vt:i4>
      </vt:variant>
      <vt:variant>
        <vt:i4>5</vt:i4>
      </vt:variant>
      <vt:variant>
        <vt:lpwstr>http://www.ncbi.nlm.nih.gov/pubmed/18403358?ordinalpos=52&amp;itool=EntrezSystem2.PEntrez.Pubmed.Pubmed_ResultsPanel.Pubmed_RVDocSum</vt:lpwstr>
      </vt:variant>
      <vt:variant>
        <vt:lpwstr/>
      </vt:variant>
      <vt:variant>
        <vt:i4>8192051</vt:i4>
      </vt:variant>
      <vt:variant>
        <vt:i4>813</vt:i4>
      </vt:variant>
      <vt:variant>
        <vt:i4>0</vt:i4>
      </vt:variant>
      <vt:variant>
        <vt:i4>5</vt:i4>
      </vt:variant>
      <vt:variant>
        <vt:lpwstr>http://www.ncbi.nlm.nih.gov/pubmed/18608256?ordinalpos=3&amp;itool=EntrezSystem2.PEntrez.Pubmed.Pubmed_ResultsPanel.Pubmed_RVDocSum</vt:lpwstr>
      </vt:variant>
      <vt:variant>
        <vt:lpwstr/>
      </vt:variant>
      <vt:variant>
        <vt:i4>6684773</vt:i4>
      </vt:variant>
      <vt:variant>
        <vt:i4>810</vt:i4>
      </vt:variant>
      <vt:variant>
        <vt:i4>0</vt:i4>
      </vt:variant>
      <vt:variant>
        <vt:i4>5</vt:i4>
      </vt:variant>
      <vt:variant>
        <vt:lpwstr>http://www.epa.gov/pesticides/safety/healthcare</vt:lpwstr>
      </vt:variant>
      <vt:variant>
        <vt:lpwstr/>
      </vt:variant>
      <vt:variant>
        <vt:i4>7340089</vt:i4>
      </vt:variant>
      <vt:variant>
        <vt:i4>807</vt:i4>
      </vt:variant>
      <vt:variant>
        <vt:i4>0</vt:i4>
      </vt:variant>
      <vt:variant>
        <vt:i4>5</vt:i4>
      </vt:variant>
      <vt:variant>
        <vt:lpwstr>http://www.ncbi.nlm.nih.gov/pubmed/17018646?ordinalpos=9&amp;itool=EntrezSystem2.PEntrez.Pubmed.Pubmed_ResultsPanel.Pubmed_RVDocSum</vt:lpwstr>
      </vt:variant>
      <vt:variant>
        <vt:lpwstr/>
      </vt:variant>
      <vt:variant>
        <vt:i4>4390924</vt:i4>
      </vt:variant>
      <vt:variant>
        <vt:i4>804</vt:i4>
      </vt:variant>
      <vt:variant>
        <vt:i4>0</vt:i4>
      </vt:variant>
      <vt:variant>
        <vt:i4>5</vt:i4>
      </vt:variant>
      <vt:variant>
        <vt:lpwstr>http://www.ncbi.nlm.nih.gov/pubmed/17938734?ordinalpos=145&amp;itool=EntrezSystem2.PEntrez.Pubmed.Pubmed_ResultsPanel.Pubmed_RVDocSum</vt:lpwstr>
      </vt:variant>
      <vt:variant>
        <vt:lpwstr/>
      </vt:variant>
      <vt:variant>
        <vt:i4>4390924</vt:i4>
      </vt:variant>
      <vt:variant>
        <vt:i4>801</vt:i4>
      </vt:variant>
      <vt:variant>
        <vt:i4>0</vt:i4>
      </vt:variant>
      <vt:variant>
        <vt:i4>5</vt:i4>
      </vt:variant>
      <vt:variant>
        <vt:lpwstr>http://www.ncbi.nlm.nih.gov/pubmed/17938734?ordinalpos=145&amp;itool=EntrezSystem2.PEntrez.Pubmed.Pubmed_ResultsPanel.Pubmed_RVDocSum</vt:lpwstr>
      </vt:variant>
      <vt:variant>
        <vt:lpwstr/>
      </vt:variant>
      <vt:variant>
        <vt:i4>4390918</vt:i4>
      </vt:variant>
      <vt:variant>
        <vt:i4>798</vt:i4>
      </vt:variant>
      <vt:variant>
        <vt:i4>0</vt:i4>
      </vt:variant>
      <vt:variant>
        <vt:i4>5</vt:i4>
      </vt:variant>
      <vt:variant>
        <vt:lpwstr>http://www.ncbi.nlm.nih.gov/pubmed/18161502?ordinalpos=107&amp;itool=EntrezSystem2.PEntrez.Pubmed.Pubmed_ResultsPanel.Pubmed_RVDocSum</vt:lpwstr>
      </vt:variant>
      <vt:variant>
        <vt:lpwstr/>
      </vt:variant>
      <vt:variant>
        <vt:i4>4653060</vt:i4>
      </vt:variant>
      <vt:variant>
        <vt:i4>795</vt:i4>
      </vt:variant>
      <vt:variant>
        <vt:i4>0</vt:i4>
      </vt:variant>
      <vt:variant>
        <vt:i4>5</vt:i4>
      </vt:variant>
      <vt:variant>
        <vt:lpwstr>http://www.ncbi.nlm.nih.gov/pubmed/18072174?ordinalpos=116&amp;itool=EntrezSystem2.PEntrez.Pubmed.Pubmed_ResultsPanel.Pubmed_RVDocSum</vt:lpwstr>
      </vt:variant>
      <vt:variant>
        <vt:lpwstr/>
      </vt:variant>
      <vt:variant>
        <vt:i4>4390918</vt:i4>
      </vt:variant>
      <vt:variant>
        <vt:i4>792</vt:i4>
      </vt:variant>
      <vt:variant>
        <vt:i4>0</vt:i4>
      </vt:variant>
      <vt:variant>
        <vt:i4>5</vt:i4>
      </vt:variant>
      <vt:variant>
        <vt:lpwstr>http://www.ncbi.nlm.nih.gov/pubmed/18161502?ordinalpos=107&amp;itool=EntrezSystem2.PEntrez.Pubmed.Pubmed_ResultsPanel.Pubmed_RVDocSum</vt:lpwstr>
      </vt:variant>
      <vt:variant>
        <vt:lpwstr/>
      </vt:variant>
      <vt:variant>
        <vt:i4>4653060</vt:i4>
      </vt:variant>
      <vt:variant>
        <vt:i4>789</vt:i4>
      </vt:variant>
      <vt:variant>
        <vt:i4>0</vt:i4>
      </vt:variant>
      <vt:variant>
        <vt:i4>5</vt:i4>
      </vt:variant>
      <vt:variant>
        <vt:lpwstr>http://www.ncbi.nlm.nih.gov/pubmed/18072174?ordinalpos=116&amp;itool=EntrezSystem2.PEntrez.Pubmed.Pubmed_ResultsPanel.Pubmed_RVDocSum</vt:lpwstr>
      </vt:variant>
      <vt:variant>
        <vt:lpwstr/>
      </vt:variant>
      <vt:variant>
        <vt:i4>4915203</vt:i4>
      </vt:variant>
      <vt:variant>
        <vt:i4>786</vt:i4>
      </vt:variant>
      <vt:variant>
        <vt:i4>0</vt:i4>
      </vt:variant>
      <vt:variant>
        <vt:i4>5</vt:i4>
      </vt:variant>
      <vt:variant>
        <vt:lpwstr>http://www.ncbi.nlm.nih.gov/pubmed/17909977?ordinalpos=158&amp;itool=EntrezSystem2.PEntrez.Pubmed.Pubmed_ResultsPanel.Pubmed_RVDocSum</vt:lpwstr>
      </vt:variant>
      <vt:variant>
        <vt:lpwstr/>
      </vt:variant>
      <vt:variant>
        <vt:i4>4390924</vt:i4>
      </vt:variant>
      <vt:variant>
        <vt:i4>774</vt:i4>
      </vt:variant>
      <vt:variant>
        <vt:i4>0</vt:i4>
      </vt:variant>
      <vt:variant>
        <vt:i4>5</vt:i4>
      </vt:variant>
      <vt:variant>
        <vt:lpwstr>http://www.ncbi.nlm.nih.gov/pubmed/17938734?ordinalpos=145&amp;itool=EntrezSystem2.PEntrez.Pubmed.Pubmed_ResultsPanel.Pubmed_RVDocSum</vt:lpwstr>
      </vt:variant>
      <vt:variant>
        <vt:lpwstr/>
      </vt:variant>
      <vt:variant>
        <vt:i4>4390924</vt:i4>
      </vt:variant>
      <vt:variant>
        <vt:i4>771</vt:i4>
      </vt:variant>
      <vt:variant>
        <vt:i4>0</vt:i4>
      </vt:variant>
      <vt:variant>
        <vt:i4>5</vt:i4>
      </vt:variant>
      <vt:variant>
        <vt:lpwstr>http://www.ncbi.nlm.nih.gov/pubmed/17938734?ordinalpos=145&amp;itool=EntrezSystem2.PEntrez.Pubmed.Pubmed_ResultsPanel.Pubmed_RVDocSum</vt:lpwstr>
      </vt:variant>
      <vt:variant>
        <vt:lpwstr/>
      </vt:variant>
      <vt:variant>
        <vt:i4>1441841</vt:i4>
      </vt:variant>
      <vt:variant>
        <vt:i4>764</vt:i4>
      </vt:variant>
      <vt:variant>
        <vt:i4>0</vt:i4>
      </vt:variant>
      <vt:variant>
        <vt:i4>5</vt:i4>
      </vt:variant>
      <vt:variant>
        <vt:lpwstr/>
      </vt:variant>
      <vt:variant>
        <vt:lpwstr>_Toc323305150</vt:lpwstr>
      </vt:variant>
      <vt:variant>
        <vt:i4>1507377</vt:i4>
      </vt:variant>
      <vt:variant>
        <vt:i4>758</vt:i4>
      </vt:variant>
      <vt:variant>
        <vt:i4>0</vt:i4>
      </vt:variant>
      <vt:variant>
        <vt:i4>5</vt:i4>
      </vt:variant>
      <vt:variant>
        <vt:lpwstr/>
      </vt:variant>
      <vt:variant>
        <vt:lpwstr>_Toc323305149</vt:lpwstr>
      </vt:variant>
      <vt:variant>
        <vt:i4>1507377</vt:i4>
      </vt:variant>
      <vt:variant>
        <vt:i4>752</vt:i4>
      </vt:variant>
      <vt:variant>
        <vt:i4>0</vt:i4>
      </vt:variant>
      <vt:variant>
        <vt:i4>5</vt:i4>
      </vt:variant>
      <vt:variant>
        <vt:lpwstr/>
      </vt:variant>
      <vt:variant>
        <vt:lpwstr>_Toc323305148</vt:lpwstr>
      </vt:variant>
      <vt:variant>
        <vt:i4>1507377</vt:i4>
      </vt:variant>
      <vt:variant>
        <vt:i4>746</vt:i4>
      </vt:variant>
      <vt:variant>
        <vt:i4>0</vt:i4>
      </vt:variant>
      <vt:variant>
        <vt:i4>5</vt:i4>
      </vt:variant>
      <vt:variant>
        <vt:lpwstr/>
      </vt:variant>
      <vt:variant>
        <vt:lpwstr>_Toc323305147</vt:lpwstr>
      </vt:variant>
      <vt:variant>
        <vt:i4>1507377</vt:i4>
      </vt:variant>
      <vt:variant>
        <vt:i4>740</vt:i4>
      </vt:variant>
      <vt:variant>
        <vt:i4>0</vt:i4>
      </vt:variant>
      <vt:variant>
        <vt:i4>5</vt:i4>
      </vt:variant>
      <vt:variant>
        <vt:lpwstr/>
      </vt:variant>
      <vt:variant>
        <vt:lpwstr>_Toc323305146</vt:lpwstr>
      </vt:variant>
      <vt:variant>
        <vt:i4>1507377</vt:i4>
      </vt:variant>
      <vt:variant>
        <vt:i4>734</vt:i4>
      </vt:variant>
      <vt:variant>
        <vt:i4>0</vt:i4>
      </vt:variant>
      <vt:variant>
        <vt:i4>5</vt:i4>
      </vt:variant>
      <vt:variant>
        <vt:lpwstr/>
      </vt:variant>
      <vt:variant>
        <vt:lpwstr>_Toc323305145</vt:lpwstr>
      </vt:variant>
      <vt:variant>
        <vt:i4>1507377</vt:i4>
      </vt:variant>
      <vt:variant>
        <vt:i4>728</vt:i4>
      </vt:variant>
      <vt:variant>
        <vt:i4>0</vt:i4>
      </vt:variant>
      <vt:variant>
        <vt:i4>5</vt:i4>
      </vt:variant>
      <vt:variant>
        <vt:lpwstr/>
      </vt:variant>
      <vt:variant>
        <vt:lpwstr>_Toc323305144</vt:lpwstr>
      </vt:variant>
      <vt:variant>
        <vt:i4>1507377</vt:i4>
      </vt:variant>
      <vt:variant>
        <vt:i4>722</vt:i4>
      </vt:variant>
      <vt:variant>
        <vt:i4>0</vt:i4>
      </vt:variant>
      <vt:variant>
        <vt:i4>5</vt:i4>
      </vt:variant>
      <vt:variant>
        <vt:lpwstr/>
      </vt:variant>
      <vt:variant>
        <vt:lpwstr>_Toc323305143</vt:lpwstr>
      </vt:variant>
      <vt:variant>
        <vt:i4>1507377</vt:i4>
      </vt:variant>
      <vt:variant>
        <vt:i4>716</vt:i4>
      </vt:variant>
      <vt:variant>
        <vt:i4>0</vt:i4>
      </vt:variant>
      <vt:variant>
        <vt:i4>5</vt:i4>
      </vt:variant>
      <vt:variant>
        <vt:lpwstr/>
      </vt:variant>
      <vt:variant>
        <vt:lpwstr>_Toc323305142</vt:lpwstr>
      </vt:variant>
      <vt:variant>
        <vt:i4>1507377</vt:i4>
      </vt:variant>
      <vt:variant>
        <vt:i4>710</vt:i4>
      </vt:variant>
      <vt:variant>
        <vt:i4>0</vt:i4>
      </vt:variant>
      <vt:variant>
        <vt:i4>5</vt:i4>
      </vt:variant>
      <vt:variant>
        <vt:lpwstr/>
      </vt:variant>
      <vt:variant>
        <vt:lpwstr>_Toc323305141</vt:lpwstr>
      </vt:variant>
      <vt:variant>
        <vt:i4>1507377</vt:i4>
      </vt:variant>
      <vt:variant>
        <vt:i4>704</vt:i4>
      </vt:variant>
      <vt:variant>
        <vt:i4>0</vt:i4>
      </vt:variant>
      <vt:variant>
        <vt:i4>5</vt:i4>
      </vt:variant>
      <vt:variant>
        <vt:lpwstr/>
      </vt:variant>
      <vt:variant>
        <vt:lpwstr>_Toc323305140</vt:lpwstr>
      </vt:variant>
      <vt:variant>
        <vt:i4>1048625</vt:i4>
      </vt:variant>
      <vt:variant>
        <vt:i4>698</vt:i4>
      </vt:variant>
      <vt:variant>
        <vt:i4>0</vt:i4>
      </vt:variant>
      <vt:variant>
        <vt:i4>5</vt:i4>
      </vt:variant>
      <vt:variant>
        <vt:lpwstr/>
      </vt:variant>
      <vt:variant>
        <vt:lpwstr>_Toc323305139</vt:lpwstr>
      </vt:variant>
      <vt:variant>
        <vt:i4>1048625</vt:i4>
      </vt:variant>
      <vt:variant>
        <vt:i4>692</vt:i4>
      </vt:variant>
      <vt:variant>
        <vt:i4>0</vt:i4>
      </vt:variant>
      <vt:variant>
        <vt:i4>5</vt:i4>
      </vt:variant>
      <vt:variant>
        <vt:lpwstr/>
      </vt:variant>
      <vt:variant>
        <vt:lpwstr>_Toc323305138</vt:lpwstr>
      </vt:variant>
      <vt:variant>
        <vt:i4>1048625</vt:i4>
      </vt:variant>
      <vt:variant>
        <vt:i4>686</vt:i4>
      </vt:variant>
      <vt:variant>
        <vt:i4>0</vt:i4>
      </vt:variant>
      <vt:variant>
        <vt:i4>5</vt:i4>
      </vt:variant>
      <vt:variant>
        <vt:lpwstr/>
      </vt:variant>
      <vt:variant>
        <vt:lpwstr>_Toc323305137</vt:lpwstr>
      </vt:variant>
      <vt:variant>
        <vt:i4>1048625</vt:i4>
      </vt:variant>
      <vt:variant>
        <vt:i4>680</vt:i4>
      </vt:variant>
      <vt:variant>
        <vt:i4>0</vt:i4>
      </vt:variant>
      <vt:variant>
        <vt:i4>5</vt:i4>
      </vt:variant>
      <vt:variant>
        <vt:lpwstr/>
      </vt:variant>
      <vt:variant>
        <vt:lpwstr>_Toc323305136</vt:lpwstr>
      </vt:variant>
      <vt:variant>
        <vt:i4>1048625</vt:i4>
      </vt:variant>
      <vt:variant>
        <vt:i4>674</vt:i4>
      </vt:variant>
      <vt:variant>
        <vt:i4>0</vt:i4>
      </vt:variant>
      <vt:variant>
        <vt:i4>5</vt:i4>
      </vt:variant>
      <vt:variant>
        <vt:lpwstr/>
      </vt:variant>
      <vt:variant>
        <vt:lpwstr>_Toc323305135</vt:lpwstr>
      </vt:variant>
      <vt:variant>
        <vt:i4>1048625</vt:i4>
      </vt:variant>
      <vt:variant>
        <vt:i4>668</vt:i4>
      </vt:variant>
      <vt:variant>
        <vt:i4>0</vt:i4>
      </vt:variant>
      <vt:variant>
        <vt:i4>5</vt:i4>
      </vt:variant>
      <vt:variant>
        <vt:lpwstr/>
      </vt:variant>
      <vt:variant>
        <vt:lpwstr>_Toc323305134</vt:lpwstr>
      </vt:variant>
      <vt:variant>
        <vt:i4>1048625</vt:i4>
      </vt:variant>
      <vt:variant>
        <vt:i4>662</vt:i4>
      </vt:variant>
      <vt:variant>
        <vt:i4>0</vt:i4>
      </vt:variant>
      <vt:variant>
        <vt:i4>5</vt:i4>
      </vt:variant>
      <vt:variant>
        <vt:lpwstr/>
      </vt:variant>
      <vt:variant>
        <vt:lpwstr>_Toc323305133</vt:lpwstr>
      </vt:variant>
      <vt:variant>
        <vt:i4>1048625</vt:i4>
      </vt:variant>
      <vt:variant>
        <vt:i4>656</vt:i4>
      </vt:variant>
      <vt:variant>
        <vt:i4>0</vt:i4>
      </vt:variant>
      <vt:variant>
        <vt:i4>5</vt:i4>
      </vt:variant>
      <vt:variant>
        <vt:lpwstr/>
      </vt:variant>
      <vt:variant>
        <vt:lpwstr>_Toc323305132</vt:lpwstr>
      </vt:variant>
      <vt:variant>
        <vt:i4>1048625</vt:i4>
      </vt:variant>
      <vt:variant>
        <vt:i4>650</vt:i4>
      </vt:variant>
      <vt:variant>
        <vt:i4>0</vt:i4>
      </vt:variant>
      <vt:variant>
        <vt:i4>5</vt:i4>
      </vt:variant>
      <vt:variant>
        <vt:lpwstr/>
      </vt:variant>
      <vt:variant>
        <vt:lpwstr>_Toc323305131</vt:lpwstr>
      </vt:variant>
      <vt:variant>
        <vt:i4>1048625</vt:i4>
      </vt:variant>
      <vt:variant>
        <vt:i4>644</vt:i4>
      </vt:variant>
      <vt:variant>
        <vt:i4>0</vt:i4>
      </vt:variant>
      <vt:variant>
        <vt:i4>5</vt:i4>
      </vt:variant>
      <vt:variant>
        <vt:lpwstr/>
      </vt:variant>
      <vt:variant>
        <vt:lpwstr>_Toc323305130</vt:lpwstr>
      </vt:variant>
      <vt:variant>
        <vt:i4>1114161</vt:i4>
      </vt:variant>
      <vt:variant>
        <vt:i4>638</vt:i4>
      </vt:variant>
      <vt:variant>
        <vt:i4>0</vt:i4>
      </vt:variant>
      <vt:variant>
        <vt:i4>5</vt:i4>
      </vt:variant>
      <vt:variant>
        <vt:lpwstr/>
      </vt:variant>
      <vt:variant>
        <vt:lpwstr>_Toc323305129</vt:lpwstr>
      </vt:variant>
      <vt:variant>
        <vt:i4>1114161</vt:i4>
      </vt:variant>
      <vt:variant>
        <vt:i4>632</vt:i4>
      </vt:variant>
      <vt:variant>
        <vt:i4>0</vt:i4>
      </vt:variant>
      <vt:variant>
        <vt:i4>5</vt:i4>
      </vt:variant>
      <vt:variant>
        <vt:lpwstr/>
      </vt:variant>
      <vt:variant>
        <vt:lpwstr>_Toc323305128</vt:lpwstr>
      </vt:variant>
      <vt:variant>
        <vt:i4>1114161</vt:i4>
      </vt:variant>
      <vt:variant>
        <vt:i4>626</vt:i4>
      </vt:variant>
      <vt:variant>
        <vt:i4>0</vt:i4>
      </vt:variant>
      <vt:variant>
        <vt:i4>5</vt:i4>
      </vt:variant>
      <vt:variant>
        <vt:lpwstr/>
      </vt:variant>
      <vt:variant>
        <vt:lpwstr>_Toc323305127</vt:lpwstr>
      </vt:variant>
      <vt:variant>
        <vt:i4>1114161</vt:i4>
      </vt:variant>
      <vt:variant>
        <vt:i4>620</vt:i4>
      </vt:variant>
      <vt:variant>
        <vt:i4>0</vt:i4>
      </vt:variant>
      <vt:variant>
        <vt:i4>5</vt:i4>
      </vt:variant>
      <vt:variant>
        <vt:lpwstr/>
      </vt:variant>
      <vt:variant>
        <vt:lpwstr>_Toc323305126</vt:lpwstr>
      </vt:variant>
      <vt:variant>
        <vt:i4>1114161</vt:i4>
      </vt:variant>
      <vt:variant>
        <vt:i4>614</vt:i4>
      </vt:variant>
      <vt:variant>
        <vt:i4>0</vt:i4>
      </vt:variant>
      <vt:variant>
        <vt:i4>5</vt:i4>
      </vt:variant>
      <vt:variant>
        <vt:lpwstr/>
      </vt:variant>
      <vt:variant>
        <vt:lpwstr>_Toc323305125</vt:lpwstr>
      </vt:variant>
      <vt:variant>
        <vt:i4>1114161</vt:i4>
      </vt:variant>
      <vt:variant>
        <vt:i4>608</vt:i4>
      </vt:variant>
      <vt:variant>
        <vt:i4>0</vt:i4>
      </vt:variant>
      <vt:variant>
        <vt:i4>5</vt:i4>
      </vt:variant>
      <vt:variant>
        <vt:lpwstr/>
      </vt:variant>
      <vt:variant>
        <vt:lpwstr>_Toc323305124</vt:lpwstr>
      </vt:variant>
      <vt:variant>
        <vt:i4>1114161</vt:i4>
      </vt:variant>
      <vt:variant>
        <vt:i4>602</vt:i4>
      </vt:variant>
      <vt:variant>
        <vt:i4>0</vt:i4>
      </vt:variant>
      <vt:variant>
        <vt:i4>5</vt:i4>
      </vt:variant>
      <vt:variant>
        <vt:lpwstr/>
      </vt:variant>
      <vt:variant>
        <vt:lpwstr>_Toc323305123</vt:lpwstr>
      </vt:variant>
      <vt:variant>
        <vt:i4>1114161</vt:i4>
      </vt:variant>
      <vt:variant>
        <vt:i4>596</vt:i4>
      </vt:variant>
      <vt:variant>
        <vt:i4>0</vt:i4>
      </vt:variant>
      <vt:variant>
        <vt:i4>5</vt:i4>
      </vt:variant>
      <vt:variant>
        <vt:lpwstr/>
      </vt:variant>
      <vt:variant>
        <vt:lpwstr>_Toc323305122</vt:lpwstr>
      </vt:variant>
      <vt:variant>
        <vt:i4>1114161</vt:i4>
      </vt:variant>
      <vt:variant>
        <vt:i4>590</vt:i4>
      </vt:variant>
      <vt:variant>
        <vt:i4>0</vt:i4>
      </vt:variant>
      <vt:variant>
        <vt:i4>5</vt:i4>
      </vt:variant>
      <vt:variant>
        <vt:lpwstr/>
      </vt:variant>
      <vt:variant>
        <vt:lpwstr>_Toc323305121</vt:lpwstr>
      </vt:variant>
      <vt:variant>
        <vt:i4>1114161</vt:i4>
      </vt:variant>
      <vt:variant>
        <vt:i4>584</vt:i4>
      </vt:variant>
      <vt:variant>
        <vt:i4>0</vt:i4>
      </vt:variant>
      <vt:variant>
        <vt:i4>5</vt:i4>
      </vt:variant>
      <vt:variant>
        <vt:lpwstr/>
      </vt:variant>
      <vt:variant>
        <vt:lpwstr>_Toc323305120</vt:lpwstr>
      </vt:variant>
      <vt:variant>
        <vt:i4>1179697</vt:i4>
      </vt:variant>
      <vt:variant>
        <vt:i4>578</vt:i4>
      </vt:variant>
      <vt:variant>
        <vt:i4>0</vt:i4>
      </vt:variant>
      <vt:variant>
        <vt:i4>5</vt:i4>
      </vt:variant>
      <vt:variant>
        <vt:lpwstr/>
      </vt:variant>
      <vt:variant>
        <vt:lpwstr>_Toc323305119</vt:lpwstr>
      </vt:variant>
      <vt:variant>
        <vt:i4>1179697</vt:i4>
      </vt:variant>
      <vt:variant>
        <vt:i4>572</vt:i4>
      </vt:variant>
      <vt:variant>
        <vt:i4>0</vt:i4>
      </vt:variant>
      <vt:variant>
        <vt:i4>5</vt:i4>
      </vt:variant>
      <vt:variant>
        <vt:lpwstr/>
      </vt:variant>
      <vt:variant>
        <vt:lpwstr>_Toc323305118</vt:lpwstr>
      </vt:variant>
      <vt:variant>
        <vt:i4>1179697</vt:i4>
      </vt:variant>
      <vt:variant>
        <vt:i4>566</vt:i4>
      </vt:variant>
      <vt:variant>
        <vt:i4>0</vt:i4>
      </vt:variant>
      <vt:variant>
        <vt:i4>5</vt:i4>
      </vt:variant>
      <vt:variant>
        <vt:lpwstr/>
      </vt:variant>
      <vt:variant>
        <vt:lpwstr>_Toc323305117</vt:lpwstr>
      </vt:variant>
      <vt:variant>
        <vt:i4>1179697</vt:i4>
      </vt:variant>
      <vt:variant>
        <vt:i4>560</vt:i4>
      </vt:variant>
      <vt:variant>
        <vt:i4>0</vt:i4>
      </vt:variant>
      <vt:variant>
        <vt:i4>5</vt:i4>
      </vt:variant>
      <vt:variant>
        <vt:lpwstr/>
      </vt:variant>
      <vt:variant>
        <vt:lpwstr>_Toc323305116</vt:lpwstr>
      </vt:variant>
      <vt:variant>
        <vt:i4>1179697</vt:i4>
      </vt:variant>
      <vt:variant>
        <vt:i4>554</vt:i4>
      </vt:variant>
      <vt:variant>
        <vt:i4>0</vt:i4>
      </vt:variant>
      <vt:variant>
        <vt:i4>5</vt:i4>
      </vt:variant>
      <vt:variant>
        <vt:lpwstr/>
      </vt:variant>
      <vt:variant>
        <vt:lpwstr>_Toc323305115</vt:lpwstr>
      </vt:variant>
      <vt:variant>
        <vt:i4>1179697</vt:i4>
      </vt:variant>
      <vt:variant>
        <vt:i4>548</vt:i4>
      </vt:variant>
      <vt:variant>
        <vt:i4>0</vt:i4>
      </vt:variant>
      <vt:variant>
        <vt:i4>5</vt:i4>
      </vt:variant>
      <vt:variant>
        <vt:lpwstr/>
      </vt:variant>
      <vt:variant>
        <vt:lpwstr>_Toc323305114</vt:lpwstr>
      </vt:variant>
      <vt:variant>
        <vt:i4>1179697</vt:i4>
      </vt:variant>
      <vt:variant>
        <vt:i4>542</vt:i4>
      </vt:variant>
      <vt:variant>
        <vt:i4>0</vt:i4>
      </vt:variant>
      <vt:variant>
        <vt:i4>5</vt:i4>
      </vt:variant>
      <vt:variant>
        <vt:lpwstr/>
      </vt:variant>
      <vt:variant>
        <vt:lpwstr>_Toc323305113</vt:lpwstr>
      </vt:variant>
      <vt:variant>
        <vt:i4>1179697</vt:i4>
      </vt:variant>
      <vt:variant>
        <vt:i4>536</vt:i4>
      </vt:variant>
      <vt:variant>
        <vt:i4>0</vt:i4>
      </vt:variant>
      <vt:variant>
        <vt:i4>5</vt:i4>
      </vt:variant>
      <vt:variant>
        <vt:lpwstr/>
      </vt:variant>
      <vt:variant>
        <vt:lpwstr>_Toc323305112</vt:lpwstr>
      </vt:variant>
      <vt:variant>
        <vt:i4>1179697</vt:i4>
      </vt:variant>
      <vt:variant>
        <vt:i4>530</vt:i4>
      </vt:variant>
      <vt:variant>
        <vt:i4>0</vt:i4>
      </vt:variant>
      <vt:variant>
        <vt:i4>5</vt:i4>
      </vt:variant>
      <vt:variant>
        <vt:lpwstr/>
      </vt:variant>
      <vt:variant>
        <vt:lpwstr>_Toc323305111</vt:lpwstr>
      </vt:variant>
      <vt:variant>
        <vt:i4>1179697</vt:i4>
      </vt:variant>
      <vt:variant>
        <vt:i4>524</vt:i4>
      </vt:variant>
      <vt:variant>
        <vt:i4>0</vt:i4>
      </vt:variant>
      <vt:variant>
        <vt:i4>5</vt:i4>
      </vt:variant>
      <vt:variant>
        <vt:lpwstr/>
      </vt:variant>
      <vt:variant>
        <vt:lpwstr>_Toc323305110</vt:lpwstr>
      </vt:variant>
      <vt:variant>
        <vt:i4>1245233</vt:i4>
      </vt:variant>
      <vt:variant>
        <vt:i4>518</vt:i4>
      </vt:variant>
      <vt:variant>
        <vt:i4>0</vt:i4>
      </vt:variant>
      <vt:variant>
        <vt:i4>5</vt:i4>
      </vt:variant>
      <vt:variant>
        <vt:lpwstr/>
      </vt:variant>
      <vt:variant>
        <vt:lpwstr>_Toc323305109</vt:lpwstr>
      </vt:variant>
      <vt:variant>
        <vt:i4>1245233</vt:i4>
      </vt:variant>
      <vt:variant>
        <vt:i4>512</vt:i4>
      </vt:variant>
      <vt:variant>
        <vt:i4>0</vt:i4>
      </vt:variant>
      <vt:variant>
        <vt:i4>5</vt:i4>
      </vt:variant>
      <vt:variant>
        <vt:lpwstr/>
      </vt:variant>
      <vt:variant>
        <vt:lpwstr>_Toc323305108</vt:lpwstr>
      </vt:variant>
      <vt:variant>
        <vt:i4>1245233</vt:i4>
      </vt:variant>
      <vt:variant>
        <vt:i4>506</vt:i4>
      </vt:variant>
      <vt:variant>
        <vt:i4>0</vt:i4>
      </vt:variant>
      <vt:variant>
        <vt:i4>5</vt:i4>
      </vt:variant>
      <vt:variant>
        <vt:lpwstr/>
      </vt:variant>
      <vt:variant>
        <vt:lpwstr>_Toc323305107</vt:lpwstr>
      </vt:variant>
      <vt:variant>
        <vt:i4>1245233</vt:i4>
      </vt:variant>
      <vt:variant>
        <vt:i4>500</vt:i4>
      </vt:variant>
      <vt:variant>
        <vt:i4>0</vt:i4>
      </vt:variant>
      <vt:variant>
        <vt:i4>5</vt:i4>
      </vt:variant>
      <vt:variant>
        <vt:lpwstr/>
      </vt:variant>
      <vt:variant>
        <vt:lpwstr>_Toc323305106</vt:lpwstr>
      </vt:variant>
      <vt:variant>
        <vt:i4>1245233</vt:i4>
      </vt:variant>
      <vt:variant>
        <vt:i4>494</vt:i4>
      </vt:variant>
      <vt:variant>
        <vt:i4>0</vt:i4>
      </vt:variant>
      <vt:variant>
        <vt:i4>5</vt:i4>
      </vt:variant>
      <vt:variant>
        <vt:lpwstr/>
      </vt:variant>
      <vt:variant>
        <vt:lpwstr>_Toc323305105</vt:lpwstr>
      </vt:variant>
      <vt:variant>
        <vt:i4>1245233</vt:i4>
      </vt:variant>
      <vt:variant>
        <vt:i4>488</vt:i4>
      </vt:variant>
      <vt:variant>
        <vt:i4>0</vt:i4>
      </vt:variant>
      <vt:variant>
        <vt:i4>5</vt:i4>
      </vt:variant>
      <vt:variant>
        <vt:lpwstr/>
      </vt:variant>
      <vt:variant>
        <vt:lpwstr>_Toc323305104</vt:lpwstr>
      </vt:variant>
      <vt:variant>
        <vt:i4>1245233</vt:i4>
      </vt:variant>
      <vt:variant>
        <vt:i4>482</vt:i4>
      </vt:variant>
      <vt:variant>
        <vt:i4>0</vt:i4>
      </vt:variant>
      <vt:variant>
        <vt:i4>5</vt:i4>
      </vt:variant>
      <vt:variant>
        <vt:lpwstr/>
      </vt:variant>
      <vt:variant>
        <vt:lpwstr>_Toc323305103</vt:lpwstr>
      </vt:variant>
      <vt:variant>
        <vt:i4>1245233</vt:i4>
      </vt:variant>
      <vt:variant>
        <vt:i4>476</vt:i4>
      </vt:variant>
      <vt:variant>
        <vt:i4>0</vt:i4>
      </vt:variant>
      <vt:variant>
        <vt:i4>5</vt:i4>
      </vt:variant>
      <vt:variant>
        <vt:lpwstr/>
      </vt:variant>
      <vt:variant>
        <vt:lpwstr>_Toc323305102</vt:lpwstr>
      </vt:variant>
      <vt:variant>
        <vt:i4>1245233</vt:i4>
      </vt:variant>
      <vt:variant>
        <vt:i4>470</vt:i4>
      </vt:variant>
      <vt:variant>
        <vt:i4>0</vt:i4>
      </vt:variant>
      <vt:variant>
        <vt:i4>5</vt:i4>
      </vt:variant>
      <vt:variant>
        <vt:lpwstr/>
      </vt:variant>
      <vt:variant>
        <vt:lpwstr>_Toc323305101</vt:lpwstr>
      </vt:variant>
      <vt:variant>
        <vt:i4>1245233</vt:i4>
      </vt:variant>
      <vt:variant>
        <vt:i4>464</vt:i4>
      </vt:variant>
      <vt:variant>
        <vt:i4>0</vt:i4>
      </vt:variant>
      <vt:variant>
        <vt:i4>5</vt:i4>
      </vt:variant>
      <vt:variant>
        <vt:lpwstr/>
      </vt:variant>
      <vt:variant>
        <vt:lpwstr>_Toc323305100</vt:lpwstr>
      </vt:variant>
      <vt:variant>
        <vt:i4>1703984</vt:i4>
      </vt:variant>
      <vt:variant>
        <vt:i4>458</vt:i4>
      </vt:variant>
      <vt:variant>
        <vt:i4>0</vt:i4>
      </vt:variant>
      <vt:variant>
        <vt:i4>5</vt:i4>
      </vt:variant>
      <vt:variant>
        <vt:lpwstr/>
      </vt:variant>
      <vt:variant>
        <vt:lpwstr>_Toc323305099</vt:lpwstr>
      </vt:variant>
      <vt:variant>
        <vt:i4>1703984</vt:i4>
      </vt:variant>
      <vt:variant>
        <vt:i4>452</vt:i4>
      </vt:variant>
      <vt:variant>
        <vt:i4>0</vt:i4>
      </vt:variant>
      <vt:variant>
        <vt:i4>5</vt:i4>
      </vt:variant>
      <vt:variant>
        <vt:lpwstr/>
      </vt:variant>
      <vt:variant>
        <vt:lpwstr>_Toc323305098</vt:lpwstr>
      </vt:variant>
      <vt:variant>
        <vt:i4>1703984</vt:i4>
      </vt:variant>
      <vt:variant>
        <vt:i4>446</vt:i4>
      </vt:variant>
      <vt:variant>
        <vt:i4>0</vt:i4>
      </vt:variant>
      <vt:variant>
        <vt:i4>5</vt:i4>
      </vt:variant>
      <vt:variant>
        <vt:lpwstr/>
      </vt:variant>
      <vt:variant>
        <vt:lpwstr>_Toc323305097</vt:lpwstr>
      </vt:variant>
      <vt:variant>
        <vt:i4>1703984</vt:i4>
      </vt:variant>
      <vt:variant>
        <vt:i4>440</vt:i4>
      </vt:variant>
      <vt:variant>
        <vt:i4>0</vt:i4>
      </vt:variant>
      <vt:variant>
        <vt:i4>5</vt:i4>
      </vt:variant>
      <vt:variant>
        <vt:lpwstr/>
      </vt:variant>
      <vt:variant>
        <vt:lpwstr>_Toc323305096</vt:lpwstr>
      </vt:variant>
      <vt:variant>
        <vt:i4>1703984</vt:i4>
      </vt:variant>
      <vt:variant>
        <vt:i4>434</vt:i4>
      </vt:variant>
      <vt:variant>
        <vt:i4>0</vt:i4>
      </vt:variant>
      <vt:variant>
        <vt:i4>5</vt:i4>
      </vt:variant>
      <vt:variant>
        <vt:lpwstr/>
      </vt:variant>
      <vt:variant>
        <vt:lpwstr>_Toc323305095</vt:lpwstr>
      </vt:variant>
      <vt:variant>
        <vt:i4>1703984</vt:i4>
      </vt:variant>
      <vt:variant>
        <vt:i4>428</vt:i4>
      </vt:variant>
      <vt:variant>
        <vt:i4>0</vt:i4>
      </vt:variant>
      <vt:variant>
        <vt:i4>5</vt:i4>
      </vt:variant>
      <vt:variant>
        <vt:lpwstr/>
      </vt:variant>
      <vt:variant>
        <vt:lpwstr>_Toc323305094</vt:lpwstr>
      </vt:variant>
      <vt:variant>
        <vt:i4>1703984</vt:i4>
      </vt:variant>
      <vt:variant>
        <vt:i4>422</vt:i4>
      </vt:variant>
      <vt:variant>
        <vt:i4>0</vt:i4>
      </vt:variant>
      <vt:variant>
        <vt:i4>5</vt:i4>
      </vt:variant>
      <vt:variant>
        <vt:lpwstr/>
      </vt:variant>
      <vt:variant>
        <vt:lpwstr>_Toc323305093</vt:lpwstr>
      </vt:variant>
      <vt:variant>
        <vt:i4>1703984</vt:i4>
      </vt:variant>
      <vt:variant>
        <vt:i4>416</vt:i4>
      </vt:variant>
      <vt:variant>
        <vt:i4>0</vt:i4>
      </vt:variant>
      <vt:variant>
        <vt:i4>5</vt:i4>
      </vt:variant>
      <vt:variant>
        <vt:lpwstr/>
      </vt:variant>
      <vt:variant>
        <vt:lpwstr>_Toc323305092</vt:lpwstr>
      </vt:variant>
      <vt:variant>
        <vt:i4>1703984</vt:i4>
      </vt:variant>
      <vt:variant>
        <vt:i4>410</vt:i4>
      </vt:variant>
      <vt:variant>
        <vt:i4>0</vt:i4>
      </vt:variant>
      <vt:variant>
        <vt:i4>5</vt:i4>
      </vt:variant>
      <vt:variant>
        <vt:lpwstr/>
      </vt:variant>
      <vt:variant>
        <vt:lpwstr>_Toc323305091</vt:lpwstr>
      </vt:variant>
      <vt:variant>
        <vt:i4>1703984</vt:i4>
      </vt:variant>
      <vt:variant>
        <vt:i4>404</vt:i4>
      </vt:variant>
      <vt:variant>
        <vt:i4>0</vt:i4>
      </vt:variant>
      <vt:variant>
        <vt:i4>5</vt:i4>
      </vt:variant>
      <vt:variant>
        <vt:lpwstr/>
      </vt:variant>
      <vt:variant>
        <vt:lpwstr>_Toc323305090</vt:lpwstr>
      </vt:variant>
      <vt:variant>
        <vt:i4>1769520</vt:i4>
      </vt:variant>
      <vt:variant>
        <vt:i4>398</vt:i4>
      </vt:variant>
      <vt:variant>
        <vt:i4>0</vt:i4>
      </vt:variant>
      <vt:variant>
        <vt:i4>5</vt:i4>
      </vt:variant>
      <vt:variant>
        <vt:lpwstr/>
      </vt:variant>
      <vt:variant>
        <vt:lpwstr>_Toc323305089</vt:lpwstr>
      </vt:variant>
      <vt:variant>
        <vt:i4>1769520</vt:i4>
      </vt:variant>
      <vt:variant>
        <vt:i4>392</vt:i4>
      </vt:variant>
      <vt:variant>
        <vt:i4>0</vt:i4>
      </vt:variant>
      <vt:variant>
        <vt:i4>5</vt:i4>
      </vt:variant>
      <vt:variant>
        <vt:lpwstr/>
      </vt:variant>
      <vt:variant>
        <vt:lpwstr>_Toc323305088</vt:lpwstr>
      </vt:variant>
      <vt:variant>
        <vt:i4>1769520</vt:i4>
      </vt:variant>
      <vt:variant>
        <vt:i4>386</vt:i4>
      </vt:variant>
      <vt:variant>
        <vt:i4>0</vt:i4>
      </vt:variant>
      <vt:variant>
        <vt:i4>5</vt:i4>
      </vt:variant>
      <vt:variant>
        <vt:lpwstr/>
      </vt:variant>
      <vt:variant>
        <vt:lpwstr>_Toc323305087</vt:lpwstr>
      </vt:variant>
      <vt:variant>
        <vt:i4>1769520</vt:i4>
      </vt:variant>
      <vt:variant>
        <vt:i4>380</vt:i4>
      </vt:variant>
      <vt:variant>
        <vt:i4>0</vt:i4>
      </vt:variant>
      <vt:variant>
        <vt:i4>5</vt:i4>
      </vt:variant>
      <vt:variant>
        <vt:lpwstr/>
      </vt:variant>
      <vt:variant>
        <vt:lpwstr>_Toc323305086</vt:lpwstr>
      </vt:variant>
      <vt:variant>
        <vt:i4>1769520</vt:i4>
      </vt:variant>
      <vt:variant>
        <vt:i4>374</vt:i4>
      </vt:variant>
      <vt:variant>
        <vt:i4>0</vt:i4>
      </vt:variant>
      <vt:variant>
        <vt:i4>5</vt:i4>
      </vt:variant>
      <vt:variant>
        <vt:lpwstr/>
      </vt:variant>
      <vt:variant>
        <vt:lpwstr>_Toc323305085</vt:lpwstr>
      </vt:variant>
      <vt:variant>
        <vt:i4>1769520</vt:i4>
      </vt:variant>
      <vt:variant>
        <vt:i4>368</vt:i4>
      </vt:variant>
      <vt:variant>
        <vt:i4>0</vt:i4>
      </vt:variant>
      <vt:variant>
        <vt:i4>5</vt:i4>
      </vt:variant>
      <vt:variant>
        <vt:lpwstr/>
      </vt:variant>
      <vt:variant>
        <vt:lpwstr>_Toc323305084</vt:lpwstr>
      </vt:variant>
      <vt:variant>
        <vt:i4>1769520</vt:i4>
      </vt:variant>
      <vt:variant>
        <vt:i4>362</vt:i4>
      </vt:variant>
      <vt:variant>
        <vt:i4>0</vt:i4>
      </vt:variant>
      <vt:variant>
        <vt:i4>5</vt:i4>
      </vt:variant>
      <vt:variant>
        <vt:lpwstr/>
      </vt:variant>
      <vt:variant>
        <vt:lpwstr>_Toc323305083</vt:lpwstr>
      </vt:variant>
      <vt:variant>
        <vt:i4>1769520</vt:i4>
      </vt:variant>
      <vt:variant>
        <vt:i4>356</vt:i4>
      </vt:variant>
      <vt:variant>
        <vt:i4>0</vt:i4>
      </vt:variant>
      <vt:variant>
        <vt:i4>5</vt:i4>
      </vt:variant>
      <vt:variant>
        <vt:lpwstr/>
      </vt:variant>
      <vt:variant>
        <vt:lpwstr>_Toc323305082</vt:lpwstr>
      </vt:variant>
      <vt:variant>
        <vt:i4>1769520</vt:i4>
      </vt:variant>
      <vt:variant>
        <vt:i4>350</vt:i4>
      </vt:variant>
      <vt:variant>
        <vt:i4>0</vt:i4>
      </vt:variant>
      <vt:variant>
        <vt:i4>5</vt:i4>
      </vt:variant>
      <vt:variant>
        <vt:lpwstr/>
      </vt:variant>
      <vt:variant>
        <vt:lpwstr>_Toc323305081</vt:lpwstr>
      </vt:variant>
      <vt:variant>
        <vt:i4>1769520</vt:i4>
      </vt:variant>
      <vt:variant>
        <vt:i4>344</vt:i4>
      </vt:variant>
      <vt:variant>
        <vt:i4>0</vt:i4>
      </vt:variant>
      <vt:variant>
        <vt:i4>5</vt:i4>
      </vt:variant>
      <vt:variant>
        <vt:lpwstr/>
      </vt:variant>
      <vt:variant>
        <vt:lpwstr>_Toc323305080</vt:lpwstr>
      </vt:variant>
      <vt:variant>
        <vt:i4>1310768</vt:i4>
      </vt:variant>
      <vt:variant>
        <vt:i4>338</vt:i4>
      </vt:variant>
      <vt:variant>
        <vt:i4>0</vt:i4>
      </vt:variant>
      <vt:variant>
        <vt:i4>5</vt:i4>
      </vt:variant>
      <vt:variant>
        <vt:lpwstr/>
      </vt:variant>
      <vt:variant>
        <vt:lpwstr>_Toc323305079</vt:lpwstr>
      </vt:variant>
      <vt:variant>
        <vt:i4>1310768</vt:i4>
      </vt:variant>
      <vt:variant>
        <vt:i4>332</vt:i4>
      </vt:variant>
      <vt:variant>
        <vt:i4>0</vt:i4>
      </vt:variant>
      <vt:variant>
        <vt:i4>5</vt:i4>
      </vt:variant>
      <vt:variant>
        <vt:lpwstr/>
      </vt:variant>
      <vt:variant>
        <vt:lpwstr>_Toc323305078</vt:lpwstr>
      </vt:variant>
      <vt:variant>
        <vt:i4>1310768</vt:i4>
      </vt:variant>
      <vt:variant>
        <vt:i4>326</vt:i4>
      </vt:variant>
      <vt:variant>
        <vt:i4>0</vt:i4>
      </vt:variant>
      <vt:variant>
        <vt:i4>5</vt:i4>
      </vt:variant>
      <vt:variant>
        <vt:lpwstr/>
      </vt:variant>
      <vt:variant>
        <vt:lpwstr>_Toc323305077</vt:lpwstr>
      </vt:variant>
      <vt:variant>
        <vt:i4>1310768</vt:i4>
      </vt:variant>
      <vt:variant>
        <vt:i4>320</vt:i4>
      </vt:variant>
      <vt:variant>
        <vt:i4>0</vt:i4>
      </vt:variant>
      <vt:variant>
        <vt:i4>5</vt:i4>
      </vt:variant>
      <vt:variant>
        <vt:lpwstr/>
      </vt:variant>
      <vt:variant>
        <vt:lpwstr>_Toc323305076</vt:lpwstr>
      </vt:variant>
      <vt:variant>
        <vt:i4>1310768</vt:i4>
      </vt:variant>
      <vt:variant>
        <vt:i4>314</vt:i4>
      </vt:variant>
      <vt:variant>
        <vt:i4>0</vt:i4>
      </vt:variant>
      <vt:variant>
        <vt:i4>5</vt:i4>
      </vt:variant>
      <vt:variant>
        <vt:lpwstr/>
      </vt:variant>
      <vt:variant>
        <vt:lpwstr>_Toc323305075</vt:lpwstr>
      </vt:variant>
      <vt:variant>
        <vt:i4>1310768</vt:i4>
      </vt:variant>
      <vt:variant>
        <vt:i4>308</vt:i4>
      </vt:variant>
      <vt:variant>
        <vt:i4>0</vt:i4>
      </vt:variant>
      <vt:variant>
        <vt:i4>5</vt:i4>
      </vt:variant>
      <vt:variant>
        <vt:lpwstr/>
      </vt:variant>
      <vt:variant>
        <vt:lpwstr>_Toc323305074</vt:lpwstr>
      </vt:variant>
      <vt:variant>
        <vt:i4>1310768</vt:i4>
      </vt:variant>
      <vt:variant>
        <vt:i4>302</vt:i4>
      </vt:variant>
      <vt:variant>
        <vt:i4>0</vt:i4>
      </vt:variant>
      <vt:variant>
        <vt:i4>5</vt:i4>
      </vt:variant>
      <vt:variant>
        <vt:lpwstr/>
      </vt:variant>
      <vt:variant>
        <vt:lpwstr>_Toc323305073</vt:lpwstr>
      </vt:variant>
      <vt:variant>
        <vt:i4>1310768</vt:i4>
      </vt:variant>
      <vt:variant>
        <vt:i4>296</vt:i4>
      </vt:variant>
      <vt:variant>
        <vt:i4>0</vt:i4>
      </vt:variant>
      <vt:variant>
        <vt:i4>5</vt:i4>
      </vt:variant>
      <vt:variant>
        <vt:lpwstr/>
      </vt:variant>
      <vt:variant>
        <vt:lpwstr>_Toc323305072</vt:lpwstr>
      </vt:variant>
      <vt:variant>
        <vt:i4>1310768</vt:i4>
      </vt:variant>
      <vt:variant>
        <vt:i4>290</vt:i4>
      </vt:variant>
      <vt:variant>
        <vt:i4>0</vt:i4>
      </vt:variant>
      <vt:variant>
        <vt:i4>5</vt:i4>
      </vt:variant>
      <vt:variant>
        <vt:lpwstr/>
      </vt:variant>
      <vt:variant>
        <vt:lpwstr>_Toc323305071</vt:lpwstr>
      </vt:variant>
      <vt:variant>
        <vt:i4>1310768</vt:i4>
      </vt:variant>
      <vt:variant>
        <vt:i4>284</vt:i4>
      </vt:variant>
      <vt:variant>
        <vt:i4>0</vt:i4>
      </vt:variant>
      <vt:variant>
        <vt:i4>5</vt:i4>
      </vt:variant>
      <vt:variant>
        <vt:lpwstr/>
      </vt:variant>
      <vt:variant>
        <vt:lpwstr>_Toc323305070</vt:lpwstr>
      </vt:variant>
      <vt:variant>
        <vt:i4>1376304</vt:i4>
      </vt:variant>
      <vt:variant>
        <vt:i4>278</vt:i4>
      </vt:variant>
      <vt:variant>
        <vt:i4>0</vt:i4>
      </vt:variant>
      <vt:variant>
        <vt:i4>5</vt:i4>
      </vt:variant>
      <vt:variant>
        <vt:lpwstr/>
      </vt:variant>
      <vt:variant>
        <vt:lpwstr>_Toc323305069</vt:lpwstr>
      </vt:variant>
      <vt:variant>
        <vt:i4>1376304</vt:i4>
      </vt:variant>
      <vt:variant>
        <vt:i4>272</vt:i4>
      </vt:variant>
      <vt:variant>
        <vt:i4>0</vt:i4>
      </vt:variant>
      <vt:variant>
        <vt:i4>5</vt:i4>
      </vt:variant>
      <vt:variant>
        <vt:lpwstr/>
      </vt:variant>
      <vt:variant>
        <vt:lpwstr>_Toc323305068</vt:lpwstr>
      </vt:variant>
      <vt:variant>
        <vt:i4>1376304</vt:i4>
      </vt:variant>
      <vt:variant>
        <vt:i4>266</vt:i4>
      </vt:variant>
      <vt:variant>
        <vt:i4>0</vt:i4>
      </vt:variant>
      <vt:variant>
        <vt:i4>5</vt:i4>
      </vt:variant>
      <vt:variant>
        <vt:lpwstr/>
      </vt:variant>
      <vt:variant>
        <vt:lpwstr>_Toc323305067</vt:lpwstr>
      </vt:variant>
      <vt:variant>
        <vt:i4>1376304</vt:i4>
      </vt:variant>
      <vt:variant>
        <vt:i4>260</vt:i4>
      </vt:variant>
      <vt:variant>
        <vt:i4>0</vt:i4>
      </vt:variant>
      <vt:variant>
        <vt:i4>5</vt:i4>
      </vt:variant>
      <vt:variant>
        <vt:lpwstr/>
      </vt:variant>
      <vt:variant>
        <vt:lpwstr>_Toc323305066</vt:lpwstr>
      </vt:variant>
      <vt:variant>
        <vt:i4>1376304</vt:i4>
      </vt:variant>
      <vt:variant>
        <vt:i4>254</vt:i4>
      </vt:variant>
      <vt:variant>
        <vt:i4>0</vt:i4>
      </vt:variant>
      <vt:variant>
        <vt:i4>5</vt:i4>
      </vt:variant>
      <vt:variant>
        <vt:lpwstr/>
      </vt:variant>
      <vt:variant>
        <vt:lpwstr>_Toc323305065</vt:lpwstr>
      </vt:variant>
      <vt:variant>
        <vt:i4>1376304</vt:i4>
      </vt:variant>
      <vt:variant>
        <vt:i4>248</vt:i4>
      </vt:variant>
      <vt:variant>
        <vt:i4>0</vt:i4>
      </vt:variant>
      <vt:variant>
        <vt:i4>5</vt:i4>
      </vt:variant>
      <vt:variant>
        <vt:lpwstr/>
      </vt:variant>
      <vt:variant>
        <vt:lpwstr>_Toc323305064</vt:lpwstr>
      </vt:variant>
      <vt:variant>
        <vt:i4>1376304</vt:i4>
      </vt:variant>
      <vt:variant>
        <vt:i4>242</vt:i4>
      </vt:variant>
      <vt:variant>
        <vt:i4>0</vt:i4>
      </vt:variant>
      <vt:variant>
        <vt:i4>5</vt:i4>
      </vt:variant>
      <vt:variant>
        <vt:lpwstr/>
      </vt:variant>
      <vt:variant>
        <vt:lpwstr>_Toc323305063</vt:lpwstr>
      </vt:variant>
      <vt:variant>
        <vt:i4>1376304</vt:i4>
      </vt:variant>
      <vt:variant>
        <vt:i4>236</vt:i4>
      </vt:variant>
      <vt:variant>
        <vt:i4>0</vt:i4>
      </vt:variant>
      <vt:variant>
        <vt:i4>5</vt:i4>
      </vt:variant>
      <vt:variant>
        <vt:lpwstr/>
      </vt:variant>
      <vt:variant>
        <vt:lpwstr>_Toc323305062</vt:lpwstr>
      </vt:variant>
      <vt:variant>
        <vt:i4>1376304</vt:i4>
      </vt:variant>
      <vt:variant>
        <vt:i4>230</vt:i4>
      </vt:variant>
      <vt:variant>
        <vt:i4>0</vt:i4>
      </vt:variant>
      <vt:variant>
        <vt:i4>5</vt:i4>
      </vt:variant>
      <vt:variant>
        <vt:lpwstr/>
      </vt:variant>
      <vt:variant>
        <vt:lpwstr>_Toc323305061</vt:lpwstr>
      </vt:variant>
      <vt:variant>
        <vt:i4>1376304</vt:i4>
      </vt:variant>
      <vt:variant>
        <vt:i4>224</vt:i4>
      </vt:variant>
      <vt:variant>
        <vt:i4>0</vt:i4>
      </vt:variant>
      <vt:variant>
        <vt:i4>5</vt:i4>
      </vt:variant>
      <vt:variant>
        <vt:lpwstr/>
      </vt:variant>
      <vt:variant>
        <vt:lpwstr>_Toc323305060</vt:lpwstr>
      </vt:variant>
      <vt:variant>
        <vt:i4>1441840</vt:i4>
      </vt:variant>
      <vt:variant>
        <vt:i4>218</vt:i4>
      </vt:variant>
      <vt:variant>
        <vt:i4>0</vt:i4>
      </vt:variant>
      <vt:variant>
        <vt:i4>5</vt:i4>
      </vt:variant>
      <vt:variant>
        <vt:lpwstr/>
      </vt:variant>
      <vt:variant>
        <vt:lpwstr>_Toc323305059</vt:lpwstr>
      </vt:variant>
      <vt:variant>
        <vt:i4>1441840</vt:i4>
      </vt:variant>
      <vt:variant>
        <vt:i4>212</vt:i4>
      </vt:variant>
      <vt:variant>
        <vt:i4>0</vt:i4>
      </vt:variant>
      <vt:variant>
        <vt:i4>5</vt:i4>
      </vt:variant>
      <vt:variant>
        <vt:lpwstr/>
      </vt:variant>
      <vt:variant>
        <vt:lpwstr>_Toc323305058</vt:lpwstr>
      </vt:variant>
      <vt:variant>
        <vt:i4>1441840</vt:i4>
      </vt:variant>
      <vt:variant>
        <vt:i4>206</vt:i4>
      </vt:variant>
      <vt:variant>
        <vt:i4>0</vt:i4>
      </vt:variant>
      <vt:variant>
        <vt:i4>5</vt:i4>
      </vt:variant>
      <vt:variant>
        <vt:lpwstr/>
      </vt:variant>
      <vt:variant>
        <vt:lpwstr>_Toc323305057</vt:lpwstr>
      </vt:variant>
      <vt:variant>
        <vt:i4>1441840</vt:i4>
      </vt:variant>
      <vt:variant>
        <vt:i4>200</vt:i4>
      </vt:variant>
      <vt:variant>
        <vt:i4>0</vt:i4>
      </vt:variant>
      <vt:variant>
        <vt:i4>5</vt:i4>
      </vt:variant>
      <vt:variant>
        <vt:lpwstr/>
      </vt:variant>
      <vt:variant>
        <vt:lpwstr>_Toc323305056</vt:lpwstr>
      </vt:variant>
      <vt:variant>
        <vt:i4>1441840</vt:i4>
      </vt:variant>
      <vt:variant>
        <vt:i4>194</vt:i4>
      </vt:variant>
      <vt:variant>
        <vt:i4>0</vt:i4>
      </vt:variant>
      <vt:variant>
        <vt:i4>5</vt:i4>
      </vt:variant>
      <vt:variant>
        <vt:lpwstr/>
      </vt:variant>
      <vt:variant>
        <vt:lpwstr>_Toc323305055</vt:lpwstr>
      </vt:variant>
      <vt:variant>
        <vt:i4>1441840</vt:i4>
      </vt:variant>
      <vt:variant>
        <vt:i4>188</vt:i4>
      </vt:variant>
      <vt:variant>
        <vt:i4>0</vt:i4>
      </vt:variant>
      <vt:variant>
        <vt:i4>5</vt:i4>
      </vt:variant>
      <vt:variant>
        <vt:lpwstr/>
      </vt:variant>
      <vt:variant>
        <vt:lpwstr>_Toc323305054</vt:lpwstr>
      </vt:variant>
      <vt:variant>
        <vt:i4>1441840</vt:i4>
      </vt:variant>
      <vt:variant>
        <vt:i4>182</vt:i4>
      </vt:variant>
      <vt:variant>
        <vt:i4>0</vt:i4>
      </vt:variant>
      <vt:variant>
        <vt:i4>5</vt:i4>
      </vt:variant>
      <vt:variant>
        <vt:lpwstr/>
      </vt:variant>
      <vt:variant>
        <vt:lpwstr>_Toc323305053</vt:lpwstr>
      </vt:variant>
      <vt:variant>
        <vt:i4>1441840</vt:i4>
      </vt:variant>
      <vt:variant>
        <vt:i4>176</vt:i4>
      </vt:variant>
      <vt:variant>
        <vt:i4>0</vt:i4>
      </vt:variant>
      <vt:variant>
        <vt:i4>5</vt:i4>
      </vt:variant>
      <vt:variant>
        <vt:lpwstr/>
      </vt:variant>
      <vt:variant>
        <vt:lpwstr>_Toc323305052</vt:lpwstr>
      </vt:variant>
      <vt:variant>
        <vt:i4>1441840</vt:i4>
      </vt:variant>
      <vt:variant>
        <vt:i4>170</vt:i4>
      </vt:variant>
      <vt:variant>
        <vt:i4>0</vt:i4>
      </vt:variant>
      <vt:variant>
        <vt:i4>5</vt:i4>
      </vt:variant>
      <vt:variant>
        <vt:lpwstr/>
      </vt:variant>
      <vt:variant>
        <vt:lpwstr>_Toc323305051</vt:lpwstr>
      </vt:variant>
      <vt:variant>
        <vt:i4>1441840</vt:i4>
      </vt:variant>
      <vt:variant>
        <vt:i4>164</vt:i4>
      </vt:variant>
      <vt:variant>
        <vt:i4>0</vt:i4>
      </vt:variant>
      <vt:variant>
        <vt:i4>5</vt:i4>
      </vt:variant>
      <vt:variant>
        <vt:lpwstr/>
      </vt:variant>
      <vt:variant>
        <vt:lpwstr>_Toc323305050</vt:lpwstr>
      </vt:variant>
      <vt:variant>
        <vt:i4>1507376</vt:i4>
      </vt:variant>
      <vt:variant>
        <vt:i4>158</vt:i4>
      </vt:variant>
      <vt:variant>
        <vt:i4>0</vt:i4>
      </vt:variant>
      <vt:variant>
        <vt:i4>5</vt:i4>
      </vt:variant>
      <vt:variant>
        <vt:lpwstr/>
      </vt:variant>
      <vt:variant>
        <vt:lpwstr>_Toc323305049</vt:lpwstr>
      </vt:variant>
      <vt:variant>
        <vt:i4>1507376</vt:i4>
      </vt:variant>
      <vt:variant>
        <vt:i4>152</vt:i4>
      </vt:variant>
      <vt:variant>
        <vt:i4>0</vt:i4>
      </vt:variant>
      <vt:variant>
        <vt:i4>5</vt:i4>
      </vt:variant>
      <vt:variant>
        <vt:lpwstr/>
      </vt:variant>
      <vt:variant>
        <vt:lpwstr>_Toc323305048</vt:lpwstr>
      </vt:variant>
      <vt:variant>
        <vt:i4>1507376</vt:i4>
      </vt:variant>
      <vt:variant>
        <vt:i4>146</vt:i4>
      </vt:variant>
      <vt:variant>
        <vt:i4>0</vt:i4>
      </vt:variant>
      <vt:variant>
        <vt:i4>5</vt:i4>
      </vt:variant>
      <vt:variant>
        <vt:lpwstr/>
      </vt:variant>
      <vt:variant>
        <vt:lpwstr>_Toc323305047</vt:lpwstr>
      </vt:variant>
      <vt:variant>
        <vt:i4>1507376</vt:i4>
      </vt:variant>
      <vt:variant>
        <vt:i4>140</vt:i4>
      </vt:variant>
      <vt:variant>
        <vt:i4>0</vt:i4>
      </vt:variant>
      <vt:variant>
        <vt:i4>5</vt:i4>
      </vt:variant>
      <vt:variant>
        <vt:lpwstr/>
      </vt:variant>
      <vt:variant>
        <vt:lpwstr>_Toc323305046</vt:lpwstr>
      </vt:variant>
      <vt:variant>
        <vt:i4>1507376</vt:i4>
      </vt:variant>
      <vt:variant>
        <vt:i4>134</vt:i4>
      </vt:variant>
      <vt:variant>
        <vt:i4>0</vt:i4>
      </vt:variant>
      <vt:variant>
        <vt:i4>5</vt:i4>
      </vt:variant>
      <vt:variant>
        <vt:lpwstr/>
      </vt:variant>
      <vt:variant>
        <vt:lpwstr>_Toc323305045</vt:lpwstr>
      </vt:variant>
      <vt:variant>
        <vt:i4>1507376</vt:i4>
      </vt:variant>
      <vt:variant>
        <vt:i4>128</vt:i4>
      </vt:variant>
      <vt:variant>
        <vt:i4>0</vt:i4>
      </vt:variant>
      <vt:variant>
        <vt:i4>5</vt:i4>
      </vt:variant>
      <vt:variant>
        <vt:lpwstr/>
      </vt:variant>
      <vt:variant>
        <vt:lpwstr>_Toc323305044</vt:lpwstr>
      </vt:variant>
      <vt:variant>
        <vt:i4>1507376</vt:i4>
      </vt:variant>
      <vt:variant>
        <vt:i4>122</vt:i4>
      </vt:variant>
      <vt:variant>
        <vt:i4>0</vt:i4>
      </vt:variant>
      <vt:variant>
        <vt:i4>5</vt:i4>
      </vt:variant>
      <vt:variant>
        <vt:lpwstr/>
      </vt:variant>
      <vt:variant>
        <vt:lpwstr>_Toc323305043</vt:lpwstr>
      </vt:variant>
      <vt:variant>
        <vt:i4>1507376</vt:i4>
      </vt:variant>
      <vt:variant>
        <vt:i4>116</vt:i4>
      </vt:variant>
      <vt:variant>
        <vt:i4>0</vt:i4>
      </vt:variant>
      <vt:variant>
        <vt:i4>5</vt:i4>
      </vt:variant>
      <vt:variant>
        <vt:lpwstr/>
      </vt:variant>
      <vt:variant>
        <vt:lpwstr>_Toc323305042</vt:lpwstr>
      </vt:variant>
      <vt:variant>
        <vt:i4>1507376</vt:i4>
      </vt:variant>
      <vt:variant>
        <vt:i4>110</vt:i4>
      </vt:variant>
      <vt:variant>
        <vt:i4>0</vt:i4>
      </vt:variant>
      <vt:variant>
        <vt:i4>5</vt:i4>
      </vt:variant>
      <vt:variant>
        <vt:lpwstr/>
      </vt:variant>
      <vt:variant>
        <vt:lpwstr>_Toc323305041</vt:lpwstr>
      </vt:variant>
      <vt:variant>
        <vt:i4>1507376</vt:i4>
      </vt:variant>
      <vt:variant>
        <vt:i4>104</vt:i4>
      </vt:variant>
      <vt:variant>
        <vt:i4>0</vt:i4>
      </vt:variant>
      <vt:variant>
        <vt:i4>5</vt:i4>
      </vt:variant>
      <vt:variant>
        <vt:lpwstr/>
      </vt:variant>
      <vt:variant>
        <vt:lpwstr>_Toc323305040</vt:lpwstr>
      </vt:variant>
      <vt:variant>
        <vt:i4>1048624</vt:i4>
      </vt:variant>
      <vt:variant>
        <vt:i4>98</vt:i4>
      </vt:variant>
      <vt:variant>
        <vt:i4>0</vt:i4>
      </vt:variant>
      <vt:variant>
        <vt:i4>5</vt:i4>
      </vt:variant>
      <vt:variant>
        <vt:lpwstr/>
      </vt:variant>
      <vt:variant>
        <vt:lpwstr>_Toc323305039</vt:lpwstr>
      </vt:variant>
      <vt:variant>
        <vt:i4>1048624</vt:i4>
      </vt:variant>
      <vt:variant>
        <vt:i4>92</vt:i4>
      </vt:variant>
      <vt:variant>
        <vt:i4>0</vt:i4>
      </vt:variant>
      <vt:variant>
        <vt:i4>5</vt:i4>
      </vt:variant>
      <vt:variant>
        <vt:lpwstr/>
      </vt:variant>
      <vt:variant>
        <vt:lpwstr>_Toc323305038</vt:lpwstr>
      </vt:variant>
      <vt:variant>
        <vt:i4>1048624</vt:i4>
      </vt:variant>
      <vt:variant>
        <vt:i4>86</vt:i4>
      </vt:variant>
      <vt:variant>
        <vt:i4>0</vt:i4>
      </vt:variant>
      <vt:variant>
        <vt:i4>5</vt:i4>
      </vt:variant>
      <vt:variant>
        <vt:lpwstr/>
      </vt:variant>
      <vt:variant>
        <vt:lpwstr>_Toc323305037</vt:lpwstr>
      </vt:variant>
      <vt:variant>
        <vt:i4>1048624</vt:i4>
      </vt:variant>
      <vt:variant>
        <vt:i4>80</vt:i4>
      </vt:variant>
      <vt:variant>
        <vt:i4>0</vt:i4>
      </vt:variant>
      <vt:variant>
        <vt:i4>5</vt:i4>
      </vt:variant>
      <vt:variant>
        <vt:lpwstr/>
      </vt:variant>
      <vt:variant>
        <vt:lpwstr>_Toc323305036</vt:lpwstr>
      </vt:variant>
      <vt:variant>
        <vt:i4>1048624</vt:i4>
      </vt:variant>
      <vt:variant>
        <vt:i4>74</vt:i4>
      </vt:variant>
      <vt:variant>
        <vt:i4>0</vt:i4>
      </vt:variant>
      <vt:variant>
        <vt:i4>5</vt:i4>
      </vt:variant>
      <vt:variant>
        <vt:lpwstr/>
      </vt:variant>
      <vt:variant>
        <vt:lpwstr>_Toc323305035</vt:lpwstr>
      </vt:variant>
      <vt:variant>
        <vt:i4>1048624</vt:i4>
      </vt:variant>
      <vt:variant>
        <vt:i4>68</vt:i4>
      </vt:variant>
      <vt:variant>
        <vt:i4>0</vt:i4>
      </vt:variant>
      <vt:variant>
        <vt:i4>5</vt:i4>
      </vt:variant>
      <vt:variant>
        <vt:lpwstr/>
      </vt:variant>
      <vt:variant>
        <vt:lpwstr>_Toc323305034</vt:lpwstr>
      </vt:variant>
      <vt:variant>
        <vt:i4>1048624</vt:i4>
      </vt:variant>
      <vt:variant>
        <vt:i4>62</vt:i4>
      </vt:variant>
      <vt:variant>
        <vt:i4>0</vt:i4>
      </vt:variant>
      <vt:variant>
        <vt:i4>5</vt:i4>
      </vt:variant>
      <vt:variant>
        <vt:lpwstr/>
      </vt:variant>
      <vt:variant>
        <vt:lpwstr>_Toc323305033</vt:lpwstr>
      </vt:variant>
      <vt:variant>
        <vt:i4>1048624</vt:i4>
      </vt:variant>
      <vt:variant>
        <vt:i4>56</vt:i4>
      </vt:variant>
      <vt:variant>
        <vt:i4>0</vt:i4>
      </vt:variant>
      <vt:variant>
        <vt:i4>5</vt:i4>
      </vt:variant>
      <vt:variant>
        <vt:lpwstr/>
      </vt:variant>
      <vt:variant>
        <vt:lpwstr>_Toc323305032</vt:lpwstr>
      </vt:variant>
      <vt:variant>
        <vt:i4>1048624</vt:i4>
      </vt:variant>
      <vt:variant>
        <vt:i4>50</vt:i4>
      </vt:variant>
      <vt:variant>
        <vt:i4>0</vt:i4>
      </vt:variant>
      <vt:variant>
        <vt:i4>5</vt:i4>
      </vt:variant>
      <vt:variant>
        <vt:lpwstr/>
      </vt:variant>
      <vt:variant>
        <vt:lpwstr>_Toc323305031</vt:lpwstr>
      </vt:variant>
      <vt:variant>
        <vt:i4>1048624</vt:i4>
      </vt:variant>
      <vt:variant>
        <vt:i4>44</vt:i4>
      </vt:variant>
      <vt:variant>
        <vt:i4>0</vt:i4>
      </vt:variant>
      <vt:variant>
        <vt:i4>5</vt:i4>
      </vt:variant>
      <vt:variant>
        <vt:lpwstr/>
      </vt:variant>
      <vt:variant>
        <vt:lpwstr>_Toc323305030</vt:lpwstr>
      </vt:variant>
      <vt:variant>
        <vt:i4>1114160</vt:i4>
      </vt:variant>
      <vt:variant>
        <vt:i4>38</vt:i4>
      </vt:variant>
      <vt:variant>
        <vt:i4>0</vt:i4>
      </vt:variant>
      <vt:variant>
        <vt:i4>5</vt:i4>
      </vt:variant>
      <vt:variant>
        <vt:lpwstr/>
      </vt:variant>
      <vt:variant>
        <vt:lpwstr>_Toc323305029</vt:lpwstr>
      </vt:variant>
      <vt:variant>
        <vt:i4>1114160</vt:i4>
      </vt:variant>
      <vt:variant>
        <vt:i4>32</vt:i4>
      </vt:variant>
      <vt:variant>
        <vt:i4>0</vt:i4>
      </vt:variant>
      <vt:variant>
        <vt:i4>5</vt:i4>
      </vt:variant>
      <vt:variant>
        <vt:lpwstr/>
      </vt:variant>
      <vt:variant>
        <vt:lpwstr>_Toc323305028</vt:lpwstr>
      </vt:variant>
      <vt:variant>
        <vt:i4>1114160</vt:i4>
      </vt:variant>
      <vt:variant>
        <vt:i4>26</vt:i4>
      </vt:variant>
      <vt:variant>
        <vt:i4>0</vt:i4>
      </vt:variant>
      <vt:variant>
        <vt:i4>5</vt:i4>
      </vt:variant>
      <vt:variant>
        <vt:lpwstr/>
      </vt:variant>
      <vt:variant>
        <vt:lpwstr>_Toc323305027</vt:lpwstr>
      </vt:variant>
      <vt:variant>
        <vt:i4>1114160</vt:i4>
      </vt:variant>
      <vt:variant>
        <vt:i4>20</vt:i4>
      </vt:variant>
      <vt:variant>
        <vt:i4>0</vt:i4>
      </vt:variant>
      <vt:variant>
        <vt:i4>5</vt:i4>
      </vt:variant>
      <vt:variant>
        <vt:lpwstr/>
      </vt:variant>
      <vt:variant>
        <vt:lpwstr>_Toc323305026</vt:lpwstr>
      </vt:variant>
      <vt:variant>
        <vt:i4>1114160</vt:i4>
      </vt:variant>
      <vt:variant>
        <vt:i4>14</vt:i4>
      </vt:variant>
      <vt:variant>
        <vt:i4>0</vt:i4>
      </vt:variant>
      <vt:variant>
        <vt:i4>5</vt:i4>
      </vt:variant>
      <vt:variant>
        <vt:lpwstr/>
      </vt:variant>
      <vt:variant>
        <vt:lpwstr>_Toc323305025</vt:lpwstr>
      </vt:variant>
      <vt:variant>
        <vt:i4>1114160</vt:i4>
      </vt:variant>
      <vt:variant>
        <vt:i4>8</vt:i4>
      </vt:variant>
      <vt:variant>
        <vt:i4>0</vt:i4>
      </vt:variant>
      <vt:variant>
        <vt:i4>5</vt:i4>
      </vt:variant>
      <vt:variant>
        <vt:lpwstr/>
      </vt:variant>
      <vt:variant>
        <vt:lpwstr>_Toc323305024</vt:lpwstr>
      </vt:variant>
      <vt:variant>
        <vt:i4>1114160</vt:i4>
      </vt:variant>
      <vt:variant>
        <vt:i4>2</vt:i4>
      </vt:variant>
      <vt:variant>
        <vt:i4>0</vt:i4>
      </vt:variant>
      <vt:variant>
        <vt:i4>5</vt:i4>
      </vt:variant>
      <vt:variant>
        <vt:lpwstr/>
      </vt:variant>
      <vt:variant>
        <vt:lpwstr>_Toc323305023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REGISTRATION SCHEME</dc:title>
  <dc:creator>Omullm</dc:creator>
  <cp:lastModifiedBy>BLAKERS, Kylie</cp:lastModifiedBy>
  <cp:revision>2</cp:revision>
  <cp:lastPrinted>2015-07-20T04:19:00Z</cp:lastPrinted>
  <dcterms:created xsi:type="dcterms:W3CDTF">2016-10-25T22:12:00Z</dcterms:created>
  <dcterms:modified xsi:type="dcterms:W3CDTF">2016-10-25T22:12:00Z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DocType">
    <vt:lpwstr/>
  </property>
  <property fmtid="{D5CDD505-2E9C-101B-9397-08002B2CF9AE}" pid="3" name="DraftType">
    <vt:lpwstr/>
  </property>
  <property fmtid="{D5CDD505-2E9C-101B-9397-08002B2CF9AE}" pid="4" name="WPLUSServerName">
    <vt:lpwstr/>
  </property>
  <property fmtid="{D5CDD505-2E9C-101B-9397-08002B2CF9AE}" pid="5" name="WPLUSDataBaseName">
    <vt:lpwstr/>
  </property>
  <property fmtid="{D5CDD505-2E9C-101B-9397-08002B2CF9AE}" pid="6" name="WPLUSDocumentUNID">
    <vt:lpwstr/>
  </property>
  <property fmtid="{D5CDD505-2E9C-101B-9397-08002B2CF9AE}" pid="7" name="NeverSavedToNT">
    <vt:lpwstr/>
  </property>
  <property fmtid="{D5CDD505-2E9C-101B-9397-08002B2CF9AE}" pid="8" name="Objective-Id">
    <vt:lpwstr>A283381</vt:lpwstr>
  </property>
  <property fmtid="{D5CDD505-2E9C-101B-9397-08002B2CF9AE}" pid="9" name="Objective-Title">
    <vt:lpwstr>Paraquat. Toxicology. Working copy. Review Supplement II- Neurotoxicology</vt:lpwstr>
  </property>
  <property fmtid="{D5CDD505-2E9C-101B-9397-08002B2CF9AE}" pid="10" name="Objective-Comment">
    <vt:lpwstr/>
  </property>
  <property fmtid="{D5CDD505-2E9C-101B-9397-08002B2CF9AE}" pid="11" name="Objective-CreationStamp">
    <vt:filetime>2015-04-02T03:01:51Z</vt:filetime>
  </property>
  <property fmtid="{D5CDD505-2E9C-101B-9397-08002B2CF9AE}" pid="12" name="Objective-IsApproved">
    <vt:bool>false</vt:bool>
  </property>
  <property fmtid="{D5CDD505-2E9C-101B-9397-08002B2CF9AE}" pid="13" name="Objective-IsPublished">
    <vt:bool>false</vt:bool>
  </property>
  <property fmtid="{D5CDD505-2E9C-101B-9397-08002B2CF9AE}" pid="14" name="Objective-DatePublished">
    <vt:lpwstr/>
  </property>
  <property fmtid="{D5CDD505-2E9C-101B-9397-08002B2CF9AE}" pid="15" name="Objective-ModificationStamp">
    <vt:filetime>2016-10-24T23:11:09Z</vt:filetime>
  </property>
  <property fmtid="{D5CDD505-2E9C-101B-9397-08002B2CF9AE}" pid="16" name="Objective-Owner">
    <vt:lpwstr>Keith Henderson</vt:lpwstr>
  </property>
  <property fmtid="{D5CDD505-2E9C-101B-9397-08002B2CF9AE}" pid="17" name="Objective-Path">
    <vt:lpwstr>APVMA:SCIENTIFIC ASSESSMENT:Scientific Assessment - Chemical Review:Scientific Assessment - Chemical Review - Products and Actives:Scientific Assessment - Chemical Review - Products and Actives - P:Chemical Review - Paraquat:05-Assessment:Toxicology:</vt:lpwstr>
  </property>
  <property fmtid="{D5CDD505-2E9C-101B-9397-08002B2CF9AE}" pid="18" name="Objective-Parent">
    <vt:lpwstr>Toxicology</vt:lpwstr>
  </property>
  <property fmtid="{D5CDD505-2E9C-101B-9397-08002B2CF9AE}" pid="19" name="Objective-State">
    <vt:lpwstr>Being Drafted</vt:lpwstr>
  </property>
  <property fmtid="{D5CDD505-2E9C-101B-9397-08002B2CF9AE}" pid="20" name="Objective-Version">
    <vt:lpwstr>1.3</vt:lpwstr>
  </property>
  <property fmtid="{D5CDD505-2E9C-101B-9397-08002B2CF9AE}" pid="21" name="Objective-VersionNumber">
    <vt:r8>34</vt:r8>
  </property>
  <property fmtid="{D5CDD505-2E9C-101B-9397-08002B2CF9AE}" pid="22" name="Objective-VersionComment">
    <vt:lpwstr/>
  </property>
  <property fmtid="{D5CDD505-2E9C-101B-9397-08002B2CF9AE}" pid="23" name="Objective-FileNumber">
    <vt:lpwstr/>
  </property>
  <property fmtid="{D5CDD505-2E9C-101B-9397-08002B2CF9AE}" pid="24" name="Objective-Classification">
    <vt:lpwstr>[Inherited - Sensitive (AgVet Code)]</vt:lpwstr>
  </property>
  <property fmtid="{D5CDD505-2E9C-101B-9397-08002B2CF9AE}" pid="25" name="Objective-Caveats">
    <vt:lpwstr/>
  </property>
</Properties>
</file>