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7D670F6D" wp14:editId="75C7BD1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7C6515B3" w:rsidR="003C0891" w:rsidRDefault="006D36C8" w:rsidP="00193533">
      <w:pPr>
        <w:pStyle w:val="APVMACoverSubtitle"/>
        <w:jc w:val="center"/>
      </w:pPr>
      <w:r>
        <w:t xml:space="preserve">on </w:t>
      </w:r>
      <w:r w:rsidR="00E84E20">
        <w:t xml:space="preserve">metrafenone </w:t>
      </w:r>
      <w:r>
        <w:t xml:space="preserve">for use on </w:t>
      </w:r>
      <w:r w:rsidR="00E84E20">
        <w:t>wheat</w:t>
      </w:r>
    </w:p>
    <w:p w14:paraId="7FB897BF" w14:textId="54EB238A" w:rsidR="006D36C8" w:rsidRDefault="00E84E20" w:rsidP="00193533">
      <w:pPr>
        <w:pStyle w:val="APVMACoverSubtitle"/>
        <w:jc w:val="center"/>
      </w:pPr>
      <w:r>
        <w:t>Permit</w:t>
      </w:r>
      <w:r w:rsidR="006D36C8">
        <w:t xml:space="preserve"> number </w:t>
      </w:r>
      <w:r>
        <w:t>93198</w:t>
      </w:r>
    </w:p>
    <w:p w14:paraId="5C6E8565" w14:textId="53AF5C26" w:rsidR="00193533" w:rsidRPr="00E41FED" w:rsidRDefault="002D7110"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Febr</w:t>
      </w:r>
      <w:r w:rsidR="00E84E20">
        <w:t>uary 2023</w:t>
      </w:r>
    </w:p>
    <w:p w14:paraId="170061D7" w14:textId="7E9B87D6" w:rsidR="00862E63" w:rsidRPr="005C0ACC" w:rsidRDefault="00862E63" w:rsidP="00021A6A">
      <w:pPr>
        <w:pStyle w:val="Copyrightpage"/>
      </w:pPr>
      <w:r w:rsidRPr="005C0ACC">
        <w:lastRenderedPageBreak/>
        <w:t xml:space="preserve">© Australian Pesticides and Veterinary Medicines Authority </w:t>
      </w:r>
      <w:r w:rsidR="00C6360C" w:rsidRPr="00C6360C">
        <w:t>2023</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3B0B8F89" w14:textId="77777777" w:rsidR="00862E63" w:rsidRPr="00021A6A" w:rsidRDefault="00862E63" w:rsidP="00021A6A">
      <w:pPr>
        <w:pStyle w:val="Copyrightpage"/>
        <w:rPr>
          <w:b/>
        </w:rPr>
      </w:pPr>
      <w:r w:rsidRPr="00021A6A">
        <w:rPr>
          <w:b/>
        </w:rPr>
        <w:t>Use of the Coat of Arms</w:t>
      </w:r>
    </w:p>
    <w:p w14:paraId="458E513D" w14:textId="77777777"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142080D1" w14:textId="1D3CC0BA" w:rsidR="00295FC5" w:rsidRDefault="005064D5">
      <w:pPr>
        <w:pStyle w:val="TOC1"/>
        <w:rPr>
          <w:rFonts w:asciiTheme="minorHAnsi" w:eastAsiaTheme="minorEastAsia" w:hAnsiTheme="minorHAnsi" w:cstheme="minorBidi"/>
          <w:bCs w:val="0"/>
          <w:color w:val="auto"/>
          <w:kern w:val="0"/>
          <w:sz w:val="22"/>
          <w:szCs w:val="22"/>
          <w:lang w:eastAsia="en-AU"/>
        </w:rPr>
      </w:pPr>
      <w:r>
        <w:rPr>
          <w:bCs w:val="0"/>
          <w:sz w:val="19"/>
        </w:rPr>
        <w:fldChar w:fldCharType="begin"/>
      </w:r>
      <w:r>
        <w:rPr>
          <w:bCs w:val="0"/>
        </w:rPr>
        <w:instrText xml:space="preserve"> TOC \o "1-3" \h \z \u </w:instrText>
      </w:r>
      <w:r>
        <w:rPr>
          <w:bCs w:val="0"/>
          <w:sz w:val="19"/>
        </w:rPr>
        <w:fldChar w:fldCharType="separate"/>
      </w:r>
      <w:hyperlink w:anchor="_Toc126320519" w:history="1">
        <w:r w:rsidR="00295FC5" w:rsidRPr="009F46E2">
          <w:rPr>
            <w:rStyle w:val="Hyperlink"/>
          </w:rPr>
          <w:t>Preface</w:t>
        </w:r>
        <w:r w:rsidR="00295FC5">
          <w:rPr>
            <w:webHidden/>
          </w:rPr>
          <w:tab/>
        </w:r>
        <w:r w:rsidR="00295FC5">
          <w:rPr>
            <w:webHidden/>
          </w:rPr>
          <w:fldChar w:fldCharType="begin"/>
        </w:r>
        <w:r w:rsidR="00295FC5">
          <w:rPr>
            <w:webHidden/>
          </w:rPr>
          <w:instrText xml:space="preserve"> PAGEREF _Toc126320519 \h </w:instrText>
        </w:r>
        <w:r w:rsidR="00295FC5">
          <w:rPr>
            <w:webHidden/>
          </w:rPr>
        </w:r>
        <w:r w:rsidR="00295FC5">
          <w:rPr>
            <w:webHidden/>
          </w:rPr>
          <w:fldChar w:fldCharType="separate"/>
        </w:r>
        <w:r w:rsidR="00295FC5">
          <w:rPr>
            <w:webHidden/>
          </w:rPr>
          <w:t>1</w:t>
        </w:r>
        <w:r w:rsidR="00295FC5">
          <w:rPr>
            <w:webHidden/>
          </w:rPr>
          <w:fldChar w:fldCharType="end"/>
        </w:r>
      </w:hyperlink>
    </w:p>
    <w:p w14:paraId="3DFA98E3" w14:textId="33B236DD" w:rsidR="00295FC5" w:rsidRDefault="00000000">
      <w:pPr>
        <w:pStyle w:val="TOC2"/>
        <w:rPr>
          <w:rFonts w:asciiTheme="minorHAnsi" w:eastAsiaTheme="minorEastAsia" w:hAnsiTheme="minorHAnsi" w:cstheme="minorBidi"/>
          <w:b w:val="0"/>
          <w:color w:val="auto"/>
          <w:sz w:val="22"/>
          <w:szCs w:val="22"/>
          <w:lang w:eastAsia="en-AU"/>
        </w:rPr>
      </w:pPr>
      <w:hyperlink w:anchor="_Toc126320520" w:history="1">
        <w:r w:rsidR="00295FC5" w:rsidRPr="009F46E2">
          <w:rPr>
            <w:rStyle w:val="Hyperlink"/>
          </w:rPr>
          <w:t>About this document</w:t>
        </w:r>
        <w:r w:rsidR="00295FC5">
          <w:rPr>
            <w:webHidden/>
          </w:rPr>
          <w:tab/>
        </w:r>
        <w:r w:rsidR="00295FC5">
          <w:rPr>
            <w:webHidden/>
          </w:rPr>
          <w:fldChar w:fldCharType="begin"/>
        </w:r>
        <w:r w:rsidR="00295FC5">
          <w:rPr>
            <w:webHidden/>
          </w:rPr>
          <w:instrText xml:space="preserve"> PAGEREF _Toc126320520 \h </w:instrText>
        </w:r>
        <w:r w:rsidR="00295FC5">
          <w:rPr>
            <w:webHidden/>
          </w:rPr>
        </w:r>
        <w:r w:rsidR="00295FC5">
          <w:rPr>
            <w:webHidden/>
          </w:rPr>
          <w:fldChar w:fldCharType="separate"/>
        </w:r>
        <w:r w:rsidR="00295FC5">
          <w:rPr>
            <w:webHidden/>
          </w:rPr>
          <w:t>1</w:t>
        </w:r>
        <w:r w:rsidR="00295FC5">
          <w:rPr>
            <w:webHidden/>
          </w:rPr>
          <w:fldChar w:fldCharType="end"/>
        </w:r>
      </w:hyperlink>
    </w:p>
    <w:p w14:paraId="51C80778" w14:textId="17BA26C4" w:rsidR="00295FC5" w:rsidRDefault="00000000">
      <w:pPr>
        <w:pStyle w:val="TOC2"/>
        <w:rPr>
          <w:rFonts w:asciiTheme="minorHAnsi" w:eastAsiaTheme="minorEastAsia" w:hAnsiTheme="minorHAnsi" w:cstheme="minorBidi"/>
          <w:b w:val="0"/>
          <w:color w:val="auto"/>
          <w:sz w:val="22"/>
          <w:szCs w:val="22"/>
          <w:lang w:eastAsia="en-AU"/>
        </w:rPr>
      </w:pPr>
      <w:hyperlink w:anchor="_Toc126320521" w:history="1">
        <w:r w:rsidR="00295FC5" w:rsidRPr="009F46E2">
          <w:rPr>
            <w:rStyle w:val="Hyperlink"/>
          </w:rPr>
          <w:t>Making a submission</w:t>
        </w:r>
        <w:r w:rsidR="00295FC5">
          <w:rPr>
            <w:webHidden/>
          </w:rPr>
          <w:tab/>
        </w:r>
        <w:r w:rsidR="00295FC5">
          <w:rPr>
            <w:webHidden/>
          </w:rPr>
          <w:fldChar w:fldCharType="begin"/>
        </w:r>
        <w:r w:rsidR="00295FC5">
          <w:rPr>
            <w:webHidden/>
          </w:rPr>
          <w:instrText xml:space="preserve"> PAGEREF _Toc126320521 \h </w:instrText>
        </w:r>
        <w:r w:rsidR="00295FC5">
          <w:rPr>
            <w:webHidden/>
          </w:rPr>
        </w:r>
        <w:r w:rsidR="00295FC5">
          <w:rPr>
            <w:webHidden/>
          </w:rPr>
          <w:fldChar w:fldCharType="separate"/>
        </w:r>
        <w:r w:rsidR="00295FC5">
          <w:rPr>
            <w:webHidden/>
          </w:rPr>
          <w:t>1</w:t>
        </w:r>
        <w:r w:rsidR="00295FC5">
          <w:rPr>
            <w:webHidden/>
          </w:rPr>
          <w:fldChar w:fldCharType="end"/>
        </w:r>
      </w:hyperlink>
    </w:p>
    <w:p w14:paraId="01D3599E" w14:textId="7A5D9C48" w:rsidR="00295FC5" w:rsidRDefault="00000000">
      <w:pPr>
        <w:pStyle w:val="TOC2"/>
        <w:rPr>
          <w:rFonts w:asciiTheme="minorHAnsi" w:eastAsiaTheme="minorEastAsia" w:hAnsiTheme="minorHAnsi" w:cstheme="minorBidi"/>
          <w:b w:val="0"/>
          <w:color w:val="auto"/>
          <w:sz w:val="22"/>
          <w:szCs w:val="22"/>
          <w:lang w:eastAsia="en-AU"/>
        </w:rPr>
      </w:pPr>
      <w:hyperlink w:anchor="_Toc126320522" w:history="1">
        <w:r w:rsidR="00295FC5" w:rsidRPr="009F46E2">
          <w:rPr>
            <w:rStyle w:val="Hyperlink"/>
          </w:rPr>
          <w:t>Further information</w:t>
        </w:r>
        <w:r w:rsidR="00295FC5">
          <w:rPr>
            <w:webHidden/>
          </w:rPr>
          <w:tab/>
        </w:r>
        <w:r w:rsidR="00295FC5">
          <w:rPr>
            <w:webHidden/>
          </w:rPr>
          <w:fldChar w:fldCharType="begin"/>
        </w:r>
        <w:r w:rsidR="00295FC5">
          <w:rPr>
            <w:webHidden/>
          </w:rPr>
          <w:instrText xml:space="preserve"> PAGEREF _Toc126320522 \h </w:instrText>
        </w:r>
        <w:r w:rsidR="00295FC5">
          <w:rPr>
            <w:webHidden/>
          </w:rPr>
        </w:r>
        <w:r w:rsidR="00295FC5">
          <w:rPr>
            <w:webHidden/>
          </w:rPr>
          <w:fldChar w:fldCharType="separate"/>
        </w:r>
        <w:r w:rsidR="00295FC5">
          <w:rPr>
            <w:webHidden/>
          </w:rPr>
          <w:t>2</w:t>
        </w:r>
        <w:r w:rsidR="00295FC5">
          <w:rPr>
            <w:webHidden/>
          </w:rPr>
          <w:fldChar w:fldCharType="end"/>
        </w:r>
      </w:hyperlink>
    </w:p>
    <w:p w14:paraId="2421BFC4" w14:textId="27FEA5C8" w:rsidR="00295FC5" w:rsidRDefault="00000000">
      <w:pPr>
        <w:pStyle w:val="TOC1"/>
        <w:rPr>
          <w:rFonts w:asciiTheme="minorHAnsi" w:eastAsiaTheme="minorEastAsia" w:hAnsiTheme="minorHAnsi" w:cstheme="minorBidi"/>
          <w:bCs w:val="0"/>
          <w:color w:val="auto"/>
          <w:kern w:val="0"/>
          <w:sz w:val="22"/>
          <w:szCs w:val="22"/>
          <w:lang w:eastAsia="en-AU"/>
        </w:rPr>
      </w:pPr>
      <w:hyperlink w:anchor="_Toc126320523" w:history="1">
        <w:r w:rsidR="00295FC5" w:rsidRPr="009F46E2">
          <w:rPr>
            <w:rStyle w:val="Hyperlink"/>
          </w:rPr>
          <w:t>Introduction</w:t>
        </w:r>
        <w:r w:rsidR="00295FC5">
          <w:rPr>
            <w:webHidden/>
          </w:rPr>
          <w:tab/>
        </w:r>
        <w:r w:rsidR="00295FC5">
          <w:rPr>
            <w:webHidden/>
          </w:rPr>
          <w:fldChar w:fldCharType="begin"/>
        </w:r>
        <w:r w:rsidR="00295FC5">
          <w:rPr>
            <w:webHidden/>
          </w:rPr>
          <w:instrText xml:space="preserve"> PAGEREF _Toc126320523 \h </w:instrText>
        </w:r>
        <w:r w:rsidR="00295FC5">
          <w:rPr>
            <w:webHidden/>
          </w:rPr>
        </w:r>
        <w:r w:rsidR="00295FC5">
          <w:rPr>
            <w:webHidden/>
          </w:rPr>
          <w:fldChar w:fldCharType="separate"/>
        </w:r>
        <w:r w:rsidR="00295FC5">
          <w:rPr>
            <w:webHidden/>
          </w:rPr>
          <w:t>3</w:t>
        </w:r>
        <w:r w:rsidR="00295FC5">
          <w:rPr>
            <w:webHidden/>
          </w:rPr>
          <w:fldChar w:fldCharType="end"/>
        </w:r>
      </w:hyperlink>
    </w:p>
    <w:p w14:paraId="3DC692FB" w14:textId="079CEBC6" w:rsidR="00295FC5" w:rsidRDefault="00000000">
      <w:pPr>
        <w:pStyle w:val="TOC1"/>
        <w:rPr>
          <w:rFonts w:asciiTheme="minorHAnsi" w:eastAsiaTheme="minorEastAsia" w:hAnsiTheme="minorHAnsi" w:cstheme="minorBidi"/>
          <w:bCs w:val="0"/>
          <w:color w:val="auto"/>
          <w:kern w:val="0"/>
          <w:sz w:val="22"/>
          <w:szCs w:val="22"/>
          <w:lang w:eastAsia="en-AU"/>
        </w:rPr>
      </w:pPr>
      <w:hyperlink w:anchor="_Toc126320524" w:history="1">
        <w:r w:rsidR="00295FC5" w:rsidRPr="009F46E2">
          <w:rPr>
            <w:rStyle w:val="Hyperlink"/>
          </w:rPr>
          <w:t>Trade considerations</w:t>
        </w:r>
        <w:r w:rsidR="00295FC5">
          <w:rPr>
            <w:webHidden/>
          </w:rPr>
          <w:tab/>
        </w:r>
        <w:r w:rsidR="00295FC5">
          <w:rPr>
            <w:webHidden/>
          </w:rPr>
          <w:fldChar w:fldCharType="begin"/>
        </w:r>
        <w:r w:rsidR="00295FC5">
          <w:rPr>
            <w:webHidden/>
          </w:rPr>
          <w:instrText xml:space="preserve"> PAGEREF _Toc126320524 \h </w:instrText>
        </w:r>
        <w:r w:rsidR="00295FC5">
          <w:rPr>
            <w:webHidden/>
          </w:rPr>
        </w:r>
        <w:r w:rsidR="00295FC5">
          <w:rPr>
            <w:webHidden/>
          </w:rPr>
          <w:fldChar w:fldCharType="separate"/>
        </w:r>
        <w:r w:rsidR="00295FC5">
          <w:rPr>
            <w:webHidden/>
          </w:rPr>
          <w:t>4</w:t>
        </w:r>
        <w:r w:rsidR="00295FC5">
          <w:rPr>
            <w:webHidden/>
          </w:rPr>
          <w:fldChar w:fldCharType="end"/>
        </w:r>
      </w:hyperlink>
    </w:p>
    <w:p w14:paraId="06016A53" w14:textId="702B88DC" w:rsidR="00295FC5" w:rsidRDefault="00000000">
      <w:pPr>
        <w:pStyle w:val="TOC2"/>
        <w:rPr>
          <w:rFonts w:asciiTheme="minorHAnsi" w:eastAsiaTheme="minorEastAsia" w:hAnsiTheme="minorHAnsi" w:cstheme="minorBidi"/>
          <w:b w:val="0"/>
          <w:color w:val="auto"/>
          <w:sz w:val="22"/>
          <w:szCs w:val="22"/>
          <w:lang w:eastAsia="en-AU"/>
        </w:rPr>
      </w:pPr>
      <w:hyperlink w:anchor="_Toc126320525" w:history="1">
        <w:r w:rsidR="00295FC5" w:rsidRPr="009F46E2">
          <w:rPr>
            <w:rStyle w:val="Hyperlink"/>
          </w:rPr>
          <w:t>Commodities exported</w:t>
        </w:r>
        <w:r w:rsidR="00295FC5">
          <w:rPr>
            <w:webHidden/>
          </w:rPr>
          <w:tab/>
        </w:r>
        <w:r w:rsidR="00295FC5">
          <w:rPr>
            <w:webHidden/>
          </w:rPr>
          <w:fldChar w:fldCharType="begin"/>
        </w:r>
        <w:r w:rsidR="00295FC5">
          <w:rPr>
            <w:webHidden/>
          </w:rPr>
          <w:instrText xml:space="preserve"> PAGEREF _Toc126320525 \h </w:instrText>
        </w:r>
        <w:r w:rsidR="00295FC5">
          <w:rPr>
            <w:webHidden/>
          </w:rPr>
        </w:r>
        <w:r w:rsidR="00295FC5">
          <w:rPr>
            <w:webHidden/>
          </w:rPr>
          <w:fldChar w:fldCharType="separate"/>
        </w:r>
        <w:r w:rsidR="00295FC5">
          <w:rPr>
            <w:webHidden/>
          </w:rPr>
          <w:t>4</w:t>
        </w:r>
        <w:r w:rsidR="00295FC5">
          <w:rPr>
            <w:webHidden/>
          </w:rPr>
          <w:fldChar w:fldCharType="end"/>
        </w:r>
      </w:hyperlink>
    </w:p>
    <w:p w14:paraId="7F589C09" w14:textId="6D17FA3E" w:rsidR="00295FC5" w:rsidRDefault="00000000">
      <w:pPr>
        <w:pStyle w:val="TOC2"/>
        <w:rPr>
          <w:rFonts w:asciiTheme="minorHAnsi" w:eastAsiaTheme="minorEastAsia" w:hAnsiTheme="minorHAnsi" w:cstheme="minorBidi"/>
          <w:b w:val="0"/>
          <w:color w:val="auto"/>
          <w:sz w:val="22"/>
          <w:szCs w:val="22"/>
          <w:lang w:eastAsia="en-AU"/>
        </w:rPr>
      </w:pPr>
      <w:hyperlink w:anchor="_Toc126320526" w:history="1">
        <w:r w:rsidR="00295FC5" w:rsidRPr="009F46E2">
          <w:rPr>
            <w:rStyle w:val="Hyperlink"/>
          </w:rPr>
          <w:t>Destination and value of exports</w:t>
        </w:r>
        <w:r w:rsidR="00295FC5">
          <w:rPr>
            <w:webHidden/>
          </w:rPr>
          <w:tab/>
        </w:r>
        <w:r w:rsidR="00295FC5">
          <w:rPr>
            <w:webHidden/>
          </w:rPr>
          <w:fldChar w:fldCharType="begin"/>
        </w:r>
        <w:r w:rsidR="00295FC5">
          <w:rPr>
            <w:webHidden/>
          </w:rPr>
          <w:instrText xml:space="preserve"> PAGEREF _Toc126320526 \h </w:instrText>
        </w:r>
        <w:r w:rsidR="00295FC5">
          <w:rPr>
            <w:webHidden/>
          </w:rPr>
        </w:r>
        <w:r w:rsidR="00295FC5">
          <w:rPr>
            <w:webHidden/>
          </w:rPr>
          <w:fldChar w:fldCharType="separate"/>
        </w:r>
        <w:r w:rsidR="00295FC5">
          <w:rPr>
            <w:webHidden/>
          </w:rPr>
          <w:t>4</w:t>
        </w:r>
        <w:r w:rsidR="00295FC5">
          <w:rPr>
            <w:webHidden/>
          </w:rPr>
          <w:fldChar w:fldCharType="end"/>
        </w:r>
      </w:hyperlink>
    </w:p>
    <w:p w14:paraId="0566F3B8" w14:textId="1CD88965" w:rsidR="00295FC5" w:rsidRDefault="00000000">
      <w:pPr>
        <w:pStyle w:val="TOC2"/>
        <w:rPr>
          <w:rFonts w:asciiTheme="minorHAnsi" w:eastAsiaTheme="minorEastAsia" w:hAnsiTheme="minorHAnsi" w:cstheme="minorBidi"/>
          <w:b w:val="0"/>
          <w:color w:val="auto"/>
          <w:sz w:val="22"/>
          <w:szCs w:val="22"/>
          <w:lang w:eastAsia="en-AU"/>
        </w:rPr>
      </w:pPr>
      <w:hyperlink w:anchor="_Toc126320527" w:history="1">
        <w:r w:rsidR="00295FC5" w:rsidRPr="009F46E2">
          <w:rPr>
            <w:rStyle w:val="Hyperlink"/>
          </w:rPr>
          <w:t>Proposed Australian use pattern</w:t>
        </w:r>
        <w:r w:rsidR="00295FC5">
          <w:rPr>
            <w:webHidden/>
          </w:rPr>
          <w:tab/>
        </w:r>
        <w:r w:rsidR="00295FC5">
          <w:rPr>
            <w:webHidden/>
          </w:rPr>
          <w:fldChar w:fldCharType="begin"/>
        </w:r>
        <w:r w:rsidR="00295FC5">
          <w:rPr>
            <w:webHidden/>
          </w:rPr>
          <w:instrText xml:space="preserve"> PAGEREF _Toc126320527 \h </w:instrText>
        </w:r>
        <w:r w:rsidR="00295FC5">
          <w:rPr>
            <w:webHidden/>
          </w:rPr>
        </w:r>
        <w:r w:rsidR="00295FC5">
          <w:rPr>
            <w:webHidden/>
          </w:rPr>
          <w:fldChar w:fldCharType="separate"/>
        </w:r>
        <w:r w:rsidR="00295FC5">
          <w:rPr>
            <w:webHidden/>
          </w:rPr>
          <w:t>5</w:t>
        </w:r>
        <w:r w:rsidR="00295FC5">
          <w:rPr>
            <w:webHidden/>
          </w:rPr>
          <w:fldChar w:fldCharType="end"/>
        </w:r>
      </w:hyperlink>
    </w:p>
    <w:p w14:paraId="59A0836D" w14:textId="7C695ABD" w:rsidR="00295FC5" w:rsidRDefault="00000000">
      <w:pPr>
        <w:pStyle w:val="TOC3"/>
        <w:rPr>
          <w:rFonts w:asciiTheme="minorHAnsi" w:eastAsiaTheme="minorEastAsia" w:hAnsiTheme="minorHAnsi" w:cstheme="minorBidi"/>
          <w:sz w:val="22"/>
          <w:szCs w:val="22"/>
          <w:lang w:eastAsia="en-AU"/>
        </w:rPr>
      </w:pPr>
      <w:hyperlink w:anchor="_Toc126320528" w:history="1">
        <w:r w:rsidR="00295FC5" w:rsidRPr="009F46E2">
          <w:rPr>
            <w:rStyle w:val="Hyperlink"/>
          </w:rPr>
          <w:t>Withholding periods</w:t>
        </w:r>
        <w:r w:rsidR="00295FC5">
          <w:rPr>
            <w:webHidden/>
          </w:rPr>
          <w:tab/>
        </w:r>
        <w:r w:rsidR="00295FC5">
          <w:rPr>
            <w:webHidden/>
          </w:rPr>
          <w:fldChar w:fldCharType="begin"/>
        </w:r>
        <w:r w:rsidR="00295FC5">
          <w:rPr>
            <w:webHidden/>
          </w:rPr>
          <w:instrText xml:space="preserve"> PAGEREF _Toc126320528 \h </w:instrText>
        </w:r>
        <w:r w:rsidR="00295FC5">
          <w:rPr>
            <w:webHidden/>
          </w:rPr>
        </w:r>
        <w:r w:rsidR="00295FC5">
          <w:rPr>
            <w:webHidden/>
          </w:rPr>
          <w:fldChar w:fldCharType="separate"/>
        </w:r>
        <w:r w:rsidR="00295FC5">
          <w:rPr>
            <w:webHidden/>
          </w:rPr>
          <w:t>5</w:t>
        </w:r>
        <w:r w:rsidR="00295FC5">
          <w:rPr>
            <w:webHidden/>
          </w:rPr>
          <w:fldChar w:fldCharType="end"/>
        </w:r>
      </w:hyperlink>
    </w:p>
    <w:p w14:paraId="7DDEE587" w14:textId="7CF2F49F" w:rsidR="00295FC5" w:rsidRDefault="00000000">
      <w:pPr>
        <w:pStyle w:val="TOC3"/>
        <w:rPr>
          <w:rFonts w:asciiTheme="minorHAnsi" w:eastAsiaTheme="minorEastAsia" w:hAnsiTheme="minorHAnsi" w:cstheme="minorBidi"/>
          <w:sz w:val="22"/>
          <w:szCs w:val="22"/>
          <w:lang w:eastAsia="en-AU"/>
        </w:rPr>
      </w:pPr>
      <w:hyperlink w:anchor="_Toc126320529" w:history="1">
        <w:r w:rsidR="00295FC5" w:rsidRPr="009F46E2">
          <w:rPr>
            <w:rStyle w:val="Hyperlink"/>
          </w:rPr>
          <w:t>Restraints</w:t>
        </w:r>
        <w:r w:rsidR="00295FC5">
          <w:rPr>
            <w:webHidden/>
          </w:rPr>
          <w:tab/>
        </w:r>
        <w:r w:rsidR="00295FC5">
          <w:rPr>
            <w:webHidden/>
          </w:rPr>
          <w:fldChar w:fldCharType="begin"/>
        </w:r>
        <w:r w:rsidR="00295FC5">
          <w:rPr>
            <w:webHidden/>
          </w:rPr>
          <w:instrText xml:space="preserve"> PAGEREF _Toc126320529 \h </w:instrText>
        </w:r>
        <w:r w:rsidR="00295FC5">
          <w:rPr>
            <w:webHidden/>
          </w:rPr>
        </w:r>
        <w:r w:rsidR="00295FC5">
          <w:rPr>
            <w:webHidden/>
          </w:rPr>
          <w:fldChar w:fldCharType="separate"/>
        </w:r>
        <w:r w:rsidR="00295FC5">
          <w:rPr>
            <w:webHidden/>
          </w:rPr>
          <w:t>5</w:t>
        </w:r>
        <w:r w:rsidR="00295FC5">
          <w:rPr>
            <w:webHidden/>
          </w:rPr>
          <w:fldChar w:fldCharType="end"/>
        </w:r>
      </w:hyperlink>
    </w:p>
    <w:p w14:paraId="6B1872B0" w14:textId="7C58A679" w:rsidR="00295FC5" w:rsidRDefault="00000000">
      <w:pPr>
        <w:pStyle w:val="TOC3"/>
        <w:rPr>
          <w:rFonts w:asciiTheme="minorHAnsi" w:eastAsiaTheme="minorEastAsia" w:hAnsiTheme="minorHAnsi" w:cstheme="minorBidi"/>
          <w:sz w:val="22"/>
          <w:szCs w:val="22"/>
          <w:lang w:eastAsia="en-AU"/>
        </w:rPr>
      </w:pPr>
      <w:hyperlink w:anchor="_Toc126320530" w:history="1">
        <w:r w:rsidR="00295FC5" w:rsidRPr="009F46E2">
          <w:rPr>
            <w:rStyle w:val="Hyperlink"/>
          </w:rPr>
          <w:t>Trade advice</w:t>
        </w:r>
        <w:r w:rsidR="00295FC5">
          <w:rPr>
            <w:webHidden/>
          </w:rPr>
          <w:tab/>
        </w:r>
        <w:r w:rsidR="00295FC5">
          <w:rPr>
            <w:webHidden/>
          </w:rPr>
          <w:fldChar w:fldCharType="begin"/>
        </w:r>
        <w:r w:rsidR="00295FC5">
          <w:rPr>
            <w:webHidden/>
          </w:rPr>
          <w:instrText xml:space="preserve"> PAGEREF _Toc126320530 \h </w:instrText>
        </w:r>
        <w:r w:rsidR="00295FC5">
          <w:rPr>
            <w:webHidden/>
          </w:rPr>
        </w:r>
        <w:r w:rsidR="00295FC5">
          <w:rPr>
            <w:webHidden/>
          </w:rPr>
          <w:fldChar w:fldCharType="separate"/>
        </w:r>
        <w:r w:rsidR="00295FC5">
          <w:rPr>
            <w:webHidden/>
          </w:rPr>
          <w:t>5</w:t>
        </w:r>
        <w:r w:rsidR="00295FC5">
          <w:rPr>
            <w:webHidden/>
          </w:rPr>
          <w:fldChar w:fldCharType="end"/>
        </w:r>
      </w:hyperlink>
    </w:p>
    <w:p w14:paraId="23F4B383" w14:textId="2D833663" w:rsidR="00295FC5" w:rsidRDefault="00000000">
      <w:pPr>
        <w:pStyle w:val="TOC2"/>
        <w:rPr>
          <w:rFonts w:asciiTheme="minorHAnsi" w:eastAsiaTheme="minorEastAsia" w:hAnsiTheme="minorHAnsi" w:cstheme="minorBidi"/>
          <w:b w:val="0"/>
          <w:color w:val="auto"/>
          <w:sz w:val="22"/>
          <w:szCs w:val="22"/>
          <w:lang w:eastAsia="en-AU"/>
        </w:rPr>
      </w:pPr>
      <w:hyperlink w:anchor="_Toc126320531" w:history="1">
        <w:r w:rsidR="00295FC5" w:rsidRPr="009F46E2">
          <w:rPr>
            <w:rStyle w:val="Hyperlink"/>
          </w:rPr>
          <w:t>Results from residues trials presented to the APVMA</w:t>
        </w:r>
        <w:r w:rsidR="00295FC5">
          <w:rPr>
            <w:webHidden/>
          </w:rPr>
          <w:tab/>
        </w:r>
        <w:r w:rsidR="00295FC5">
          <w:rPr>
            <w:webHidden/>
          </w:rPr>
          <w:fldChar w:fldCharType="begin"/>
        </w:r>
        <w:r w:rsidR="00295FC5">
          <w:rPr>
            <w:webHidden/>
          </w:rPr>
          <w:instrText xml:space="preserve"> PAGEREF _Toc126320531 \h </w:instrText>
        </w:r>
        <w:r w:rsidR="00295FC5">
          <w:rPr>
            <w:webHidden/>
          </w:rPr>
        </w:r>
        <w:r w:rsidR="00295FC5">
          <w:rPr>
            <w:webHidden/>
          </w:rPr>
          <w:fldChar w:fldCharType="separate"/>
        </w:r>
        <w:r w:rsidR="00295FC5">
          <w:rPr>
            <w:webHidden/>
          </w:rPr>
          <w:t>6</w:t>
        </w:r>
        <w:r w:rsidR="00295FC5">
          <w:rPr>
            <w:webHidden/>
          </w:rPr>
          <w:fldChar w:fldCharType="end"/>
        </w:r>
      </w:hyperlink>
    </w:p>
    <w:p w14:paraId="7D977FE1" w14:textId="1E101293" w:rsidR="00295FC5" w:rsidRDefault="00000000">
      <w:pPr>
        <w:pStyle w:val="TOC2"/>
        <w:rPr>
          <w:rFonts w:asciiTheme="minorHAnsi" w:eastAsiaTheme="minorEastAsia" w:hAnsiTheme="minorHAnsi" w:cstheme="minorBidi"/>
          <w:b w:val="0"/>
          <w:color w:val="auto"/>
          <w:sz w:val="22"/>
          <w:szCs w:val="22"/>
          <w:lang w:eastAsia="en-AU"/>
        </w:rPr>
      </w:pPr>
      <w:hyperlink w:anchor="_Toc126320532" w:history="1">
        <w:r w:rsidR="00295FC5" w:rsidRPr="009F46E2">
          <w:rPr>
            <w:rStyle w:val="Hyperlink"/>
          </w:rPr>
          <w:t>Overseas registration and approved label instructions</w:t>
        </w:r>
        <w:r w:rsidR="00295FC5">
          <w:rPr>
            <w:webHidden/>
          </w:rPr>
          <w:tab/>
        </w:r>
        <w:r w:rsidR="00295FC5">
          <w:rPr>
            <w:webHidden/>
          </w:rPr>
          <w:fldChar w:fldCharType="begin"/>
        </w:r>
        <w:r w:rsidR="00295FC5">
          <w:rPr>
            <w:webHidden/>
          </w:rPr>
          <w:instrText xml:space="preserve"> PAGEREF _Toc126320532 \h </w:instrText>
        </w:r>
        <w:r w:rsidR="00295FC5">
          <w:rPr>
            <w:webHidden/>
          </w:rPr>
        </w:r>
        <w:r w:rsidR="00295FC5">
          <w:rPr>
            <w:webHidden/>
          </w:rPr>
          <w:fldChar w:fldCharType="separate"/>
        </w:r>
        <w:r w:rsidR="00295FC5">
          <w:rPr>
            <w:webHidden/>
          </w:rPr>
          <w:t>6</w:t>
        </w:r>
        <w:r w:rsidR="00295FC5">
          <w:rPr>
            <w:webHidden/>
          </w:rPr>
          <w:fldChar w:fldCharType="end"/>
        </w:r>
      </w:hyperlink>
    </w:p>
    <w:p w14:paraId="3811CC08" w14:textId="6D551B8B" w:rsidR="00295FC5" w:rsidRDefault="00000000">
      <w:pPr>
        <w:pStyle w:val="TOC2"/>
        <w:rPr>
          <w:rFonts w:asciiTheme="minorHAnsi" w:eastAsiaTheme="minorEastAsia" w:hAnsiTheme="minorHAnsi" w:cstheme="minorBidi"/>
          <w:b w:val="0"/>
          <w:color w:val="auto"/>
          <w:sz w:val="22"/>
          <w:szCs w:val="22"/>
          <w:lang w:eastAsia="en-AU"/>
        </w:rPr>
      </w:pPr>
      <w:hyperlink w:anchor="_Toc126320533" w:history="1">
        <w:r w:rsidR="00295FC5" w:rsidRPr="009F46E2">
          <w:rPr>
            <w:rStyle w:val="Hyperlink"/>
          </w:rPr>
          <w:t>Codex Alimentarius Commission and overseas MRLs</w:t>
        </w:r>
        <w:r w:rsidR="00295FC5">
          <w:rPr>
            <w:webHidden/>
          </w:rPr>
          <w:tab/>
        </w:r>
        <w:r w:rsidR="00295FC5">
          <w:rPr>
            <w:webHidden/>
          </w:rPr>
          <w:fldChar w:fldCharType="begin"/>
        </w:r>
        <w:r w:rsidR="00295FC5">
          <w:rPr>
            <w:webHidden/>
          </w:rPr>
          <w:instrText xml:space="preserve"> PAGEREF _Toc126320533 \h </w:instrText>
        </w:r>
        <w:r w:rsidR="00295FC5">
          <w:rPr>
            <w:webHidden/>
          </w:rPr>
        </w:r>
        <w:r w:rsidR="00295FC5">
          <w:rPr>
            <w:webHidden/>
          </w:rPr>
          <w:fldChar w:fldCharType="separate"/>
        </w:r>
        <w:r w:rsidR="00295FC5">
          <w:rPr>
            <w:webHidden/>
          </w:rPr>
          <w:t>7</w:t>
        </w:r>
        <w:r w:rsidR="00295FC5">
          <w:rPr>
            <w:webHidden/>
          </w:rPr>
          <w:fldChar w:fldCharType="end"/>
        </w:r>
      </w:hyperlink>
    </w:p>
    <w:p w14:paraId="1DCD1AF6" w14:textId="7BB39770" w:rsidR="00295FC5" w:rsidRDefault="00000000">
      <w:pPr>
        <w:pStyle w:val="TOC2"/>
        <w:rPr>
          <w:rFonts w:asciiTheme="minorHAnsi" w:eastAsiaTheme="minorEastAsia" w:hAnsiTheme="minorHAnsi" w:cstheme="minorBidi"/>
          <w:b w:val="0"/>
          <w:color w:val="auto"/>
          <w:sz w:val="22"/>
          <w:szCs w:val="22"/>
          <w:lang w:eastAsia="en-AU"/>
        </w:rPr>
      </w:pPr>
      <w:hyperlink w:anchor="_Toc126320534" w:history="1">
        <w:r w:rsidR="00295FC5" w:rsidRPr="009F46E2">
          <w:rPr>
            <w:rStyle w:val="Hyperlink"/>
          </w:rPr>
          <w:t>Current and proposed Australian MRLs for metrafenone</w:t>
        </w:r>
        <w:r w:rsidR="00295FC5">
          <w:rPr>
            <w:webHidden/>
          </w:rPr>
          <w:tab/>
        </w:r>
        <w:r w:rsidR="00295FC5">
          <w:rPr>
            <w:webHidden/>
          </w:rPr>
          <w:fldChar w:fldCharType="begin"/>
        </w:r>
        <w:r w:rsidR="00295FC5">
          <w:rPr>
            <w:webHidden/>
          </w:rPr>
          <w:instrText xml:space="preserve"> PAGEREF _Toc126320534 \h </w:instrText>
        </w:r>
        <w:r w:rsidR="00295FC5">
          <w:rPr>
            <w:webHidden/>
          </w:rPr>
        </w:r>
        <w:r w:rsidR="00295FC5">
          <w:rPr>
            <w:webHidden/>
          </w:rPr>
          <w:fldChar w:fldCharType="separate"/>
        </w:r>
        <w:r w:rsidR="00295FC5">
          <w:rPr>
            <w:webHidden/>
          </w:rPr>
          <w:t>8</w:t>
        </w:r>
        <w:r w:rsidR="00295FC5">
          <w:rPr>
            <w:webHidden/>
          </w:rPr>
          <w:fldChar w:fldCharType="end"/>
        </w:r>
      </w:hyperlink>
    </w:p>
    <w:p w14:paraId="609010DA" w14:textId="79C33D2D" w:rsidR="00295FC5" w:rsidRDefault="00000000">
      <w:pPr>
        <w:pStyle w:val="TOC2"/>
        <w:rPr>
          <w:rFonts w:asciiTheme="minorHAnsi" w:eastAsiaTheme="minorEastAsia" w:hAnsiTheme="minorHAnsi" w:cstheme="minorBidi"/>
          <w:b w:val="0"/>
          <w:color w:val="auto"/>
          <w:sz w:val="22"/>
          <w:szCs w:val="22"/>
          <w:lang w:eastAsia="en-AU"/>
        </w:rPr>
      </w:pPr>
      <w:hyperlink w:anchor="_Toc126320535" w:history="1">
        <w:r w:rsidR="00295FC5" w:rsidRPr="009F46E2">
          <w:rPr>
            <w:rStyle w:val="Hyperlink"/>
          </w:rPr>
          <w:t>Potential risk to trade</w:t>
        </w:r>
        <w:r w:rsidR="00295FC5">
          <w:rPr>
            <w:webHidden/>
          </w:rPr>
          <w:tab/>
        </w:r>
        <w:r w:rsidR="00295FC5">
          <w:rPr>
            <w:webHidden/>
          </w:rPr>
          <w:fldChar w:fldCharType="begin"/>
        </w:r>
        <w:r w:rsidR="00295FC5">
          <w:rPr>
            <w:webHidden/>
          </w:rPr>
          <w:instrText xml:space="preserve"> PAGEREF _Toc126320535 \h </w:instrText>
        </w:r>
        <w:r w:rsidR="00295FC5">
          <w:rPr>
            <w:webHidden/>
          </w:rPr>
        </w:r>
        <w:r w:rsidR="00295FC5">
          <w:rPr>
            <w:webHidden/>
          </w:rPr>
          <w:fldChar w:fldCharType="separate"/>
        </w:r>
        <w:r w:rsidR="00295FC5">
          <w:rPr>
            <w:webHidden/>
          </w:rPr>
          <w:t>9</w:t>
        </w:r>
        <w:r w:rsidR="00295FC5">
          <w:rPr>
            <w:webHidden/>
          </w:rPr>
          <w:fldChar w:fldCharType="end"/>
        </w:r>
      </w:hyperlink>
    </w:p>
    <w:p w14:paraId="11E371F6" w14:textId="5BED5F28" w:rsidR="00295FC5" w:rsidRDefault="00000000">
      <w:pPr>
        <w:pStyle w:val="TOC3"/>
        <w:rPr>
          <w:rFonts w:asciiTheme="minorHAnsi" w:eastAsiaTheme="minorEastAsia" w:hAnsiTheme="minorHAnsi" w:cstheme="minorBidi"/>
          <w:sz w:val="22"/>
          <w:szCs w:val="22"/>
          <w:lang w:eastAsia="en-AU"/>
        </w:rPr>
      </w:pPr>
      <w:hyperlink w:anchor="_Toc126320536" w:history="1">
        <w:r w:rsidR="00295FC5" w:rsidRPr="009F46E2">
          <w:rPr>
            <w:rStyle w:val="Hyperlink"/>
          </w:rPr>
          <w:t>Wheat</w:t>
        </w:r>
        <w:r w:rsidR="00295FC5">
          <w:rPr>
            <w:webHidden/>
          </w:rPr>
          <w:tab/>
        </w:r>
        <w:r w:rsidR="00295FC5">
          <w:rPr>
            <w:webHidden/>
          </w:rPr>
          <w:fldChar w:fldCharType="begin"/>
        </w:r>
        <w:r w:rsidR="00295FC5">
          <w:rPr>
            <w:webHidden/>
          </w:rPr>
          <w:instrText xml:space="preserve"> PAGEREF _Toc126320536 \h </w:instrText>
        </w:r>
        <w:r w:rsidR="00295FC5">
          <w:rPr>
            <w:webHidden/>
          </w:rPr>
        </w:r>
        <w:r w:rsidR="00295FC5">
          <w:rPr>
            <w:webHidden/>
          </w:rPr>
          <w:fldChar w:fldCharType="separate"/>
        </w:r>
        <w:r w:rsidR="00295FC5">
          <w:rPr>
            <w:webHidden/>
          </w:rPr>
          <w:t>9</w:t>
        </w:r>
        <w:r w:rsidR="00295FC5">
          <w:rPr>
            <w:webHidden/>
          </w:rPr>
          <w:fldChar w:fldCharType="end"/>
        </w:r>
      </w:hyperlink>
    </w:p>
    <w:p w14:paraId="5D979A05" w14:textId="78D2EB0A" w:rsidR="00295FC5" w:rsidRDefault="00000000">
      <w:pPr>
        <w:pStyle w:val="TOC1"/>
        <w:rPr>
          <w:rFonts w:asciiTheme="minorHAnsi" w:eastAsiaTheme="minorEastAsia" w:hAnsiTheme="minorHAnsi" w:cstheme="minorBidi"/>
          <w:bCs w:val="0"/>
          <w:color w:val="auto"/>
          <w:kern w:val="0"/>
          <w:sz w:val="22"/>
          <w:szCs w:val="22"/>
          <w:lang w:eastAsia="en-AU"/>
        </w:rPr>
      </w:pPr>
      <w:hyperlink w:anchor="_Toc126320537" w:history="1">
        <w:r w:rsidR="00295FC5" w:rsidRPr="009F46E2">
          <w:rPr>
            <w:rStyle w:val="Hyperlink"/>
          </w:rPr>
          <w:t>Conclusion</w:t>
        </w:r>
        <w:r w:rsidR="00295FC5">
          <w:rPr>
            <w:webHidden/>
          </w:rPr>
          <w:tab/>
        </w:r>
        <w:r w:rsidR="00295FC5">
          <w:rPr>
            <w:webHidden/>
          </w:rPr>
          <w:fldChar w:fldCharType="begin"/>
        </w:r>
        <w:r w:rsidR="00295FC5">
          <w:rPr>
            <w:webHidden/>
          </w:rPr>
          <w:instrText xml:space="preserve"> PAGEREF _Toc126320537 \h </w:instrText>
        </w:r>
        <w:r w:rsidR="00295FC5">
          <w:rPr>
            <w:webHidden/>
          </w:rPr>
        </w:r>
        <w:r w:rsidR="00295FC5">
          <w:rPr>
            <w:webHidden/>
          </w:rPr>
          <w:fldChar w:fldCharType="separate"/>
        </w:r>
        <w:r w:rsidR="00295FC5">
          <w:rPr>
            <w:webHidden/>
          </w:rPr>
          <w:t>10</w:t>
        </w:r>
        <w:r w:rsidR="00295FC5">
          <w:rPr>
            <w:webHidden/>
          </w:rPr>
          <w:fldChar w:fldCharType="end"/>
        </w:r>
      </w:hyperlink>
    </w:p>
    <w:p w14:paraId="2D4C25BF" w14:textId="77777777" w:rsidR="00295FC5" w:rsidRDefault="005064D5" w:rsidP="007B1953">
      <w:pPr>
        <w:pStyle w:val="ToCH1"/>
        <w:spacing w:before="500"/>
        <w:rPr>
          <w:noProof/>
        </w:rPr>
      </w:pPr>
      <w:r>
        <w:rPr>
          <w:rFonts w:ascii="Trebuchet MS" w:hAnsi="Trebuchet MS"/>
          <w:b/>
          <w:caps/>
          <w:noProof/>
          <w:szCs w:val="30"/>
        </w:rPr>
        <w:fldChar w:fldCharType="end"/>
      </w:r>
      <w:r w:rsidR="002E20AC">
        <w:rPr>
          <w:noProof/>
        </w:rPr>
        <w:t>List of tables</w:t>
      </w:r>
      <w:r w:rsidR="005D00D1">
        <w:rPr>
          <w:caps/>
          <w:noProof/>
        </w:rPr>
        <w:fldChar w:fldCharType="begin"/>
      </w:r>
      <w:r w:rsidR="005D00D1">
        <w:rPr>
          <w:noProof/>
        </w:rPr>
        <w:instrText xml:space="preserve"> TOC \h \z \t "Caption,APVMA_Caption" \c </w:instrText>
      </w:r>
      <w:r w:rsidR="005D00D1">
        <w:rPr>
          <w:caps/>
          <w:noProof/>
        </w:rPr>
        <w:fldChar w:fldCharType="separate"/>
      </w:r>
    </w:p>
    <w:p w14:paraId="5D50E5BB" w14:textId="67BAB2C2" w:rsidR="00295FC5" w:rsidRDefault="00000000">
      <w:pPr>
        <w:pStyle w:val="TableofFigures"/>
        <w:rPr>
          <w:rFonts w:asciiTheme="minorHAnsi" w:eastAsiaTheme="minorEastAsia" w:hAnsiTheme="minorHAnsi" w:cstheme="minorBidi"/>
          <w:sz w:val="22"/>
          <w:szCs w:val="22"/>
          <w:lang w:eastAsia="en-AU"/>
        </w:rPr>
      </w:pPr>
      <w:hyperlink w:anchor="_Toc126320538" w:history="1">
        <w:r w:rsidR="00295FC5" w:rsidRPr="00415764">
          <w:rPr>
            <w:rStyle w:val="Hyperlink"/>
          </w:rPr>
          <w:t>Table 1:</w:t>
        </w:r>
        <w:r w:rsidR="00295FC5">
          <w:rPr>
            <w:rFonts w:asciiTheme="minorHAnsi" w:eastAsiaTheme="minorEastAsia" w:hAnsiTheme="minorHAnsi" w:cstheme="minorBidi"/>
            <w:sz w:val="22"/>
            <w:szCs w:val="22"/>
            <w:lang w:eastAsia="en-AU"/>
          </w:rPr>
          <w:tab/>
        </w:r>
        <w:r w:rsidR="00295FC5" w:rsidRPr="00415764">
          <w:rPr>
            <w:rStyle w:val="Hyperlink"/>
          </w:rPr>
          <w:t>Proposed use pattern for wheat being considered by the APVMA</w:t>
        </w:r>
        <w:r w:rsidR="00295FC5">
          <w:rPr>
            <w:webHidden/>
          </w:rPr>
          <w:tab/>
        </w:r>
        <w:r w:rsidR="00295FC5">
          <w:rPr>
            <w:webHidden/>
          </w:rPr>
          <w:fldChar w:fldCharType="begin"/>
        </w:r>
        <w:r w:rsidR="00295FC5">
          <w:rPr>
            <w:webHidden/>
          </w:rPr>
          <w:instrText xml:space="preserve"> PAGEREF _Toc126320538 \h </w:instrText>
        </w:r>
        <w:r w:rsidR="00295FC5">
          <w:rPr>
            <w:webHidden/>
          </w:rPr>
        </w:r>
        <w:r w:rsidR="00295FC5">
          <w:rPr>
            <w:webHidden/>
          </w:rPr>
          <w:fldChar w:fldCharType="separate"/>
        </w:r>
        <w:r w:rsidR="00295FC5">
          <w:rPr>
            <w:webHidden/>
          </w:rPr>
          <w:t>5</w:t>
        </w:r>
        <w:r w:rsidR="00295FC5">
          <w:rPr>
            <w:webHidden/>
          </w:rPr>
          <w:fldChar w:fldCharType="end"/>
        </w:r>
      </w:hyperlink>
    </w:p>
    <w:p w14:paraId="038A0C81" w14:textId="3F19DE39" w:rsidR="00295FC5" w:rsidRDefault="00000000">
      <w:pPr>
        <w:pStyle w:val="TableofFigures"/>
        <w:rPr>
          <w:rFonts w:asciiTheme="minorHAnsi" w:eastAsiaTheme="minorEastAsia" w:hAnsiTheme="minorHAnsi" w:cstheme="minorBidi"/>
          <w:sz w:val="22"/>
          <w:szCs w:val="22"/>
          <w:lang w:eastAsia="en-AU"/>
        </w:rPr>
      </w:pPr>
      <w:hyperlink w:anchor="_Toc126320539" w:history="1">
        <w:r w:rsidR="00295FC5" w:rsidRPr="00415764">
          <w:rPr>
            <w:rStyle w:val="Hyperlink"/>
          </w:rPr>
          <w:t>Table 2:</w:t>
        </w:r>
        <w:r w:rsidR="00295FC5">
          <w:rPr>
            <w:rFonts w:asciiTheme="minorHAnsi" w:eastAsiaTheme="minorEastAsia" w:hAnsiTheme="minorHAnsi" w:cstheme="minorBidi"/>
            <w:sz w:val="22"/>
            <w:szCs w:val="22"/>
            <w:lang w:eastAsia="en-AU"/>
          </w:rPr>
          <w:tab/>
        </w:r>
        <w:r w:rsidR="00295FC5" w:rsidRPr="00415764">
          <w:rPr>
            <w:rStyle w:val="Hyperlink"/>
          </w:rPr>
          <w:t>Relevant international MRLs for metrafenone on wheat</w:t>
        </w:r>
        <w:r w:rsidR="00295FC5">
          <w:rPr>
            <w:webHidden/>
          </w:rPr>
          <w:tab/>
        </w:r>
        <w:r w:rsidR="00295FC5">
          <w:rPr>
            <w:webHidden/>
          </w:rPr>
          <w:fldChar w:fldCharType="begin"/>
        </w:r>
        <w:r w:rsidR="00295FC5">
          <w:rPr>
            <w:webHidden/>
          </w:rPr>
          <w:instrText xml:space="preserve"> PAGEREF _Toc126320539 \h </w:instrText>
        </w:r>
        <w:r w:rsidR="00295FC5">
          <w:rPr>
            <w:webHidden/>
          </w:rPr>
        </w:r>
        <w:r w:rsidR="00295FC5">
          <w:rPr>
            <w:webHidden/>
          </w:rPr>
          <w:fldChar w:fldCharType="separate"/>
        </w:r>
        <w:r w:rsidR="00295FC5">
          <w:rPr>
            <w:webHidden/>
          </w:rPr>
          <w:t>7</w:t>
        </w:r>
        <w:r w:rsidR="00295FC5">
          <w:rPr>
            <w:webHidden/>
          </w:rPr>
          <w:fldChar w:fldCharType="end"/>
        </w:r>
      </w:hyperlink>
    </w:p>
    <w:p w14:paraId="620E74F9" w14:textId="04D7D86B" w:rsidR="00295FC5" w:rsidRDefault="00000000">
      <w:pPr>
        <w:pStyle w:val="TableofFigures"/>
        <w:rPr>
          <w:rFonts w:asciiTheme="minorHAnsi" w:eastAsiaTheme="minorEastAsia" w:hAnsiTheme="minorHAnsi" w:cstheme="minorBidi"/>
          <w:sz w:val="22"/>
          <w:szCs w:val="22"/>
          <w:lang w:eastAsia="en-AU"/>
        </w:rPr>
      </w:pPr>
      <w:hyperlink w:anchor="_Toc126320540" w:history="1">
        <w:r w:rsidR="00295FC5" w:rsidRPr="00415764">
          <w:rPr>
            <w:rStyle w:val="Hyperlink"/>
          </w:rPr>
          <w:t>Table 3:</w:t>
        </w:r>
        <w:r w:rsidR="00295FC5">
          <w:rPr>
            <w:rFonts w:asciiTheme="minorHAnsi" w:eastAsiaTheme="minorEastAsia" w:hAnsiTheme="minorHAnsi" w:cstheme="minorBidi"/>
            <w:sz w:val="22"/>
            <w:szCs w:val="22"/>
            <w:lang w:eastAsia="en-AU"/>
          </w:rPr>
          <w:tab/>
        </w:r>
        <w:r w:rsidR="00295FC5" w:rsidRPr="00415764">
          <w:rPr>
            <w:rStyle w:val="Hyperlink"/>
          </w:rPr>
          <w:t>Current relevant MRLs for metrafenone in Table 1 of the MRL Standard</w:t>
        </w:r>
        <w:r w:rsidR="00295FC5">
          <w:rPr>
            <w:webHidden/>
          </w:rPr>
          <w:tab/>
        </w:r>
        <w:r w:rsidR="00295FC5">
          <w:rPr>
            <w:webHidden/>
          </w:rPr>
          <w:fldChar w:fldCharType="begin"/>
        </w:r>
        <w:r w:rsidR="00295FC5">
          <w:rPr>
            <w:webHidden/>
          </w:rPr>
          <w:instrText xml:space="preserve"> PAGEREF _Toc126320540 \h </w:instrText>
        </w:r>
        <w:r w:rsidR="00295FC5">
          <w:rPr>
            <w:webHidden/>
          </w:rPr>
        </w:r>
        <w:r w:rsidR="00295FC5">
          <w:rPr>
            <w:webHidden/>
          </w:rPr>
          <w:fldChar w:fldCharType="separate"/>
        </w:r>
        <w:r w:rsidR="00295FC5">
          <w:rPr>
            <w:webHidden/>
          </w:rPr>
          <w:t>8</w:t>
        </w:r>
        <w:r w:rsidR="00295FC5">
          <w:rPr>
            <w:webHidden/>
          </w:rPr>
          <w:fldChar w:fldCharType="end"/>
        </w:r>
      </w:hyperlink>
    </w:p>
    <w:p w14:paraId="5FAA5291" w14:textId="76C714D2" w:rsidR="00295FC5" w:rsidRDefault="00000000">
      <w:pPr>
        <w:pStyle w:val="TableofFigures"/>
        <w:rPr>
          <w:rFonts w:asciiTheme="minorHAnsi" w:eastAsiaTheme="minorEastAsia" w:hAnsiTheme="minorHAnsi" w:cstheme="minorBidi"/>
          <w:sz w:val="22"/>
          <w:szCs w:val="22"/>
          <w:lang w:eastAsia="en-AU"/>
        </w:rPr>
      </w:pPr>
      <w:hyperlink w:anchor="_Toc126320541" w:history="1">
        <w:r w:rsidR="00295FC5" w:rsidRPr="00415764">
          <w:rPr>
            <w:rStyle w:val="Hyperlink"/>
          </w:rPr>
          <w:t>Table 4:</w:t>
        </w:r>
        <w:r w:rsidR="00295FC5">
          <w:rPr>
            <w:rFonts w:asciiTheme="minorHAnsi" w:eastAsiaTheme="minorEastAsia" w:hAnsiTheme="minorHAnsi" w:cstheme="minorBidi"/>
            <w:sz w:val="22"/>
            <w:szCs w:val="22"/>
            <w:lang w:eastAsia="en-AU"/>
          </w:rPr>
          <w:tab/>
        </w:r>
        <w:r w:rsidR="00295FC5" w:rsidRPr="00415764">
          <w:rPr>
            <w:rStyle w:val="Hyperlink"/>
          </w:rPr>
          <w:t>Amendments to Table 1 of the MRL Standard for metrafenone</w:t>
        </w:r>
        <w:r w:rsidR="00295FC5">
          <w:rPr>
            <w:webHidden/>
          </w:rPr>
          <w:tab/>
        </w:r>
        <w:r w:rsidR="00295FC5">
          <w:rPr>
            <w:webHidden/>
          </w:rPr>
          <w:fldChar w:fldCharType="begin"/>
        </w:r>
        <w:r w:rsidR="00295FC5">
          <w:rPr>
            <w:webHidden/>
          </w:rPr>
          <w:instrText xml:space="preserve"> PAGEREF _Toc126320541 \h </w:instrText>
        </w:r>
        <w:r w:rsidR="00295FC5">
          <w:rPr>
            <w:webHidden/>
          </w:rPr>
        </w:r>
        <w:r w:rsidR="00295FC5">
          <w:rPr>
            <w:webHidden/>
          </w:rPr>
          <w:fldChar w:fldCharType="separate"/>
        </w:r>
        <w:r w:rsidR="00295FC5">
          <w:rPr>
            <w:webHidden/>
          </w:rPr>
          <w:t>8</w:t>
        </w:r>
        <w:r w:rsidR="00295FC5">
          <w:rPr>
            <w:webHidden/>
          </w:rPr>
          <w:fldChar w:fldCharType="end"/>
        </w:r>
      </w:hyperlink>
    </w:p>
    <w:p w14:paraId="242E63E9" w14:textId="13138204" w:rsidR="00295FC5" w:rsidRDefault="00000000">
      <w:pPr>
        <w:pStyle w:val="TableofFigures"/>
        <w:rPr>
          <w:rFonts w:asciiTheme="minorHAnsi" w:eastAsiaTheme="minorEastAsia" w:hAnsiTheme="minorHAnsi" w:cstheme="minorBidi"/>
          <w:sz w:val="22"/>
          <w:szCs w:val="22"/>
          <w:lang w:eastAsia="en-AU"/>
        </w:rPr>
      </w:pPr>
      <w:hyperlink w:anchor="_Toc126320542" w:history="1">
        <w:r w:rsidR="00295FC5" w:rsidRPr="00415764">
          <w:rPr>
            <w:rStyle w:val="Hyperlink"/>
          </w:rPr>
          <w:t>Table 5:</w:t>
        </w:r>
        <w:r w:rsidR="00295FC5">
          <w:rPr>
            <w:rFonts w:asciiTheme="minorHAnsi" w:eastAsiaTheme="minorEastAsia" w:hAnsiTheme="minorHAnsi" w:cstheme="minorBidi"/>
            <w:sz w:val="22"/>
            <w:szCs w:val="22"/>
            <w:lang w:eastAsia="en-AU"/>
          </w:rPr>
          <w:tab/>
        </w:r>
        <w:r w:rsidR="00295FC5" w:rsidRPr="00415764">
          <w:rPr>
            <w:rStyle w:val="Hyperlink"/>
          </w:rPr>
          <w:t>Amendments to Table 4 of the MRL Standard for metrafenone</w:t>
        </w:r>
        <w:r w:rsidR="00295FC5">
          <w:rPr>
            <w:webHidden/>
          </w:rPr>
          <w:tab/>
        </w:r>
        <w:r w:rsidR="00295FC5">
          <w:rPr>
            <w:webHidden/>
          </w:rPr>
          <w:fldChar w:fldCharType="begin"/>
        </w:r>
        <w:r w:rsidR="00295FC5">
          <w:rPr>
            <w:webHidden/>
          </w:rPr>
          <w:instrText xml:space="preserve"> PAGEREF _Toc126320542 \h </w:instrText>
        </w:r>
        <w:r w:rsidR="00295FC5">
          <w:rPr>
            <w:webHidden/>
          </w:rPr>
        </w:r>
        <w:r w:rsidR="00295FC5">
          <w:rPr>
            <w:webHidden/>
          </w:rPr>
          <w:fldChar w:fldCharType="separate"/>
        </w:r>
        <w:r w:rsidR="00295FC5">
          <w:rPr>
            <w:webHidden/>
          </w:rPr>
          <w:t>8</w:t>
        </w:r>
        <w:r w:rsidR="00295FC5">
          <w:rPr>
            <w:webHidden/>
          </w:rPr>
          <w:fldChar w:fldCharType="end"/>
        </w:r>
      </w:hyperlink>
    </w:p>
    <w:p w14:paraId="16215860" w14:textId="002E6A63" w:rsidR="00116540" w:rsidRDefault="005D00D1" w:rsidP="00295FC5">
      <w:pPr>
        <w:pStyle w:val="APVMAText"/>
        <w:rPr>
          <w:bCs/>
          <w:noProof/>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C6360C" w:rsidRDefault="002E20AC" w:rsidP="00C6360C">
      <w:pPr>
        <w:pStyle w:val="APVMAPreliminariesH1"/>
      </w:pPr>
      <w:bookmarkStart w:id="1" w:name="_Toc234063054"/>
      <w:bookmarkStart w:id="2" w:name="_Toc414373831"/>
      <w:bookmarkStart w:id="3" w:name="_Toc126320519"/>
      <w:r w:rsidRPr="00C6360C">
        <w:lastRenderedPageBreak/>
        <w:t>Preface</w:t>
      </w:r>
      <w:bookmarkEnd w:id="1"/>
      <w:bookmarkEnd w:id="2"/>
      <w:bookmarkEnd w:id="3"/>
    </w:p>
    <w:p w14:paraId="3C65F9F1" w14:textId="77777777" w:rsidR="006D36C8" w:rsidRPr="00C6360C" w:rsidRDefault="006D36C8" w:rsidP="00C6360C">
      <w:pPr>
        <w:pStyle w:val="APVMAText"/>
      </w:pPr>
      <w:r w:rsidRPr="00C6360C">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C6360C" w:rsidRDefault="006D36C8" w:rsidP="00C6360C">
      <w:pPr>
        <w:pStyle w:val="APVMAText"/>
      </w:pPr>
      <w:r w:rsidRPr="00C6360C">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Pr="00C6360C" w:rsidRDefault="006D36C8" w:rsidP="00C6360C">
      <w:pPr>
        <w:pStyle w:val="APVMAText"/>
      </w:pPr>
      <w:r w:rsidRPr="00C6360C">
        <w:t>The information and technical data required by the APVMA to assess the safety of new chemical products and the methods of assessment must be undertaken according to accepted scientific principles. Details are outlined in regulatory guidance published on the APVMA website.</w:t>
      </w:r>
    </w:p>
    <w:p w14:paraId="43C9A5E5" w14:textId="77777777" w:rsidR="002E20AC" w:rsidRPr="00C6360C" w:rsidRDefault="006D36C8" w:rsidP="00C6360C">
      <w:pPr>
        <w:pStyle w:val="APVMAPreliminariesH2"/>
      </w:pPr>
      <w:bookmarkStart w:id="4" w:name="_Toc414373832"/>
      <w:bookmarkStart w:id="5" w:name="_Toc126320520"/>
      <w:r w:rsidRPr="00C6360C">
        <w:t>About this document</w:t>
      </w:r>
      <w:bookmarkEnd w:id="4"/>
      <w:bookmarkEnd w:id="5"/>
    </w:p>
    <w:p w14:paraId="29EE149D" w14:textId="7ACC090F" w:rsidR="00E63AC3" w:rsidRPr="00C6360C" w:rsidRDefault="006D36C8" w:rsidP="00C6360C">
      <w:pPr>
        <w:pStyle w:val="APVMAText"/>
      </w:pPr>
      <w:r w:rsidRPr="00C6360C">
        <w:t xml:space="preserve">This </w:t>
      </w:r>
      <w:r w:rsidR="00F74FA6" w:rsidRPr="00C6360C">
        <w:t>T</w:t>
      </w:r>
      <w:r w:rsidRPr="00C6360C">
        <w:t xml:space="preserve">rade </w:t>
      </w:r>
      <w:r w:rsidR="00F74FA6" w:rsidRPr="00C6360C">
        <w:t>Advice N</w:t>
      </w:r>
      <w:r w:rsidRPr="00C6360C">
        <w:t>otice indicates that the APVMA is considering an application to vary the use of an existing registered agric</w:t>
      </w:r>
      <w:r w:rsidR="00E63AC3" w:rsidRPr="00C6360C">
        <w:t>ultural or veterinary chemical.</w:t>
      </w:r>
    </w:p>
    <w:p w14:paraId="2D999D62" w14:textId="77777777" w:rsidR="006D36C8" w:rsidRPr="00C6360C" w:rsidRDefault="006D36C8" w:rsidP="00C6360C">
      <w:pPr>
        <w:pStyle w:val="APVMAText"/>
      </w:pPr>
      <w:r w:rsidRPr="00C6360C">
        <w:t>It provides a summary of the APVMA’s residue and trade assessment.</w:t>
      </w:r>
    </w:p>
    <w:p w14:paraId="793783FA" w14:textId="77777777" w:rsidR="006D36C8" w:rsidRPr="00C6360C" w:rsidRDefault="006D36C8" w:rsidP="00C6360C">
      <w:pPr>
        <w:pStyle w:val="APVMAText"/>
      </w:pPr>
      <w:r w:rsidRPr="00C6360C">
        <w:t>Comment is sought from industry groups and stakeholders on the information contained within this document.</w:t>
      </w:r>
    </w:p>
    <w:p w14:paraId="61CF03AE" w14:textId="77777777" w:rsidR="006D36C8" w:rsidRPr="00C6360C" w:rsidRDefault="006D36C8" w:rsidP="00C6360C">
      <w:pPr>
        <w:pStyle w:val="APVMAPreliminariesH2"/>
      </w:pPr>
      <w:bookmarkStart w:id="6" w:name="_Toc126320521"/>
      <w:r w:rsidRPr="00C6360C">
        <w:t>Making a submission</w:t>
      </w:r>
      <w:bookmarkEnd w:id="6"/>
    </w:p>
    <w:p w14:paraId="5DCD1FC6" w14:textId="18E68428" w:rsidR="006D36C8" w:rsidRPr="00C6360C" w:rsidRDefault="006D36C8" w:rsidP="00C6360C">
      <w:pPr>
        <w:pStyle w:val="APVMAText"/>
      </w:pPr>
      <w:r w:rsidRPr="00C6360C">
        <w:t xml:space="preserve">The APVMA invites any person to submit a relevant written submission as to whether the application </w:t>
      </w:r>
      <w:r w:rsidR="00E84E20" w:rsidRPr="00C6360C">
        <w:t xml:space="preserve">for a permit for use of metrafenone on wheat </w:t>
      </w:r>
      <w:r w:rsidRPr="00C6360C">
        <w:t>should be granted.</w:t>
      </w:r>
      <w:r w:rsidR="00BA67F0" w:rsidRPr="00C6360C">
        <w:t xml:space="preserve"> </w:t>
      </w:r>
      <w:r w:rsidRPr="00C6360C">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5D2D2FBC" w:rsidR="006D36C8" w:rsidRPr="00C6360C" w:rsidRDefault="006D36C8" w:rsidP="00C6360C">
      <w:pPr>
        <w:pStyle w:val="APVMAText"/>
      </w:pPr>
      <w:r w:rsidRPr="00C6360C">
        <w:t xml:space="preserve">Submissions must be received by the APVMA by close of business on </w:t>
      </w:r>
      <w:r w:rsidR="0004297E" w:rsidRPr="00C6360C">
        <w:t>21</w:t>
      </w:r>
      <w:r w:rsidR="002D7110" w:rsidRPr="00C6360C">
        <w:t xml:space="preserve"> February 2023</w:t>
      </w:r>
      <w:r w:rsidRPr="00C6360C">
        <w:t xml:space="preserve"> and be directed to the contact listed below. All submissions to the APVMA will be acknowledged in writing via email or by post.</w:t>
      </w:r>
    </w:p>
    <w:p w14:paraId="00425FA1" w14:textId="77777777" w:rsidR="006D36C8" w:rsidRPr="00C6360C" w:rsidRDefault="006D36C8" w:rsidP="00C6360C">
      <w:pPr>
        <w:pStyle w:val="APVMAText"/>
      </w:pPr>
      <w:r w:rsidRPr="00C6360C">
        <w:t>Relevant comments will be taken into account by the APVMA in deciding whether to grant the application and in determining appropriate conditions of registration and product labelling.</w:t>
      </w:r>
    </w:p>
    <w:p w14:paraId="0D5B62E2" w14:textId="77777777" w:rsidR="006D36C8" w:rsidRPr="00C6360C" w:rsidRDefault="006D36C8" w:rsidP="00C6360C">
      <w:pPr>
        <w:pStyle w:val="APVMAText"/>
        <w:keepNext/>
        <w:keepLines/>
      </w:pPr>
      <w:r w:rsidRPr="00C6360C">
        <w:lastRenderedPageBreak/>
        <w:t>When making a submission please include:</w:t>
      </w:r>
    </w:p>
    <w:p w14:paraId="05ED1ED8" w14:textId="77777777" w:rsidR="006D36C8" w:rsidRPr="00C6360C" w:rsidRDefault="00BA67F0" w:rsidP="00C6360C">
      <w:pPr>
        <w:pStyle w:val="Bullet1"/>
        <w:keepNext/>
        <w:keepLines/>
      </w:pPr>
      <w:r w:rsidRPr="00C6360C">
        <w:t>c</w:t>
      </w:r>
      <w:r w:rsidR="006D36C8" w:rsidRPr="00C6360C">
        <w:t>ontact name</w:t>
      </w:r>
    </w:p>
    <w:p w14:paraId="74C502CA" w14:textId="006BD998" w:rsidR="006D36C8" w:rsidRPr="00C6360C" w:rsidRDefault="00BA67F0" w:rsidP="00C6360C">
      <w:pPr>
        <w:pStyle w:val="Bullet1"/>
        <w:keepNext/>
        <w:keepLines/>
      </w:pPr>
      <w:r w:rsidRPr="00C6360C">
        <w:t>c</w:t>
      </w:r>
      <w:r w:rsidR="006D36C8" w:rsidRPr="00C6360C">
        <w:t xml:space="preserve">ompany or </w:t>
      </w:r>
      <w:r w:rsidR="00641B1B" w:rsidRPr="00C6360C">
        <w:t xml:space="preserve">organisation </w:t>
      </w:r>
      <w:r w:rsidR="006D36C8" w:rsidRPr="00C6360C">
        <w:t>name (if relevant)</w:t>
      </w:r>
    </w:p>
    <w:p w14:paraId="4508E5DE" w14:textId="77777777" w:rsidR="006D36C8" w:rsidRPr="00C6360C" w:rsidRDefault="008836D1" w:rsidP="00C6360C">
      <w:pPr>
        <w:pStyle w:val="Bullet1"/>
        <w:keepNext/>
        <w:keepLines/>
      </w:pPr>
      <w:r w:rsidRPr="00C6360C">
        <w:t xml:space="preserve">email or </w:t>
      </w:r>
      <w:r w:rsidR="00BA67F0" w:rsidRPr="00C6360C">
        <w:t>p</w:t>
      </w:r>
      <w:r w:rsidR="006D36C8" w:rsidRPr="00C6360C">
        <w:t xml:space="preserve">ostal </w:t>
      </w:r>
      <w:r w:rsidR="00BA67F0" w:rsidRPr="00C6360C">
        <w:t>a</w:t>
      </w:r>
      <w:r w:rsidR="006D36C8" w:rsidRPr="00C6360C">
        <w:t>ddress</w:t>
      </w:r>
      <w:r w:rsidRPr="00C6360C">
        <w:t xml:space="preserve"> (if available)</w:t>
      </w:r>
    </w:p>
    <w:p w14:paraId="719B1483" w14:textId="34100990" w:rsidR="006D36C8" w:rsidRPr="00C6360C" w:rsidRDefault="008836D1" w:rsidP="00C6360C">
      <w:pPr>
        <w:pStyle w:val="Bullet1"/>
      </w:pPr>
      <w:r w:rsidRPr="00C6360C">
        <w:t xml:space="preserve">the date you made the </w:t>
      </w:r>
      <w:r w:rsidR="0024289A" w:rsidRPr="00C6360C">
        <w:t>submission</w:t>
      </w:r>
      <w:r w:rsidR="006D36C8" w:rsidRPr="00C6360C">
        <w:t>.</w:t>
      </w:r>
    </w:p>
    <w:p w14:paraId="5B2156FE" w14:textId="0C37EB72" w:rsidR="00F34959" w:rsidRPr="00C6360C" w:rsidRDefault="00F34959" w:rsidP="00C6360C">
      <w:pPr>
        <w:pStyle w:val="APVMAText"/>
      </w:pPr>
      <w:r w:rsidRPr="00C6360C">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Pr="00C6360C">
          <w:rPr>
            <w:rStyle w:val="Hyperlink"/>
            <w:color w:val="auto"/>
            <w:u w:val="none"/>
          </w:rPr>
          <w:t>public consultation coversheet</w:t>
        </w:r>
      </w:hyperlink>
      <w:r w:rsidRPr="00C6360C">
        <w:t>)</w:t>
      </w:r>
      <w:r w:rsidR="007B1953" w:rsidRPr="00C6360C">
        <w:t>.</w:t>
      </w:r>
    </w:p>
    <w:p w14:paraId="272FA43D" w14:textId="7BB19674" w:rsidR="008D01CF" w:rsidRPr="00C6360C" w:rsidRDefault="008D01CF" w:rsidP="00C6360C">
      <w:pPr>
        <w:pStyle w:val="APVMAText"/>
      </w:pPr>
      <w:r w:rsidRPr="00C6360C">
        <w:t xml:space="preserve">Please lodge your submission using the </w:t>
      </w:r>
      <w:hyperlink r:id="rId20" w:history="1">
        <w:r w:rsidRPr="00C6360C">
          <w:rPr>
            <w:rStyle w:val="Hyperlink"/>
            <w:color w:val="auto"/>
            <w:u w:val="none"/>
          </w:rPr>
          <w:t>public consultation coversheet</w:t>
        </w:r>
      </w:hyperlink>
      <w:r w:rsidRPr="00C6360C">
        <w:t>, which provides options for how your submission will be published.</w:t>
      </w:r>
    </w:p>
    <w:p w14:paraId="30632674" w14:textId="54A84E6D" w:rsidR="0066107B" w:rsidRPr="00C6360C" w:rsidRDefault="0066107B" w:rsidP="00C6360C">
      <w:pPr>
        <w:pStyle w:val="APVMAText"/>
      </w:pPr>
      <w:r w:rsidRPr="00C6360C">
        <w:t xml:space="preserve">Note that all APVMA documents are subject to the access provisions of the </w:t>
      </w:r>
      <w:r w:rsidRPr="00C6360C">
        <w:rPr>
          <w:i/>
          <w:iCs/>
        </w:rPr>
        <w:t>Freedom of Information Act 1982</w:t>
      </w:r>
      <w:r w:rsidRPr="00C6360C">
        <w:t xml:space="preserve"> and may be required to be released under that Act should a request for access be made.</w:t>
      </w:r>
    </w:p>
    <w:p w14:paraId="69BC7EE4" w14:textId="5B019BD8" w:rsidR="008D01CF" w:rsidRPr="00C6360C" w:rsidRDefault="008D01CF" w:rsidP="00C6360C">
      <w:pPr>
        <w:pStyle w:val="APVMAText"/>
      </w:pPr>
      <w:r w:rsidRPr="00C6360C">
        <w:t>Unless you request for your submission to remain confident</w:t>
      </w:r>
      <w:r w:rsidR="00382B7C" w:rsidRPr="00C6360C">
        <w:t>ial</w:t>
      </w:r>
      <w:r w:rsidRPr="00C6360C">
        <w:t>, the APVMA may release your submission to the applicant for comment.</w:t>
      </w:r>
    </w:p>
    <w:p w14:paraId="7F5CDCA5" w14:textId="77777777" w:rsidR="008D01CF" w:rsidRPr="00C6360C" w:rsidRDefault="008D01CF" w:rsidP="00C6360C">
      <w:pPr>
        <w:pStyle w:val="APVMAText"/>
      </w:pPr>
      <w:r w:rsidRPr="00C6360C">
        <w:t>Written submissions should be addressed to:</w:t>
      </w:r>
    </w:p>
    <w:p w14:paraId="19B75CB1" w14:textId="77777777" w:rsidR="00E84E20" w:rsidRPr="00C6360C" w:rsidRDefault="00E84E20" w:rsidP="00C6360C">
      <w:pPr>
        <w:pStyle w:val="APVMAAddress"/>
        <w:ind w:left="0"/>
      </w:pPr>
      <w:r w:rsidRPr="00C6360C">
        <w:t xml:space="preserve">Executive Director, Risk Assessment Capability </w:t>
      </w:r>
    </w:p>
    <w:p w14:paraId="0D1EE87B" w14:textId="77777777" w:rsidR="006D36C8" w:rsidRPr="00C6360C" w:rsidRDefault="006D36C8" w:rsidP="00C6360C">
      <w:pPr>
        <w:pStyle w:val="APVMAAddress"/>
        <w:ind w:left="0"/>
      </w:pPr>
      <w:r w:rsidRPr="00C6360C">
        <w:t>Australian Pesticides and Veterinary Medicines Authority</w:t>
      </w:r>
    </w:p>
    <w:p w14:paraId="75C98189" w14:textId="77777777" w:rsidR="006D36C8" w:rsidRPr="00C6360C" w:rsidRDefault="00BD0287" w:rsidP="00C6360C">
      <w:pPr>
        <w:pStyle w:val="APVMAAddress"/>
        <w:ind w:left="0"/>
      </w:pPr>
      <w:r w:rsidRPr="00C6360C">
        <w:t>GPO Box 3262</w:t>
      </w:r>
    </w:p>
    <w:p w14:paraId="4E7B5037" w14:textId="77777777" w:rsidR="006D36C8" w:rsidRPr="00C6360C" w:rsidRDefault="00BD0287" w:rsidP="00C6360C">
      <w:pPr>
        <w:pStyle w:val="APVMAAddress"/>
        <w:ind w:left="0"/>
      </w:pPr>
      <w:r w:rsidRPr="00C6360C">
        <w:t>Sydney NSW 2001</w:t>
      </w:r>
    </w:p>
    <w:p w14:paraId="6BC13A1A" w14:textId="77777777" w:rsidR="006D36C8" w:rsidRPr="00C6360C" w:rsidRDefault="006D36C8" w:rsidP="00C6360C">
      <w:pPr>
        <w:pStyle w:val="APVMAAddress"/>
        <w:tabs>
          <w:tab w:val="clear" w:pos="1361"/>
          <w:tab w:val="left" w:pos="851"/>
        </w:tabs>
        <w:ind w:left="0"/>
      </w:pPr>
      <w:r w:rsidRPr="00C6360C">
        <w:t>Phone:</w:t>
      </w:r>
      <w:r w:rsidRPr="00C6360C">
        <w:tab/>
        <w:t xml:space="preserve">+61 2 </w:t>
      </w:r>
      <w:r w:rsidR="00BD0287" w:rsidRPr="00C6360C">
        <w:t>6770 2300</w:t>
      </w:r>
    </w:p>
    <w:p w14:paraId="6EDED567" w14:textId="38188258" w:rsidR="006D36C8" w:rsidRPr="00C6360C" w:rsidRDefault="006D36C8" w:rsidP="00C6360C">
      <w:pPr>
        <w:pStyle w:val="APVMAAddress"/>
        <w:tabs>
          <w:tab w:val="clear" w:pos="1361"/>
          <w:tab w:val="left" w:pos="851"/>
        </w:tabs>
        <w:ind w:left="0"/>
      </w:pPr>
      <w:r w:rsidRPr="00C6360C">
        <w:t>Email:</w:t>
      </w:r>
      <w:r w:rsidRPr="00C6360C">
        <w:tab/>
      </w:r>
      <w:hyperlink r:id="rId21" w:history="1">
        <w:r w:rsidR="00E84E20" w:rsidRPr="00C6360C">
          <w:rPr>
            <w:rStyle w:val="Hyperlink"/>
          </w:rPr>
          <w:t>enquiries@apvma.gov.au</w:t>
        </w:r>
      </w:hyperlink>
      <w:r w:rsidRPr="00C6360C">
        <w:t>.</w:t>
      </w:r>
    </w:p>
    <w:p w14:paraId="75ADC83A" w14:textId="77777777" w:rsidR="006D36C8" w:rsidRPr="00C6360C" w:rsidRDefault="006D36C8" w:rsidP="00C6360C">
      <w:pPr>
        <w:pStyle w:val="APVMAPreliminariesH2"/>
      </w:pPr>
      <w:bookmarkStart w:id="7" w:name="_Toc2243844"/>
      <w:bookmarkStart w:id="8" w:name="_Toc126320522"/>
      <w:r w:rsidRPr="00C6360C">
        <w:t>Further information</w:t>
      </w:r>
      <w:bookmarkEnd w:id="7"/>
      <w:bookmarkEnd w:id="8"/>
    </w:p>
    <w:p w14:paraId="26E743FF" w14:textId="77777777" w:rsidR="006D36C8" w:rsidRPr="00C6360C" w:rsidRDefault="006D36C8" w:rsidP="00C6360C">
      <w:pPr>
        <w:pStyle w:val="APVMAText"/>
      </w:pPr>
      <w:r w:rsidRPr="00C6360C">
        <w:t>Further information can be obtained via the contact details provided above.</w:t>
      </w:r>
    </w:p>
    <w:p w14:paraId="112848E8" w14:textId="7DA8B83E" w:rsidR="00D22CCB" w:rsidRDefault="006D36C8" w:rsidP="00C6360C">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rsidRPr="00C6360C">
        <w:t xml:space="preserve">Further information on </w:t>
      </w:r>
      <w:r w:rsidR="007B1953" w:rsidRPr="00C6360C">
        <w:t>Trade Advice Notices</w:t>
      </w:r>
      <w:r w:rsidRPr="00C6360C">
        <w:t xml:space="preserve"> can be found on the APVMA website: </w:t>
      </w:r>
      <w:hyperlink r:id="rId24" w:history="1">
        <w:r w:rsidRPr="00C6360C">
          <w:rPr>
            <w:rStyle w:val="Hyperlink"/>
          </w:rPr>
          <w:t>apvma.gov.au</w:t>
        </w:r>
      </w:hyperlink>
      <w:r w:rsidRPr="00C6360C">
        <w:t>.</w:t>
      </w:r>
    </w:p>
    <w:p w14:paraId="5181B9C2" w14:textId="70DA256D" w:rsidR="002E20AC" w:rsidRPr="00C6360C" w:rsidRDefault="007B1953" w:rsidP="00C6360C">
      <w:pPr>
        <w:pStyle w:val="Heading1"/>
      </w:pPr>
      <w:bookmarkStart w:id="9" w:name="_Toc126320523"/>
      <w:r w:rsidRPr="00C6360C">
        <w:lastRenderedPageBreak/>
        <w:t>I</w:t>
      </w:r>
      <w:r w:rsidR="006D36C8" w:rsidRPr="00C6360C">
        <w:t>ntroduction</w:t>
      </w:r>
      <w:bookmarkEnd w:id="9"/>
    </w:p>
    <w:p w14:paraId="37DB6028" w14:textId="77777777" w:rsidR="00295FC5" w:rsidRDefault="00E84E20" w:rsidP="00C6360C">
      <w:pPr>
        <w:pStyle w:val="APVMAText"/>
        <w:sectPr w:rsidR="00295FC5">
          <w:headerReference w:type="even" r:id="rId25"/>
          <w:headerReference w:type="default" r:id="rId26"/>
          <w:pgSz w:w="11906" w:h="16838" w:code="9"/>
          <w:pgMar w:top="2835" w:right="1134" w:bottom="1134" w:left="1134" w:header="1701" w:footer="680" w:gutter="0"/>
          <w:cols w:space="708"/>
          <w:docGrid w:linePitch="360"/>
        </w:sectPr>
      </w:pPr>
      <w:r w:rsidRPr="00C6360C">
        <w:t>The APVMA has before it an emergency permit application from Grain Producers Australia Limited for the use of metrafenone on wheat, for the control of powdery mildew.</w:t>
      </w:r>
    </w:p>
    <w:p w14:paraId="6FDBA0BF" w14:textId="1F2CDA12" w:rsidR="006D36C8" w:rsidRPr="00C6360C" w:rsidRDefault="006D36C8" w:rsidP="00C6360C">
      <w:pPr>
        <w:pStyle w:val="Heading1"/>
      </w:pPr>
      <w:bookmarkStart w:id="10" w:name="_Toc2243846"/>
      <w:bookmarkStart w:id="11" w:name="_Toc126320524"/>
      <w:r w:rsidRPr="00C6360C">
        <w:lastRenderedPageBreak/>
        <w:t>Trade</w:t>
      </w:r>
      <w:r w:rsidR="007B1953" w:rsidRPr="00C6360C">
        <w:t xml:space="preserve"> c</w:t>
      </w:r>
      <w:r w:rsidRPr="00C6360C">
        <w:t>onsiderations</w:t>
      </w:r>
      <w:bookmarkEnd w:id="10"/>
      <w:bookmarkEnd w:id="11"/>
    </w:p>
    <w:p w14:paraId="57B2B732" w14:textId="77777777" w:rsidR="006D36C8" w:rsidRPr="00C6360C" w:rsidRDefault="006D36C8" w:rsidP="00C6360C">
      <w:pPr>
        <w:pStyle w:val="Heading2"/>
      </w:pPr>
      <w:bookmarkStart w:id="12" w:name="_Toc2243847"/>
      <w:bookmarkStart w:id="13" w:name="_Toc126320525"/>
      <w:r w:rsidRPr="00C6360C">
        <w:t>Commodities exported</w:t>
      </w:r>
      <w:bookmarkEnd w:id="12"/>
      <w:bookmarkEnd w:id="13"/>
    </w:p>
    <w:p w14:paraId="35083542" w14:textId="7604A230" w:rsidR="00236983" w:rsidRPr="00C6360C" w:rsidRDefault="00236983" w:rsidP="00C6360C">
      <w:pPr>
        <w:pStyle w:val="APVMAText"/>
      </w:pPr>
      <w:r w:rsidRPr="00C6360C">
        <w:t>Cereal grains (including wheat) are considered to be major export commodities in the APVMA’s Part 5B guidelines</w:t>
      </w:r>
      <w:r w:rsidRPr="00C6360C">
        <w:rPr>
          <w:vertAlign w:val="superscript"/>
        </w:rPr>
        <w:footnoteReference w:id="2"/>
      </w:r>
      <w:r w:rsidRPr="00C6360C">
        <w:t>, as are commodities of animal origin, such as meat, offal and dairy products, which may be derived from livestock fed feeds produced from treated wheat. Residues in these commodities resulting from the use of metrafenone may have the potential to unduly prejudice trade.</w:t>
      </w:r>
    </w:p>
    <w:p w14:paraId="666566AD" w14:textId="23FFFE90" w:rsidR="00236983" w:rsidRPr="00C6360C" w:rsidRDefault="00236983" w:rsidP="00C6360C">
      <w:pPr>
        <w:pStyle w:val="APVMAText"/>
      </w:pPr>
      <w:r w:rsidRPr="00C6360C">
        <w:t>No changes are required to the established metrafenone mammalian and poultry animal commodity MRLs, so the risk to trade in animal commodities is considered to be low</w:t>
      </w:r>
      <w:r w:rsidR="00402C4A" w:rsidRPr="00C6360C">
        <w:t xml:space="preserve"> and does not require further consideration</w:t>
      </w:r>
      <w:r w:rsidRPr="00C6360C">
        <w:t>. The risk to trade with respect to the proposed use on wheat is considered below.</w:t>
      </w:r>
    </w:p>
    <w:p w14:paraId="4E7D018C" w14:textId="77777777" w:rsidR="006D36C8" w:rsidRPr="00C6360C" w:rsidRDefault="006D36C8" w:rsidP="00C6360C">
      <w:pPr>
        <w:pStyle w:val="Heading2"/>
      </w:pPr>
      <w:bookmarkStart w:id="15" w:name="_Toc231889745"/>
      <w:bookmarkStart w:id="16" w:name="_Toc2243848"/>
      <w:bookmarkStart w:id="17" w:name="_Toc126320526"/>
      <w:r w:rsidRPr="00C6360C">
        <w:t>Destination and value of exports</w:t>
      </w:r>
      <w:bookmarkEnd w:id="15"/>
      <w:bookmarkEnd w:id="16"/>
      <w:bookmarkEnd w:id="17"/>
    </w:p>
    <w:p w14:paraId="57A60EF1" w14:textId="5C608C06" w:rsidR="00236983" w:rsidRPr="00C6360C" w:rsidRDefault="00236983" w:rsidP="00C6360C">
      <w:pPr>
        <w:pStyle w:val="APVMAText"/>
      </w:pPr>
      <w:r w:rsidRPr="00C6360C">
        <w:t>In 2020</w:t>
      </w:r>
      <w:r w:rsidR="00C6360C">
        <w:t>–</w:t>
      </w:r>
      <w:r w:rsidRPr="00C6360C">
        <w:t>21 and 2021</w:t>
      </w:r>
      <w:r w:rsidR="00C6360C">
        <w:t>–</w:t>
      </w:r>
      <w:r w:rsidRPr="00C6360C">
        <w:t>22 Australia exported 23.7 and 27.51</w:t>
      </w:r>
      <w:r w:rsidR="00C6360C">
        <w:t> </w:t>
      </w:r>
      <w:r w:rsidRPr="00C6360C">
        <w:t>Mt of wheat grain valued at $6</w:t>
      </w:r>
      <w:r w:rsidR="00C6360C">
        <w:t>,</w:t>
      </w:r>
      <w:r w:rsidRPr="00C6360C">
        <w:t>805</w:t>
      </w:r>
      <w:r w:rsidR="00C6360C">
        <w:t> </w:t>
      </w:r>
      <w:r w:rsidRPr="00C6360C">
        <w:t>million and $11</w:t>
      </w:r>
      <w:r w:rsidR="00C6360C">
        <w:t>,</w:t>
      </w:r>
      <w:r w:rsidRPr="00C6360C">
        <w:t>336</w:t>
      </w:r>
      <w:r w:rsidR="00C6360C">
        <w:t> </w:t>
      </w:r>
      <w:r w:rsidRPr="00C6360C">
        <w:t>million respectively</w:t>
      </w:r>
      <w:r w:rsidRPr="00C6360C">
        <w:rPr>
          <w:vertAlign w:val="superscript"/>
        </w:rPr>
        <w:footnoteReference w:id="3"/>
      </w:r>
      <w:r w:rsidRPr="00C6360C">
        <w:t>.</w:t>
      </w:r>
    </w:p>
    <w:p w14:paraId="360E1E5C" w14:textId="77777777" w:rsidR="00C6360C" w:rsidRDefault="00236983" w:rsidP="00C6360C">
      <w:pPr>
        <w:pStyle w:val="APVMAText"/>
      </w:pPr>
      <w:r w:rsidRPr="00C6360C">
        <w:t>The major export markets in 2020</w:t>
      </w:r>
      <w:r w:rsidR="00C6360C">
        <w:t>–</w:t>
      </w:r>
      <w:r w:rsidRPr="00C6360C">
        <w:t>21 and 2021</w:t>
      </w:r>
      <w:r w:rsidR="00C6360C">
        <w:t>–</w:t>
      </w:r>
      <w:r w:rsidRPr="00C6360C">
        <w:t>22 were China (1711 and 5382</w:t>
      </w:r>
      <w:r w:rsidR="00C6360C">
        <w:t> </w:t>
      </w:r>
      <w:r w:rsidRPr="00C6360C">
        <w:t>kt respectively), Indonesia (3723 and 3561</w:t>
      </w:r>
      <w:r w:rsidR="00C6360C">
        <w:t> </w:t>
      </w:r>
      <w:r w:rsidRPr="00C6360C">
        <w:t>kt), Vietnam (2367 and 2684</w:t>
      </w:r>
      <w:r w:rsidR="00C6360C">
        <w:t> </w:t>
      </w:r>
      <w:r w:rsidRPr="00C6360C">
        <w:t>kt), the Philippines (1437 and 2532</w:t>
      </w:r>
      <w:r w:rsidR="00C6360C">
        <w:t> </w:t>
      </w:r>
      <w:r w:rsidRPr="00C6360C">
        <w:t>kt), the Republic of Korea (972 and 1196</w:t>
      </w:r>
      <w:r w:rsidR="00C6360C">
        <w:t> </w:t>
      </w:r>
      <w:r w:rsidRPr="00C6360C">
        <w:t>kt), Japan (945 and 1160</w:t>
      </w:r>
      <w:r w:rsidR="00C6360C">
        <w:t> </w:t>
      </w:r>
      <w:r w:rsidRPr="00C6360C">
        <w:t>kt), Malaysia (869 and 1110</w:t>
      </w:r>
      <w:r w:rsidR="00C6360C">
        <w:t> </w:t>
      </w:r>
      <w:r w:rsidRPr="00C6360C">
        <w:t>kt), Yemen (705 and 1009</w:t>
      </w:r>
      <w:r w:rsidR="00C6360C">
        <w:t> </w:t>
      </w:r>
      <w:r w:rsidRPr="00C6360C">
        <w:t>kt), Thailand (852 and 756</w:t>
      </w:r>
      <w:r w:rsidR="00C6360C">
        <w:t> </w:t>
      </w:r>
      <w:r w:rsidRPr="00C6360C">
        <w:t>kt) and New Zealand (452 and 561</w:t>
      </w:r>
      <w:r w:rsidR="00C6360C">
        <w:t> </w:t>
      </w:r>
      <w:r w:rsidRPr="00C6360C">
        <w:t>kt).</w:t>
      </w:r>
      <w:bookmarkStart w:id="19" w:name="_Toc231889746"/>
      <w:bookmarkStart w:id="20" w:name="_Toc2243849"/>
      <w:r w:rsidR="00C6360C">
        <w:br w:type="page"/>
      </w:r>
    </w:p>
    <w:p w14:paraId="3EC6D648" w14:textId="6332FC83" w:rsidR="006D36C8" w:rsidRPr="00C6360C" w:rsidRDefault="007B1953" w:rsidP="00C6360C">
      <w:pPr>
        <w:pStyle w:val="Heading2"/>
      </w:pPr>
      <w:bookmarkStart w:id="21" w:name="_Toc126320527"/>
      <w:r w:rsidRPr="00C6360C">
        <w:lastRenderedPageBreak/>
        <w:t xml:space="preserve">Proposed Australian use </w:t>
      </w:r>
      <w:r w:rsidR="006D36C8" w:rsidRPr="00C6360C">
        <w:t>pattern</w:t>
      </w:r>
      <w:bookmarkEnd w:id="19"/>
      <w:bookmarkEnd w:id="20"/>
      <w:bookmarkEnd w:id="21"/>
    </w:p>
    <w:p w14:paraId="1D10F662" w14:textId="724B7DD4" w:rsidR="00236983" w:rsidRDefault="00236983" w:rsidP="00C6360C">
      <w:pPr>
        <w:pStyle w:val="Caption"/>
        <w:rPr>
          <w:i/>
          <w:iCs/>
        </w:rPr>
      </w:pPr>
      <w:bookmarkStart w:id="22" w:name="_Toc77579833"/>
      <w:bookmarkStart w:id="23" w:name="_Toc61439439"/>
      <w:bookmarkStart w:id="24" w:name="_Toc100561123"/>
      <w:bookmarkStart w:id="25" w:name="_Toc113948415"/>
      <w:bookmarkStart w:id="26" w:name="_Toc126320538"/>
      <w:bookmarkStart w:id="27" w:name="_Toc252955168"/>
      <w:r w:rsidRPr="00C6360C">
        <w:t xml:space="preserve">Table </w:t>
      </w:r>
      <w:bookmarkStart w:id="28" w:name="_Hlk126313831"/>
      <w:r w:rsidRPr="00C6360C">
        <w:fldChar w:fldCharType="begin"/>
      </w:r>
      <w:r w:rsidRPr="00C6360C">
        <w:instrText xml:space="preserve"> SEQ Table \* ARABIC </w:instrText>
      </w:r>
      <w:r w:rsidRPr="00C6360C">
        <w:fldChar w:fldCharType="separate"/>
      </w:r>
      <w:r w:rsidRPr="00C6360C">
        <w:t>1</w:t>
      </w:r>
      <w:r w:rsidRPr="00C6360C">
        <w:fldChar w:fldCharType="end"/>
      </w:r>
      <w:bookmarkEnd w:id="28"/>
      <w:r w:rsidRPr="00C6360C">
        <w:t>:</w:t>
      </w:r>
      <w:r w:rsidRPr="00C6360C">
        <w:tab/>
        <w:t>Proposed use pattern</w:t>
      </w:r>
      <w:bookmarkEnd w:id="22"/>
      <w:bookmarkEnd w:id="23"/>
      <w:r w:rsidRPr="00C6360C">
        <w:t xml:space="preserve"> for wheat being considered by the APVMA</w:t>
      </w:r>
      <w:bookmarkEnd w:id="24"/>
      <w:bookmarkEnd w:id="25"/>
      <w:bookmarkEnd w:id="26"/>
    </w:p>
    <w:p w14:paraId="12117608" w14:textId="0F7EDF0B" w:rsidR="00236983" w:rsidRPr="00C6360C" w:rsidRDefault="00236983" w:rsidP="00C6360C">
      <w:pPr>
        <w:pStyle w:val="APVMAText"/>
      </w:pPr>
      <w:r w:rsidRPr="00C6360C">
        <w:t>Vivando Fungicide (P60987) containing 500</w:t>
      </w:r>
      <w:r w:rsidR="00C6360C">
        <w:t> </w:t>
      </w:r>
      <w:r w:rsidRPr="00C6360C">
        <w:t>g/L metrafenone as the only active constituent</w:t>
      </w:r>
    </w:p>
    <w:tbl>
      <w:tblPr>
        <w:tblW w:w="5000" w:type="pct"/>
        <w:tblBorders>
          <w:bottom w:val="single" w:sz="4" w:space="0" w:color="auto"/>
          <w:insideH w:val="single" w:sz="4" w:space="0" w:color="auto"/>
        </w:tblBorders>
        <w:tblLook w:val="0020" w:firstRow="1" w:lastRow="0" w:firstColumn="0" w:lastColumn="0" w:noHBand="0" w:noVBand="0"/>
      </w:tblPr>
      <w:tblGrid>
        <w:gridCol w:w="597"/>
        <w:gridCol w:w="1692"/>
        <w:gridCol w:w="1398"/>
        <w:gridCol w:w="5951"/>
      </w:tblGrid>
      <w:tr w:rsidR="00236983" w14:paraId="092D835D" w14:textId="77777777" w:rsidTr="00C6360C">
        <w:trPr>
          <w:tblHeader/>
        </w:trPr>
        <w:tc>
          <w:tcPr>
            <w:tcW w:w="310" w:type="pct"/>
            <w:tcBorders>
              <w:top w:val="single" w:sz="4" w:space="0" w:color="auto"/>
              <w:bottom w:val="single" w:sz="4" w:space="0" w:color="auto"/>
            </w:tcBorders>
            <w:shd w:val="clear" w:color="auto" w:fill="00747A" w:themeFill="background2"/>
            <w:vAlign w:val="center"/>
          </w:tcPr>
          <w:p w14:paraId="42E9D52B" w14:textId="77777777" w:rsidR="00236983" w:rsidRPr="00C6360C" w:rsidRDefault="00236983" w:rsidP="00C6360C">
            <w:pPr>
              <w:pStyle w:val="APVMATableHead"/>
            </w:pPr>
            <w:r w:rsidRPr="00C6360C">
              <w:t>Crop</w:t>
            </w:r>
          </w:p>
        </w:tc>
        <w:tc>
          <w:tcPr>
            <w:tcW w:w="878" w:type="pct"/>
            <w:tcBorders>
              <w:top w:val="single" w:sz="4" w:space="0" w:color="auto"/>
              <w:bottom w:val="single" w:sz="4" w:space="0" w:color="auto"/>
            </w:tcBorders>
            <w:shd w:val="clear" w:color="auto" w:fill="00747A" w:themeFill="background2"/>
            <w:vAlign w:val="center"/>
          </w:tcPr>
          <w:p w14:paraId="1FA3984F" w14:textId="77777777" w:rsidR="00236983" w:rsidRPr="00C6360C" w:rsidRDefault="00236983" w:rsidP="00C6360C">
            <w:pPr>
              <w:pStyle w:val="APVMATableHead"/>
            </w:pPr>
            <w:r w:rsidRPr="00C6360C">
              <w:t>Pest</w:t>
            </w:r>
          </w:p>
        </w:tc>
        <w:tc>
          <w:tcPr>
            <w:tcW w:w="725" w:type="pct"/>
            <w:tcBorders>
              <w:top w:val="single" w:sz="4" w:space="0" w:color="auto"/>
              <w:bottom w:val="single" w:sz="4" w:space="0" w:color="auto"/>
            </w:tcBorders>
            <w:shd w:val="clear" w:color="auto" w:fill="00747A" w:themeFill="background2"/>
            <w:vAlign w:val="center"/>
          </w:tcPr>
          <w:p w14:paraId="6216BF53" w14:textId="77777777" w:rsidR="00236983" w:rsidRPr="00C6360C" w:rsidRDefault="00236983" w:rsidP="00C6360C">
            <w:pPr>
              <w:pStyle w:val="APVMATableHead"/>
            </w:pPr>
            <w:r w:rsidRPr="00C6360C">
              <w:t>Rate</w:t>
            </w:r>
          </w:p>
        </w:tc>
        <w:tc>
          <w:tcPr>
            <w:tcW w:w="3088" w:type="pct"/>
            <w:tcBorders>
              <w:top w:val="single" w:sz="4" w:space="0" w:color="auto"/>
              <w:bottom w:val="single" w:sz="4" w:space="0" w:color="auto"/>
            </w:tcBorders>
            <w:shd w:val="clear" w:color="auto" w:fill="00747A" w:themeFill="background2"/>
            <w:vAlign w:val="center"/>
          </w:tcPr>
          <w:p w14:paraId="1DB6CEF0" w14:textId="77777777" w:rsidR="00236983" w:rsidRPr="00C6360C" w:rsidRDefault="00236983" w:rsidP="00C6360C">
            <w:pPr>
              <w:pStyle w:val="APVMATableHead"/>
            </w:pPr>
            <w:r w:rsidRPr="00C6360C">
              <w:t>Critical comments</w:t>
            </w:r>
          </w:p>
        </w:tc>
      </w:tr>
      <w:tr w:rsidR="00236983" w14:paraId="0AE549B9" w14:textId="77777777" w:rsidTr="00C636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20"/>
        </w:trPr>
        <w:tc>
          <w:tcPr>
            <w:tcW w:w="310" w:type="pct"/>
            <w:tcBorders>
              <w:top w:val="single" w:sz="4" w:space="0" w:color="auto"/>
              <w:left w:val="nil"/>
              <w:bottom w:val="single" w:sz="4" w:space="0" w:color="auto"/>
              <w:right w:val="nil"/>
            </w:tcBorders>
          </w:tcPr>
          <w:p w14:paraId="321546C6" w14:textId="2F122561" w:rsidR="00236983" w:rsidRPr="00C6360C" w:rsidRDefault="00236983" w:rsidP="00C6360C">
            <w:pPr>
              <w:pStyle w:val="APVMATableText"/>
            </w:pPr>
            <w:r w:rsidRPr="00C6360C">
              <w:t>Wheat</w:t>
            </w:r>
          </w:p>
        </w:tc>
        <w:tc>
          <w:tcPr>
            <w:tcW w:w="878" w:type="pct"/>
            <w:tcBorders>
              <w:top w:val="single" w:sz="4" w:space="0" w:color="auto"/>
              <w:left w:val="nil"/>
              <w:bottom w:val="single" w:sz="4" w:space="0" w:color="auto"/>
              <w:right w:val="nil"/>
            </w:tcBorders>
          </w:tcPr>
          <w:p w14:paraId="361D08C6" w14:textId="56D0941D" w:rsidR="00236983" w:rsidRPr="00C6360C" w:rsidRDefault="00236983" w:rsidP="00C6360C">
            <w:pPr>
              <w:pStyle w:val="APVMATableText"/>
            </w:pPr>
            <w:r w:rsidRPr="00C6360C">
              <w:t>Powdery mildew</w:t>
            </w:r>
            <w:r w:rsidR="00C6360C">
              <w:t xml:space="preserve"> </w:t>
            </w:r>
            <w:r w:rsidRPr="00C6360C">
              <w:t>(</w:t>
            </w:r>
            <w:r w:rsidRPr="00C6360C">
              <w:rPr>
                <w:i/>
                <w:iCs/>
              </w:rPr>
              <w:t>Blumeria graminis f.Sp tritici</w:t>
            </w:r>
            <w:r w:rsidRPr="00C6360C">
              <w:t>)</w:t>
            </w:r>
          </w:p>
        </w:tc>
        <w:tc>
          <w:tcPr>
            <w:tcW w:w="725" w:type="pct"/>
            <w:tcBorders>
              <w:top w:val="single" w:sz="4" w:space="0" w:color="auto"/>
              <w:left w:val="nil"/>
              <w:bottom w:val="single" w:sz="4" w:space="0" w:color="auto"/>
              <w:right w:val="nil"/>
            </w:tcBorders>
          </w:tcPr>
          <w:p w14:paraId="312EAB8E" w14:textId="6D7A0188" w:rsidR="00236983" w:rsidRPr="00C6360C" w:rsidRDefault="00236983" w:rsidP="00C6360C">
            <w:pPr>
              <w:pStyle w:val="APVMATableText"/>
            </w:pPr>
            <w:r w:rsidRPr="00C6360C">
              <w:t>300</w:t>
            </w:r>
            <w:r w:rsidR="00C6360C">
              <w:t> </w:t>
            </w:r>
            <w:r w:rsidRPr="00C6360C">
              <w:t>mL/ha</w:t>
            </w:r>
          </w:p>
          <w:p w14:paraId="455AD405" w14:textId="471592CA" w:rsidR="00236983" w:rsidRPr="00C6360C" w:rsidRDefault="00236983" w:rsidP="00C6360C">
            <w:pPr>
              <w:pStyle w:val="APVMATableText"/>
            </w:pPr>
            <w:r w:rsidRPr="00C6360C">
              <w:t>(=150</w:t>
            </w:r>
            <w:r w:rsidR="00C6360C">
              <w:t> </w:t>
            </w:r>
            <w:r w:rsidRPr="00C6360C">
              <w:t>g</w:t>
            </w:r>
            <w:r w:rsidR="00C6360C">
              <w:t> </w:t>
            </w:r>
            <w:r w:rsidRPr="00C6360C">
              <w:t>a.i./ha)</w:t>
            </w:r>
          </w:p>
        </w:tc>
        <w:tc>
          <w:tcPr>
            <w:tcW w:w="3088" w:type="pct"/>
            <w:tcBorders>
              <w:top w:val="single" w:sz="4" w:space="0" w:color="auto"/>
              <w:left w:val="nil"/>
              <w:bottom w:val="single" w:sz="4" w:space="0" w:color="auto"/>
              <w:right w:val="nil"/>
            </w:tcBorders>
          </w:tcPr>
          <w:p w14:paraId="0713E899" w14:textId="3E8508AB" w:rsidR="00236983" w:rsidRPr="00C6360C" w:rsidRDefault="00236983" w:rsidP="00C6360C">
            <w:pPr>
              <w:pStyle w:val="APVMATableText"/>
            </w:pPr>
            <w:r w:rsidRPr="00C6360C">
              <w:t xml:space="preserve">Apply a maximum of </w:t>
            </w:r>
            <w:r w:rsidR="00C6360C">
              <w:t>2</w:t>
            </w:r>
            <w:r w:rsidRPr="00C6360C">
              <w:t xml:space="preserve"> foliar applications per crop by boomspray.</w:t>
            </w:r>
          </w:p>
          <w:p w14:paraId="1B062828" w14:textId="118F29E3" w:rsidR="00236983" w:rsidRPr="00C6360C" w:rsidRDefault="00236983" w:rsidP="00C6360C">
            <w:pPr>
              <w:pStyle w:val="APVMATableText"/>
            </w:pPr>
            <w:r w:rsidRPr="00C6360C">
              <w:t>Monitor crops regularly from early tillering and apply at or before BBCH</w:t>
            </w:r>
            <w:r w:rsidR="00C6360C">
              <w:t> </w:t>
            </w:r>
            <w:r w:rsidRPr="00C6360C">
              <w:t>31.</w:t>
            </w:r>
          </w:p>
          <w:p w14:paraId="54DA56CA" w14:textId="4E3F63B0" w:rsidR="00236983" w:rsidRPr="00C6360C" w:rsidRDefault="00236983" w:rsidP="00C6360C">
            <w:pPr>
              <w:pStyle w:val="APVMATableText"/>
            </w:pPr>
            <w:r w:rsidRPr="00C6360C">
              <w:t>Monitor if conditions favour disease development and reapply from 21</w:t>
            </w:r>
            <w:r w:rsidR="00C6360C">
              <w:t> to </w:t>
            </w:r>
            <w:r w:rsidRPr="00C6360C">
              <w:t>28 days after the first application and no later than BBCH</w:t>
            </w:r>
            <w:r w:rsidR="00C6360C">
              <w:t> </w:t>
            </w:r>
            <w:r w:rsidRPr="00C6360C">
              <w:t>61.</w:t>
            </w:r>
          </w:p>
          <w:p w14:paraId="454BABA7" w14:textId="0B042FEB" w:rsidR="00236983" w:rsidRPr="00C6360C" w:rsidRDefault="00236983" w:rsidP="00C6360C">
            <w:pPr>
              <w:pStyle w:val="APVMATableText"/>
            </w:pPr>
            <w:r w:rsidRPr="00C6360C">
              <w:t>DO NOT apply after the beginning of flowering, growth stage BBCH</w:t>
            </w:r>
            <w:r w:rsidR="00C6360C">
              <w:t> </w:t>
            </w:r>
            <w:r w:rsidRPr="00C6360C">
              <w:t>61.</w:t>
            </w:r>
          </w:p>
          <w:p w14:paraId="7188D2DF" w14:textId="646B5E12" w:rsidR="00236983" w:rsidRPr="00C6360C" w:rsidRDefault="00236983" w:rsidP="00C6360C">
            <w:pPr>
              <w:pStyle w:val="APVMATableText"/>
            </w:pPr>
            <w:r w:rsidRPr="00C6360C">
              <w:t>Apply in a spray volume of 200</w:t>
            </w:r>
            <w:r w:rsidR="00C6360C">
              <w:t> </w:t>
            </w:r>
            <w:r w:rsidRPr="00C6360C">
              <w:t>L/ha.</w:t>
            </w:r>
          </w:p>
          <w:p w14:paraId="6AD51075" w14:textId="1082E383" w:rsidR="00236983" w:rsidRPr="00C6360C" w:rsidRDefault="00236983" w:rsidP="00C6360C">
            <w:pPr>
              <w:pStyle w:val="APVMATableText"/>
            </w:pPr>
            <w:r w:rsidRPr="00C6360C">
              <w:t>Apply metrafenone in accordance with the current CropLife Fungicide Resistance Management Strategy.</w:t>
            </w:r>
          </w:p>
        </w:tc>
      </w:tr>
    </w:tbl>
    <w:p w14:paraId="751A9E5E" w14:textId="6A1F5A35" w:rsidR="006D36C8" w:rsidRDefault="006D36C8" w:rsidP="00C6360C">
      <w:pPr>
        <w:pStyle w:val="Heading3"/>
      </w:pPr>
      <w:bookmarkStart w:id="29" w:name="_Toc126320528"/>
      <w:bookmarkEnd w:id="27"/>
      <w:r>
        <w:t>Withholding periods</w:t>
      </w:r>
      <w:bookmarkEnd w:id="29"/>
    </w:p>
    <w:p w14:paraId="2B7EA316" w14:textId="77777777" w:rsidR="00C6360C" w:rsidRDefault="006D36C8" w:rsidP="00C6360C">
      <w:pPr>
        <w:pStyle w:val="Heading4"/>
      </w:pPr>
      <w:r>
        <w:t>Harvest</w:t>
      </w:r>
    </w:p>
    <w:p w14:paraId="193A6BCC" w14:textId="3CAF488A" w:rsidR="006D36C8" w:rsidRDefault="004B08A6" w:rsidP="00383003">
      <w:pPr>
        <w:pStyle w:val="APVMAText"/>
      </w:pPr>
      <w:r>
        <w:t>Not required when used as directed.</w:t>
      </w:r>
    </w:p>
    <w:p w14:paraId="56251957" w14:textId="77777777" w:rsidR="00C6360C" w:rsidRDefault="006D36C8" w:rsidP="00C6360C">
      <w:pPr>
        <w:pStyle w:val="Heading4"/>
      </w:pPr>
      <w:r>
        <w:t>Grazing</w:t>
      </w:r>
    </w:p>
    <w:p w14:paraId="5DB831FF" w14:textId="69CF70BE" w:rsidR="00F8753E" w:rsidRPr="00C6360C" w:rsidRDefault="004B08A6" w:rsidP="00C6360C">
      <w:pPr>
        <w:pStyle w:val="APVMAText"/>
      </w:pPr>
      <w:r w:rsidRPr="00C6360C">
        <w:t>DO NOT graze or cut for stock food for 28 days after application.</w:t>
      </w:r>
    </w:p>
    <w:p w14:paraId="1502CF7E" w14:textId="77777777" w:rsidR="00C6360C" w:rsidRDefault="006D36C8" w:rsidP="00C6360C">
      <w:pPr>
        <w:pStyle w:val="Heading3"/>
      </w:pPr>
      <w:bookmarkStart w:id="30" w:name="_Toc126320529"/>
      <w:r w:rsidRPr="00F25206">
        <w:t>Restraints</w:t>
      </w:r>
      <w:bookmarkEnd w:id="30"/>
    </w:p>
    <w:p w14:paraId="71B0DD62" w14:textId="2EAC6709" w:rsidR="004B08A6" w:rsidRPr="00C6360C" w:rsidRDefault="004B08A6" w:rsidP="00C6360C">
      <w:pPr>
        <w:pStyle w:val="Bullet1"/>
      </w:pPr>
      <w:r w:rsidRPr="00C6360C">
        <w:t>DO NOT apply more than 2 applications per crop</w:t>
      </w:r>
    </w:p>
    <w:p w14:paraId="6F2AF94F" w14:textId="1FA5975C" w:rsidR="00C6360C" w:rsidRPr="00C6360C" w:rsidRDefault="004B08A6" w:rsidP="00C6360C">
      <w:pPr>
        <w:pStyle w:val="Bullet1"/>
      </w:pPr>
      <w:r w:rsidRPr="00C6360C">
        <w:t>DO NOT apply after the beginning of flowering, growth stage BBCH</w:t>
      </w:r>
      <w:r w:rsidR="00C6360C">
        <w:t> </w:t>
      </w:r>
      <w:r w:rsidRPr="00C6360C">
        <w:t>61</w:t>
      </w:r>
    </w:p>
    <w:p w14:paraId="3DB28DAB" w14:textId="26F98A1B" w:rsidR="00C6360C" w:rsidRPr="00C6360C" w:rsidRDefault="004B08A6" w:rsidP="00C6360C">
      <w:pPr>
        <w:pStyle w:val="Bullet1"/>
      </w:pPr>
      <w:r w:rsidRPr="00C6360C">
        <w:t>DO NOT apply with aircraft</w:t>
      </w:r>
    </w:p>
    <w:p w14:paraId="65A12F76" w14:textId="4E33EC60" w:rsidR="00F8753E" w:rsidRPr="00C6360C" w:rsidRDefault="004B08A6" w:rsidP="00C6360C">
      <w:pPr>
        <w:pStyle w:val="Bullet1"/>
      </w:pPr>
      <w:r w:rsidRPr="00C6360C">
        <w:t>DO NOT apply with spray droplets smaller than a MEDIUM spray droplet size category according to nozzle manufacturer specifications that refer to the ASAE S572 Standard or the BCPC Guideline</w:t>
      </w:r>
    </w:p>
    <w:p w14:paraId="1596E288" w14:textId="77777777" w:rsidR="00C6360C" w:rsidRDefault="006D36C8" w:rsidP="00C6360C">
      <w:pPr>
        <w:pStyle w:val="Heading3"/>
      </w:pPr>
      <w:bookmarkStart w:id="31" w:name="_Toc126320530"/>
      <w:r>
        <w:t>Trade advice</w:t>
      </w:r>
      <w:bookmarkEnd w:id="31"/>
    </w:p>
    <w:p w14:paraId="71238329" w14:textId="672BC7A5" w:rsidR="004B08A6" w:rsidRPr="00C6360C" w:rsidRDefault="004B08A6" w:rsidP="00C6360C">
      <w:pPr>
        <w:pStyle w:val="APVMAText"/>
      </w:pPr>
      <w:r w:rsidRPr="00C6360C">
        <w:t>Growers should note that MRLs or import tolerances do not exist in all markets for produce treated with metrafenone. If you are growing produce for export, please check with the permit holder for the latest information on MRLs and import tolerances before using metrafenone.</w:t>
      </w:r>
      <w:bookmarkStart w:id="32" w:name="_Toc231889747"/>
      <w:bookmarkStart w:id="33" w:name="_Toc2243850"/>
    </w:p>
    <w:p w14:paraId="28529C15" w14:textId="5354A3FA" w:rsidR="006D36C8" w:rsidRDefault="006D36C8" w:rsidP="00032787">
      <w:pPr>
        <w:pStyle w:val="Heading2"/>
      </w:pPr>
      <w:bookmarkStart w:id="34" w:name="_Toc126320531"/>
      <w:r>
        <w:lastRenderedPageBreak/>
        <w:t>Results from residues trials presented to the APVMA</w:t>
      </w:r>
      <w:bookmarkEnd w:id="32"/>
      <w:bookmarkEnd w:id="33"/>
      <w:bookmarkEnd w:id="34"/>
    </w:p>
    <w:p w14:paraId="651C8367" w14:textId="69F64811" w:rsidR="004B08A6" w:rsidRPr="00C6360C" w:rsidRDefault="003032E2" w:rsidP="00C6360C">
      <w:pPr>
        <w:pStyle w:val="APVMAText"/>
      </w:pPr>
      <w:r w:rsidRPr="00C6360C">
        <w:t>R</w:t>
      </w:r>
      <w:r w:rsidR="004B08A6" w:rsidRPr="00C6360C">
        <w:t>esidues data for wheat from trials conducted in Europe in 2000</w:t>
      </w:r>
      <w:r w:rsidR="00C6360C">
        <w:t>–</w:t>
      </w:r>
      <w:r w:rsidR="004B08A6" w:rsidRPr="00C6360C">
        <w:t>05, which was evaluated by the 2014 Joint Meeting on Pesticide Residues (JMPR)</w:t>
      </w:r>
      <w:r w:rsidR="004B08A6" w:rsidRPr="00C6360C">
        <w:rPr>
          <w:rStyle w:val="FootnoteReference"/>
        </w:rPr>
        <w:footnoteReference w:id="4"/>
      </w:r>
      <w:r w:rsidR="004B08A6" w:rsidRPr="00C6360C">
        <w:t>, were considered</w:t>
      </w:r>
      <w:r w:rsidRPr="00C6360C">
        <w:t xml:space="preserve"> in support of the application</w:t>
      </w:r>
      <w:r w:rsidR="005143B4" w:rsidRPr="00C6360C">
        <w:t>.</w:t>
      </w:r>
    </w:p>
    <w:p w14:paraId="19E3DDB5" w14:textId="71BC8036" w:rsidR="004B08A6" w:rsidRPr="00C6360C" w:rsidRDefault="004B08A6" w:rsidP="00C6360C">
      <w:pPr>
        <w:pStyle w:val="APVMAText"/>
      </w:pPr>
      <w:r w:rsidRPr="00C6360C">
        <w:t>Residues observed in wheat grain samples taken at 23</w:t>
      </w:r>
      <w:r w:rsidR="00C6360C">
        <w:t xml:space="preserve"> to </w:t>
      </w:r>
      <w:r w:rsidRPr="00C6360C">
        <w:t xml:space="preserve">41 days after the last application (DALA) or later if higher residues were observed, after </w:t>
      </w:r>
      <w:r w:rsidR="00C6360C">
        <w:t>2</w:t>
      </w:r>
      <w:r w:rsidRPr="00C6360C">
        <w:t xml:space="preserve"> applications of metrafenone were made at BBCH 69</w:t>
      </w:r>
      <w:r w:rsidR="00C6360C">
        <w:t xml:space="preserve"> to </w:t>
      </w:r>
      <w:r w:rsidRPr="00C6360C">
        <w:t>83 at an application rate of 140</w:t>
      </w:r>
      <w:r w:rsidR="00C6360C">
        <w:t xml:space="preserve"> to </w:t>
      </w:r>
      <w:r w:rsidRPr="00C6360C">
        <w:t>160</w:t>
      </w:r>
      <w:r w:rsidR="00C6360C">
        <w:t> </w:t>
      </w:r>
      <w:r w:rsidRPr="00C6360C">
        <w:t>g</w:t>
      </w:r>
      <w:r w:rsidR="00C6360C">
        <w:t> </w:t>
      </w:r>
      <w:r w:rsidRPr="00C6360C">
        <w:t>a.i./ha (0.93</w:t>
      </w:r>
      <w:r w:rsidR="00C6360C">
        <w:t xml:space="preserve"> to </w:t>
      </w:r>
      <w:r w:rsidRPr="00C6360C">
        <w:t>1.1× the proposed application rate), in 19 residue trials conducted on wheat in various European countries were, in rank order:</w:t>
      </w:r>
    </w:p>
    <w:p w14:paraId="55BD23B9" w14:textId="6D4D0288" w:rsidR="004B08A6" w:rsidRPr="00C6360C" w:rsidRDefault="004B08A6" w:rsidP="00C6360C">
      <w:pPr>
        <w:pStyle w:val="APVMAText"/>
      </w:pPr>
      <w:r w:rsidRPr="00C6360C">
        <w:t>&lt;0.01 (8), 0.01 (6), 0.02, 0.03 (2) and 0.04 (2)</w:t>
      </w:r>
      <w:r w:rsidR="00C6360C">
        <w:t> </w:t>
      </w:r>
      <w:r w:rsidRPr="00C6360C">
        <w:t>mg/kg (STMR= 0.01</w:t>
      </w:r>
      <w:r w:rsidR="00C6360C">
        <w:t> </w:t>
      </w:r>
      <w:r w:rsidRPr="00C6360C">
        <w:t>mg/kg, n=19).</w:t>
      </w:r>
    </w:p>
    <w:p w14:paraId="0FADA345" w14:textId="103FB39A" w:rsidR="004B08A6" w:rsidRPr="00C6360C" w:rsidRDefault="004B08A6" w:rsidP="00C6360C">
      <w:pPr>
        <w:pStyle w:val="APVMAText"/>
      </w:pPr>
      <w:r w:rsidRPr="00C6360C">
        <w:t>Based on the available relevant residues data the OECD MRL calculator estimates an MRL of 0.06</w:t>
      </w:r>
      <w:r w:rsidR="00C6360C">
        <w:t> </w:t>
      </w:r>
      <w:r w:rsidRPr="00C6360C">
        <w:t>mg/kg.</w:t>
      </w:r>
    </w:p>
    <w:p w14:paraId="24A41D92" w14:textId="236B1DA8" w:rsidR="005143B4" w:rsidRPr="00C6360C" w:rsidRDefault="004B08A6" w:rsidP="00C6360C">
      <w:pPr>
        <w:pStyle w:val="APVMAText"/>
      </w:pPr>
      <w:r w:rsidRPr="00C6360C">
        <w:t>An MRL for GC 0654 Wheat set at T0.06</w:t>
      </w:r>
      <w:r w:rsidR="00C6360C">
        <w:t> </w:t>
      </w:r>
      <w:r w:rsidRPr="00C6360C">
        <w:t>mg/kg is considered to be appropriate to cover residues in wheat grain arising from the proposed use pattern.</w:t>
      </w:r>
    </w:p>
    <w:p w14:paraId="0D9214B9" w14:textId="54FCCB82" w:rsidR="003032E2" w:rsidRPr="00C6360C" w:rsidRDefault="00AC4DFA" w:rsidP="00C6360C">
      <w:pPr>
        <w:pStyle w:val="APVMAText"/>
      </w:pPr>
      <w:r w:rsidRPr="00C6360C">
        <w:t>The 2014 JMPR considered processing data for wheat. Residues were observed to concentrate in fine bran after processing. Based on the highest residue (HR) observed in wheat grain of 0.04</w:t>
      </w:r>
      <w:r w:rsidR="00C6360C">
        <w:t> </w:t>
      </w:r>
      <w:r w:rsidRPr="00C6360C">
        <w:t>mg/kg and the highest processing factor of 5.3× in fine bran, the HR-P in wheat bran is calculated to be 0.21</w:t>
      </w:r>
      <w:r w:rsidR="00C6360C">
        <w:t> </w:t>
      </w:r>
      <w:r w:rsidRPr="00C6360C">
        <w:t>mg/kg.</w:t>
      </w:r>
    </w:p>
    <w:p w14:paraId="702A2E36" w14:textId="6F8D6DCF" w:rsidR="00AC4DFA" w:rsidRPr="00C6360C" w:rsidRDefault="00AC4DFA" w:rsidP="00C6360C">
      <w:pPr>
        <w:pStyle w:val="APVMAText"/>
      </w:pPr>
      <w:r w:rsidRPr="00C6360C">
        <w:t>A metrafenone MRL at T0.3</w:t>
      </w:r>
      <w:r w:rsidR="00C6360C">
        <w:t> </w:t>
      </w:r>
      <w:r w:rsidRPr="00C6360C">
        <w:t>mg/kg is recommended for CF 0654 Wheat bran, processed.</w:t>
      </w:r>
    </w:p>
    <w:p w14:paraId="5472EA15" w14:textId="77777777" w:rsidR="006D36C8" w:rsidRPr="00C6360C" w:rsidRDefault="006D36C8" w:rsidP="00C6360C">
      <w:pPr>
        <w:pStyle w:val="Heading2"/>
      </w:pPr>
      <w:bookmarkStart w:id="36" w:name="_Toc231889748"/>
      <w:bookmarkStart w:id="37" w:name="_Toc2243851"/>
      <w:bookmarkStart w:id="38" w:name="_Toc126320532"/>
      <w:r w:rsidRPr="00C6360C">
        <w:t>Overseas registration and approved label instructions</w:t>
      </w:r>
      <w:bookmarkEnd w:id="36"/>
      <w:bookmarkEnd w:id="37"/>
      <w:bookmarkEnd w:id="38"/>
    </w:p>
    <w:p w14:paraId="138DC320" w14:textId="2601F8BA" w:rsidR="00C6360C" w:rsidRDefault="004B08A6" w:rsidP="00C6360C">
      <w:pPr>
        <w:pStyle w:val="APVMAText"/>
      </w:pPr>
      <w:bookmarkStart w:id="39" w:name="_Toc231889749"/>
      <w:bookmarkStart w:id="40" w:name="_Toc2243852"/>
      <w:r w:rsidRPr="00C6360C">
        <w:t>The Applicant submitted a UK label for Flexity (300</w:t>
      </w:r>
      <w:r w:rsidR="00C6360C">
        <w:t> </w:t>
      </w:r>
      <w:r w:rsidRPr="00C6360C">
        <w:t>g/L metrafenone, a suspension concentrate) demonstrating a registered use on wheat, which is similar to the proposed use. Two applications are allowed at 150</w:t>
      </w:r>
      <w:r w:rsidR="00C6360C">
        <w:t> </w:t>
      </w:r>
      <w:r w:rsidRPr="00C6360C">
        <w:t>g a.i./ha up to and including the beginning of flowering (GS 61), in a minimum spray volume of 200</w:t>
      </w:r>
      <w:r w:rsidR="00C6360C">
        <w:t> </w:t>
      </w:r>
      <w:r w:rsidRPr="00C6360C">
        <w:t>L/ha.</w:t>
      </w:r>
      <w:r w:rsidR="00C6360C">
        <w:br w:type="page"/>
      </w:r>
    </w:p>
    <w:p w14:paraId="0CB29406" w14:textId="30D5C25A" w:rsidR="006D36C8" w:rsidRPr="00C6360C" w:rsidRDefault="00957A91" w:rsidP="00C6360C">
      <w:pPr>
        <w:pStyle w:val="Heading2"/>
      </w:pPr>
      <w:bookmarkStart w:id="41" w:name="_Toc126320533"/>
      <w:r w:rsidRPr="00C6360C">
        <w:lastRenderedPageBreak/>
        <w:t>Codex Alimentarius C</w:t>
      </w:r>
      <w:r w:rsidR="006D36C8" w:rsidRPr="00C6360C">
        <w:t>ommission and overseas MRLs</w:t>
      </w:r>
      <w:bookmarkEnd w:id="39"/>
      <w:bookmarkEnd w:id="40"/>
      <w:bookmarkEnd w:id="41"/>
    </w:p>
    <w:p w14:paraId="3D3591C2" w14:textId="2ACEEF7D" w:rsidR="00AC4DFA" w:rsidRDefault="006D36C8" w:rsidP="006D36C8">
      <w:pPr>
        <w:pStyle w:val="APVMAText"/>
      </w:pPr>
      <w:r w:rsidRPr="00C6360C">
        <w:t>The Codex Alimentarius Commission (Codex) is responsible for establishing Codex Maximum Residue Limits (CXLs) for pesticides</w:t>
      </w:r>
      <w:r w:rsidR="00B061D3" w:rsidRPr="00C6360C">
        <w:t xml:space="preserve"> and veterinary medicines</w:t>
      </w:r>
      <w:r w:rsidRPr="00C6360C">
        <w:t xml:space="preserve">. Codex CXLs are primarily intended to facilitate international trade and accommodate differences in Good Agricultural Practice (GAP) employed by various countries. Some countries may accept Codex CXLs when importing foods. </w:t>
      </w:r>
      <w:r w:rsidR="004B08A6" w:rsidRPr="00C6360C">
        <w:t xml:space="preserve">Metrafenone </w:t>
      </w:r>
      <w:r w:rsidRPr="00C6360C">
        <w:t xml:space="preserve">has </w:t>
      </w:r>
      <w:r w:rsidR="004B08A6" w:rsidRPr="00C6360C">
        <w:t xml:space="preserve">been </w:t>
      </w:r>
      <w:r w:rsidRPr="00C6360C">
        <w:t>considered by Codex.</w:t>
      </w:r>
    </w:p>
    <w:p w14:paraId="7A51114A" w14:textId="285C9254" w:rsidR="004B08A6" w:rsidRPr="00C6360C" w:rsidRDefault="004B08A6" w:rsidP="00C6360C">
      <w:pPr>
        <w:pStyle w:val="Caption"/>
      </w:pPr>
      <w:bookmarkStart w:id="42" w:name="_Toc77579834"/>
      <w:bookmarkStart w:id="43" w:name="_Toc83128731"/>
      <w:bookmarkStart w:id="44" w:name="_Toc113948416"/>
      <w:bookmarkStart w:id="45" w:name="_Toc126320539"/>
      <w:bookmarkStart w:id="46" w:name="_Hlk113610188"/>
      <w:r w:rsidRPr="00C6360C">
        <w:t xml:space="preserve">Table </w:t>
      </w:r>
      <w:fldSimple w:instr=" SEQ Table \* ARABIC ">
        <w:r w:rsidR="00C6360C">
          <w:rPr>
            <w:noProof/>
          </w:rPr>
          <w:t>2</w:t>
        </w:r>
      </w:fldSimple>
      <w:r w:rsidRPr="00C6360C">
        <w:t>:</w:t>
      </w:r>
      <w:r w:rsidRPr="00C6360C">
        <w:tab/>
        <w:t>Relevant international MRLs</w:t>
      </w:r>
      <w:bookmarkEnd w:id="42"/>
      <w:bookmarkEnd w:id="43"/>
      <w:r w:rsidRPr="00C6360C">
        <w:t xml:space="preserve"> for metrafenone on </w:t>
      </w:r>
      <w:bookmarkEnd w:id="44"/>
      <w:r w:rsidRPr="00C6360C">
        <w:t>wheat</w:t>
      </w:r>
      <w:bookmarkEnd w:id="45"/>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660"/>
        <w:gridCol w:w="883"/>
        <w:gridCol w:w="1380"/>
        <w:gridCol w:w="1357"/>
        <w:gridCol w:w="1328"/>
      </w:tblGrid>
      <w:tr w:rsidR="004B08A6" w14:paraId="7FA15AF7" w14:textId="77777777" w:rsidTr="00C6360C">
        <w:tc>
          <w:tcPr>
            <w:tcW w:w="1053" w:type="pct"/>
            <w:vMerge w:val="restart"/>
            <w:tcBorders>
              <w:top w:val="single" w:sz="4" w:space="0" w:color="auto"/>
              <w:bottom w:val="single" w:sz="4" w:space="0" w:color="auto"/>
            </w:tcBorders>
            <w:shd w:val="clear" w:color="auto" w:fill="00747A"/>
            <w:vAlign w:val="center"/>
          </w:tcPr>
          <w:p w14:paraId="13113314" w14:textId="77777777" w:rsidR="004B08A6" w:rsidRPr="00C6360C" w:rsidRDefault="004B08A6" w:rsidP="00C6360C">
            <w:pPr>
              <w:pStyle w:val="APVMATableHead"/>
            </w:pPr>
            <w:r w:rsidRPr="00C6360C">
              <w:t>Commodity</w:t>
            </w:r>
          </w:p>
        </w:tc>
        <w:tc>
          <w:tcPr>
            <w:tcW w:w="3947" w:type="pct"/>
            <w:gridSpan w:val="5"/>
            <w:tcBorders>
              <w:top w:val="single" w:sz="4" w:space="0" w:color="auto"/>
              <w:bottom w:val="single" w:sz="4" w:space="0" w:color="auto"/>
            </w:tcBorders>
            <w:shd w:val="clear" w:color="auto" w:fill="00747A"/>
          </w:tcPr>
          <w:p w14:paraId="15E14F06" w14:textId="4E842121" w:rsidR="004B08A6" w:rsidRPr="00C6360C" w:rsidRDefault="004B08A6" w:rsidP="00C6360C">
            <w:pPr>
              <w:pStyle w:val="APVMATableHead"/>
              <w:jc w:val="right"/>
            </w:pPr>
            <w:r w:rsidRPr="00C6360C">
              <w:t>Tolerance for residues arising from the use of metrafenone (mg/kg)</w:t>
            </w:r>
          </w:p>
        </w:tc>
      </w:tr>
      <w:tr w:rsidR="004B08A6" w14:paraId="100B2EA4" w14:textId="77777777" w:rsidTr="00C6360C">
        <w:tc>
          <w:tcPr>
            <w:tcW w:w="1053" w:type="pct"/>
            <w:vMerge/>
            <w:tcBorders>
              <w:bottom w:val="single" w:sz="4" w:space="0" w:color="auto"/>
            </w:tcBorders>
            <w:shd w:val="clear" w:color="auto" w:fill="00747A"/>
          </w:tcPr>
          <w:p w14:paraId="6C2BA200" w14:textId="77777777" w:rsidR="004B08A6" w:rsidRPr="00C6360C" w:rsidRDefault="004B08A6" w:rsidP="00C6360C">
            <w:pPr>
              <w:pStyle w:val="APVMATableHead"/>
            </w:pPr>
          </w:p>
        </w:tc>
        <w:tc>
          <w:tcPr>
            <w:tcW w:w="1380" w:type="pct"/>
            <w:tcBorders>
              <w:top w:val="single" w:sz="4" w:space="0" w:color="auto"/>
              <w:bottom w:val="single" w:sz="4" w:space="0" w:color="auto"/>
            </w:tcBorders>
            <w:shd w:val="clear" w:color="auto" w:fill="00747A"/>
          </w:tcPr>
          <w:p w14:paraId="60F2C5F8" w14:textId="77777777" w:rsidR="004B08A6" w:rsidRPr="00C6360C" w:rsidRDefault="004B08A6" w:rsidP="00C6360C">
            <w:pPr>
              <w:pStyle w:val="APVMATableHead"/>
              <w:jc w:val="right"/>
            </w:pPr>
            <w:r w:rsidRPr="00C6360C">
              <w:t>Australia</w:t>
            </w:r>
          </w:p>
        </w:tc>
        <w:tc>
          <w:tcPr>
            <w:tcW w:w="458" w:type="pct"/>
            <w:tcBorders>
              <w:top w:val="single" w:sz="4" w:space="0" w:color="auto"/>
              <w:bottom w:val="single" w:sz="4" w:space="0" w:color="auto"/>
            </w:tcBorders>
            <w:shd w:val="clear" w:color="auto" w:fill="00747A"/>
          </w:tcPr>
          <w:p w14:paraId="5CA1B18E" w14:textId="77777777" w:rsidR="004B08A6" w:rsidRPr="00C6360C" w:rsidRDefault="004B08A6" w:rsidP="00C6360C">
            <w:pPr>
              <w:pStyle w:val="APVMATableHead"/>
              <w:jc w:val="right"/>
            </w:pPr>
            <w:r w:rsidRPr="00C6360C">
              <w:t>EU</w:t>
            </w:r>
            <w:r w:rsidRPr="00C6360C">
              <w:rPr>
                <w:rStyle w:val="FootnoteReference"/>
              </w:rPr>
              <w:footnoteReference w:id="5"/>
            </w:r>
          </w:p>
        </w:tc>
        <w:tc>
          <w:tcPr>
            <w:tcW w:w="716" w:type="pct"/>
            <w:tcBorders>
              <w:top w:val="single" w:sz="4" w:space="0" w:color="auto"/>
              <w:bottom w:val="single" w:sz="4" w:space="0" w:color="auto"/>
            </w:tcBorders>
            <w:shd w:val="clear" w:color="auto" w:fill="00747A"/>
          </w:tcPr>
          <w:p w14:paraId="42257518" w14:textId="77777777" w:rsidR="004B08A6" w:rsidRPr="00C6360C" w:rsidRDefault="004B08A6" w:rsidP="00C6360C">
            <w:pPr>
              <w:pStyle w:val="APVMATableHead"/>
              <w:jc w:val="right"/>
            </w:pPr>
            <w:r w:rsidRPr="00C6360C">
              <w:t>Codex</w:t>
            </w:r>
            <w:r w:rsidRPr="00C6360C">
              <w:rPr>
                <w:rStyle w:val="FootnoteReference"/>
              </w:rPr>
              <w:footnoteReference w:id="6"/>
            </w:r>
          </w:p>
        </w:tc>
        <w:tc>
          <w:tcPr>
            <w:tcW w:w="704" w:type="pct"/>
            <w:tcBorders>
              <w:top w:val="single" w:sz="4" w:space="0" w:color="auto"/>
              <w:bottom w:val="single" w:sz="4" w:space="0" w:color="auto"/>
            </w:tcBorders>
            <w:shd w:val="clear" w:color="auto" w:fill="00747A"/>
          </w:tcPr>
          <w:p w14:paraId="3209F1C3" w14:textId="77777777" w:rsidR="004B08A6" w:rsidRPr="00C6360C" w:rsidRDefault="004B08A6" w:rsidP="00C6360C">
            <w:pPr>
              <w:pStyle w:val="APVMATableHead"/>
              <w:jc w:val="right"/>
            </w:pPr>
            <w:r w:rsidRPr="00C6360C">
              <w:t>Japan</w:t>
            </w:r>
            <w:r w:rsidRPr="00C6360C">
              <w:rPr>
                <w:vertAlign w:val="superscript"/>
              </w:rPr>
              <w:footnoteReference w:id="7"/>
            </w:r>
          </w:p>
        </w:tc>
        <w:tc>
          <w:tcPr>
            <w:tcW w:w="689" w:type="pct"/>
            <w:tcBorders>
              <w:top w:val="single" w:sz="4" w:space="0" w:color="auto"/>
              <w:bottom w:val="single" w:sz="4" w:space="0" w:color="auto"/>
            </w:tcBorders>
            <w:shd w:val="clear" w:color="auto" w:fill="00747A"/>
          </w:tcPr>
          <w:p w14:paraId="7DBE7E96" w14:textId="73671353" w:rsidR="004B08A6" w:rsidRPr="00C6360C" w:rsidRDefault="004B08A6" w:rsidP="00C6360C">
            <w:pPr>
              <w:pStyle w:val="APVMATableHead"/>
              <w:jc w:val="right"/>
            </w:pPr>
            <w:r w:rsidRPr="00C6360C">
              <w:t>China</w:t>
            </w:r>
            <w:r w:rsidRPr="00C6360C">
              <w:rPr>
                <w:rStyle w:val="FootnoteReference"/>
              </w:rPr>
              <w:footnoteReference w:id="8"/>
            </w:r>
          </w:p>
        </w:tc>
      </w:tr>
      <w:tr w:rsidR="004B08A6" w14:paraId="27BA9851" w14:textId="77777777" w:rsidTr="00C6360C">
        <w:tc>
          <w:tcPr>
            <w:tcW w:w="1053" w:type="pct"/>
            <w:tcBorders>
              <w:top w:val="single" w:sz="4" w:space="0" w:color="auto"/>
              <w:bottom w:val="single" w:sz="4" w:space="0" w:color="auto"/>
            </w:tcBorders>
          </w:tcPr>
          <w:p w14:paraId="1808FDA8" w14:textId="63531050" w:rsidR="004B08A6" w:rsidRPr="00C6360C" w:rsidRDefault="00AC4DFA" w:rsidP="00C6360C">
            <w:pPr>
              <w:pStyle w:val="APVMATableText"/>
            </w:pPr>
            <w:r w:rsidRPr="00C6360C">
              <w:t>Residue definition</w:t>
            </w:r>
          </w:p>
        </w:tc>
        <w:tc>
          <w:tcPr>
            <w:tcW w:w="1380" w:type="pct"/>
            <w:tcBorders>
              <w:top w:val="single" w:sz="4" w:space="0" w:color="auto"/>
              <w:bottom w:val="single" w:sz="4" w:space="0" w:color="auto"/>
            </w:tcBorders>
          </w:tcPr>
          <w:p w14:paraId="2BF7D2BA" w14:textId="15BA1441" w:rsidR="004B08A6" w:rsidRPr="00C6360C" w:rsidRDefault="00AC4DFA" w:rsidP="00C6360C">
            <w:pPr>
              <w:pStyle w:val="APVMATableText"/>
              <w:jc w:val="right"/>
            </w:pPr>
            <w:r w:rsidRPr="00C6360C">
              <w:t>Parent</w:t>
            </w:r>
          </w:p>
        </w:tc>
        <w:tc>
          <w:tcPr>
            <w:tcW w:w="458" w:type="pct"/>
            <w:tcBorders>
              <w:top w:val="single" w:sz="4" w:space="0" w:color="auto"/>
              <w:bottom w:val="single" w:sz="4" w:space="0" w:color="auto"/>
            </w:tcBorders>
          </w:tcPr>
          <w:p w14:paraId="5D5BE1FD" w14:textId="33BF24A2" w:rsidR="004B08A6" w:rsidRPr="00C6360C" w:rsidRDefault="00AC4DFA" w:rsidP="00C6360C">
            <w:pPr>
              <w:pStyle w:val="APVMATableText"/>
              <w:jc w:val="right"/>
            </w:pPr>
            <w:r w:rsidRPr="00C6360C">
              <w:t>Parent</w:t>
            </w:r>
          </w:p>
        </w:tc>
        <w:tc>
          <w:tcPr>
            <w:tcW w:w="716" w:type="pct"/>
            <w:tcBorders>
              <w:top w:val="single" w:sz="4" w:space="0" w:color="auto"/>
              <w:bottom w:val="single" w:sz="4" w:space="0" w:color="auto"/>
            </w:tcBorders>
          </w:tcPr>
          <w:p w14:paraId="28F99E7F" w14:textId="0E07EB00" w:rsidR="004B08A6" w:rsidRPr="00C6360C" w:rsidRDefault="00AC4DFA" w:rsidP="00C6360C">
            <w:pPr>
              <w:pStyle w:val="APVMATableText"/>
              <w:jc w:val="right"/>
            </w:pPr>
            <w:r w:rsidRPr="00C6360C">
              <w:t>Parent</w:t>
            </w:r>
          </w:p>
        </w:tc>
        <w:tc>
          <w:tcPr>
            <w:tcW w:w="704" w:type="pct"/>
            <w:tcBorders>
              <w:top w:val="single" w:sz="4" w:space="0" w:color="auto"/>
              <w:bottom w:val="single" w:sz="4" w:space="0" w:color="auto"/>
            </w:tcBorders>
          </w:tcPr>
          <w:p w14:paraId="0B424415" w14:textId="7995E093" w:rsidR="004B08A6" w:rsidRPr="00C6360C" w:rsidRDefault="00AC4DFA" w:rsidP="00C6360C">
            <w:pPr>
              <w:pStyle w:val="APVMATableText"/>
              <w:jc w:val="right"/>
            </w:pPr>
            <w:r w:rsidRPr="00C6360C">
              <w:t>Parent</w:t>
            </w:r>
          </w:p>
        </w:tc>
        <w:tc>
          <w:tcPr>
            <w:tcW w:w="689" w:type="pct"/>
            <w:tcBorders>
              <w:top w:val="single" w:sz="4" w:space="0" w:color="auto"/>
              <w:bottom w:val="single" w:sz="4" w:space="0" w:color="auto"/>
            </w:tcBorders>
          </w:tcPr>
          <w:p w14:paraId="0FFAE89D" w14:textId="691F580D" w:rsidR="004B08A6" w:rsidRPr="00C6360C" w:rsidRDefault="00AC4DFA" w:rsidP="00C6360C">
            <w:pPr>
              <w:pStyle w:val="APVMATableText"/>
              <w:jc w:val="right"/>
            </w:pPr>
            <w:r w:rsidRPr="00C6360C">
              <w:t>Parent</w:t>
            </w:r>
          </w:p>
        </w:tc>
      </w:tr>
      <w:tr w:rsidR="004B08A6" w14:paraId="36D07481" w14:textId="77777777" w:rsidTr="00C6360C">
        <w:tc>
          <w:tcPr>
            <w:tcW w:w="1053" w:type="pct"/>
            <w:tcBorders>
              <w:top w:val="single" w:sz="4" w:space="0" w:color="auto"/>
              <w:bottom w:val="single" w:sz="4" w:space="0" w:color="auto"/>
            </w:tcBorders>
          </w:tcPr>
          <w:p w14:paraId="3C7227A1" w14:textId="0B08FA55" w:rsidR="004B08A6" w:rsidRPr="00C6360C" w:rsidRDefault="00AC4DFA" w:rsidP="00C6360C">
            <w:pPr>
              <w:pStyle w:val="APVMATableText"/>
            </w:pPr>
            <w:r w:rsidRPr="00C6360C">
              <w:t>Wheat</w:t>
            </w:r>
          </w:p>
        </w:tc>
        <w:tc>
          <w:tcPr>
            <w:tcW w:w="1380" w:type="pct"/>
            <w:tcBorders>
              <w:top w:val="single" w:sz="4" w:space="0" w:color="auto"/>
              <w:bottom w:val="single" w:sz="4" w:space="0" w:color="auto"/>
            </w:tcBorders>
          </w:tcPr>
          <w:p w14:paraId="02671AEB" w14:textId="29F9E90D" w:rsidR="004B08A6" w:rsidRPr="00C6360C" w:rsidRDefault="00AC4DFA" w:rsidP="00C6360C">
            <w:pPr>
              <w:pStyle w:val="APVMATableText"/>
              <w:jc w:val="right"/>
            </w:pPr>
            <w:r w:rsidRPr="00C6360C">
              <w:t>T0.06 (proposed)</w:t>
            </w:r>
          </w:p>
        </w:tc>
        <w:tc>
          <w:tcPr>
            <w:tcW w:w="458" w:type="pct"/>
            <w:tcBorders>
              <w:top w:val="single" w:sz="4" w:space="0" w:color="auto"/>
              <w:bottom w:val="single" w:sz="4" w:space="0" w:color="auto"/>
            </w:tcBorders>
          </w:tcPr>
          <w:p w14:paraId="48804B2A" w14:textId="5C4584FA" w:rsidR="004B08A6" w:rsidRPr="00C6360C" w:rsidRDefault="004B08A6" w:rsidP="00C6360C">
            <w:pPr>
              <w:pStyle w:val="APVMATableText"/>
              <w:jc w:val="right"/>
            </w:pPr>
            <w:r w:rsidRPr="00C6360C">
              <w:t>0.</w:t>
            </w:r>
            <w:r w:rsidR="00AC4DFA" w:rsidRPr="00C6360C">
              <w:t>07</w:t>
            </w:r>
          </w:p>
        </w:tc>
        <w:tc>
          <w:tcPr>
            <w:tcW w:w="716" w:type="pct"/>
            <w:tcBorders>
              <w:top w:val="single" w:sz="4" w:space="0" w:color="auto"/>
              <w:bottom w:val="single" w:sz="4" w:space="0" w:color="auto"/>
            </w:tcBorders>
          </w:tcPr>
          <w:p w14:paraId="7CD06106" w14:textId="29A940F0" w:rsidR="004B08A6" w:rsidRPr="00C6360C" w:rsidRDefault="00AC4DFA" w:rsidP="00C6360C">
            <w:pPr>
              <w:pStyle w:val="APVMATableText"/>
              <w:jc w:val="right"/>
            </w:pPr>
            <w:r w:rsidRPr="00C6360C">
              <w:t>0.06</w:t>
            </w:r>
          </w:p>
        </w:tc>
        <w:tc>
          <w:tcPr>
            <w:tcW w:w="704" w:type="pct"/>
            <w:tcBorders>
              <w:top w:val="single" w:sz="4" w:space="0" w:color="auto"/>
              <w:bottom w:val="single" w:sz="4" w:space="0" w:color="auto"/>
            </w:tcBorders>
          </w:tcPr>
          <w:p w14:paraId="6127210F" w14:textId="50E98757" w:rsidR="004B08A6" w:rsidRPr="00C6360C" w:rsidRDefault="004B08A6" w:rsidP="00C6360C">
            <w:pPr>
              <w:pStyle w:val="APVMATableText"/>
              <w:jc w:val="right"/>
            </w:pPr>
            <w:r w:rsidRPr="00C6360C">
              <w:t>0.</w:t>
            </w:r>
            <w:r w:rsidR="00AC4DFA" w:rsidRPr="00C6360C">
              <w:t>06</w:t>
            </w:r>
          </w:p>
        </w:tc>
        <w:tc>
          <w:tcPr>
            <w:tcW w:w="689" w:type="pct"/>
            <w:tcBorders>
              <w:top w:val="single" w:sz="4" w:space="0" w:color="auto"/>
              <w:bottom w:val="single" w:sz="4" w:space="0" w:color="auto"/>
            </w:tcBorders>
          </w:tcPr>
          <w:p w14:paraId="304A8B58" w14:textId="63EEA059" w:rsidR="004B08A6" w:rsidRPr="00C6360C" w:rsidRDefault="00AC4DFA" w:rsidP="00C6360C">
            <w:pPr>
              <w:pStyle w:val="APVMATableText"/>
              <w:jc w:val="right"/>
            </w:pPr>
            <w:r w:rsidRPr="00C6360C">
              <w:t>T0.06</w:t>
            </w:r>
          </w:p>
        </w:tc>
      </w:tr>
      <w:tr w:rsidR="00C10F02" w14:paraId="643ADE65" w14:textId="77777777" w:rsidTr="00C6360C">
        <w:tc>
          <w:tcPr>
            <w:tcW w:w="1053" w:type="pct"/>
            <w:tcBorders>
              <w:top w:val="single" w:sz="4" w:space="0" w:color="auto"/>
              <w:bottom w:val="single" w:sz="4" w:space="0" w:color="auto"/>
            </w:tcBorders>
          </w:tcPr>
          <w:p w14:paraId="0CF3B48C" w14:textId="2F607FBD" w:rsidR="00C10F02" w:rsidRPr="00C6360C" w:rsidRDefault="00C10F02" w:rsidP="00C6360C">
            <w:pPr>
              <w:pStyle w:val="APVMATableText"/>
            </w:pPr>
            <w:r w:rsidRPr="00C6360C">
              <w:t>Wheat bran, processed</w:t>
            </w:r>
          </w:p>
        </w:tc>
        <w:tc>
          <w:tcPr>
            <w:tcW w:w="1380" w:type="pct"/>
            <w:tcBorders>
              <w:top w:val="single" w:sz="4" w:space="0" w:color="auto"/>
              <w:bottom w:val="single" w:sz="4" w:space="0" w:color="auto"/>
            </w:tcBorders>
          </w:tcPr>
          <w:p w14:paraId="7C6209DD" w14:textId="0F2DBBAF" w:rsidR="00C10F02" w:rsidRPr="00C6360C" w:rsidRDefault="00C10F02" w:rsidP="00C6360C">
            <w:pPr>
              <w:pStyle w:val="APVMATableText"/>
              <w:jc w:val="right"/>
            </w:pPr>
            <w:r w:rsidRPr="00C6360C">
              <w:t>T0.3 (proposed)</w:t>
            </w:r>
          </w:p>
        </w:tc>
        <w:tc>
          <w:tcPr>
            <w:tcW w:w="458" w:type="pct"/>
            <w:tcBorders>
              <w:top w:val="single" w:sz="4" w:space="0" w:color="auto"/>
              <w:bottom w:val="single" w:sz="4" w:space="0" w:color="auto"/>
            </w:tcBorders>
          </w:tcPr>
          <w:p w14:paraId="58216D87" w14:textId="42B6CA7A" w:rsidR="00C10F02" w:rsidRPr="00C6360C" w:rsidRDefault="00C57502" w:rsidP="00C6360C">
            <w:pPr>
              <w:pStyle w:val="APVMATableText"/>
              <w:jc w:val="right"/>
            </w:pPr>
            <w:r>
              <w:t>–</w:t>
            </w:r>
          </w:p>
        </w:tc>
        <w:tc>
          <w:tcPr>
            <w:tcW w:w="716" w:type="pct"/>
            <w:tcBorders>
              <w:top w:val="single" w:sz="4" w:space="0" w:color="auto"/>
              <w:bottom w:val="single" w:sz="4" w:space="0" w:color="auto"/>
            </w:tcBorders>
          </w:tcPr>
          <w:p w14:paraId="1573B2D5" w14:textId="5244D1B4" w:rsidR="00C10F02" w:rsidRPr="00C6360C" w:rsidRDefault="00C10F02" w:rsidP="00C6360C">
            <w:pPr>
              <w:pStyle w:val="APVMATableText"/>
              <w:jc w:val="right"/>
            </w:pPr>
            <w:r w:rsidRPr="00C6360C">
              <w:t>0.25</w:t>
            </w:r>
          </w:p>
        </w:tc>
        <w:tc>
          <w:tcPr>
            <w:tcW w:w="704" w:type="pct"/>
            <w:tcBorders>
              <w:top w:val="single" w:sz="4" w:space="0" w:color="auto"/>
              <w:bottom w:val="single" w:sz="4" w:space="0" w:color="auto"/>
            </w:tcBorders>
          </w:tcPr>
          <w:p w14:paraId="12A0403E" w14:textId="00A2D95B" w:rsidR="00C10F02" w:rsidRPr="00C6360C" w:rsidRDefault="00C10F02" w:rsidP="00C6360C">
            <w:pPr>
              <w:pStyle w:val="APVMATableText"/>
              <w:jc w:val="right"/>
            </w:pPr>
            <w:r w:rsidRPr="00C6360C">
              <w:t>0.3</w:t>
            </w:r>
          </w:p>
        </w:tc>
        <w:tc>
          <w:tcPr>
            <w:tcW w:w="689" w:type="pct"/>
            <w:tcBorders>
              <w:top w:val="single" w:sz="4" w:space="0" w:color="auto"/>
              <w:bottom w:val="single" w:sz="4" w:space="0" w:color="auto"/>
            </w:tcBorders>
          </w:tcPr>
          <w:p w14:paraId="28CD3A1B" w14:textId="1F850586" w:rsidR="00C10F02" w:rsidRPr="00C6360C" w:rsidRDefault="00C57502" w:rsidP="00C6360C">
            <w:pPr>
              <w:pStyle w:val="APVMATableText"/>
              <w:jc w:val="right"/>
            </w:pPr>
            <w:r>
              <w:t>–</w:t>
            </w:r>
          </w:p>
        </w:tc>
      </w:tr>
    </w:tbl>
    <w:bookmarkEnd w:id="46"/>
    <w:p w14:paraId="7421D16B" w14:textId="2ACF0C77" w:rsidR="006D36C8" w:rsidRPr="00C6360C" w:rsidRDefault="004B08A6" w:rsidP="00295FC5">
      <w:pPr>
        <w:pStyle w:val="APVMAText"/>
      </w:pPr>
      <w:r w:rsidRPr="00C6360C">
        <w:t>It is noted that no relevant MRLs are established in Korea</w:t>
      </w:r>
      <w:r w:rsidRPr="00C6360C">
        <w:rPr>
          <w:rStyle w:val="FootnoteReference"/>
        </w:rPr>
        <w:footnoteReference w:id="9"/>
      </w:r>
      <w:r w:rsidRPr="00C6360C">
        <w:t>, the USA</w:t>
      </w:r>
      <w:r w:rsidRPr="00C6360C">
        <w:rPr>
          <w:rStyle w:val="FootnoteReference"/>
        </w:rPr>
        <w:footnoteReference w:id="10"/>
      </w:r>
      <w:r w:rsidRPr="00C6360C">
        <w:t xml:space="preserve"> or Taiwan</w:t>
      </w:r>
      <w:r w:rsidRPr="00C6360C">
        <w:rPr>
          <w:rStyle w:val="FootnoteReference"/>
        </w:rPr>
        <w:footnoteReference w:id="11"/>
      </w:r>
      <w:r w:rsidRPr="00C6360C">
        <w:t>.</w:t>
      </w:r>
      <w:bookmarkStart w:id="56" w:name="_Toc231889750"/>
      <w:bookmarkStart w:id="57" w:name="_Toc2243853"/>
      <w:r w:rsidR="00AC4DFA">
        <w:br w:type="page"/>
      </w:r>
      <w:bookmarkStart w:id="58" w:name="_Toc126320534"/>
      <w:r w:rsidR="006D36C8" w:rsidRPr="00C6360C">
        <w:lastRenderedPageBreak/>
        <w:t xml:space="preserve">Current and proposed Australian MRLs for </w:t>
      </w:r>
      <w:bookmarkEnd w:id="56"/>
      <w:bookmarkEnd w:id="57"/>
      <w:r w:rsidRPr="00C6360C">
        <w:t>metrafenone</w:t>
      </w:r>
      <w:bookmarkEnd w:id="58"/>
    </w:p>
    <w:p w14:paraId="7E865B04" w14:textId="1FFA89DE" w:rsidR="00AC4DFA" w:rsidRPr="00C6360C" w:rsidRDefault="00AC4DFA" w:rsidP="00C6360C">
      <w:pPr>
        <w:pStyle w:val="Caption"/>
      </w:pPr>
      <w:bookmarkStart w:id="59" w:name="_Toc100561125"/>
      <w:bookmarkStart w:id="60" w:name="_Toc113948417"/>
      <w:bookmarkStart w:id="61" w:name="_Toc126320540"/>
      <w:r w:rsidRPr="00C6360C">
        <w:t xml:space="preserve">Table </w:t>
      </w:r>
      <w:fldSimple w:instr=" SEQ Table \* ARABIC ">
        <w:r w:rsidR="00C6360C">
          <w:rPr>
            <w:noProof/>
          </w:rPr>
          <w:t>3</w:t>
        </w:r>
      </w:fldSimple>
      <w:r w:rsidRPr="00C6360C">
        <w:t>:</w:t>
      </w:r>
      <w:r w:rsidRPr="00C6360C">
        <w:tab/>
        <w:t>Current relevant MRLs for metrafenone in Table 1 of the MRL Standard</w:t>
      </w:r>
      <w:bookmarkEnd w:id="59"/>
      <w:bookmarkEnd w:id="60"/>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295FC5">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Pr="00C6360C" w:rsidRDefault="007B1953" w:rsidP="00C6360C">
            <w:pPr>
              <w:pStyle w:val="APVMATableHead"/>
            </w:pPr>
            <w:r w:rsidRPr="00C6360C">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Pr="00C6360C" w:rsidRDefault="007B1953" w:rsidP="00C6360C">
            <w:pPr>
              <w:pStyle w:val="APVMATableHead"/>
            </w:pPr>
            <w:r w:rsidRPr="00C6360C">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Pr="00C6360C" w:rsidRDefault="006D36C8" w:rsidP="00C6360C">
            <w:pPr>
              <w:pStyle w:val="APVMATableHead"/>
              <w:jc w:val="right"/>
            </w:pPr>
            <w:r w:rsidRPr="00C6360C">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5E0AC96A" w:rsidR="006D36C8" w:rsidRPr="00C6360C" w:rsidRDefault="00C6360C" w:rsidP="00C6360C">
            <w:pPr>
              <w:pStyle w:val="MRLActiveName"/>
            </w:pPr>
            <w:r w:rsidRPr="00C6360C">
              <w:rPr>
                <w:caps w:val="0"/>
              </w:rPr>
              <w:t>Metrafenone</w:t>
            </w:r>
          </w:p>
        </w:tc>
      </w:tr>
      <w:tr w:rsidR="00AC4DFA" w14:paraId="715F5C64" w14:textId="77777777" w:rsidTr="00E63AC3">
        <w:tc>
          <w:tcPr>
            <w:tcW w:w="1613" w:type="pct"/>
            <w:tcBorders>
              <w:top w:val="single" w:sz="4" w:space="0" w:color="auto"/>
              <w:left w:val="nil"/>
              <w:bottom w:val="single" w:sz="4" w:space="0" w:color="auto"/>
              <w:right w:val="nil"/>
            </w:tcBorders>
          </w:tcPr>
          <w:p w14:paraId="28A95230" w14:textId="530D4015" w:rsidR="00AC4DFA" w:rsidRPr="00C6360C" w:rsidRDefault="00AC4DFA" w:rsidP="00C6360C">
            <w:pPr>
              <w:pStyle w:val="APVMATableText"/>
            </w:pPr>
            <w:r w:rsidRPr="00C6360C">
              <w:t>MO</w:t>
            </w:r>
            <w:r w:rsidRPr="00C6360C">
              <w:tab/>
              <w:t>0105</w:t>
            </w:r>
          </w:p>
        </w:tc>
        <w:tc>
          <w:tcPr>
            <w:tcW w:w="2392" w:type="pct"/>
            <w:tcBorders>
              <w:top w:val="single" w:sz="4" w:space="0" w:color="auto"/>
              <w:left w:val="nil"/>
              <w:bottom w:val="single" w:sz="4" w:space="0" w:color="auto"/>
              <w:right w:val="nil"/>
            </w:tcBorders>
          </w:tcPr>
          <w:p w14:paraId="02C2C240" w14:textId="0FCB551C" w:rsidR="00AC4DFA" w:rsidRPr="00C6360C" w:rsidRDefault="00AC4DFA" w:rsidP="00C6360C">
            <w:pPr>
              <w:pStyle w:val="APVMATableText"/>
            </w:pPr>
            <w:r w:rsidRPr="00C6360C">
              <w:t>Edible offal (mammalian)</w:t>
            </w:r>
          </w:p>
        </w:tc>
        <w:tc>
          <w:tcPr>
            <w:tcW w:w="995" w:type="pct"/>
            <w:tcBorders>
              <w:top w:val="single" w:sz="4" w:space="0" w:color="auto"/>
              <w:left w:val="nil"/>
              <w:bottom w:val="single" w:sz="4" w:space="0" w:color="auto"/>
              <w:right w:val="nil"/>
            </w:tcBorders>
          </w:tcPr>
          <w:p w14:paraId="04A2B751" w14:textId="1C31B499" w:rsidR="00AC4DFA" w:rsidRPr="00C6360C" w:rsidRDefault="00AC4DFA" w:rsidP="00C6360C">
            <w:pPr>
              <w:pStyle w:val="APVMATableText"/>
              <w:jc w:val="right"/>
            </w:pPr>
            <w:r w:rsidRPr="00C6360C">
              <w:t>*0.05</w:t>
            </w:r>
          </w:p>
        </w:tc>
      </w:tr>
      <w:tr w:rsidR="00AC4DFA" w14:paraId="6A796B39" w14:textId="77777777" w:rsidTr="00E63AC3">
        <w:tc>
          <w:tcPr>
            <w:tcW w:w="1613" w:type="pct"/>
            <w:tcBorders>
              <w:top w:val="single" w:sz="4" w:space="0" w:color="auto"/>
              <w:left w:val="nil"/>
              <w:bottom w:val="single" w:sz="4" w:space="0" w:color="auto"/>
              <w:right w:val="nil"/>
            </w:tcBorders>
          </w:tcPr>
          <w:p w14:paraId="7268617A" w14:textId="4A85B973" w:rsidR="00AC4DFA" w:rsidRPr="00C6360C" w:rsidRDefault="00AC4DFA" w:rsidP="00C6360C">
            <w:pPr>
              <w:pStyle w:val="APVMATableText"/>
            </w:pPr>
            <w:r w:rsidRPr="00C6360C">
              <w:t>PE</w:t>
            </w:r>
            <w:r w:rsidRPr="00C6360C">
              <w:tab/>
              <w:t>0112</w:t>
            </w:r>
          </w:p>
        </w:tc>
        <w:tc>
          <w:tcPr>
            <w:tcW w:w="2392" w:type="pct"/>
            <w:tcBorders>
              <w:top w:val="single" w:sz="4" w:space="0" w:color="auto"/>
              <w:left w:val="nil"/>
              <w:bottom w:val="single" w:sz="4" w:space="0" w:color="auto"/>
              <w:right w:val="nil"/>
            </w:tcBorders>
          </w:tcPr>
          <w:p w14:paraId="29706B4D" w14:textId="3247441A" w:rsidR="00AC4DFA" w:rsidRPr="00C6360C" w:rsidRDefault="00AC4DFA" w:rsidP="00C6360C">
            <w:pPr>
              <w:pStyle w:val="APVMATableText"/>
            </w:pPr>
            <w:r w:rsidRPr="00C6360C">
              <w:t>Eggs</w:t>
            </w:r>
          </w:p>
        </w:tc>
        <w:tc>
          <w:tcPr>
            <w:tcW w:w="995" w:type="pct"/>
            <w:tcBorders>
              <w:top w:val="single" w:sz="4" w:space="0" w:color="auto"/>
              <w:left w:val="nil"/>
              <w:bottom w:val="single" w:sz="4" w:space="0" w:color="auto"/>
              <w:right w:val="nil"/>
            </w:tcBorders>
          </w:tcPr>
          <w:p w14:paraId="58D124B0" w14:textId="3F424E1B" w:rsidR="00AC4DFA" w:rsidRPr="00C6360C" w:rsidRDefault="00AC4DFA" w:rsidP="00C6360C">
            <w:pPr>
              <w:pStyle w:val="APVMATableText"/>
              <w:jc w:val="right"/>
            </w:pPr>
            <w:r w:rsidRPr="00C6360C">
              <w:t>*0.05</w:t>
            </w:r>
          </w:p>
        </w:tc>
      </w:tr>
      <w:tr w:rsidR="00AC4DFA" w14:paraId="11012AF1" w14:textId="77777777" w:rsidTr="00E63AC3">
        <w:tc>
          <w:tcPr>
            <w:tcW w:w="1613" w:type="pct"/>
            <w:tcBorders>
              <w:top w:val="single" w:sz="4" w:space="0" w:color="auto"/>
              <w:left w:val="nil"/>
              <w:bottom w:val="single" w:sz="4" w:space="0" w:color="auto"/>
              <w:right w:val="nil"/>
            </w:tcBorders>
          </w:tcPr>
          <w:p w14:paraId="39C15DAF" w14:textId="29C9FDF7" w:rsidR="00AC4DFA" w:rsidRPr="00C6360C" w:rsidRDefault="00AC4DFA" w:rsidP="00C6360C">
            <w:pPr>
              <w:pStyle w:val="APVMATableText"/>
            </w:pPr>
            <w:r w:rsidRPr="00C6360C">
              <w:t>MM</w:t>
            </w:r>
            <w:r w:rsidRPr="00C6360C">
              <w:tab/>
              <w:t>0095</w:t>
            </w:r>
          </w:p>
        </w:tc>
        <w:tc>
          <w:tcPr>
            <w:tcW w:w="2392" w:type="pct"/>
            <w:tcBorders>
              <w:top w:val="single" w:sz="4" w:space="0" w:color="auto"/>
              <w:left w:val="nil"/>
              <w:bottom w:val="single" w:sz="4" w:space="0" w:color="auto"/>
              <w:right w:val="nil"/>
            </w:tcBorders>
          </w:tcPr>
          <w:p w14:paraId="4A33D0E0" w14:textId="11CB4A9E" w:rsidR="00AC4DFA" w:rsidRPr="00C6360C" w:rsidRDefault="00AC4DFA" w:rsidP="00C6360C">
            <w:pPr>
              <w:pStyle w:val="APVMATableText"/>
            </w:pPr>
            <w:r w:rsidRPr="00C6360C">
              <w:t>Meat (mammalian) [in the fat]</w:t>
            </w:r>
          </w:p>
        </w:tc>
        <w:tc>
          <w:tcPr>
            <w:tcW w:w="995" w:type="pct"/>
            <w:tcBorders>
              <w:top w:val="single" w:sz="4" w:space="0" w:color="auto"/>
              <w:left w:val="nil"/>
              <w:bottom w:val="single" w:sz="4" w:space="0" w:color="auto"/>
              <w:right w:val="nil"/>
            </w:tcBorders>
          </w:tcPr>
          <w:p w14:paraId="40E0F419" w14:textId="5604C71A" w:rsidR="00AC4DFA" w:rsidRPr="00C6360C" w:rsidRDefault="00AC4DFA" w:rsidP="00C6360C">
            <w:pPr>
              <w:pStyle w:val="APVMATableText"/>
              <w:jc w:val="right"/>
            </w:pPr>
            <w:r w:rsidRPr="00C6360C">
              <w:t>*0.05</w:t>
            </w:r>
          </w:p>
        </w:tc>
      </w:tr>
      <w:tr w:rsidR="00AC4DFA" w14:paraId="32E965B5" w14:textId="77777777" w:rsidTr="00E63AC3">
        <w:tc>
          <w:tcPr>
            <w:tcW w:w="1613" w:type="pct"/>
            <w:tcBorders>
              <w:top w:val="single" w:sz="4" w:space="0" w:color="auto"/>
              <w:left w:val="nil"/>
              <w:bottom w:val="single" w:sz="4" w:space="0" w:color="auto"/>
              <w:right w:val="nil"/>
            </w:tcBorders>
          </w:tcPr>
          <w:p w14:paraId="052193FF" w14:textId="27AA9657" w:rsidR="00AC4DFA" w:rsidRPr="00C6360C" w:rsidRDefault="00AC4DFA" w:rsidP="00C6360C">
            <w:pPr>
              <w:pStyle w:val="APVMATableText"/>
            </w:pPr>
            <w:r w:rsidRPr="00C6360C">
              <w:t>ML</w:t>
            </w:r>
            <w:r w:rsidRPr="00C6360C">
              <w:tab/>
              <w:t>0106</w:t>
            </w:r>
          </w:p>
        </w:tc>
        <w:tc>
          <w:tcPr>
            <w:tcW w:w="2392" w:type="pct"/>
            <w:tcBorders>
              <w:top w:val="single" w:sz="4" w:space="0" w:color="auto"/>
              <w:left w:val="nil"/>
              <w:bottom w:val="single" w:sz="4" w:space="0" w:color="auto"/>
              <w:right w:val="nil"/>
            </w:tcBorders>
          </w:tcPr>
          <w:p w14:paraId="7437553B" w14:textId="5656547B" w:rsidR="00AC4DFA" w:rsidRPr="00C6360C" w:rsidRDefault="00AC4DFA" w:rsidP="00C6360C">
            <w:pPr>
              <w:pStyle w:val="APVMATableText"/>
            </w:pPr>
            <w:r w:rsidRPr="00C6360C">
              <w:t>Milks</w:t>
            </w:r>
          </w:p>
        </w:tc>
        <w:tc>
          <w:tcPr>
            <w:tcW w:w="995" w:type="pct"/>
            <w:tcBorders>
              <w:top w:val="single" w:sz="4" w:space="0" w:color="auto"/>
              <w:left w:val="nil"/>
              <w:bottom w:val="single" w:sz="4" w:space="0" w:color="auto"/>
              <w:right w:val="nil"/>
            </w:tcBorders>
          </w:tcPr>
          <w:p w14:paraId="09CDB019" w14:textId="682589D0" w:rsidR="00AC4DFA" w:rsidRPr="00C6360C" w:rsidRDefault="00AC4DFA" w:rsidP="00C6360C">
            <w:pPr>
              <w:pStyle w:val="APVMATableText"/>
              <w:jc w:val="right"/>
            </w:pPr>
            <w:r w:rsidRPr="00C6360C">
              <w:t>*0.01</w:t>
            </w:r>
          </w:p>
        </w:tc>
      </w:tr>
      <w:tr w:rsidR="008A0FA5" w14:paraId="2290490B" w14:textId="77777777" w:rsidTr="00E63AC3">
        <w:tc>
          <w:tcPr>
            <w:tcW w:w="1613" w:type="pct"/>
            <w:tcBorders>
              <w:top w:val="single" w:sz="4" w:space="0" w:color="auto"/>
              <w:left w:val="nil"/>
              <w:bottom w:val="single" w:sz="4" w:space="0" w:color="auto"/>
              <w:right w:val="nil"/>
            </w:tcBorders>
          </w:tcPr>
          <w:p w14:paraId="7A263262" w14:textId="7773B98F" w:rsidR="008A0FA5" w:rsidRPr="00C6360C" w:rsidRDefault="008A0FA5" w:rsidP="00C6360C">
            <w:pPr>
              <w:pStyle w:val="APVMATableText"/>
            </w:pPr>
            <w:r w:rsidRPr="00C6360C">
              <w:t>PM</w:t>
            </w:r>
            <w:r w:rsidRPr="00C6360C">
              <w:tab/>
              <w:t>0110</w:t>
            </w:r>
          </w:p>
        </w:tc>
        <w:tc>
          <w:tcPr>
            <w:tcW w:w="2392" w:type="pct"/>
            <w:tcBorders>
              <w:top w:val="single" w:sz="4" w:space="0" w:color="auto"/>
              <w:left w:val="nil"/>
              <w:bottom w:val="single" w:sz="4" w:space="0" w:color="auto"/>
              <w:right w:val="nil"/>
            </w:tcBorders>
          </w:tcPr>
          <w:p w14:paraId="2667C6ED" w14:textId="2DA2AAF2" w:rsidR="008A0FA5" w:rsidRPr="00C6360C" w:rsidRDefault="008A0FA5" w:rsidP="00C6360C">
            <w:pPr>
              <w:pStyle w:val="APVMATableText"/>
            </w:pPr>
            <w:r w:rsidRPr="00C6360C">
              <w:t>Poultry meat [in the fat]</w:t>
            </w:r>
          </w:p>
        </w:tc>
        <w:tc>
          <w:tcPr>
            <w:tcW w:w="995" w:type="pct"/>
            <w:tcBorders>
              <w:top w:val="single" w:sz="4" w:space="0" w:color="auto"/>
              <w:left w:val="nil"/>
              <w:bottom w:val="single" w:sz="4" w:space="0" w:color="auto"/>
              <w:right w:val="nil"/>
            </w:tcBorders>
          </w:tcPr>
          <w:p w14:paraId="7647262B" w14:textId="5484D377" w:rsidR="008A0FA5" w:rsidRPr="00C6360C" w:rsidRDefault="008A0FA5" w:rsidP="00C6360C">
            <w:pPr>
              <w:pStyle w:val="APVMATableText"/>
              <w:jc w:val="right"/>
            </w:pPr>
            <w:r w:rsidRPr="00C6360C">
              <w:t>*0.05</w:t>
            </w:r>
          </w:p>
        </w:tc>
      </w:tr>
      <w:tr w:rsidR="00AC4DFA" w14:paraId="2F48A3F1" w14:textId="77777777" w:rsidTr="00E63AC3">
        <w:tc>
          <w:tcPr>
            <w:tcW w:w="1613" w:type="pct"/>
            <w:tcBorders>
              <w:top w:val="single" w:sz="4" w:space="0" w:color="auto"/>
              <w:left w:val="nil"/>
              <w:bottom w:val="single" w:sz="4" w:space="0" w:color="auto"/>
              <w:right w:val="nil"/>
            </w:tcBorders>
          </w:tcPr>
          <w:p w14:paraId="3EEF9431" w14:textId="4E10AA4C" w:rsidR="00AC4DFA" w:rsidRPr="00C6360C" w:rsidRDefault="00AC4DFA" w:rsidP="00C6360C">
            <w:pPr>
              <w:pStyle w:val="APVMATableText"/>
            </w:pPr>
            <w:r w:rsidRPr="00C6360C">
              <w:t>PO</w:t>
            </w:r>
            <w:r w:rsidRPr="00C6360C">
              <w:tab/>
              <w:t>0111</w:t>
            </w:r>
          </w:p>
        </w:tc>
        <w:tc>
          <w:tcPr>
            <w:tcW w:w="2392" w:type="pct"/>
            <w:tcBorders>
              <w:top w:val="single" w:sz="4" w:space="0" w:color="auto"/>
              <w:left w:val="nil"/>
              <w:bottom w:val="single" w:sz="4" w:space="0" w:color="auto"/>
              <w:right w:val="nil"/>
            </w:tcBorders>
          </w:tcPr>
          <w:p w14:paraId="0814E190" w14:textId="7061FFBF" w:rsidR="00AC4DFA" w:rsidRPr="00C6360C" w:rsidRDefault="00AC4DFA" w:rsidP="00C6360C">
            <w:pPr>
              <w:pStyle w:val="APVMATableText"/>
            </w:pPr>
            <w:r w:rsidRPr="00C6360C">
              <w:t>Poultry, edible offal of</w:t>
            </w:r>
          </w:p>
        </w:tc>
        <w:tc>
          <w:tcPr>
            <w:tcW w:w="995" w:type="pct"/>
            <w:tcBorders>
              <w:top w:val="single" w:sz="4" w:space="0" w:color="auto"/>
              <w:left w:val="nil"/>
              <w:bottom w:val="single" w:sz="4" w:space="0" w:color="auto"/>
              <w:right w:val="nil"/>
            </w:tcBorders>
          </w:tcPr>
          <w:p w14:paraId="241E08E9" w14:textId="7A9D2FEE" w:rsidR="00AC4DFA" w:rsidRPr="00C6360C" w:rsidRDefault="00AC4DFA" w:rsidP="00C6360C">
            <w:pPr>
              <w:pStyle w:val="APVMATableText"/>
              <w:jc w:val="right"/>
            </w:pPr>
            <w:r w:rsidRPr="00C6360C">
              <w:t>*0.05</w:t>
            </w:r>
          </w:p>
        </w:tc>
      </w:tr>
    </w:tbl>
    <w:p w14:paraId="6E0098FD" w14:textId="7AE9D02D" w:rsidR="00AC4DFA" w:rsidRPr="00C6360C" w:rsidRDefault="00AC4DFA" w:rsidP="00C6360C">
      <w:pPr>
        <w:pStyle w:val="Caption"/>
      </w:pPr>
      <w:bookmarkStart w:id="62" w:name="_Toc113948419"/>
      <w:bookmarkStart w:id="63" w:name="_Toc126320541"/>
      <w:bookmarkStart w:id="64" w:name="_Toc252955171"/>
      <w:r w:rsidRPr="00C6360C">
        <w:t xml:space="preserve">Table </w:t>
      </w:r>
      <w:fldSimple w:instr=" SEQ Table \* ARABIC ">
        <w:r w:rsidR="00C6360C">
          <w:rPr>
            <w:noProof/>
          </w:rPr>
          <w:t>4</w:t>
        </w:r>
      </w:fldSimple>
      <w:r w:rsidRPr="00C6360C">
        <w:t>:</w:t>
      </w:r>
      <w:r w:rsidRPr="00C6360C">
        <w:tab/>
        <w:t xml:space="preserve">Amendments to Table 1 of the MRL Standard for </w:t>
      </w:r>
      <w:bookmarkEnd w:id="62"/>
      <w:r w:rsidRPr="00C6360C">
        <w:t>metrafenone</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AC4DFA" w14:paraId="30595C7B" w14:textId="77777777" w:rsidTr="00295FC5">
        <w:trPr>
          <w:cantSplit/>
          <w:tblHeader/>
        </w:trPr>
        <w:tc>
          <w:tcPr>
            <w:tcW w:w="1613" w:type="pct"/>
            <w:tcBorders>
              <w:top w:val="single" w:sz="4" w:space="0" w:color="auto"/>
              <w:left w:val="nil"/>
              <w:bottom w:val="single" w:sz="4" w:space="0" w:color="auto"/>
              <w:right w:val="nil"/>
            </w:tcBorders>
            <w:shd w:val="clear" w:color="auto" w:fill="00747A" w:themeFill="background2"/>
          </w:tcPr>
          <w:p w14:paraId="27FA17ED" w14:textId="77777777" w:rsidR="00AC4DFA" w:rsidRPr="00C6360C" w:rsidRDefault="00AC4DFA" w:rsidP="00C6360C">
            <w:pPr>
              <w:pStyle w:val="APVMATableHead"/>
            </w:pPr>
            <w:r w:rsidRPr="00C6360C">
              <w:t>Compound</w:t>
            </w:r>
          </w:p>
        </w:tc>
        <w:tc>
          <w:tcPr>
            <w:tcW w:w="2392" w:type="pct"/>
            <w:tcBorders>
              <w:top w:val="single" w:sz="4" w:space="0" w:color="auto"/>
              <w:left w:val="nil"/>
              <w:bottom w:val="single" w:sz="4" w:space="0" w:color="auto"/>
              <w:right w:val="nil"/>
            </w:tcBorders>
            <w:shd w:val="clear" w:color="auto" w:fill="00747A" w:themeFill="background2"/>
          </w:tcPr>
          <w:p w14:paraId="407495DF" w14:textId="77777777" w:rsidR="00AC4DFA" w:rsidRPr="00C6360C" w:rsidRDefault="00AC4DFA" w:rsidP="00C6360C">
            <w:pPr>
              <w:pStyle w:val="APVMATableHead"/>
            </w:pPr>
            <w:r w:rsidRPr="00C6360C">
              <w:t>Food</w:t>
            </w:r>
          </w:p>
        </w:tc>
        <w:tc>
          <w:tcPr>
            <w:tcW w:w="995" w:type="pct"/>
            <w:tcBorders>
              <w:top w:val="single" w:sz="4" w:space="0" w:color="auto"/>
              <w:left w:val="nil"/>
              <w:bottom w:val="single" w:sz="4" w:space="0" w:color="auto"/>
              <w:right w:val="nil"/>
            </w:tcBorders>
            <w:shd w:val="clear" w:color="auto" w:fill="00747A" w:themeFill="background2"/>
          </w:tcPr>
          <w:p w14:paraId="53A65D62" w14:textId="77777777" w:rsidR="00AC4DFA" w:rsidRPr="00C6360C" w:rsidRDefault="00AC4DFA" w:rsidP="00C6360C">
            <w:pPr>
              <w:pStyle w:val="APVMATableHead"/>
              <w:jc w:val="right"/>
            </w:pPr>
            <w:r w:rsidRPr="00C6360C">
              <w:t>MRL (mg/kg)</w:t>
            </w:r>
          </w:p>
        </w:tc>
      </w:tr>
      <w:tr w:rsidR="00AC4DFA" w14:paraId="2DFE21F2" w14:textId="77777777" w:rsidTr="00040EBB">
        <w:trPr>
          <w:cantSplit/>
        </w:trPr>
        <w:tc>
          <w:tcPr>
            <w:tcW w:w="5000" w:type="pct"/>
            <w:gridSpan w:val="3"/>
            <w:tcBorders>
              <w:top w:val="single" w:sz="4" w:space="0" w:color="auto"/>
              <w:left w:val="nil"/>
              <w:bottom w:val="single" w:sz="4" w:space="0" w:color="auto"/>
              <w:right w:val="nil"/>
            </w:tcBorders>
          </w:tcPr>
          <w:p w14:paraId="6F3DB964" w14:textId="699C2EA1" w:rsidR="00AC4DFA" w:rsidRDefault="00AC4DFA" w:rsidP="00040EBB">
            <w:pPr>
              <w:pStyle w:val="MRLActiveName"/>
            </w:pPr>
            <w:r>
              <w:rPr>
                <w:caps w:val="0"/>
              </w:rPr>
              <w:t>Metrafenone</w:t>
            </w:r>
          </w:p>
        </w:tc>
      </w:tr>
      <w:tr w:rsidR="00AC4DFA" w14:paraId="6910AFB0" w14:textId="77777777" w:rsidTr="00040EBB">
        <w:trPr>
          <w:cantSplit/>
        </w:trPr>
        <w:tc>
          <w:tcPr>
            <w:tcW w:w="1613" w:type="pct"/>
            <w:tcBorders>
              <w:top w:val="single" w:sz="4" w:space="0" w:color="auto"/>
              <w:left w:val="nil"/>
              <w:bottom w:val="single" w:sz="4" w:space="0" w:color="auto"/>
              <w:right w:val="nil"/>
            </w:tcBorders>
          </w:tcPr>
          <w:p w14:paraId="0048E0C4" w14:textId="77777777" w:rsidR="00AC4DFA" w:rsidRPr="00C6360C" w:rsidRDefault="00AC4DFA" w:rsidP="00C6360C">
            <w:pPr>
              <w:pStyle w:val="APVMATableText"/>
            </w:pPr>
            <w:r w:rsidRPr="00C6360C">
              <w:t>Add:</w:t>
            </w:r>
          </w:p>
        </w:tc>
        <w:tc>
          <w:tcPr>
            <w:tcW w:w="2392" w:type="pct"/>
            <w:tcBorders>
              <w:top w:val="single" w:sz="4" w:space="0" w:color="auto"/>
              <w:left w:val="nil"/>
              <w:bottom w:val="single" w:sz="4" w:space="0" w:color="auto"/>
              <w:right w:val="nil"/>
            </w:tcBorders>
          </w:tcPr>
          <w:p w14:paraId="06E36678" w14:textId="77777777" w:rsidR="00AC4DFA" w:rsidRPr="00C6360C" w:rsidRDefault="00AC4DFA" w:rsidP="00C6360C">
            <w:pPr>
              <w:pStyle w:val="APVMATableText"/>
            </w:pPr>
          </w:p>
        </w:tc>
        <w:tc>
          <w:tcPr>
            <w:tcW w:w="995" w:type="pct"/>
            <w:tcBorders>
              <w:top w:val="single" w:sz="4" w:space="0" w:color="auto"/>
              <w:left w:val="nil"/>
              <w:bottom w:val="single" w:sz="4" w:space="0" w:color="auto"/>
              <w:right w:val="nil"/>
            </w:tcBorders>
          </w:tcPr>
          <w:p w14:paraId="5CDEC3F7" w14:textId="77777777" w:rsidR="00AC4DFA" w:rsidRPr="00C6360C" w:rsidRDefault="00AC4DFA" w:rsidP="00C6360C">
            <w:pPr>
              <w:pStyle w:val="APVMATableText"/>
              <w:jc w:val="right"/>
            </w:pPr>
          </w:p>
        </w:tc>
      </w:tr>
      <w:tr w:rsidR="00AC4DFA" w14:paraId="29F70FEA" w14:textId="77777777" w:rsidTr="00040EBB">
        <w:trPr>
          <w:cantSplit/>
        </w:trPr>
        <w:tc>
          <w:tcPr>
            <w:tcW w:w="1613" w:type="pct"/>
            <w:tcBorders>
              <w:top w:val="single" w:sz="4" w:space="0" w:color="auto"/>
              <w:left w:val="nil"/>
              <w:bottom w:val="single" w:sz="4" w:space="0" w:color="auto"/>
              <w:right w:val="nil"/>
            </w:tcBorders>
          </w:tcPr>
          <w:p w14:paraId="4030E31B" w14:textId="51DF6DF5" w:rsidR="00AC4DFA" w:rsidRPr="00C6360C" w:rsidRDefault="00AC4DFA" w:rsidP="00C6360C">
            <w:pPr>
              <w:pStyle w:val="APVMATableText"/>
            </w:pPr>
            <w:r w:rsidRPr="00C6360C">
              <w:t>GC</w:t>
            </w:r>
            <w:r w:rsidRPr="00C6360C">
              <w:tab/>
              <w:t>0654</w:t>
            </w:r>
          </w:p>
        </w:tc>
        <w:tc>
          <w:tcPr>
            <w:tcW w:w="2392" w:type="pct"/>
            <w:tcBorders>
              <w:top w:val="single" w:sz="4" w:space="0" w:color="auto"/>
              <w:left w:val="nil"/>
              <w:bottom w:val="single" w:sz="4" w:space="0" w:color="auto"/>
              <w:right w:val="nil"/>
            </w:tcBorders>
          </w:tcPr>
          <w:p w14:paraId="2E85596D" w14:textId="1448FDFB" w:rsidR="00AC4DFA" w:rsidRPr="00C6360C" w:rsidRDefault="00AC4DFA" w:rsidP="00C6360C">
            <w:pPr>
              <w:pStyle w:val="APVMATableText"/>
            </w:pPr>
            <w:r w:rsidRPr="00C6360C">
              <w:rPr>
                <w:rFonts w:eastAsia="Calibri"/>
              </w:rPr>
              <w:t>Wheat</w:t>
            </w:r>
          </w:p>
        </w:tc>
        <w:tc>
          <w:tcPr>
            <w:tcW w:w="995" w:type="pct"/>
            <w:tcBorders>
              <w:top w:val="single" w:sz="4" w:space="0" w:color="auto"/>
              <w:left w:val="nil"/>
              <w:bottom w:val="single" w:sz="4" w:space="0" w:color="auto"/>
              <w:right w:val="nil"/>
            </w:tcBorders>
          </w:tcPr>
          <w:p w14:paraId="4CC48389" w14:textId="5CD28078" w:rsidR="00AC4DFA" w:rsidRPr="00C6360C" w:rsidRDefault="00AC4DFA" w:rsidP="00C6360C">
            <w:pPr>
              <w:pStyle w:val="APVMATableText"/>
              <w:jc w:val="right"/>
            </w:pPr>
            <w:r w:rsidRPr="00C6360C">
              <w:t>T0.06</w:t>
            </w:r>
          </w:p>
        </w:tc>
      </w:tr>
      <w:tr w:rsidR="00AC4DFA" w14:paraId="1F37E9BC" w14:textId="77777777" w:rsidTr="00040EBB">
        <w:trPr>
          <w:cantSplit/>
        </w:trPr>
        <w:tc>
          <w:tcPr>
            <w:tcW w:w="1613" w:type="pct"/>
            <w:tcBorders>
              <w:top w:val="single" w:sz="4" w:space="0" w:color="auto"/>
              <w:left w:val="nil"/>
              <w:bottom w:val="single" w:sz="4" w:space="0" w:color="auto"/>
              <w:right w:val="nil"/>
            </w:tcBorders>
          </w:tcPr>
          <w:p w14:paraId="1FD5F555" w14:textId="3B4736AB" w:rsidR="00AC4DFA" w:rsidRPr="00C6360C" w:rsidRDefault="00AC4DFA" w:rsidP="00C6360C">
            <w:pPr>
              <w:pStyle w:val="APVMATableText"/>
            </w:pPr>
            <w:r w:rsidRPr="00C6360C">
              <w:t>CF</w:t>
            </w:r>
            <w:r w:rsidRPr="00C6360C">
              <w:tab/>
              <w:t>0654</w:t>
            </w:r>
          </w:p>
        </w:tc>
        <w:tc>
          <w:tcPr>
            <w:tcW w:w="2392" w:type="pct"/>
            <w:tcBorders>
              <w:top w:val="single" w:sz="4" w:space="0" w:color="auto"/>
              <w:left w:val="nil"/>
              <w:bottom w:val="single" w:sz="4" w:space="0" w:color="auto"/>
              <w:right w:val="nil"/>
            </w:tcBorders>
          </w:tcPr>
          <w:p w14:paraId="6E317F83" w14:textId="1852737C" w:rsidR="00AC4DFA" w:rsidRPr="00C6360C" w:rsidRDefault="00AC4DFA" w:rsidP="00C6360C">
            <w:pPr>
              <w:pStyle w:val="APVMATableText"/>
            </w:pPr>
            <w:r w:rsidRPr="00C6360C">
              <w:t>Wheat bran, processed</w:t>
            </w:r>
          </w:p>
        </w:tc>
        <w:tc>
          <w:tcPr>
            <w:tcW w:w="995" w:type="pct"/>
            <w:tcBorders>
              <w:top w:val="single" w:sz="4" w:space="0" w:color="auto"/>
              <w:left w:val="nil"/>
              <w:bottom w:val="single" w:sz="4" w:space="0" w:color="auto"/>
              <w:right w:val="nil"/>
            </w:tcBorders>
          </w:tcPr>
          <w:p w14:paraId="7BF5C949" w14:textId="68572366" w:rsidR="00AC4DFA" w:rsidRPr="00C6360C" w:rsidRDefault="00AC4DFA" w:rsidP="00C6360C">
            <w:pPr>
              <w:pStyle w:val="APVMATableText"/>
              <w:jc w:val="right"/>
            </w:pPr>
            <w:r w:rsidRPr="00C6360C">
              <w:t>T0.3</w:t>
            </w:r>
          </w:p>
        </w:tc>
      </w:tr>
    </w:tbl>
    <w:p w14:paraId="2F35C17E" w14:textId="0CE585F1" w:rsidR="00AC4DFA" w:rsidRPr="00C6360C" w:rsidRDefault="00AC4DFA" w:rsidP="00C6360C">
      <w:pPr>
        <w:pStyle w:val="Caption"/>
      </w:pPr>
      <w:bookmarkStart w:id="65" w:name="_Toc113948420"/>
      <w:bookmarkStart w:id="66" w:name="_Toc126320542"/>
      <w:r w:rsidRPr="00C6360C">
        <w:t xml:space="preserve">Table </w:t>
      </w:r>
      <w:fldSimple w:instr=" SEQ Table \* ARABIC ">
        <w:r w:rsidR="00C6360C">
          <w:rPr>
            <w:noProof/>
          </w:rPr>
          <w:t>5</w:t>
        </w:r>
      </w:fldSimple>
      <w:r w:rsidRPr="00C6360C">
        <w:t>:</w:t>
      </w:r>
      <w:r w:rsidRPr="00C6360C">
        <w:tab/>
        <w:t xml:space="preserve">Amendments to Table 4 of the MRL Standard for </w:t>
      </w:r>
      <w:bookmarkEnd w:id="65"/>
      <w:r w:rsidRPr="00C6360C">
        <w:t>metrafenone</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AC4DFA" w14:paraId="207B8195" w14:textId="77777777" w:rsidTr="00295FC5">
        <w:trPr>
          <w:cantSplit/>
          <w:tblHeader/>
        </w:trPr>
        <w:tc>
          <w:tcPr>
            <w:tcW w:w="1613" w:type="pct"/>
            <w:tcBorders>
              <w:top w:val="single" w:sz="4" w:space="0" w:color="auto"/>
              <w:left w:val="nil"/>
              <w:bottom w:val="single" w:sz="4" w:space="0" w:color="auto"/>
              <w:right w:val="nil"/>
            </w:tcBorders>
            <w:shd w:val="clear" w:color="auto" w:fill="00747A" w:themeFill="background2"/>
          </w:tcPr>
          <w:p w14:paraId="3C4CD9A9" w14:textId="77777777" w:rsidR="00AC4DFA" w:rsidRPr="00C6360C" w:rsidRDefault="00AC4DFA" w:rsidP="00C6360C">
            <w:pPr>
              <w:pStyle w:val="APVMATableHead"/>
            </w:pPr>
            <w:r w:rsidRPr="00C6360C">
              <w:t>Compound</w:t>
            </w:r>
          </w:p>
        </w:tc>
        <w:tc>
          <w:tcPr>
            <w:tcW w:w="2392" w:type="pct"/>
            <w:tcBorders>
              <w:top w:val="single" w:sz="4" w:space="0" w:color="auto"/>
              <w:left w:val="nil"/>
              <w:bottom w:val="single" w:sz="4" w:space="0" w:color="auto"/>
              <w:right w:val="nil"/>
            </w:tcBorders>
            <w:shd w:val="clear" w:color="auto" w:fill="00747A" w:themeFill="background2"/>
          </w:tcPr>
          <w:p w14:paraId="6B470EE5" w14:textId="77777777" w:rsidR="00AC4DFA" w:rsidRPr="00C6360C" w:rsidRDefault="00AC4DFA" w:rsidP="00C6360C">
            <w:pPr>
              <w:pStyle w:val="APVMATableHead"/>
            </w:pPr>
            <w:r w:rsidRPr="00C6360C">
              <w:t>Food</w:t>
            </w:r>
          </w:p>
        </w:tc>
        <w:tc>
          <w:tcPr>
            <w:tcW w:w="995" w:type="pct"/>
            <w:tcBorders>
              <w:top w:val="single" w:sz="4" w:space="0" w:color="auto"/>
              <w:left w:val="nil"/>
              <w:bottom w:val="single" w:sz="4" w:space="0" w:color="auto"/>
              <w:right w:val="nil"/>
            </w:tcBorders>
            <w:shd w:val="clear" w:color="auto" w:fill="00747A" w:themeFill="background2"/>
          </w:tcPr>
          <w:p w14:paraId="2013539D" w14:textId="77777777" w:rsidR="00AC4DFA" w:rsidRPr="00C6360C" w:rsidRDefault="00AC4DFA" w:rsidP="00C6360C">
            <w:pPr>
              <w:pStyle w:val="APVMATableHead"/>
            </w:pPr>
            <w:r w:rsidRPr="00C6360C">
              <w:t>MRL (mg/kg)</w:t>
            </w:r>
          </w:p>
        </w:tc>
      </w:tr>
      <w:tr w:rsidR="00AC4DFA" w14:paraId="1B27DCF0" w14:textId="77777777" w:rsidTr="00040EBB">
        <w:trPr>
          <w:cantSplit/>
        </w:trPr>
        <w:tc>
          <w:tcPr>
            <w:tcW w:w="5000" w:type="pct"/>
            <w:gridSpan w:val="3"/>
            <w:tcBorders>
              <w:top w:val="single" w:sz="4" w:space="0" w:color="auto"/>
              <w:left w:val="nil"/>
              <w:bottom w:val="single" w:sz="4" w:space="0" w:color="auto"/>
              <w:right w:val="nil"/>
            </w:tcBorders>
          </w:tcPr>
          <w:p w14:paraId="3D26F8E9" w14:textId="17A07EF8" w:rsidR="00AC4DFA" w:rsidRPr="00C6360C" w:rsidRDefault="00C6360C" w:rsidP="00C6360C">
            <w:pPr>
              <w:pStyle w:val="MRLActiveName"/>
            </w:pPr>
            <w:r w:rsidRPr="00C6360C">
              <w:rPr>
                <w:caps w:val="0"/>
              </w:rPr>
              <w:t>Metrafenone</w:t>
            </w:r>
          </w:p>
        </w:tc>
      </w:tr>
      <w:tr w:rsidR="00AC4DFA" w14:paraId="6ADA4025" w14:textId="77777777" w:rsidTr="00040EBB">
        <w:trPr>
          <w:cantSplit/>
        </w:trPr>
        <w:tc>
          <w:tcPr>
            <w:tcW w:w="1613" w:type="pct"/>
            <w:tcBorders>
              <w:top w:val="single" w:sz="4" w:space="0" w:color="auto"/>
              <w:left w:val="nil"/>
              <w:bottom w:val="single" w:sz="4" w:space="0" w:color="auto"/>
              <w:right w:val="nil"/>
            </w:tcBorders>
          </w:tcPr>
          <w:p w14:paraId="635391F1" w14:textId="77777777" w:rsidR="00AC4DFA" w:rsidRPr="00C6360C" w:rsidRDefault="00AC4DFA" w:rsidP="00C6360C">
            <w:pPr>
              <w:pStyle w:val="APVMATableText"/>
            </w:pPr>
            <w:r w:rsidRPr="00C6360C">
              <w:t>Add:</w:t>
            </w:r>
          </w:p>
        </w:tc>
        <w:tc>
          <w:tcPr>
            <w:tcW w:w="2392" w:type="pct"/>
            <w:tcBorders>
              <w:top w:val="single" w:sz="4" w:space="0" w:color="auto"/>
              <w:left w:val="nil"/>
              <w:bottom w:val="single" w:sz="4" w:space="0" w:color="auto"/>
              <w:right w:val="nil"/>
            </w:tcBorders>
          </w:tcPr>
          <w:p w14:paraId="1812B194" w14:textId="77777777" w:rsidR="00AC4DFA" w:rsidRPr="00C6360C" w:rsidRDefault="00AC4DFA" w:rsidP="00C6360C">
            <w:pPr>
              <w:pStyle w:val="APVMATableText"/>
            </w:pPr>
          </w:p>
        </w:tc>
        <w:tc>
          <w:tcPr>
            <w:tcW w:w="995" w:type="pct"/>
            <w:tcBorders>
              <w:top w:val="single" w:sz="4" w:space="0" w:color="auto"/>
              <w:left w:val="nil"/>
              <w:bottom w:val="single" w:sz="4" w:space="0" w:color="auto"/>
              <w:right w:val="nil"/>
            </w:tcBorders>
          </w:tcPr>
          <w:p w14:paraId="20334B3E" w14:textId="77777777" w:rsidR="00AC4DFA" w:rsidRPr="00C6360C" w:rsidRDefault="00AC4DFA" w:rsidP="00C6360C">
            <w:pPr>
              <w:pStyle w:val="APVMATableText"/>
              <w:jc w:val="right"/>
            </w:pPr>
          </w:p>
        </w:tc>
      </w:tr>
      <w:tr w:rsidR="00AC4DFA" w14:paraId="616E7158" w14:textId="77777777" w:rsidTr="00040EBB">
        <w:trPr>
          <w:cantSplit/>
        </w:trPr>
        <w:tc>
          <w:tcPr>
            <w:tcW w:w="1613" w:type="pct"/>
            <w:tcBorders>
              <w:top w:val="single" w:sz="4" w:space="0" w:color="auto"/>
              <w:left w:val="nil"/>
              <w:bottom w:val="single" w:sz="4" w:space="0" w:color="auto"/>
              <w:right w:val="nil"/>
            </w:tcBorders>
          </w:tcPr>
          <w:p w14:paraId="51DBB53D" w14:textId="77777777" w:rsidR="00AC4DFA" w:rsidRPr="00C6360C" w:rsidRDefault="00AC4DFA" w:rsidP="00C6360C">
            <w:pPr>
              <w:pStyle w:val="APVMATableText"/>
            </w:pPr>
          </w:p>
        </w:tc>
        <w:tc>
          <w:tcPr>
            <w:tcW w:w="2392" w:type="pct"/>
            <w:tcBorders>
              <w:top w:val="single" w:sz="4" w:space="0" w:color="auto"/>
              <w:left w:val="nil"/>
              <w:bottom w:val="single" w:sz="4" w:space="0" w:color="auto"/>
              <w:right w:val="nil"/>
            </w:tcBorders>
          </w:tcPr>
          <w:p w14:paraId="74C4D147" w14:textId="29EC0541" w:rsidR="00AC4DFA" w:rsidRPr="00C6360C" w:rsidRDefault="00AC4DFA" w:rsidP="00C6360C">
            <w:pPr>
              <w:pStyle w:val="APVMATableText"/>
            </w:pPr>
            <w:r w:rsidRPr="00C6360C">
              <w:t>Wheat forage</w:t>
            </w:r>
          </w:p>
        </w:tc>
        <w:tc>
          <w:tcPr>
            <w:tcW w:w="995" w:type="pct"/>
            <w:tcBorders>
              <w:top w:val="single" w:sz="4" w:space="0" w:color="auto"/>
              <w:left w:val="nil"/>
              <w:bottom w:val="single" w:sz="4" w:space="0" w:color="auto"/>
              <w:right w:val="nil"/>
            </w:tcBorders>
          </w:tcPr>
          <w:p w14:paraId="3D9D951E" w14:textId="2DE70455" w:rsidR="00AC4DFA" w:rsidRPr="00C6360C" w:rsidRDefault="00AC4DFA" w:rsidP="00C6360C">
            <w:pPr>
              <w:pStyle w:val="APVMATableText"/>
              <w:jc w:val="right"/>
            </w:pPr>
            <w:r w:rsidRPr="00C6360C">
              <w:t>T40</w:t>
            </w:r>
          </w:p>
        </w:tc>
      </w:tr>
      <w:tr w:rsidR="00AC4DFA" w14:paraId="064283AD" w14:textId="77777777" w:rsidTr="00040EBB">
        <w:trPr>
          <w:cantSplit/>
        </w:trPr>
        <w:tc>
          <w:tcPr>
            <w:tcW w:w="1613" w:type="pct"/>
            <w:tcBorders>
              <w:top w:val="single" w:sz="4" w:space="0" w:color="auto"/>
              <w:left w:val="nil"/>
              <w:bottom w:val="single" w:sz="4" w:space="0" w:color="auto"/>
              <w:right w:val="nil"/>
            </w:tcBorders>
          </w:tcPr>
          <w:p w14:paraId="64FF27D1" w14:textId="2AFAF280" w:rsidR="00AC4DFA" w:rsidRPr="00C6360C" w:rsidRDefault="00AC4DFA" w:rsidP="00C6360C">
            <w:pPr>
              <w:pStyle w:val="APVMATableText"/>
            </w:pPr>
            <w:r w:rsidRPr="00C6360C">
              <w:t>AS</w:t>
            </w:r>
            <w:r w:rsidRPr="00C6360C">
              <w:tab/>
              <w:t>0654</w:t>
            </w:r>
          </w:p>
        </w:tc>
        <w:tc>
          <w:tcPr>
            <w:tcW w:w="2392" w:type="pct"/>
            <w:tcBorders>
              <w:top w:val="single" w:sz="4" w:space="0" w:color="auto"/>
              <w:left w:val="nil"/>
              <w:bottom w:val="single" w:sz="4" w:space="0" w:color="auto"/>
              <w:right w:val="nil"/>
            </w:tcBorders>
          </w:tcPr>
          <w:p w14:paraId="2BA75784" w14:textId="4390BF8C" w:rsidR="00AC4DFA" w:rsidRPr="00C6360C" w:rsidRDefault="00AC4DFA" w:rsidP="00C6360C">
            <w:pPr>
              <w:pStyle w:val="APVMATableText"/>
            </w:pPr>
            <w:r w:rsidRPr="00C6360C">
              <w:t>Wheat straw and fodder, dry</w:t>
            </w:r>
          </w:p>
        </w:tc>
        <w:tc>
          <w:tcPr>
            <w:tcW w:w="995" w:type="pct"/>
            <w:tcBorders>
              <w:top w:val="single" w:sz="4" w:space="0" w:color="auto"/>
              <w:left w:val="nil"/>
              <w:bottom w:val="single" w:sz="4" w:space="0" w:color="auto"/>
              <w:right w:val="nil"/>
            </w:tcBorders>
          </w:tcPr>
          <w:p w14:paraId="4DD52D95" w14:textId="4DCEDA88" w:rsidR="00AC4DFA" w:rsidRPr="00C6360C" w:rsidRDefault="00AC4DFA" w:rsidP="00C6360C">
            <w:pPr>
              <w:pStyle w:val="APVMATableText"/>
              <w:jc w:val="right"/>
            </w:pPr>
            <w:r w:rsidRPr="00C6360C">
              <w:t>T10</w:t>
            </w:r>
          </w:p>
        </w:tc>
      </w:tr>
    </w:tbl>
    <w:p w14:paraId="03A805B1" w14:textId="77777777" w:rsidR="00C6360C" w:rsidRPr="00C6360C" w:rsidRDefault="00C6360C" w:rsidP="00C6360C">
      <w:pPr>
        <w:pStyle w:val="APVMATableText"/>
      </w:pPr>
      <w:bookmarkStart w:id="67" w:name="_Toc231889751"/>
      <w:bookmarkStart w:id="68" w:name="_Toc2243854"/>
      <w:bookmarkEnd w:id="64"/>
      <w:r>
        <w:br w:type="page"/>
      </w:r>
    </w:p>
    <w:p w14:paraId="4C2CDEF6" w14:textId="2A25B546" w:rsidR="006D36C8" w:rsidRPr="00C6360C" w:rsidRDefault="006D36C8" w:rsidP="00C6360C">
      <w:pPr>
        <w:pStyle w:val="Heading2"/>
      </w:pPr>
      <w:bookmarkStart w:id="69" w:name="_Toc126320535"/>
      <w:r w:rsidRPr="00C6360C">
        <w:lastRenderedPageBreak/>
        <w:t>Potential risk to trade</w:t>
      </w:r>
      <w:bookmarkEnd w:id="67"/>
      <w:bookmarkEnd w:id="68"/>
      <w:bookmarkEnd w:id="69"/>
    </w:p>
    <w:p w14:paraId="1D4B88BA" w14:textId="79E8E90A" w:rsidR="004B08A6" w:rsidRPr="00C6360C" w:rsidRDefault="004B08A6" w:rsidP="00C6360C">
      <w:pPr>
        <w:pStyle w:val="APVMAText"/>
      </w:pPr>
      <w:r w:rsidRPr="00C6360C">
        <w:t>Export of treated produce containing finite (measurable) residues of metrafenone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75C9121F" w14:textId="41C0E0B5" w:rsidR="004B08A6" w:rsidRPr="00C6360C" w:rsidRDefault="004B08A6" w:rsidP="00C6360C">
      <w:pPr>
        <w:pStyle w:val="Heading3"/>
      </w:pPr>
      <w:bookmarkStart w:id="70" w:name="_Toc126320536"/>
      <w:r w:rsidRPr="00C6360C">
        <w:t>Wheat</w:t>
      </w:r>
      <w:bookmarkEnd w:id="70"/>
    </w:p>
    <w:p w14:paraId="56838E72" w14:textId="6BAE2BE2" w:rsidR="004B08A6" w:rsidRPr="00C6360C" w:rsidRDefault="004B08A6" w:rsidP="00C6360C">
      <w:pPr>
        <w:pStyle w:val="APVMAText"/>
      </w:pPr>
      <w:r w:rsidRPr="00C6360C">
        <w:t>The proposed use</w:t>
      </w:r>
      <w:r w:rsidR="003A36F5" w:rsidRPr="00C6360C">
        <w:t xml:space="preserve"> </w:t>
      </w:r>
      <w:r w:rsidRPr="00C6360C">
        <w:t xml:space="preserve">of metrafenone </w:t>
      </w:r>
      <w:r w:rsidR="003A36F5" w:rsidRPr="00C6360C">
        <w:t xml:space="preserve">under emergency permit </w:t>
      </w:r>
      <w:r w:rsidRPr="00C6360C">
        <w:t xml:space="preserve">requires the establishment of a finite </w:t>
      </w:r>
      <w:r w:rsidR="003A36F5" w:rsidRPr="00C6360C">
        <w:t xml:space="preserve">temporary </w:t>
      </w:r>
      <w:r w:rsidRPr="00C6360C">
        <w:t>MRL for metrafenone on wheat.</w:t>
      </w:r>
    </w:p>
    <w:p w14:paraId="0FFC827C" w14:textId="10B05FC9" w:rsidR="004B08A6" w:rsidRPr="00C6360C" w:rsidRDefault="004B08A6" w:rsidP="00C6360C">
      <w:pPr>
        <w:pStyle w:val="APVMAText"/>
      </w:pPr>
      <w:r w:rsidRPr="00C6360C">
        <w:t>The proposed TMRL at 0.06</w:t>
      </w:r>
      <w:r w:rsidR="00C6360C">
        <w:t> </w:t>
      </w:r>
      <w:r w:rsidRPr="00C6360C">
        <w:t>mg/kg is at the same level as the wheat MRL established by China</w:t>
      </w:r>
      <w:r w:rsidR="003A36F5" w:rsidRPr="00C6360C">
        <w:t>, Codex and</w:t>
      </w:r>
      <w:r w:rsidRPr="00C6360C">
        <w:t xml:space="preserve"> Japan. The Applicant has indicated that the Gulf Cooperation Council (GCC which various Middle Eastern countries defer to in the absence of a national MRL) has an MRL established at 0.06</w:t>
      </w:r>
      <w:r w:rsidR="00C6360C">
        <w:t> </w:t>
      </w:r>
      <w:r w:rsidRPr="00C6360C">
        <w:t>mg/kg. The European Union has a higher MRL at 0.07</w:t>
      </w:r>
      <w:r w:rsidR="00C6360C">
        <w:t> </w:t>
      </w:r>
      <w:r w:rsidRPr="00C6360C">
        <w:t>mg/kg.</w:t>
      </w:r>
    </w:p>
    <w:p w14:paraId="153A5B91" w14:textId="77777777" w:rsidR="00C6360C" w:rsidRDefault="004B08A6" w:rsidP="004B08A6">
      <w:pPr>
        <w:pStyle w:val="APVMAText"/>
        <w:sectPr w:rsidR="00C6360C">
          <w:pgSz w:w="11906" w:h="16838" w:code="9"/>
          <w:pgMar w:top="2835" w:right="1134" w:bottom="1134" w:left="1134" w:header="1701" w:footer="680" w:gutter="0"/>
          <w:cols w:space="708"/>
          <w:docGrid w:linePitch="360"/>
        </w:sectPr>
      </w:pPr>
      <w:r w:rsidRPr="00C6360C">
        <w:t>It is noted that the observed median residue was 0.01</w:t>
      </w:r>
      <w:r w:rsidR="00C6360C">
        <w:t> </w:t>
      </w:r>
      <w:r w:rsidRPr="00C6360C">
        <w:t>mg/kg and that application in all of the 19 relevant trials was at a later timing (BBCH 69</w:t>
      </w:r>
      <w:r w:rsidR="00C6360C">
        <w:t xml:space="preserve"> to </w:t>
      </w:r>
      <w:r w:rsidRPr="00C6360C">
        <w:t xml:space="preserve">83) </w:t>
      </w:r>
      <w:r w:rsidR="00AC4DFA" w:rsidRPr="00C6360C">
        <w:t xml:space="preserve">than </w:t>
      </w:r>
      <w:r w:rsidRPr="00C6360C">
        <w:t xml:space="preserve">that proposed for the permit. Given that metrafenone MRLs have been established in China, </w:t>
      </w:r>
      <w:r w:rsidR="008A0FA5" w:rsidRPr="00C6360C">
        <w:t xml:space="preserve">and by </w:t>
      </w:r>
      <w:r w:rsidRPr="00C6360C">
        <w:t>Codex, the GCC, Japan and the EU at levels equal to or higher than is proposed in Australia, the potential risk to trade for wheat grain to those markets (and markets covered by those MRLs) is considered to be low.</w:t>
      </w:r>
    </w:p>
    <w:p w14:paraId="66150D10" w14:textId="664325A4" w:rsidR="002E20AC" w:rsidRPr="00C6360C" w:rsidRDefault="007B1953" w:rsidP="00C6360C">
      <w:pPr>
        <w:pStyle w:val="Heading1"/>
      </w:pPr>
      <w:bookmarkStart w:id="71" w:name="_Toc126320537"/>
      <w:r w:rsidRPr="00C6360C">
        <w:lastRenderedPageBreak/>
        <w:t>C</w:t>
      </w:r>
      <w:r w:rsidR="006D36C8" w:rsidRPr="00C6360C">
        <w:t>onclusion</w:t>
      </w:r>
      <w:bookmarkEnd w:id="71"/>
    </w:p>
    <w:p w14:paraId="0B3EDEF1" w14:textId="0C2CC862" w:rsidR="004B08A6" w:rsidRPr="00C6360C" w:rsidRDefault="004B08A6" w:rsidP="00C6360C">
      <w:pPr>
        <w:pStyle w:val="APVMAText"/>
      </w:pPr>
      <w:r w:rsidRPr="00C6360C">
        <w:t>Grain Producers Australia Limited has applied for a permit for the use of metrafenone on wheat, for the control of powdery mildew.</w:t>
      </w:r>
    </w:p>
    <w:p w14:paraId="1A9C68A4" w14:textId="5CD340EF" w:rsidR="009D452E" w:rsidRPr="00C6360C" w:rsidRDefault="004B08A6" w:rsidP="00C6360C">
      <w:pPr>
        <w:pStyle w:val="APVMAText"/>
      </w:pPr>
      <w:r w:rsidRPr="00C6360C">
        <w:t>Comment is sought on the potential for the proposed use to prejudice Australian trade of wheat and the ability of industry to manage any potential trade risk.</w:t>
      </w:r>
    </w:p>
    <w:sectPr w:rsidR="009D452E" w:rsidRPr="00C6360C">
      <w:headerReference w:type="even" r:id="rId2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27377" w14:textId="77777777" w:rsidR="00EA4810" w:rsidRDefault="00EA4810">
      <w:r>
        <w:separator/>
      </w:r>
    </w:p>
    <w:p w14:paraId="1D8443B8" w14:textId="77777777" w:rsidR="00EA4810" w:rsidRDefault="00EA4810"/>
    <w:p w14:paraId="7626B91D" w14:textId="77777777" w:rsidR="00EA4810" w:rsidRDefault="00EA4810"/>
  </w:endnote>
  <w:endnote w:type="continuationSeparator" w:id="0">
    <w:p w14:paraId="668511C4" w14:textId="77777777" w:rsidR="00EA4810" w:rsidRDefault="00EA4810">
      <w:r>
        <w:continuationSeparator/>
      </w:r>
    </w:p>
    <w:p w14:paraId="1A07794D" w14:textId="77777777" w:rsidR="00EA4810" w:rsidRDefault="00EA4810"/>
    <w:p w14:paraId="2BC5446F" w14:textId="77777777" w:rsidR="00EA4810" w:rsidRDefault="00EA4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3BCD" w14:textId="77777777" w:rsidR="00EA4810" w:rsidRDefault="00EA4810">
      <w:r>
        <w:separator/>
      </w:r>
    </w:p>
  </w:footnote>
  <w:footnote w:type="continuationSeparator" w:id="0">
    <w:p w14:paraId="4D4A553B" w14:textId="77777777" w:rsidR="00EA4810" w:rsidRDefault="00EA4810">
      <w:pPr>
        <w:spacing w:line="180" w:lineRule="exact"/>
        <w:rPr>
          <w:sz w:val="16"/>
        </w:rPr>
      </w:pPr>
      <w:r>
        <w:rPr>
          <w:sz w:val="16"/>
        </w:rPr>
        <w:continuationSeparator/>
      </w:r>
    </w:p>
    <w:p w14:paraId="37B49DAA" w14:textId="77777777" w:rsidR="00EA4810" w:rsidRDefault="00EA4810"/>
    <w:p w14:paraId="27114572" w14:textId="77777777" w:rsidR="00EA4810" w:rsidRDefault="00EA4810"/>
  </w:footnote>
  <w:footnote w:type="continuationNotice" w:id="1">
    <w:p w14:paraId="4BFC65CA" w14:textId="77777777" w:rsidR="00EA4810" w:rsidRDefault="00EA4810"/>
    <w:p w14:paraId="2CD9C3EF" w14:textId="77777777" w:rsidR="00EA4810" w:rsidRDefault="00EA4810"/>
    <w:p w14:paraId="393E8197" w14:textId="77777777" w:rsidR="00EA4810" w:rsidRDefault="00EA4810"/>
  </w:footnote>
  <w:footnote w:id="2">
    <w:p w14:paraId="6F2355F8" w14:textId="64DCCFBD" w:rsidR="00236983" w:rsidRPr="001F17FC" w:rsidRDefault="00236983" w:rsidP="00236983">
      <w:pPr>
        <w:pStyle w:val="FootnoteText"/>
      </w:pPr>
      <w:r w:rsidRPr="006D1899">
        <w:rPr>
          <w:rStyle w:val="FootnoteReference"/>
          <w:szCs w:val="18"/>
        </w:rPr>
        <w:footnoteRef/>
      </w:r>
      <w:r w:rsidRPr="006D1899">
        <w:rPr>
          <w:sz w:val="18"/>
          <w:szCs w:val="18"/>
        </w:rPr>
        <w:t xml:space="preserve"> </w:t>
      </w:r>
      <w:bookmarkStart w:id="14" w:name="_Hlk113879363"/>
      <w:r>
        <w:t xml:space="preserve">Australian Pesticides and Veterinary Medicines Authority, </w:t>
      </w:r>
      <w:hyperlink r:id="rId1" w:history="1">
        <w:r>
          <w:rPr>
            <w:rStyle w:val="Hyperlink"/>
            <w:i/>
            <w:iCs/>
          </w:rPr>
          <w:t>APVMA Regulatory Guidelines – Data Guidelines: Agricultural data guidelines – Pesticides: Overseas trade (Part 5B)</w:t>
        </w:r>
      </w:hyperlink>
      <w:r>
        <w:t>, APVMA website, 20 July 2020, accessed 16 January 2022</w:t>
      </w:r>
      <w:bookmarkEnd w:id="14"/>
      <w:r>
        <w:t>.</w:t>
      </w:r>
    </w:p>
  </w:footnote>
  <w:footnote w:id="3">
    <w:p w14:paraId="35D29922" w14:textId="7F6026E6" w:rsidR="00236983" w:rsidRDefault="00236983" w:rsidP="00236983">
      <w:pPr>
        <w:pStyle w:val="FootnoteText"/>
      </w:pPr>
      <w:r>
        <w:rPr>
          <w:rStyle w:val="FootnoteReference"/>
        </w:rPr>
        <w:footnoteRef/>
      </w:r>
      <w:r>
        <w:t xml:space="preserve"> </w:t>
      </w:r>
      <w:bookmarkStart w:id="18" w:name="_Hlk125020800"/>
      <w:r w:rsidR="00F8753E">
        <w:t xml:space="preserve">Australian Bureau of Agricultural and Resource Economics and Sciences (ABARES), </w:t>
      </w:r>
      <w:hyperlink r:id="rId2" w:anchor="2020" w:history="1">
        <w:r w:rsidR="00F8753E" w:rsidRPr="005143B4">
          <w:rPr>
            <w:rStyle w:val="Hyperlink"/>
            <w:i/>
            <w:iCs/>
          </w:rPr>
          <w:t>Agricultural commodities and trade data - ABARES</w:t>
        </w:r>
      </w:hyperlink>
      <w:r w:rsidR="00F8753E">
        <w:rPr>
          <w:rStyle w:val="Hyperlink"/>
        </w:rPr>
        <w:t xml:space="preserve">, </w:t>
      </w:r>
      <w:r w:rsidR="00F8753E">
        <w:t>ABARES website, 21 December 2022, accessed 16 January 2023</w:t>
      </w:r>
      <w:bookmarkEnd w:id="18"/>
      <w:r w:rsidR="00F8753E">
        <w:t>.</w:t>
      </w:r>
    </w:p>
  </w:footnote>
  <w:footnote w:id="4">
    <w:p w14:paraId="11E9FAC9" w14:textId="273EF98E" w:rsidR="004B08A6" w:rsidRDefault="004B08A6" w:rsidP="004B08A6">
      <w:pPr>
        <w:pStyle w:val="FootnoteText"/>
      </w:pPr>
      <w:r>
        <w:rPr>
          <w:rStyle w:val="FootnoteReference"/>
        </w:rPr>
        <w:footnoteRef/>
      </w:r>
      <w:r>
        <w:t xml:space="preserve"> </w:t>
      </w:r>
      <w:bookmarkStart w:id="35" w:name="_Hlk125021375"/>
      <w:r>
        <w:t>Food and Agriculture Organisation of the United Nations,</w:t>
      </w:r>
      <w:r w:rsidRPr="00F132CD">
        <w:t xml:space="preserve"> </w:t>
      </w:r>
      <w:hyperlink r:id="rId3" w:history="1">
        <w:r w:rsidRPr="00C6360C">
          <w:rPr>
            <w:rStyle w:val="Hyperlink"/>
            <w:i/>
            <w:iCs/>
          </w:rPr>
          <w:t xml:space="preserve">The Joint FAO/WHO Meeting on Pesticide Residues, </w:t>
        </w:r>
        <w:r w:rsidR="00C50427" w:rsidRPr="00C6360C">
          <w:rPr>
            <w:rStyle w:val="Hyperlink"/>
            <w:i/>
            <w:iCs/>
          </w:rPr>
          <w:t>The 2014 JMPR evaluation of metrafenone</w:t>
        </w:r>
      </w:hyperlink>
      <w:r w:rsidR="00C50427">
        <w:t xml:space="preserve">, </w:t>
      </w:r>
      <w:r>
        <w:t>Food and Agriculture Organisation of the United Nations website, accessed 16 January 2023.</w:t>
      </w:r>
    </w:p>
    <w:bookmarkEnd w:id="35"/>
    <w:p w14:paraId="5846A7DE" w14:textId="77777777" w:rsidR="004B08A6" w:rsidRDefault="004B08A6" w:rsidP="004B08A6">
      <w:pPr>
        <w:pStyle w:val="FootnoteText"/>
      </w:pPr>
    </w:p>
  </w:footnote>
  <w:footnote w:id="5">
    <w:p w14:paraId="1A7DC9E9" w14:textId="1585E452" w:rsidR="004B08A6" w:rsidRDefault="004B08A6" w:rsidP="004B08A6">
      <w:pPr>
        <w:pStyle w:val="FootnoteText"/>
      </w:pPr>
      <w:r>
        <w:rPr>
          <w:rStyle w:val="FootnoteReference"/>
        </w:rPr>
        <w:footnoteRef/>
      </w:r>
      <w:r>
        <w:t xml:space="preserve"> </w:t>
      </w:r>
      <w:bookmarkStart w:id="47" w:name="_Hlk125021603"/>
      <w:r>
        <w:t>European Commission,</w:t>
      </w:r>
      <w:r w:rsidRPr="00F132CD">
        <w:t xml:space="preserve"> </w:t>
      </w:r>
      <w:bookmarkStart w:id="48" w:name="_Hlk125023158"/>
      <w:r w:rsidR="00C50427" w:rsidRPr="00C50427">
        <w:rPr>
          <w:i/>
          <w:iCs/>
        </w:rPr>
        <w:fldChar w:fldCharType="begin"/>
      </w:r>
      <w:r w:rsidR="00C50427" w:rsidRPr="00C50427">
        <w:rPr>
          <w:i/>
          <w:iCs/>
        </w:rPr>
        <w:instrText>HYPERLINK "https://ec.europa.eu/food/plant/pesticides/eu-pesticides-database/start/screen/mrls"</w:instrText>
      </w:r>
      <w:r w:rsidR="00C50427" w:rsidRPr="00C50427">
        <w:rPr>
          <w:i/>
          <w:iCs/>
        </w:rPr>
      </w:r>
      <w:r w:rsidR="00C50427" w:rsidRPr="00C50427">
        <w:rPr>
          <w:i/>
          <w:iCs/>
        </w:rPr>
        <w:fldChar w:fldCharType="separate"/>
      </w:r>
      <w:r w:rsidR="00C50427" w:rsidRPr="00C50427">
        <w:rPr>
          <w:rStyle w:val="Hyperlink"/>
          <w:i/>
          <w:iCs/>
        </w:rPr>
        <w:t>EU Pesticide residue(s) and maximum residue levels (mg/kg)</w:t>
      </w:r>
      <w:r w:rsidR="00C50427" w:rsidRPr="00C50427">
        <w:rPr>
          <w:i/>
          <w:iCs/>
        </w:rPr>
        <w:fldChar w:fldCharType="end"/>
      </w:r>
      <w:r w:rsidR="00C50427">
        <w:t xml:space="preserve">, </w:t>
      </w:r>
      <w:bookmarkEnd w:id="47"/>
      <w:bookmarkEnd w:id="48"/>
      <w:r>
        <w:t xml:space="preserve">European Commission website, accessed </w:t>
      </w:r>
      <w:r w:rsidR="00AC4DFA">
        <w:t>16</w:t>
      </w:r>
      <w:r>
        <w:t xml:space="preserve"> </w:t>
      </w:r>
      <w:r w:rsidR="00AC4DFA">
        <w:t>January</w:t>
      </w:r>
      <w:r>
        <w:t xml:space="preserve"> 202</w:t>
      </w:r>
      <w:r w:rsidR="00AC4DFA">
        <w:t>3</w:t>
      </w:r>
      <w:r>
        <w:t>.</w:t>
      </w:r>
    </w:p>
  </w:footnote>
  <w:footnote w:id="6">
    <w:p w14:paraId="66B7C1EA" w14:textId="65547489" w:rsidR="004B08A6" w:rsidRDefault="004B08A6" w:rsidP="004B08A6">
      <w:pPr>
        <w:pStyle w:val="FootnoteText"/>
      </w:pPr>
      <w:r>
        <w:rPr>
          <w:rStyle w:val="FootnoteReference"/>
        </w:rPr>
        <w:footnoteRef/>
      </w:r>
      <w:r>
        <w:t xml:space="preserve"> </w:t>
      </w:r>
      <w:bookmarkStart w:id="49" w:name="_Hlk125022393"/>
      <w:bookmarkStart w:id="50" w:name="_Hlk113879463"/>
      <w:r>
        <w:t>Food and Agriculture Organisation of the United Nations</w:t>
      </w:r>
      <w:r w:rsidR="00C50427">
        <w:t xml:space="preserve"> (FAO)</w:t>
      </w:r>
      <w:r>
        <w:t xml:space="preserve">, </w:t>
      </w:r>
      <w:hyperlink r:id="rId4" w:history="1">
        <w:r w:rsidR="00C50427" w:rsidRPr="00C50427">
          <w:rPr>
            <w:rStyle w:val="Hyperlink"/>
            <w:i/>
            <w:iCs/>
          </w:rPr>
          <w:t>Codex Alimentarius</w:t>
        </w:r>
        <w:r w:rsidR="00C50427">
          <w:rPr>
            <w:rStyle w:val="Hyperlink"/>
            <w:i/>
            <w:iCs/>
          </w:rPr>
          <w:t xml:space="preserve"> </w:t>
        </w:r>
        <w:r w:rsidR="00C50427" w:rsidRPr="00C50427">
          <w:rPr>
            <w:rStyle w:val="Hyperlink"/>
            <w:i/>
            <w:iCs/>
          </w:rPr>
          <w:t>:</w:t>
        </w:r>
        <w:r w:rsidR="00C50427">
          <w:rPr>
            <w:rStyle w:val="Hyperlink"/>
            <w:i/>
            <w:iCs/>
          </w:rPr>
          <w:t xml:space="preserve"> </w:t>
        </w:r>
        <w:r w:rsidR="00C50427" w:rsidRPr="00C50427">
          <w:rPr>
            <w:rStyle w:val="Hyperlink"/>
            <w:i/>
            <w:iCs/>
          </w:rPr>
          <w:t>278 - Metrafenone</w:t>
        </w:r>
      </w:hyperlink>
      <w:r w:rsidR="00C50427">
        <w:t xml:space="preserve">, </w:t>
      </w:r>
      <w:r>
        <w:t xml:space="preserve">FAO website, accessed </w:t>
      </w:r>
      <w:r w:rsidR="00AC4DFA">
        <w:t>16 January</w:t>
      </w:r>
      <w:r>
        <w:t xml:space="preserve"> 202</w:t>
      </w:r>
      <w:r w:rsidR="00AC4DFA">
        <w:t>3</w:t>
      </w:r>
      <w:bookmarkEnd w:id="49"/>
      <w:r>
        <w:t>.</w:t>
      </w:r>
    </w:p>
    <w:bookmarkEnd w:id="50"/>
  </w:footnote>
  <w:footnote w:id="7">
    <w:p w14:paraId="329718C8" w14:textId="2DC79D97" w:rsidR="004B08A6" w:rsidRDefault="004B08A6" w:rsidP="004B08A6">
      <w:pPr>
        <w:pStyle w:val="FootnoteText"/>
      </w:pPr>
      <w:r>
        <w:rPr>
          <w:rStyle w:val="FootnoteReference"/>
        </w:rPr>
        <w:footnoteRef/>
      </w:r>
      <w:r>
        <w:t xml:space="preserve"> </w:t>
      </w:r>
      <w:bookmarkStart w:id="51" w:name="_Hlk125022417"/>
      <w:r w:rsidRPr="00E12DB9">
        <w:t>Japanese Food Chemistry Research Promotion Foundation</w:t>
      </w:r>
      <w:r>
        <w:t xml:space="preserve">, </w:t>
      </w:r>
      <w:bookmarkStart w:id="52" w:name="_Hlk125023417"/>
      <w:r>
        <w:fldChar w:fldCharType="begin"/>
      </w:r>
      <w:r>
        <w:instrText>HYPERLINK "http://db.ffcr.or.jp/front/"</w:instrText>
      </w:r>
      <w:r>
        <w:fldChar w:fldCharType="separate"/>
      </w:r>
      <w:r>
        <w:rPr>
          <w:rStyle w:val="Hyperlink"/>
          <w:i/>
          <w:iCs/>
        </w:rPr>
        <w:t>Table of MRLs for Agricultural Chemicals</w:t>
      </w:r>
      <w:r>
        <w:rPr>
          <w:rStyle w:val="Hyperlink"/>
          <w:i/>
          <w:iCs/>
        </w:rPr>
        <w:fldChar w:fldCharType="end"/>
      </w:r>
      <w:bookmarkEnd w:id="51"/>
      <w:bookmarkEnd w:id="52"/>
      <w:r>
        <w:t xml:space="preserve">, JFCRPF website, accessed </w:t>
      </w:r>
      <w:r w:rsidR="00AC4DFA">
        <w:t>16</w:t>
      </w:r>
      <w:r>
        <w:t xml:space="preserve"> </w:t>
      </w:r>
      <w:r w:rsidR="00AC4DFA">
        <w:t>January</w:t>
      </w:r>
      <w:r>
        <w:t xml:space="preserve"> 202</w:t>
      </w:r>
      <w:r w:rsidR="00AC4DFA">
        <w:t>3</w:t>
      </w:r>
      <w:r>
        <w:t>.</w:t>
      </w:r>
    </w:p>
  </w:footnote>
  <w:footnote w:id="8">
    <w:p w14:paraId="5E7BB8A9" w14:textId="23DE8098" w:rsidR="004B08A6" w:rsidRPr="00AC4DFA" w:rsidRDefault="004B08A6" w:rsidP="004B08A6">
      <w:pPr>
        <w:pStyle w:val="FootnoteText"/>
        <w:rPr>
          <w:szCs w:val="16"/>
        </w:rPr>
      </w:pPr>
      <w:r w:rsidRPr="00AC4DFA">
        <w:rPr>
          <w:rStyle w:val="FootnoteReference"/>
          <w:szCs w:val="16"/>
        </w:rPr>
        <w:footnoteRef/>
      </w:r>
      <w:r w:rsidRPr="00AC4DFA">
        <w:rPr>
          <w:szCs w:val="16"/>
        </w:rPr>
        <w:t xml:space="preserve"> </w:t>
      </w:r>
      <w:bookmarkStart w:id="53" w:name="_Hlk125022516"/>
      <w:r w:rsidRPr="00AC4DFA">
        <w:rPr>
          <w:szCs w:val="16"/>
        </w:rPr>
        <w:t xml:space="preserve">United States Department of Agriculture Foreign Agricultural Service, </w:t>
      </w:r>
      <w:hyperlink r:id="rId5" w:history="1">
        <w:r w:rsidRPr="00AC4DFA">
          <w:rPr>
            <w:rStyle w:val="Hyperlink"/>
            <w:i/>
            <w:iCs/>
            <w:szCs w:val="16"/>
          </w:rPr>
          <w:t>China: Maximum Residue Limits for Pesticides in Foods, Global Agricultural Information Network report</w:t>
        </w:r>
      </w:hyperlink>
      <w:r w:rsidRPr="00AC4DFA">
        <w:rPr>
          <w:szCs w:val="16"/>
        </w:rPr>
        <w:t xml:space="preserve">, </w:t>
      </w:r>
      <w:bookmarkEnd w:id="53"/>
      <w:r w:rsidRPr="00AC4DFA">
        <w:rPr>
          <w:szCs w:val="16"/>
        </w:rPr>
        <w:t xml:space="preserve">24 August 2021, accessed </w:t>
      </w:r>
      <w:r w:rsidR="00AC4DFA">
        <w:t>16 January 2023</w:t>
      </w:r>
      <w:r w:rsidRPr="00AC4DFA">
        <w:rPr>
          <w:szCs w:val="16"/>
        </w:rPr>
        <w:t>.</w:t>
      </w:r>
    </w:p>
  </w:footnote>
  <w:footnote w:id="9">
    <w:p w14:paraId="569E42FC" w14:textId="3B4CA0A4" w:rsidR="004B08A6" w:rsidRPr="00AC4DFA" w:rsidRDefault="004B08A6" w:rsidP="004B08A6">
      <w:pPr>
        <w:pStyle w:val="FootnoteText"/>
        <w:rPr>
          <w:szCs w:val="16"/>
        </w:rPr>
      </w:pPr>
      <w:r w:rsidRPr="00AC4DFA">
        <w:rPr>
          <w:rStyle w:val="FootnoteReference"/>
          <w:szCs w:val="16"/>
        </w:rPr>
        <w:footnoteRef/>
      </w:r>
      <w:r w:rsidRPr="00AC4DFA">
        <w:rPr>
          <w:szCs w:val="16"/>
        </w:rPr>
        <w:t xml:space="preserve"> </w:t>
      </w:r>
      <w:bookmarkStart w:id="54" w:name="_Hlk125022552"/>
      <w:r w:rsidR="00C50427">
        <w:rPr>
          <w:szCs w:val="16"/>
        </w:rPr>
        <w:t xml:space="preserve">Ministry of </w:t>
      </w:r>
      <w:r w:rsidR="00C50427" w:rsidRPr="00B12AFF">
        <w:rPr>
          <w:szCs w:val="16"/>
        </w:rPr>
        <w:t xml:space="preserve">Food </w:t>
      </w:r>
      <w:r w:rsidR="00C50427">
        <w:rPr>
          <w:szCs w:val="16"/>
        </w:rPr>
        <w:t xml:space="preserve">and Drug </w:t>
      </w:r>
      <w:r w:rsidR="00C50427" w:rsidRPr="00B12AFF">
        <w:rPr>
          <w:szCs w:val="16"/>
        </w:rPr>
        <w:t>Safety Korea</w:t>
      </w:r>
      <w:bookmarkEnd w:id="54"/>
      <w:r w:rsidRPr="00AC4DFA">
        <w:rPr>
          <w:i/>
          <w:szCs w:val="16"/>
        </w:rPr>
        <w:t xml:space="preserve">, </w:t>
      </w:r>
      <w:hyperlink r:id="rId6" w:history="1">
        <w:r w:rsidRPr="00C50427">
          <w:rPr>
            <w:rStyle w:val="Hyperlink"/>
            <w:i/>
            <w:iCs/>
            <w:szCs w:val="16"/>
          </w:rPr>
          <w:t>Pesticide MRLs for agricultural commodities</w:t>
        </w:r>
      </w:hyperlink>
      <w:r w:rsidRPr="00AC4DFA">
        <w:rPr>
          <w:szCs w:val="16"/>
        </w:rPr>
        <w:t>, FSK website, accessed 1</w:t>
      </w:r>
      <w:r w:rsidR="00AC4DFA">
        <w:rPr>
          <w:szCs w:val="16"/>
        </w:rPr>
        <w:t>6</w:t>
      </w:r>
      <w:r w:rsidRPr="00AC4DFA">
        <w:rPr>
          <w:szCs w:val="16"/>
        </w:rPr>
        <w:t xml:space="preserve"> January 2023.</w:t>
      </w:r>
    </w:p>
  </w:footnote>
  <w:footnote w:id="10">
    <w:p w14:paraId="107CA746" w14:textId="47934620" w:rsidR="004B08A6" w:rsidRPr="00AC4DFA" w:rsidRDefault="004B08A6" w:rsidP="004B08A6">
      <w:pPr>
        <w:pStyle w:val="FootnoteText"/>
        <w:rPr>
          <w:szCs w:val="16"/>
        </w:rPr>
      </w:pPr>
      <w:r w:rsidRPr="00AC4DFA">
        <w:rPr>
          <w:rStyle w:val="FootnoteReference"/>
          <w:szCs w:val="16"/>
        </w:rPr>
        <w:footnoteRef/>
      </w:r>
      <w:r w:rsidRPr="00AC4DFA">
        <w:rPr>
          <w:szCs w:val="16"/>
        </w:rPr>
        <w:t xml:space="preserve"> </w:t>
      </w:r>
      <w:r w:rsidR="00C50427">
        <w:t xml:space="preserve">Electronic Code of Federal Regulations, </w:t>
      </w:r>
      <w:hyperlink r:id="rId7" w:history="1">
        <w:r w:rsidR="00C50427" w:rsidRPr="00C50427">
          <w:rPr>
            <w:rStyle w:val="Hyperlink"/>
            <w:i/>
            <w:iCs/>
          </w:rPr>
          <w:t>Tolerances and Exemptions for Pesticide Chemical Residues in Food</w:t>
        </w:r>
      </w:hyperlink>
      <w:r w:rsidR="00C50427" w:rsidRPr="00A10C99">
        <w:t>,</w:t>
      </w:r>
      <w:r w:rsidR="00C50427">
        <w:t xml:space="preserve"> </w:t>
      </w:r>
      <w:r w:rsidR="00C50427">
        <w:rPr>
          <w:szCs w:val="16"/>
        </w:rPr>
        <w:t>e</w:t>
      </w:r>
      <w:r w:rsidRPr="00AC4DFA">
        <w:rPr>
          <w:szCs w:val="16"/>
        </w:rPr>
        <w:t>CFR website, accessed 1</w:t>
      </w:r>
      <w:r w:rsidR="00AC4DFA">
        <w:rPr>
          <w:szCs w:val="16"/>
        </w:rPr>
        <w:t>6</w:t>
      </w:r>
      <w:r w:rsidRPr="00AC4DFA">
        <w:rPr>
          <w:szCs w:val="16"/>
        </w:rPr>
        <w:t xml:space="preserve"> January 2023.</w:t>
      </w:r>
    </w:p>
  </w:footnote>
  <w:footnote w:id="11">
    <w:p w14:paraId="1929E739" w14:textId="71C44848" w:rsidR="004B08A6" w:rsidRPr="00AC4DFA" w:rsidRDefault="004B08A6" w:rsidP="004B08A6">
      <w:pPr>
        <w:pStyle w:val="FootnoteText"/>
        <w:rPr>
          <w:szCs w:val="16"/>
        </w:rPr>
      </w:pPr>
      <w:r w:rsidRPr="00AC4DFA">
        <w:rPr>
          <w:rStyle w:val="FootnoteReference"/>
          <w:szCs w:val="16"/>
        </w:rPr>
        <w:footnoteRef/>
      </w:r>
      <w:r w:rsidRPr="00AC4DFA">
        <w:rPr>
          <w:szCs w:val="16"/>
        </w:rPr>
        <w:t xml:space="preserve"> </w:t>
      </w:r>
      <w:bookmarkStart w:id="55" w:name="_Hlk125022573"/>
      <w:r w:rsidR="00C50427">
        <w:t>Food and Drug Administration Taiwan,</w:t>
      </w:r>
      <w:r w:rsidR="00C50427" w:rsidRPr="00C50427">
        <w:rPr>
          <w:i/>
          <w:iCs/>
        </w:rPr>
        <w:t xml:space="preserve"> </w:t>
      </w:r>
      <w:bookmarkEnd w:id="55"/>
      <w:r w:rsidRPr="00C50427">
        <w:fldChar w:fldCharType="begin"/>
      </w:r>
      <w:r w:rsidRPr="00C50427">
        <w:rPr>
          <w:i/>
          <w:iCs/>
        </w:rPr>
        <w:instrText>HYPERLINK "https://consumer.fda.gov.tw/Law/Detail.aspx?nodeID=518&amp;lang=1&amp;lawid=127"</w:instrText>
      </w:r>
      <w:r w:rsidRPr="00C50427">
        <w:fldChar w:fldCharType="separate"/>
      </w:r>
      <w:r w:rsidRPr="00C50427">
        <w:rPr>
          <w:rStyle w:val="Hyperlink"/>
          <w:i/>
          <w:iCs/>
          <w:szCs w:val="16"/>
        </w:rPr>
        <w:t>Food and Drug Administration Taiwan, Standards for Pesticide Residue Limits in Foods</w:t>
      </w:r>
      <w:r w:rsidRPr="00C50427">
        <w:rPr>
          <w:rStyle w:val="Hyperlink"/>
          <w:i/>
          <w:iCs/>
          <w:szCs w:val="16"/>
        </w:rPr>
        <w:fldChar w:fldCharType="end"/>
      </w:r>
      <w:r w:rsidRPr="00AC4DFA">
        <w:rPr>
          <w:szCs w:val="16"/>
        </w:rPr>
        <w:t>, accessed 1</w:t>
      </w:r>
      <w:r w:rsidR="00AC4DFA">
        <w:rPr>
          <w:szCs w:val="16"/>
        </w:rPr>
        <w:t>6</w:t>
      </w:r>
      <w:r w:rsidRPr="00AC4DFA">
        <w:rPr>
          <w:szCs w:val="16"/>
        </w:rPr>
        <w:t xml:space="preserve"> January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0CFC329B" w:rsidR="007B1953" w:rsidRDefault="007B1953" w:rsidP="007B1953">
    <w:pPr>
      <w:pStyle w:val="APVMAOddHeader"/>
    </w:pPr>
    <w:r>
      <w:tab/>
    </w:r>
    <w:r w:rsidR="00C6360C" w:rsidRPr="00C6360C">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32D47F2F"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E84E20">
      <w:t>metrafenone for use on wheat</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D523" w14:textId="03C9A2C2" w:rsidR="00C6360C" w:rsidRDefault="00C6360C" w:rsidP="007B1953">
    <w:pPr>
      <w:pStyle w:val="APVMAOddHeader"/>
    </w:pPr>
    <w:r>
      <w:tab/>
    </w:r>
    <w:r w:rsidRPr="00C6360C">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BAC" w14:textId="76C7F668" w:rsidR="00BA67F0" w:rsidRPr="00C6360C" w:rsidRDefault="00C6360C" w:rsidP="00C6360C">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rPr>
      <w:t>1</w:t>
    </w:r>
    <w:r>
      <w:rPr>
        <w:rStyle w:val="PageNumber"/>
        <w:b/>
        <w:caps/>
        <w:szCs w:val="24"/>
      </w:rPr>
      <w:fldChar w:fldCharType="end"/>
    </w:r>
    <w:r>
      <w:tab/>
      <w:t>Trade Advice Notice on metrafenone for use on wheat</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A590" w14:textId="0DF0AFE7" w:rsidR="00C6360C" w:rsidRDefault="00C6360C" w:rsidP="007B1953">
    <w:pPr>
      <w:pStyle w:val="APVMAOddHeader"/>
    </w:pPr>
    <w:r>
      <w:tab/>
    </w:r>
    <w:r w:rsidRPr="00C6360C">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0069974">
    <w:abstractNumId w:val="20"/>
  </w:num>
  <w:num w:numId="2" w16cid:durableId="1189828463">
    <w:abstractNumId w:val="20"/>
  </w:num>
  <w:num w:numId="3" w16cid:durableId="1819954418">
    <w:abstractNumId w:val="17"/>
  </w:num>
  <w:num w:numId="4" w16cid:durableId="1974170479">
    <w:abstractNumId w:val="18"/>
  </w:num>
  <w:num w:numId="5" w16cid:durableId="1470323500">
    <w:abstractNumId w:val="17"/>
  </w:num>
  <w:num w:numId="6" w16cid:durableId="448476975">
    <w:abstractNumId w:val="22"/>
  </w:num>
  <w:num w:numId="7" w16cid:durableId="772751448">
    <w:abstractNumId w:val="19"/>
  </w:num>
  <w:num w:numId="8" w16cid:durableId="1913469062">
    <w:abstractNumId w:val="11"/>
  </w:num>
  <w:num w:numId="9" w16cid:durableId="85729335">
    <w:abstractNumId w:val="10"/>
  </w:num>
  <w:num w:numId="10" w16cid:durableId="1585215285">
    <w:abstractNumId w:val="13"/>
  </w:num>
  <w:num w:numId="11" w16cid:durableId="1292900379">
    <w:abstractNumId w:val="16"/>
  </w:num>
  <w:num w:numId="12" w16cid:durableId="1577859814">
    <w:abstractNumId w:val="22"/>
  </w:num>
  <w:num w:numId="13" w16cid:durableId="835342358">
    <w:abstractNumId w:val="22"/>
  </w:num>
  <w:num w:numId="14" w16cid:durableId="279994413">
    <w:abstractNumId w:val="17"/>
  </w:num>
  <w:num w:numId="15" w16cid:durableId="1762096312">
    <w:abstractNumId w:val="11"/>
  </w:num>
  <w:num w:numId="16" w16cid:durableId="1040979063">
    <w:abstractNumId w:val="18"/>
  </w:num>
  <w:num w:numId="17" w16cid:durableId="1436173628">
    <w:abstractNumId w:val="10"/>
  </w:num>
  <w:num w:numId="18" w16cid:durableId="241381664">
    <w:abstractNumId w:val="13"/>
  </w:num>
  <w:num w:numId="19" w16cid:durableId="2013222185">
    <w:abstractNumId w:val="20"/>
  </w:num>
  <w:num w:numId="20" w16cid:durableId="1865943931">
    <w:abstractNumId w:val="23"/>
  </w:num>
  <w:num w:numId="21" w16cid:durableId="1782259549">
    <w:abstractNumId w:val="12"/>
  </w:num>
  <w:num w:numId="22" w16cid:durableId="707533539">
    <w:abstractNumId w:val="24"/>
  </w:num>
  <w:num w:numId="23" w16cid:durableId="1011957981">
    <w:abstractNumId w:val="15"/>
  </w:num>
  <w:num w:numId="24" w16cid:durableId="991981912">
    <w:abstractNumId w:val="9"/>
  </w:num>
  <w:num w:numId="25" w16cid:durableId="1530339249">
    <w:abstractNumId w:val="7"/>
  </w:num>
  <w:num w:numId="26" w16cid:durableId="436873353">
    <w:abstractNumId w:val="6"/>
  </w:num>
  <w:num w:numId="27" w16cid:durableId="1197236869">
    <w:abstractNumId w:val="5"/>
  </w:num>
  <w:num w:numId="28" w16cid:durableId="271280101">
    <w:abstractNumId w:val="4"/>
  </w:num>
  <w:num w:numId="29" w16cid:durableId="1216157310">
    <w:abstractNumId w:val="8"/>
  </w:num>
  <w:num w:numId="30" w16cid:durableId="839734967">
    <w:abstractNumId w:val="3"/>
  </w:num>
  <w:num w:numId="31" w16cid:durableId="486630920">
    <w:abstractNumId w:val="2"/>
  </w:num>
  <w:num w:numId="32" w16cid:durableId="1421295052">
    <w:abstractNumId w:val="1"/>
  </w:num>
  <w:num w:numId="33" w16cid:durableId="435565445">
    <w:abstractNumId w:val="0"/>
  </w:num>
  <w:num w:numId="34" w16cid:durableId="1127820683">
    <w:abstractNumId w:val="21"/>
  </w:num>
  <w:num w:numId="35" w16cid:durableId="332073134">
    <w:abstractNumId w:val="14"/>
  </w:num>
  <w:num w:numId="36" w16cid:durableId="6795484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32787"/>
    <w:rsid w:val="0004297E"/>
    <w:rsid w:val="000642F7"/>
    <w:rsid w:val="00067828"/>
    <w:rsid w:val="000765C1"/>
    <w:rsid w:val="0008350E"/>
    <w:rsid w:val="00090D3D"/>
    <w:rsid w:val="00096163"/>
    <w:rsid w:val="000A7EF6"/>
    <w:rsid w:val="000C2C1B"/>
    <w:rsid w:val="000C5EB1"/>
    <w:rsid w:val="000D49ED"/>
    <w:rsid w:val="001004E6"/>
    <w:rsid w:val="00116540"/>
    <w:rsid w:val="00120E00"/>
    <w:rsid w:val="00125B8E"/>
    <w:rsid w:val="001534D8"/>
    <w:rsid w:val="0016652E"/>
    <w:rsid w:val="00167BB3"/>
    <w:rsid w:val="00174E15"/>
    <w:rsid w:val="00184190"/>
    <w:rsid w:val="00191FC4"/>
    <w:rsid w:val="00193533"/>
    <w:rsid w:val="001B335C"/>
    <w:rsid w:val="001B7360"/>
    <w:rsid w:val="001C6607"/>
    <w:rsid w:val="001D3257"/>
    <w:rsid w:val="001F0620"/>
    <w:rsid w:val="00216C49"/>
    <w:rsid w:val="00236983"/>
    <w:rsid w:val="0024289A"/>
    <w:rsid w:val="0026493F"/>
    <w:rsid w:val="00273344"/>
    <w:rsid w:val="00280720"/>
    <w:rsid w:val="00282A32"/>
    <w:rsid w:val="00295FC5"/>
    <w:rsid w:val="002A69DD"/>
    <w:rsid w:val="002B4618"/>
    <w:rsid w:val="002B5703"/>
    <w:rsid w:val="002D7110"/>
    <w:rsid w:val="002D7779"/>
    <w:rsid w:val="002E20AC"/>
    <w:rsid w:val="002E49F4"/>
    <w:rsid w:val="002F4591"/>
    <w:rsid w:val="0030255E"/>
    <w:rsid w:val="003032E2"/>
    <w:rsid w:val="0031487D"/>
    <w:rsid w:val="003207F2"/>
    <w:rsid w:val="00333244"/>
    <w:rsid w:val="00347883"/>
    <w:rsid w:val="003506C5"/>
    <w:rsid w:val="00364192"/>
    <w:rsid w:val="00381544"/>
    <w:rsid w:val="00382B7C"/>
    <w:rsid w:val="00383003"/>
    <w:rsid w:val="003A1BD7"/>
    <w:rsid w:val="003A2363"/>
    <w:rsid w:val="003A36F5"/>
    <w:rsid w:val="003A558F"/>
    <w:rsid w:val="003C0891"/>
    <w:rsid w:val="00402C4A"/>
    <w:rsid w:val="004070E1"/>
    <w:rsid w:val="00407597"/>
    <w:rsid w:val="0041228F"/>
    <w:rsid w:val="00444045"/>
    <w:rsid w:val="004616C8"/>
    <w:rsid w:val="00461D26"/>
    <w:rsid w:val="00470304"/>
    <w:rsid w:val="004B08A6"/>
    <w:rsid w:val="004D2C4F"/>
    <w:rsid w:val="004D48AF"/>
    <w:rsid w:val="004E1991"/>
    <w:rsid w:val="004E4CD7"/>
    <w:rsid w:val="004F66B0"/>
    <w:rsid w:val="005064D5"/>
    <w:rsid w:val="005143B4"/>
    <w:rsid w:val="005148C0"/>
    <w:rsid w:val="00520963"/>
    <w:rsid w:val="00522E27"/>
    <w:rsid w:val="00545A0A"/>
    <w:rsid w:val="005527B9"/>
    <w:rsid w:val="00556804"/>
    <w:rsid w:val="00560E83"/>
    <w:rsid w:val="00563297"/>
    <w:rsid w:val="00566590"/>
    <w:rsid w:val="00596F1D"/>
    <w:rsid w:val="005D00D1"/>
    <w:rsid w:val="005D1591"/>
    <w:rsid w:val="005D1A47"/>
    <w:rsid w:val="006110AE"/>
    <w:rsid w:val="0062466B"/>
    <w:rsid w:val="00637AB9"/>
    <w:rsid w:val="00641B1B"/>
    <w:rsid w:val="00643052"/>
    <w:rsid w:val="00657A28"/>
    <w:rsid w:val="0066107B"/>
    <w:rsid w:val="00666610"/>
    <w:rsid w:val="006C08BC"/>
    <w:rsid w:val="006D36C8"/>
    <w:rsid w:val="006E33F7"/>
    <w:rsid w:val="00700C27"/>
    <w:rsid w:val="00702B7D"/>
    <w:rsid w:val="00704C88"/>
    <w:rsid w:val="007275CF"/>
    <w:rsid w:val="00731659"/>
    <w:rsid w:val="007368E2"/>
    <w:rsid w:val="00753ED8"/>
    <w:rsid w:val="00770B96"/>
    <w:rsid w:val="00772D8F"/>
    <w:rsid w:val="0079772A"/>
    <w:rsid w:val="007B1953"/>
    <w:rsid w:val="007B2C31"/>
    <w:rsid w:val="007F0146"/>
    <w:rsid w:val="00814579"/>
    <w:rsid w:val="00832D38"/>
    <w:rsid w:val="008362F6"/>
    <w:rsid w:val="00836556"/>
    <w:rsid w:val="008366A3"/>
    <w:rsid w:val="00847050"/>
    <w:rsid w:val="00860B66"/>
    <w:rsid w:val="00862E63"/>
    <w:rsid w:val="00864A9F"/>
    <w:rsid w:val="008836D1"/>
    <w:rsid w:val="00892292"/>
    <w:rsid w:val="008A0FA5"/>
    <w:rsid w:val="008B2E83"/>
    <w:rsid w:val="008C5C0D"/>
    <w:rsid w:val="008C6B9D"/>
    <w:rsid w:val="008D01CF"/>
    <w:rsid w:val="008D1A7E"/>
    <w:rsid w:val="008F14C4"/>
    <w:rsid w:val="009054A8"/>
    <w:rsid w:val="0095647E"/>
    <w:rsid w:val="00957A91"/>
    <w:rsid w:val="00966603"/>
    <w:rsid w:val="00972247"/>
    <w:rsid w:val="009A4448"/>
    <w:rsid w:val="009A7614"/>
    <w:rsid w:val="009B6ACE"/>
    <w:rsid w:val="009D0E59"/>
    <w:rsid w:val="009D452E"/>
    <w:rsid w:val="009F16FF"/>
    <w:rsid w:val="00A03801"/>
    <w:rsid w:val="00A11221"/>
    <w:rsid w:val="00A1629F"/>
    <w:rsid w:val="00A23729"/>
    <w:rsid w:val="00A2448D"/>
    <w:rsid w:val="00A25290"/>
    <w:rsid w:val="00A5136D"/>
    <w:rsid w:val="00A57048"/>
    <w:rsid w:val="00A60905"/>
    <w:rsid w:val="00A6283D"/>
    <w:rsid w:val="00A77CE7"/>
    <w:rsid w:val="00A81500"/>
    <w:rsid w:val="00A82202"/>
    <w:rsid w:val="00A87101"/>
    <w:rsid w:val="00AB659C"/>
    <w:rsid w:val="00AC4DFA"/>
    <w:rsid w:val="00AF232A"/>
    <w:rsid w:val="00B061D3"/>
    <w:rsid w:val="00B15647"/>
    <w:rsid w:val="00B17CCD"/>
    <w:rsid w:val="00B22F9F"/>
    <w:rsid w:val="00B2654D"/>
    <w:rsid w:val="00B27675"/>
    <w:rsid w:val="00B32E0B"/>
    <w:rsid w:val="00B50074"/>
    <w:rsid w:val="00BA67F0"/>
    <w:rsid w:val="00BC5423"/>
    <w:rsid w:val="00BD021C"/>
    <w:rsid w:val="00BD0287"/>
    <w:rsid w:val="00BD2289"/>
    <w:rsid w:val="00BD55DB"/>
    <w:rsid w:val="00BD62F9"/>
    <w:rsid w:val="00BD70E8"/>
    <w:rsid w:val="00BD7C8B"/>
    <w:rsid w:val="00C01FCE"/>
    <w:rsid w:val="00C10F02"/>
    <w:rsid w:val="00C41D7C"/>
    <w:rsid w:val="00C50427"/>
    <w:rsid w:val="00C53C96"/>
    <w:rsid w:val="00C57502"/>
    <w:rsid w:val="00C6360C"/>
    <w:rsid w:val="00C73D24"/>
    <w:rsid w:val="00C95323"/>
    <w:rsid w:val="00C9656F"/>
    <w:rsid w:val="00CA17DC"/>
    <w:rsid w:val="00CB34B8"/>
    <w:rsid w:val="00CD6650"/>
    <w:rsid w:val="00CE3E56"/>
    <w:rsid w:val="00CE456A"/>
    <w:rsid w:val="00CE6C51"/>
    <w:rsid w:val="00D0157D"/>
    <w:rsid w:val="00D10F59"/>
    <w:rsid w:val="00D22CCB"/>
    <w:rsid w:val="00D4143D"/>
    <w:rsid w:val="00D505AD"/>
    <w:rsid w:val="00D67788"/>
    <w:rsid w:val="00D70A54"/>
    <w:rsid w:val="00D874AA"/>
    <w:rsid w:val="00D9318E"/>
    <w:rsid w:val="00D942C8"/>
    <w:rsid w:val="00DB3BF5"/>
    <w:rsid w:val="00E203CD"/>
    <w:rsid w:val="00E318E3"/>
    <w:rsid w:val="00E35DE7"/>
    <w:rsid w:val="00E41FED"/>
    <w:rsid w:val="00E63AC3"/>
    <w:rsid w:val="00E70840"/>
    <w:rsid w:val="00E830F0"/>
    <w:rsid w:val="00E84BA9"/>
    <w:rsid w:val="00E84E20"/>
    <w:rsid w:val="00E97570"/>
    <w:rsid w:val="00EA4810"/>
    <w:rsid w:val="00EE0D34"/>
    <w:rsid w:val="00EE297E"/>
    <w:rsid w:val="00EE5B09"/>
    <w:rsid w:val="00EE6B92"/>
    <w:rsid w:val="00F22FC0"/>
    <w:rsid w:val="00F30BA1"/>
    <w:rsid w:val="00F30BDA"/>
    <w:rsid w:val="00F34959"/>
    <w:rsid w:val="00F453FE"/>
    <w:rsid w:val="00F51AA7"/>
    <w:rsid w:val="00F56C76"/>
    <w:rsid w:val="00F6733A"/>
    <w:rsid w:val="00F74FA6"/>
    <w:rsid w:val="00F81727"/>
    <w:rsid w:val="00F8753E"/>
    <w:rsid w:val="00FC09D2"/>
    <w:rsid w:val="00FC198C"/>
    <w:rsid w:val="00FD2F82"/>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295FC5"/>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
    <w:basedOn w:val="NormalText"/>
    <w:link w:val="FootnoteTextChar"/>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uiPriority w:val="4"/>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Bullet2">
    <w:name w:val="Bullet2"/>
    <w:basedOn w:val="Bullet1"/>
    <w:uiPriority w:val="4"/>
    <w:qFormat/>
    <w:rsid w:val="00731659"/>
    <w:pPr>
      <w:numPr>
        <w:numId w:val="8"/>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character" w:customStyle="1" w:styleId="FootnoteTextChar">
    <w:name w:val="Footnote Text Char"/>
    <w:aliases w:val="APVMA_Footnote Char,DAR001 Char,Tabellenanmerkung Char, Char1 Char Char"/>
    <w:basedOn w:val="DefaultParagraphFont"/>
    <w:link w:val="FootnoteText"/>
    <w:locked/>
    <w:rsid w:val="00236983"/>
    <w:rPr>
      <w:rFonts w:ascii="Arial" w:hAnsi="Arial" w:cs="Arial"/>
      <w:spacing w:val="6"/>
      <w:kern w:val="20"/>
      <w:sz w:val="16"/>
      <w:u w:color="000000"/>
      <w:lang w:eastAsia="en-US"/>
    </w:rPr>
  </w:style>
  <w:style w:type="paragraph" w:customStyle="1" w:styleId="BODYTEXT">
    <w:name w:val="BODYTEXT"/>
    <w:link w:val="BODYTEXTChar"/>
    <w:rsid w:val="00236983"/>
    <w:rPr>
      <w:sz w:val="24"/>
      <w:lang w:eastAsia="en-US"/>
    </w:rPr>
  </w:style>
  <w:style w:type="character" w:customStyle="1" w:styleId="BODYTEXTChar">
    <w:name w:val="BODYTEXT Char"/>
    <w:basedOn w:val="DefaultParagraphFont"/>
    <w:link w:val="BODYTEXT"/>
    <w:rsid w:val="00236983"/>
    <w:rPr>
      <w:sz w:val="24"/>
      <w:lang w:eastAsia="en-US"/>
    </w:rPr>
  </w:style>
  <w:style w:type="paragraph" w:customStyle="1" w:styleId="JMPR11TableCaption">
    <w:name w:val="JMPR11 Table Caption"/>
    <w:basedOn w:val="Normal"/>
    <w:autoRedefine/>
    <w:qFormat/>
    <w:rsid w:val="004B08A6"/>
    <w:pPr>
      <w:keepNext/>
      <w:overflowPunct w:val="0"/>
      <w:autoSpaceDE w:val="0"/>
      <w:autoSpaceDN w:val="0"/>
      <w:adjustRightInd w:val="0"/>
      <w:spacing w:after="120" w:line="240" w:lineRule="auto"/>
      <w:jc w:val="both"/>
      <w:textAlignment w:val="baseline"/>
    </w:pPr>
    <w:rPr>
      <w:rFonts w:ascii="Times New Roman" w:eastAsia="SimSun" w:hAnsi="Times New Roman"/>
      <w:sz w:val="22"/>
      <w:szCs w:val="20"/>
      <w:lang w:eastAsia="zh-CN"/>
    </w:rPr>
  </w:style>
  <w:style w:type="table" w:styleId="TableGrid">
    <w:name w:val="Table Grid"/>
    <w:aliases w:val="Signature Table"/>
    <w:basedOn w:val="TableNormal"/>
    <w:uiPriority w:val="59"/>
    <w:rsid w:val="004B08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0427"/>
    <w:rPr>
      <w:color w:val="605E5C"/>
      <w:shd w:val="clear" w:color="auto" w:fill="E1DFDD"/>
    </w:rPr>
  </w:style>
  <w:style w:type="paragraph" w:customStyle="1" w:styleId="Style1">
    <w:name w:val="Style1"/>
    <w:basedOn w:val="Heading1"/>
    <w:uiPriority w:val="4"/>
    <w:rsid w:val="003A36F5"/>
    <w:pPr>
      <w:pageBreakBefore w:val="0"/>
      <w:ind w:left="680" w:hanging="680"/>
    </w:pPr>
  </w:style>
  <w:style w:type="paragraph" w:styleId="Revision">
    <w:name w:val="Revision"/>
    <w:hidden/>
    <w:uiPriority w:val="99"/>
    <w:semiHidden/>
    <w:rsid w:val="003A36F5"/>
    <w:rPr>
      <w:rFonts w:ascii="Arial" w:hAnsi="Arial"/>
      <w:szCs w:val="24"/>
      <w:lang w:eastAsia="en-US"/>
    </w:rPr>
  </w:style>
  <w:style w:type="paragraph" w:customStyle="1" w:styleId="Style3">
    <w:name w:val="Style3"/>
    <w:basedOn w:val="Heading1"/>
    <w:uiPriority w:val="4"/>
    <w:rsid w:val="003A36F5"/>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settings" Target="settings.xml" Id="rId5" /><Relationship Type="http://schemas.openxmlformats.org/officeDocument/2006/relationships/hyperlink" Target="http://www.dpmc.gov.au/pmc/publication/commonwealth-coat-arms-information-and-guidelines" TargetMode="External" Id="rId15" /><Relationship Type="http://schemas.openxmlformats.org/officeDocument/2006/relationships/header" Target="header3.xml" Id="rId23" /><Relationship Type="http://schemas.openxmlformats.org/officeDocument/2006/relationships/fontTable" Target="fontTable.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header" Target="header6.xml" Id="rId27" /><Relationship Type="http://schemas.openxmlformats.org/officeDocument/2006/relationships/customXml" Target="/customXML/item4.xml" Id="R33a061e4df254411" /></Relationships>
</file>

<file path=word/_rels/footnotes.xml.rels><?xml version="1.0" encoding="UTF-8" standalone="yes"?>
<Relationships xmlns="http://schemas.openxmlformats.org/package/2006/relationships"><Relationship Id="rId3" Type="http://schemas.openxmlformats.org/officeDocument/2006/relationships/hyperlink" Target="https://www.fao.org/fileadmin/templates/agphome/documents/Pests_Pesticides/JMPR/Evaluation14/Metrafenone.pdf" TargetMode="External"/><Relationship Id="rId7" Type="http://schemas.openxmlformats.org/officeDocument/2006/relationships/hyperlink" Target="https://www.ecfr.gov/current/title-40/chapter-I/subchapter-E/part-180" TargetMode="External"/><Relationship Id="rId2" Type="http://schemas.openxmlformats.org/officeDocument/2006/relationships/hyperlink" Target="https://www.agriculture.gov.au/abares/research-topics/agricultural-outlook/data" TargetMode="External"/><Relationship Id="rId1" Type="http://schemas.openxmlformats.org/officeDocument/2006/relationships/hyperlink" Target="https://apvma.gov.au/node/1017" TargetMode="External"/><Relationship Id="rId6" Type="http://schemas.openxmlformats.org/officeDocument/2006/relationships/hyperlink" Target="http://www.foodsafetykorea.go.kr/residue/prd/mrls/list.do" TargetMode="External"/><Relationship Id="rId5"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4" Type="http://schemas.openxmlformats.org/officeDocument/2006/relationships/hyperlink" Target="https://www.fao.org/fao-who-codexalimentarius/codex-texts/dbs/pestres/pesticide-detail/en/?p_id=2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A2964325</value>
    </field>
    <field name="Objective-Title">
      <value order="0">Trade Advice Notice on metrafenone for use on wheat</value>
    </field>
    <field name="Objective-Description">
      <value order="0"/>
    </field>
    <field name="Objective-CreationStamp">
      <value order="0">2023-02-02T23:05:26Z</value>
    </field>
    <field name="Objective-IsApproved">
      <value order="0">false</value>
    </field>
    <field name="Objective-IsPublished">
      <value order="0">false</value>
    </field>
    <field name="Objective-DatePublished">
      <value order="0"/>
    </field>
    <field name="Objective-ModificationStamp">
      <value order="0">2023-02-05T23:05:01Z</value>
    </field>
    <field name="Objective-Owner">
      <value order="0">Maudie Beissel</value>
    </field>
    <field name="Objective-Path">
      <value order="0">APVMA:PUBLIC AFFAIRS AND COMMUNICATION:03 - Public Affairs and Communications - Digital Communications:04 - Digital Communications - Website - Publishing Records - 2020-2025:2023:027 - Trade Advice Notice on metrafenone for use on wheat</value>
    </field>
    <field name="Objective-Parent">
      <value order="0">027 - Trade Advice Notice on metrafenone for use on wheat</value>
    </field>
    <field name="Objective-State">
      <value order="0">Being Drafted</value>
    </field>
    <field name="Objective-VersionId">
      <value order="0">vA4371549</value>
    </field>
    <field name="Objective-Version">
      <value order="0">0.5</value>
    </field>
    <field name="Objective-VersionNumber">
      <value order="0">5</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280</TotalTime>
  <Pages>14</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Trade Advice Notice on metrafenone for use on wheat</vt:lpstr>
    </vt:vector>
  </TitlesOfParts>
  <Manager/>
  <Company>Australian Pesticides and Veterinary Medicines Authority</Company>
  <LinksUpToDate>false</LinksUpToDate>
  <CharactersWithSpaces>16812</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metrafenone for use on wheat</dc:title>
  <dc:subject/>
  <dc:creator>APVMA</dc:creator>
  <cp:keywords/>
  <dc:description/>
  <cp:lastModifiedBy>BEISSEL, Maudie</cp:lastModifiedBy>
  <cp:revision>70</cp:revision>
  <cp:lastPrinted>2019-04-25T12:55:00Z</cp:lastPrinted>
  <dcterms:created xsi:type="dcterms:W3CDTF">2023-01-18T21:11:00Z</dcterms:created>
  <dcterms:modified xsi:type="dcterms:W3CDTF">2023-02-05T21:53:00Z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A2964325</vt:lpwstr>
  </property>
  <property fmtid="{D5CDD505-2E9C-101B-9397-08002B2CF9AE}" pid="4" name="Objective-Title">
    <vt:lpwstr>Trade Advice Notice on metrafenone for use on wheat</vt:lpwstr>
  </property>
  <property fmtid="{D5CDD505-2E9C-101B-9397-08002B2CF9AE}" pid="5" name="Objective-Comment">
    <vt:lpwstr/>
  </property>
  <property fmtid="{D5CDD505-2E9C-101B-9397-08002B2CF9AE}" pid="6" name="Objective-CreationStamp">
    <vt:filetime>2023-02-02T23:23:15Z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2023-02-05T23:05:01Z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- 2020-2025:2023:027 - Trade Advice Notice on metrafenone for use on wheat:</vt:lpwstr>
  </property>
  <property fmtid="{D5CDD505-2E9C-101B-9397-08002B2CF9AE}" pid="13" name="Objective-Parent">
    <vt:lpwstr>027 - Trade Advice Notice on metrafenone for use on wheat</vt:lpwstr>
  </property>
  <property fmtid="{D5CDD505-2E9C-101B-9397-08002B2CF9AE}" pid="14" name="Objective-State">
    <vt:lpwstr>Being Drafted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vA4371549</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