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75FE8D3" w:rsidR="00193533" w:rsidRPr="00193533" w:rsidRDefault="00426C3A" w:rsidP="002F4591">
      <w:pPr>
        <w:pStyle w:val="CoverTitle"/>
        <w:spacing w:before="2640"/>
        <w:jc w:val="center"/>
      </w:pPr>
      <w:r>
        <w:t>Procymidone</w:t>
      </w:r>
    </w:p>
    <w:p w14:paraId="0F125B7E" w14:textId="36C5DB78" w:rsidR="003C0891" w:rsidRDefault="00755937" w:rsidP="00193533">
      <w:pPr>
        <w:pStyle w:val="CoverSubtitle"/>
        <w:jc w:val="center"/>
      </w:pPr>
      <w:r>
        <w:t xml:space="preserve">Final </w:t>
      </w:r>
      <w:r w:rsidR="00426C3A">
        <w:t>Review Technical Report</w:t>
      </w:r>
    </w:p>
    <w:p w14:paraId="4E4C9BC9" w14:textId="1E941D33" w:rsidR="00193533" w:rsidRPr="00E41FED" w:rsidRDefault="00755937"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October</w:t>
      </w:r>
      <w:r w:rsidR="002B210B">
        <w:t xml:space="preserve"> </w:t>
      </w:r>
      <w:r w:rsidR="00426C3A">
        <w:t>2022</w:t>
      </w:r>
    </w:p>
    <w:p w14:paraId="6C014289" w14:textId="7473164D" w:rsidR="00862E63" w:rsidRPr="005C0ACC" w:rsidRDefault="00862E63" w:rsidP="008B550C">
      <w:pPr>
        <w:rPr>
          <w:lang w:eastAsia="en-AU"/>
        </w:rPr>
      </w:pPr>
      <w:r w:rsidRPr="005C0ACC">
        <w:rPr>
          <w:lang w:eastAsia="en-AU"/>
        </w:rPr>
        <w:lastRenderedPageBreak/>
        <w:t>© Australian Pesticides and Veterinary Medicines Authority</w:t>
      </w:r>
      <w:r w:rsidR="00426C3A">
        <w:rPr>
          <w:lang w:eastAsia="en-AU"/>
        </w:rPr>
        <w:t xml:space="preserve"> 2022</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document the Australian Pesticides and Veterinary Medicines Authority should be cited as the author, </w:t>
      </w:r>
      <w:proofErr w:type="gramStart"/>
      <w:r w:rsidRPr="005C0ACC">
        <w:rPr>
          <w:rFonts w:cs="Arial"/>
          <w:szCs w:val="16"/>
          <w:lang w:eastAsia="en-AU"/>
        </w:rPr>
        <w:t>publisher</w:t>
      </w:r>
      <w:proofErr w:type="gramEnd"/>
      <w:r w:rsidRPr="005C0ACC">
        <w:rPr>
          <w:rFonts w:cs="Arial"/>
          <w:szCs w:val="16"/>
          <w:lang w:eastAsia="en-AU"/>
        </w:rPr>
        <w:t xml:space="preserve">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r w:rsidRPr="005C0ACC">
        <w:rPr>
          <w:rFonts w:cs="Arial"/>
          <w:bCs/>
          <w:szCs w:val="16"/>
          <w:lang w:eastAsia="en-AU"/>
        </w:rPr>
        <w:t xml:space="preserve">iStockphoto images are not covered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77777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340DC6CB" w14:textId="7288046B" w:rsidR="0041501F" w:rsidRDefault="005064D5">
      <w:pPr>
        <w:pStyle w:val="TOC1"/>
        <w:rPr>
          <w:rFonts w:asciiTheme="minorHAnsi" w:eastAsiaTheme="minorEastAsia" w:hAnsiTheme="minorHAnsi" w:cstheme="minorBidi"/>
          <w:bCs w:val="0"/>
          <w:color w:val="auto"/>
          <w:kern w:val="0"/>
          <w:sz w:val="22"/>
          <w:szCs w:val="22"/>
          <w:lang w:eastAsia="en-AU"/>
        </w:rPr>
      </w:pPr>
      <w:r w:rsidRPr="00AA25C3">
        <w:rPr>
          <w:rStyle w:val="Hyperlink"/>
        </w:rPr>
        <w:fldChar w:fldCharType="begin"/>
      </w:r>
      <w:r w:rsidRPr="0019428D">
        <w:rPr>
          <w:rStyle w:val="Hyperlink"/>
        </w:rPr>
        <w:instrText xml:space="preserve"> TOC \o "1-3" \h \z \u </w:instrText>
      </w:r>
      <w:r w:rsidRPr="00AA25C3">
        <w:rPr>
          <w:rStyle w:val="Hyperlink"/>
        </w:rPr>
        <w:fldChar w:fldCharType="separate"/>
      </w:r>
      <w:hyperlink w:anchor="_Toc116301503" w:history="1">
        <w:r w:rsidR="0041501F" w:rsidRPr="00712510">
          <w:rPr>
            <w:rStyle w:val="Hyperlink"/>
          </w:rPr>
          <w:t>Preface</w:t>
        </w:r>
        <w:r w:rsidR="0041501F">
          <w:rPr>
            <w:webHidden/>
          </w:rPr>
          <w:tab/>
        </w:r>
        <w:r w:rsidR="0041501F">
          <w:rPr>
            <w:webHidden/>
          </w:rPr>
          <w:fldChar w:fldCharType="begin"/>
        </w:r>
        <w:r w:rsidR="0041501F">
          <w:rPr>
            <w:webHidden/>
          </w:rPr>
          <w:instrText xml:space="preserve"> PAGEREF _Toc116301503 \h </w:instrText>
        </w:r>
        <w:r w:rsidR="0041501F">
          <w:rPr>
            <w:webHidden/>
          </w:rPr>
        </w:r>
        <w:r w:rsidR="0041501F">
          <w:rPr>
            <w:webHidden/>
          </w:rPr>
          <w:fldChar w:fldCharType="separate"/>
        </w:r>
        <w:r w:rsidR="0041501F">
          <w:rPr>
            <w:webHidden/>
          </w:rPr>
          <w:t>1</w:t>
        </w:r>
        <w:r w:rsidR="0041501F">
          <w:rPr>
            <w:webHidden/>
          </w:rPr>
          <w:fldChar w:fldCharType="end"/>
        </w:r>
      </w:hyperlink>
    </w:p>
    <w:p w14:paraId="0F90249A" w14:textId="1CBE61B9" w:rsidR="0041501F" w:rsidRDefault="0041501F">
      <w:pPr>
        <w:pStyle w:val="TOC2"/>
        <w:rPr>
          <w:rFonts w:asciiTheme="minorHAnsi" w:eastAsiaTheme="minorEastAsia" w:hAnsiTheme="minorHAnsi" w:cstheme="minorBidi"/>
          <w:b w:val="0"/>
          <w:color w:val="auto"/>
          <w:sz w:val="22"/>
          <w:szCs w:val="22"/>
          <w:lang w:eastAsia="en-AU"/>
        </w:rPr>
      </w:pPr>
      <w:hyperlink w:anchor="_Toc116301504" w:history="1">
        <w:r w:rsidRPr="00712510">
          <w:rPr>
            <w:rStyle w:val="Hyperlink"/>
          </w:rPr>
          <w:t>About this document</w:t>
        </w:r>
        <w:r>
          <w:rPr>
            <w:webHidden/>
          </w:rPr>
          <w:tab/>
        </w:r>
        <w:r>
          <w:rPr>
            <w:webHidden/>
          </w:rPr>
          <w:fldChar w:fldCharType="begin"/>
        </w:r>
        <w:r>
          <w:rPr>
            <w:webHidden/>
          </w:rPr>
          <w:instrText xml:space="preserve"> PAGEREF _Toc116301504 \h </w:instrText>
        </w:r>
        <w:r>
          <w:rPr>
            <w:webHidden/>
          </w:rPr>
        </w:r>
        <w:r>
          <w:rPr>
            <w:webHidden/>
          </w:rPr>
          <w:fldChar w:fldCharType="separate"/>
        </w:r>
        <w:r>
          <w:rPr>
            <w:webHidden/>
          </w:rPr>
          <w:t>1</w:t>
        </w:r>
        <w:r>
          <w:rPr>
            <w:webHidden/>
          </w:rPr>
          <w:fldChar w:fldCharType="end"/>
        </w:r>
      </w:hyperlink>
    </w:p>
    <w:p w14:paraId="27D8ED08" w14:textId="16B847D4" w:rsidR="0041501F" w:rsidRDefault="0041501F">
      <w:pPr>
        <w:pStyle w:val="TOC1"/>
        <w:rPr>
          <w:rFonts w:asciiTheme="minorHAnsi" w:eastAsiaTheme="minorEastAsia" w:hAnsiTheme="minorHAnsi" w:cstheme="minorBidi"/>
          <w:bCs w:val="0"/>
          <w:color w:val="auto"/>
          <w:kern w:val="0"/>
          <w:sz w:val="22"/>
          <w:szCs w:val="22"/>
          <w:lang w:eastAsia="en-AU"/>
        </w:rPr>
      </w:pPr>
      <w:hyperlink w:anchor="_Toc116301505" w:history="1">
        <w:r w:rsidRPr="00712510">
          <w:rPr>
            <w:rStyle w:val="Hyperlink"/>
          </w:rPr>
          <w:t>Introduction</w:t>
        </w:r>
        <w:r>
          <w:rPr>
            <w:webHidden/>
          </w:rPr>
          <w:tab/>
        </w:r>
        <w:r>
          <w:rPr>
            <w:webHidden/>
          </w:rPr>
          <w:fldChar w:fldCharType="begin"/>
        </w:r>
        <w:r>
          <w:rPr>
            <w:webHidden/>
          </w:rPr>
          <w:instrText xml:space="preserve"> PAGEREF _Toc116301505 \h </w:instrText>
        </w:r>
        <w:r>
          <w:rPr>
            <w:webHidden/>
          </w:rPr>
        </w:r>
        <w:r>
          <w:rPr>
            <w:webHidden/>
          </w:rPr>
          <w:fldChar w:fldCharType="separate"/>
        </w:r>
        <w:r>
          <w:rPr>
            <w:webHidden/>
          </w:rPr>
          <w:t>2</w:t>
        </w:r>
        <w:r>
          <w:rPr>
            <w:webHidden/>
          </w:rPr>
          <w:fldChar w:fldCharType="end"/>
        </w:r>
      </w:hyperlink>
    </w:p>
    <w:p w14:paraId="480A1184" w14:textId="337598BA" w:rsidR="0041501F" w:rsidRDefault="0041501F">
      <w:pPr>
        <w:pStyle w:val="TOC2"/>
        <w:rPr>
          <w:rFonts w:asciiTheme="minorHAnsi" w:eastAsiaTheme="minorEastAsia" w:hAnsiTheme="minorHAnsi" w:cstheme="minorBidi"/>
          <w:b w:val="0"/>
          <w:color w:val="auto"/>
          <w:sz w:val="22"/>
          <w:szCs w:val="22"/>
          <w:lang w:eastAsia="en-AU"/>
        </w:rPr>
      </w:pPr>
      <w:hyperlink w:anchor="_Toc116301506" w:history="1">
        <w:r w:rsidRPr="00712510">
          <w:rPr>
            <w:rStyle w:val="Hyperlink"/>
          </w:rPr>
          <w:t>Purpose of review</w:t>
        </w:r>
        <w:r>
          <w:rPr>
            <w:webHidden/>
          </w:rPr>
          <w:tab/>
        </w:r>
        <w:r>
          <w:rPr>
            <w:webHidden/>
          </w:rPr>
          <w:fldChar w:fldCharType="begin"/>
        </w:r>
        <w:r>
          <w:rPr>
            <w:webHidden/>
          </w:rPr>
          <w:instrText xml:space="preserve"> PAGEREF _Toc116301506 \h </w:instrText>
        </w:r>
        <w:r>
          <w:rPr>
            <w:webHidden/>
          </w:rPr>
        </w:r>
        <w:r>
          <w:rPr>
            <w:webHidden/>
          </w:rPr>
          <w:fldChar w:fldCharType="separate"/>
        </w:r>
        <w:r>
          <w:rPr>
            <w:webHidden/>
          </w:rPr>
          <w:t>2</w:t>
        </w:r>
        <w:r>
          <w:rPr>
            <w:webHidden/>
          </w:rPr>
          <w:fldChar w:fldCharType="end"/>
        </w:r>
      </w:hyperlink>
    </w:p>
    <w:p w14:paraId="454EC4FA" w14:textId="1B228289" w:rsidR="0041501F" w:rsidRDefault="0041501F">
      <w:pPr>
        <w:pStyle w:val="TOC2"/>
        <w:rPr>
          <w:rFonts w:asciiTheme="minorHAnsi" w:eastAsiaTheme="minorEastAsia" w:hAnsiTheme="minorHAnsi" w:cstheme="minorBidi"/>
          <w:b w:val="0"/>
          <w:color w:val="auto"/>
          <w:sz w:val="22"/>
          <w:szCs w:val="22"/>
          <w:lang w:eastAsia="en-AU"/>
        </w:rPr>
      </w:pPr>
      <w:hyperlink w:anchor="_Toc116301507" w:history="1">
        <w:r w:rsidRPr="00712510">
          <w:rPr>
            <w:rStyle w:val="Hyperlink"/>
          </w:rPr>
          <w:t>Product claims and use patterns</w:t>
        </w:r>
        <w:r>
          <w:rPr>
            <w:webHidden/>
          </w:rPr>
          <w:tab/>
        </w:r>
        <w:r>
          <w:rPr>
            <w:webHidden/>
          </w:rPr>
          <w:fldChar w:fldCharType="begin"/>
        </w:r>
        <w:r>
          <w:rPr>
            <w:webHidden/>
          </w:rPr>
          <w:instrText xml:space="preserve"> PAGEREF _Toc116301507 \h </w:instrText>
        </w:r>
        <w:r>
          <w:rPr>
            <w:webHidden/>
          </w:rPr>
        </w:r>
        <w:r>
          <w:rPr>
            <w:webHidden/>
          </w:rPr>
          <w:fldChar w:fldCharType="separate"/>
        </w:r>
        <w:r>
          <w:rPr>
            <w:webHidden/>
          </w:rPr>
          <w:t>2</w:t>
        </w:r>
        <w:r>
          <w:rPr>
            <w:webHidden/>
          </w:rPr>
          <w:fldChar w:fldCharType="end"/>
        </w:r>
      </w:hyperlink>
    </w:p>
    <w:p w14:paraId="79E7845B" w14:textId="32A4659A" w:rsidR="0041501F" w:rsidRDefault="0041501F">
      <w:pPr>
        <w:pStyle w:val="TOC2"/>
        <w:rPr>
          <w:rFonts w:asciiTheme="minorHAnsi" w:eastAsiaTheme="minorEastAsia" w:hAnsiTheme="minorHAnsi" w:cstheme="minorBidi"/>
          <w:b w:val="0"/>
          <w:color w:val="auto"/>
          <w:sz w:val="22"/>
          <w:szCs w:val="22"/>
          <w:lang w:eastAsia="en-AU"/>
        </w:rPr>
      </w:pPr>
      <w:hyperlink w:anchor="_Toc116301508" w:history="1">
        <w:r w:rsidRPr="00712510">
          <w:rPr>
            <w:rStyle w:val="Hyperlink"/>
          </w:rPr>
          <w:t>Mode of action</w:t>
        </w:r>
        <w:r>
          <w:rPr>
            <w:webHidden/>
          </w:rPr>
          <w:tab/>
        </w:r>
        <w:r>
          <w:rPr>
            <w:webHidden/>
          </w:rPr>
          <w:fldChar w:fldCharType="begin"/>
        </w:r>
        <w:r>
          <w:rPr>
            <w:webHidden/>
          </w:rPr>
          <w:instrText xml:space="preserve"> PAGEREF _Toc116301508 \h </w:instrText>
        </w:r>
        <w:r>
          <w:rPr>
            <w:webHidden/>
          </w:rPr>
        </w:r>
        <w:r>
          <w:rPr>
            <w:webHidden/>
          </w:rPr>
          <w:fldChar w:fldCharType="separate"/>
        </w:r>
        <w:r>
          <w:rPr>
            <w:webHidden/>
          </w:rPr>
          <w:t>3</w:t>
        </w:r>
        <w:r>
          <w:rPr>
            <w:webHidden/>
          </w:rPr>
          <w:fldChar w:fldCharType="end"/>
        </w:r>
      </w:hyperlink>
    </w:p>
    <w:p w14:paraId="41CD9995" w14:textId="0643BB1D" w:rsidR="0041501F" w:rsidRDefault="0041501F">
      <w:pPr>
        <w:pStyle w:val="TOC2"/>
        <w:rPr>
          <w:rFonts w:asciiTheme="minorHAnsi" w:eastAsiaTheme="minorEastAsia" w:hAnsiTheme="minorHAnsi" w:cstheme="minorBidi"/>
          <w:b w:val="0"/>
          <w:color w:val="auto"/>
          <w:sz w:val="22"/>
          <w:szCs w:val="22"/>
          <w:lang w:eastAsia="en-AU"/>
        </w:rPr>
      </w:pPr>
      <w:hyperlink w:anchor="_Toc116301509" w:history="1">
        <w:r w:rsidRPr="00712510">
          <w:rPr>
            <w:rStyle w:val="Hyperlink"/>
          </w:rPr>
          <w:t>Submissions received during consultation</w:t>
        </w:r>
        <w:r>
          <w:rPr>
            <w:webHidden/>
          </w:rPr>
          <w:tab/>
        </w:r>
        <w:r>
          <w:rPr>
            <w:webHidden/>
          </w:rPr>
          <w:fldChar w:fldCharType="begin"/>
        </w:r>
        <w:r>
          <w:rPr>
            <w:webHidden/>
          </w:rPr>
          <w:instrText xml:space="preserve"> PAGEREF _Toc116301509 \h </w:instrText>
        </w:r>
        <w:r>
          <w:rPr>
            <w:webHidden/>
          </w:rPr>
        </w:r>
        <w:r>
          <w:rPr>
            <w:webHidden/>
          </w:rPr>
          <w:fldChar w:fldCharType="separate"/>
        </w:r>
        <w:r>
          <w:rPr>
            <w:webHidden/>
          </w:rPr>
          <w:t>3</w:t>
        </w:r>
        <w:r>
          <w:rPr>
            <w:webHidden/>
          </w:rPr>
          <w:fldChar w:fldCharType="end"/>
        </w:r>
      </w:hyperlink>
    </w:p>
    <w:p w14:paraId="0789D328" w14:textId="20198A06" w:rsidR="0041501F" w:rsidRDefault="0041501F">
      <w:pPr>
        <w:pStyle w:val="TOC1"/>
        <w:rPr>
          <w:rFonts w:asciiTheme="minorHAnsi" w:eastAsiaTheme="minorEastAsia" w:hAnsiTheme="minorHAnsi" w:cstheme="minorBidi"/>
          <w:bCs w:val="0"/>
          <w:color w:val="auto"/>
          <w:kern w:val="0"/>
          <w:sz w:val="22"/>
          <w:szCs w:val="22"/>
          <w:lang w:eastAsia="en-AU"/>
        </w:rPr>
      </w:pPr>
      <w:hyperlink w:anchor="_Toc116301510" w:history="1">
        <w:r w:rsidRPr="00712510">
          <w:rPr>
            <w:rStyle w:val="Hyperlink"/>
          </w:rPr>
          <w:t>Chemistry</w:t>
        </w:r>
        <w:r>
          <w:rPr>
            <w:webHidden/>
          </w:rPr>
          <w:tab/>
        </w:r>
        <w:r>
          <w:rPr>
            <w:webHidden/>
          </w:rPr>
          <w:fldChar w:fldCharType="begin"/>
        </w:r>
        <w:r>
          <w:rPr>
            <w:webHidden/>
          </w:rPr>
          <w:instrText xml:space="preserve"> PAGEREF _Toc116301510 \h </w:instrText>
        </w:r>
        <w:r>
          <w:rPr>
            <w:webHidden/>
          </w:rPr>
        </w:r>
        <w:r>
          <w:rPr>
            <w:webHidden/>
          </w:rPr>
          <w:fldChar w:fldCharType="separate"/>
        </w:r>
        <w:r>
          <w:rPr>
            <w:webHidden/>
          </w:rPr>
          <w:t>4</w:t>
        </w:r>
        <w:r>
          <w:rPr>
            <w:webHidden/>
          </w:rPr>
          <w:fldChar w:fldCharType="end"/>
        </w:r>
      </w:hyperlink>
    </w:p>
    <w:p w14:paraId="4D7659D5" w14:textId="002104B6" w:rsidR="0041501F" w:rsidRDefault="0041501F">
      <w:pPr>
        <w:pStyle w:val="TOC2"/>
        <w:rPr>
          <w:rFonts w:asciiTheme="minorHAnsi" w:eastAsiaTheme="minorEastAsia" w:hAnsiTheme="minorHAnsi" w:cstheme="minorBidi"/>
          <w:b w:val="0"/>
          <w:color w:val="auto"/>
          <w:sz w:val="22"/>
          <w:szCs w:val="22"/>
          <w:lang w:eastAsia="en-AU"/>
        </w:rPr>
      </w:pPr>
      <w:hyperlink w:anchor="_Toc116301511" w:history="1">
        <w:r w:rsidRPr="00712510">
          <w:rPr>
            <w:rStyle w:val="Hyperlink"/>
          </w:rPr>
          <w:t>Active constituent</w:t>
        </w:r>
        <w:r>
          <w:rPr>
            <w:webHidden/>
          </w:rPr>
          <w:tab/>
        </w:r>
        <w:r>
          <w:rPr>
            <w:webHidden/>
          </w:rPr>
          <w:fldChar w:fldCharType="begin"/>
        </w:r>
        <w:r>
          <w:rPr>
            <w:webHidden/>
          </w:rPr>
          <w:instrText xml:space="preserve"> PAGEREF _Toc116301511 \h </w:instrText>
        </w:r>
        <w:r>
          <w:rPr>
            <w:webHidden/>
          </w:rPr>
        </w:r>
        <w:r>
          <w:rPr>
            <w:webHidden/>
          </w:rPr>
          <w:fldChar w:fldCharType="separate"/>
        </w:r>
        <w:r>
          <w:rPr>
            <w:webHidden/>
          </w:rPr>
          <w:t>4</w:t>
        </w:r>
        <w:r>
          <w:rPr>
            <w:webHidden/>
          </w:rPr>
          <w:fldChar w:fldCharType="end"/>
        </w:r>
      </w:hyperlink>
    </w:p>
    <w:p w14:paraId="506111FA" w14:textId="6DC5DDBF" w:rsidR="0041501F" w:rsidRDefault="0041501F">
      <w:pPr>
        <w:pStyle w:val="TOC3"/>
        <w:rPr>
          <w:rFonts w:asciiTheme="minorHAnsi" w:eastAsiaTheme="minorEastAsia" w:hAnsiTheme="minorHAnsi" w:cstheme="minorBidi"/>
          <w:color w:val="auto"/>
          <w:sz w:val="22"/>
          <w:szCs w:val="22"/>
          <w:lang w:eastAsia="en-AU"/>
        </w:rPr>
      </w:pPr>
      <w:hyperlink w:anchor="_Toc116301512" w:history="1">
        <w:r w:rsidRPr="00712510">
          <w:rPr>
            <w:rStyle w:val="Hyperlink"/>
          </w:rPr>
          <w:t>Toxicologically significant impurities</w:t>
        </w:r>
        <w:r>
          <w:rPr>
            <w:webHidden/>
          </w:rPr>
          <w:tab/>
        </w:r>
        <w:r>
          <w:rPr>
            <w:webHidden/>
          </w:rPr>
          <w:fldChar w:fldCharType="begin"/>
        </w:r>
        <w:r>
          <w:rPr>
            <w:webHidden/>
          </w:rPr>
          <w:instrText xml:space="preserve"> PAGEREF _Toc116301512 \h </w:instrText>
        </w:r>
        <w:r>
          <w:rPr>
            <w:webHidden/>
          </w:rPr>
        </w:r>
        <w:r>
          <w:rPr>
            <w:webHidden/>
          </w:rPr>
          <w:fldChar w:fldCharType="separate"/>
        </w:r>
        <w:r>
          <w:rPr>
            <w:webHidden/>
          </w:rPr>
          <w:t>6</w:t>
        </w:r>
        <w:r>
          <w:rPr>
            <w:webHidden/>
          </w:rPr>
          <w:fldChar w:fldCharType="end"/>
        </w:r>
      </w:hyperlink>
    </w:p>
    <w:p w14:paraId="36FB763E" w14:textId="6C9235FA" w:rsidR="0041501F" w:rsidRDefault="0041501F">
      <w:pPr>
        <w:pStyle w:val="TOC2"/>
        <w:rPr>
          <w:rFonts w:asciiTheme="minorHAnsi" w:eastAsiaTheme="minorEastAsia" w:hAnsiTheme="minorHAnsi" w:cstheme="minorBidi"/>
          <w:b w:val="0"/>
          <w:color w:val="auto"/>
          <w:sz w:val="22"/>
          <w:szCs w:val="22"/>
          <w:lang w:eastAsia="en-AU"/>
        </w:rPr>
      </w:pPr>
      <w:hyperlink w:anchor="_Toc116301513" w:history="1">
        <w:r w:rsidRPr="00712510">
          <w:rPr>
            <w:rStyle w:val="Hyperlink"/>
          </w:rPr>
          <w:t>Formulated products</w:t>
        </w:r>
        <w:r>
          <w:rPr>
            <w:webHidden/>
          </w:rPr>
          <w:tab/>
        </w:r>
        <w:r>
          <w:rPr>
            <w:webHidden/>
          </w:rPr>
          <w:fldChar w:fldCharType="begin"/>
        </w:r>
        <w:r>
          <w:rPr>
            <w:webHidden/>
          </w:rPr>
          <w:instrText xml:space="preserve"> PAGEREF _Toc116301513 \h </w:instrText>
        </w:r>
        <w:r>
          <w:rPr>
            <w:webHidden/>
          </w:rPr>
        </w:r>
        <w:r>
          <w:rPr>
            <w:webHidden/>
          </w:rPr>
          <w:fldChar w:fldCharType="separate"/>
        </w:r>
        <w:r>
          <w:rPr>
            <w:webHidden/>
          </w:rPr>
          <w:t>6</w:t>
        </w:r>
        <w:r>
          <w:rPr>
            <w:webHidden/>
          </w:rPr>
          <w:fldChar w:fldCharType="end"/>
        </w:r>
      </w:hyperlink>
    </w:p>
    <w:p w14:paraId="67F3FADE" w14:textId="6845607D" w:rsidR="0041501F" w:rsidRDefault="0041501F">
      <w:pPr>
        <w:pStyle w:val="TOC2"/>
        <w:rPr>
          <w:rFonts w:asciiTheme="minorHAnsi" w:eastAsiaTheme="minorEastAsia" w:hAnsiTheme="minorHAnsi" w:cstheme="minorBidi"/>
          <w:b w:val="0"/>
          <w:color w:val="auto"/>
          <w:sz w:val="22"/>
          <w:szCs w:val="22"/>
          <w:lang w:eastAsia="en-AU"/>
        </w:rPr>
      </w:pPr>
      <w:hyperlink w:anchor="_Toc116301514" w:history="1">
        <w:r w:rsidRPr="00712510">
          <w:rPr>
            <w:rStyle w:val="Hyperlink"/>
          </w:rPr>
          <w:t>Recommendations</w:t>
        </w:r>
        <w:r>
          <w:rPr>
            <w:webHidden/>
          </w:rPr>
          <w:tab/>
        </w:r>
        <w:r>
          <w:rPr>
            <w:webHidden/>
          </w:rPr>
          <w:fldChar w:fldCharType="begin"/>
        </w:r>
        <w:r>
          <w:rPr>
            <w:webHidden/>
          </w:rPr>
          <w:instrText xml:space="preserve"> PAGEREF _Toc116301514 \h </w:instrText>
        </w:r>
        <w:r>
          <w:rPr>
            <w:webHidden/>
          </w:rPr>
        </w:r>
        <w:r>
          <w:rPr>
            <w:webHidden/>
          </w:rPr>
          <w:fldChar w:fldCharType="separate"/>
        </w:r>
        <w:r>
          <w:rPr>
            <w:webHidden/>
          </w:rPr>
          <w:t>8</w:t>
        </w:r>
        <w:r>
          <w:rPr>
            <w:webHidden/>
          </w:rPr>
          <w:fldChar w:fldCharType="end"/>
        </w:r>
      </w:hyperlink>
    </w:p>
    <w:p w14:paraId="15EC0864" w14:textId="442DD06B" w:rsidR="0041501F" w:rsidRDefault="0041501F">
      <w:pPr>
        <w:pStyle w:val="TOC1"/>
        <w:rPr>
          <w:rFonts w:asciiTheme="minorHAnsi" w:eastAsiaTheme="minorEastAsia" w:hAnsiTheme="minorHAnsi" w:cstheme="minorBidi"/>
          <w:bCs w:val="0"/>
          <w:color w:val="auto"/>
          <w:kern w:val="0"/>
          <w:sz w:val="22"/>
          <w:szCs w:val="22"/>
          <w:lang w:eastAsia="en-AU"/>
        </w:rPr>
      </w:pPr>
      <w:hyperlink w:anchor="_Toc116301515" w:history="1">
        <w:r w:rsidRPr="00712510">
          <w:rPr>
            <w:rStyle w:val="Hyperlink"/>
          </w:rPr>
          <w:t>Toxicology</w:t>
        </w:r>
        <w:r>
          <w:rPr>
            <w:webHidden/>
          </w:rPr>
          <w:tab/>
        </w:r>
        <w:r>
          <w:rPr>
            <w:webHidden/>
          </w:rPr>
          <w:fldChar w:fldCharType="begin"/>
        </w:r>
        <w:r>
          <w:rPr>
            <w:webHidden/>
          </w:rPr>
          <w:instrText xml:space="preserve"> PAGEREF _Toc116301515 \h </w:instrText>
        </w:r>
        <w:r>
          <w:rPr>
            <w:webHidden/>
          </w:rPr>
        </w:r>
        <w:r>
          <w:rPr>
            <w:webHidden/>
          </w:rPr>
          <w:fldChar w:fldCharType="separate"/>
        </w:r>
        <w:r>
          <w:rPr>
            <w:webHidden/>
          </w:rPr>
          <w:t>9</w:t>
        </w:r>
        <w:r>
          <w:rPr>
            <w:webHidden/>
          </w:rPr>
          <w:fldChar w:fldCharType="end"/>
        </w:r>
      </w:hyperlink>
    </w:p>
    <w:p w14:paraId="1B0AB3D4" w14:textId="390ADED6" w:rsidR="0041501F" w:rsidRDefault="0041501F">
      <w:pPr>
        <w:pStyle w:val="TOC2"/>
        <w:rPr>
          <w:rFonts w:asciiTheme="minorHAnsi" w:eastAsiaTheme="minorEastAsia" w:hAnsiTheme="minorHAnsi" w:cstheme="minorBidi"/>
          <w:b w:val="0"/>
          <w:color w:val="auto"/>
          <w:sz w:val="22"/>
          <w:szCs w:val="22"/>
          <w:lang w:eastAsia="en-AU"/>
        </w:rPr>
      </w:pPr>
      <w:hyperlink w:anchor="_Toc116301516" w:history="1">
        <w:r w:rsidRPr="00712510">
          <w:rPr>
            <w:rStyle w:val="Hyperlink"/>
          </w:rPr>
          <w:t>Toxicological properties</w:t>
        </w:r>
        <w:r>
          <w:rPr>
            <w:webHidden/>
          </w:rPr>
          <w:tab/>
        </w:r>
        <w:r>
          <w:rPr>
            <w:webHidden/>
          </w:rPr>
          <w:fldChar w:fldCharType="begin"/>
        </w:r>
        <w:r>
          <w:rPr>
            <w:webHidden/>
          </w:rPr>
          <w:instrText xml:space="preserve"> PAGEREF _Toc116301516 \h </w:instrText>
        </w:r>
        <w:r>
          <w:rPr>
            <w:webHidden/>
          </w:rPr>
        </w:r>
        <w:r>
          <w:rPr>
            <w:webHidden/>
          </w:rPr>
          <w:fldChar w:fldCharType="separate"/>
        </w:r>
        <w:r>
          <w:rPr>
            <w:webHidden/>
          </w:rPr>
          <w:t>9</w:t>
        </w:r>
        <w:r>
          <w:rPr>
            <w:webHidden/>
          </w:rPr>
          <w:fldChar w:fldCharType="end"/>
        </w:r>
      </w:hyperlink>
    </w:p>
    <w:p w14:paraId="04A19B25" w14:textId="490BA325" w:rsidR="0041501F" w:rsidRDefault="0041501F">
      <w:pPr>
        <w:pStyle w:val="TOC2"/>
        <w:rPr>
          <w:rFonts w:asciiTheme="minorHAnsi" w:eastAsiaTheme="minorEastAsia" w:hAnsiTheme="minorHAnsi" w:cstheme="minorBidi"/>
          <w:b w:val="0"/>
          <w:color w:val="auto"/>
          <w:sz w:val="22"/>
          <w:szCs w:val="22"/>
          <w:lang w:eastAsia="en-AU"/>
        </w:rPr>
      </w:pPr>
      <w:hyperlink w:anchor="_Toc116301517" w:history="1">
        <w:r w:rsidRPr="00712510">
          <w:rPr>
            <w:rStyle w:val="Hyperlink"/>
          </w:rPr>
          <w:t>Anti-androgenic effects</w:t>
        </w:r>
        <w:r>
          <w:rPr>
            <w:webHidden/>
          </w:rPr>
          <w:tab/>
        </w:r>
        <w:r>
          <w:rPr>
            <w:webHidden/>
          </w:rPr>
          <w:fldChar w:fldCharType="begin"/>
        </w:r>
        <w:r>
          <w:rPr>
            <w:webHidden/>
          </w:rPr>
          <w:instrText xml:space="preserve"> PAGEREF _Toc116301517 \h </w:instrText>
        </w:r>
        <w:r>
          <w:rPr>
            <w:webHidden/>
          </w:rPr>
        </w:r>
        <w:r>
          <w:rPr>
            <w:webHidden/>
          </w:rPr>
          <w:fldChar w:fldCharType="separate"/>
        </w:r>
        <w:r>
          <w:rPr>
            <w:webHidden/>
          </w:rPr>
          <w:t>9</w:t>
        </w:r>
        <w:r>
          <w:rPr>
            <w:webHidden/>
          </w:rPr>
          <w:fldChar w:fldCharType="end"/>
        </w:r>
      </w:hyperlink>
    </w:p>
    <w:p w14:paraId="46C986B9" w14:textId="177F9C01" w:rsidR="0041501F" w:rsidRDefault="0041501F">
      <w:pPr>
        <w:pStyle w:val="TOC2"/>
        <w:rPr>
          <w:rFonts w:asciiTheme="minorHAnsi" w:eastAsiaTheme="minorEastAsia" w:hAnsiTheme="minorHAnsi" w:cstheme="minorBidi"/>
          <w:b w:val="0"/>
          <w:color w:val="auto"/>
          <w:sz w:val="22"/>
          <w:szCs w:val="22"/>
          <w:lang w:eastAsia="en-AU"/>
        </w:rPr>
      </w:pPr>
      <w:hyperlink w:anchor="_Toc116301518" w:history="1">
        <w:r w:rsidRPr="00712510">
          <w:rPr>
            <w:rStyle w:val="Hyperlink"/>
          </w:rPr>
          <w:t>Acute toxicity</w:t>
        </w:r>
        <w:r>
          <w:rPr>
            <w:webHidden/>
          </w:rPr>
          <w:tab/>
        </w:r>
        <w:r>
          <w:rPr>
            <w:webHidden/>
          </w:rPr>
          <w:fldChar w:fldCharType="begin"/>
        </w:r>
        <w:r>
          <w:rPr>
            <w:webHidden/>
          </w:rPr>
          <w:instrText xml:space="preserve"> PAGEREF _Toc116301518 \h </w:instrText>
        </w:r>
        <w:r>
          <w:rPr>
            <w:webHidden/>
          </w:rPr>
        </w:r>
        <w:r>
          <w:rPr>
            <w:webHidden/>
          </w:rPr>
          <w:fldChar w:fldCharType="separate"/>
        </w:r>
        <w:r>
          <w:rPr>
            <w:webHidden/>
          </w:rPr>
          <w:t>11</w:t>
        </w:r>
        <w:r>
          <w:rPr>
            <w:webHidden/>
          </w:rPr>
          <w:fldChar w:fldCharType="end"/>
        </w:r>
      </w:hyperlink>
    </w:p>
    <w:p w14:paraId="3C424E75" w14:textId="0B99399C" w:rsidR="0041501F" w:rsidRDefault="0041501F">
      <w:pPr>
        <w:pStyle w:val="TOC2"/>
        <w:rPr>
          <w:rFonts w:asciiTheme="minorHAnsi" w:eastAsiaTheme="minorEastAsia" w:hAnsiTheme="minorHAnsi" w:cstheme="minorBidi"/>
          <w:b w:val="0"/>
          <w:color w:val="auto"/>
          <w:sz w:val="22"/>
          <w:szCs w:val="22"/>
          <w:lang w:eastAsia="en-AU"/>
        </w:rPr>
      </w:pPr>
      <w:hyperlink w:anchor="_Toc116301519" w:history="1">
        <w:r w:rsidRPr="00712510">
          <w:rPr>
            <w:rStyle w:val="Hyperlink"/>
          </w:rPr>
          <w:t>Impurities of toxicological concern</w:t>
        </w:r>
        <w:r>
          <w:rPr>
            <w:webHidden/>
          </w:rPr>
          <w:tab/>
        </w:r>
        <w:r>
          <w:rPr>
            <w:webHidden/>
          </w:rPr>
          <w:fldChar w:fldCharType="begin"/>
        </w:r>
        <w:r>
          <w:rPr>
            <w:webHidden/>
          </w:rPr>
          <w:instrText xml:space="preserve"> PAGEREF _Toc116301519 \h </w:instrText>
        </w:r>
        <w:r>
          <w:rPr>
            <w:webHidden/>
          </w:rPr>
        </w:r>
        <w:r>
          <w:rPr>
            <w:webHidden/>
          </w:rPr>
          <w:fldChar w:fldCharType="separate"/>
        </w:r>
        <w:r>
          <w:rPr>
            <w:webHidden/>
          </w:rPr>
          <w:t>11</w:t>
        </w:r>
        <w:r>
          <w:rPr>
            <w:webHidden/>
          </w:rPr>
          <w:fldChar w:fldCharType="end"/>
        </w:r>
      </w:hyperlink>
    </w:p>
    <w:p w14:paraId="56C8C3E1" w14:textId="045EAD12" w:rsidR="0041501F" w:rsidRDefault="0041501F">
      <w:pPr>
        <w:pStyle w:val="TOC2"/>
        <w:rPr>
          <w:rFonts w:asciiTheme="minorHAnsi" w:eastAsiaTheme="minorEastAsia" w:hAnsiTheme="minorHAnsi" w:cstheme="minorBidi"/>
          <w:b w:val="0"/>
          <w:color w:val="auto"/>
          <w:sz w:val="22"/>
          <w:szCs w:val="22"/>
          <w:lang w:eastAsia="en-AU"/>
        </w:rPr>
      </w:pPr>
      <w:hyperlink w:anchor="_Toc116301520" w:history="1">
        <w:r w:rsidRPr="00712510">
          <w:rPr>
            <w:rStyle w:val="Hyperlink"/>
          </w:rPr>
          <w:t>Health-based guidance values and poisons scheduling</w:t>
        </w:r>
        <w:r>
          <w:rPr>
            <w:webHidden/>
          </w:rPr>
          <w:tab/>
        </w:r>
        <w:r>
          <w:rPr>
            <w:webHidden/>
          </w:rPr>
          <w:fldChar w:fldCharType="begin"/>
        </w:r>
        <w:r>
          <w:rPr>
            <w:webHidden/>
          </w:rPr>
          <w:instrText xml:space="preserve"> PAGEREF _Toc116301520 \h </w:instrText>
        </w:r>
        <w:r>
          <w:rPr>
            <w:webHidden/>
          </w:rPr>
        </w:r>
        <w:r>
          <w:rPr>
            <w:webHidden/>
          </w:rPr>
          <w:fldChar w:fldCharType="separate"/>
        </w:r>
        <w:r>
          <w:rPr>
            <w:webHidden/>
          </w:rPr>
          <w:t>12</w:t>
        </w:r>
        <w:r>
          <w:rPr>
            <w:webHidden/>
          </w:rPr>
          <w:fldChar w:fldCharType="end"/>
        </w:r>
      </w:hyperlink>
    </w:p>
    <w:p w14:paraId="6F0F85B9" w14:textId="1CB1037B" w:rsidR="0041501F" w:rsidRDefault="0041501F">
      <w:pPr>
        <w:pStyle w:val="TOC3"/>
        <w:rPr>
          <w:rFonts w:asciiTheme="minorHAnsi" w:eastAsiaTheme="minorEastAsia" w:hAnsiTheme="minorHAnsi" w:cstheme="minorBidi"/>
          <w:color w:val="auto"/>
          <w:sz w:val="22"/>
          <w:szCs w:val="22"/>
          <w:lang w:eastAsia="en-AU"/>
        </w:rPr>
      </w:pPr>
      <w:hyperlink w:anchor="_Toc116301521" w:history="1">
        <w:r w:rsidRPr="00712510">
          <w:rPr>
            <w:rStyle w:val="Hyperlink"/>
          </w:rPr>
          <w:t>Acceptable daily intake</w:t>
        </w:r>
        <w:r>
          <w:rPr>
            <w:webHidden/>
          </w:rPr>
          <w:tab/>
        </w:r>
        <w:r>
          <w:rPr>
            <w:webHidden/>
          </w:rPr>
          <w:fldChar w:fldCharType="begin"/>
        </w:r>
        <w:r>
          <w:rPr>
            <w:webHidden/>
          </w:rPr>
          <w:instrText xml:space="preserve"> PAGEREF _Toc116301521 \h </w:instrText>
        </w:r>
        <w:r>
          <w:rPr>
            <w:webHidden/>
          </w:rPr>
        </w:r>
        <w:r>
          <w:rPr>
            <w:webHidden/>
          </w:rPr>
          <w:fldChar w:fldCharType="separate"/>
        </w:r>
        <w:r>
          <w:rPr>
            <w:webHidden/>
          </w:rPr>
          <w:t>12</w:t>
        </w:r>
        <w:r>
          <w:rPr>
            <w:webHidden/>
          </w:rPr>
          <w:fldChar w:fldCharType="end"/>
        </w:r>
      </w:hyperlink>
    </w:p>
    <w:p w14:paraId="4189F521" w14:textId="7AAE1AB1" w:rsidR="0041501F" w:rsidRDefault="0041501F">
      <w:pPr>
        <w:pStyle w:val="TOC3"/>
        <w:rPr>
          <w:rFonts w:asciiTheme="minorHAnsi" w:eastAsiaTheme="minorEastAsia" w:hAnsiTheme="minorHAnsi" w:cstheme="minorBidi"/>
          <w:color w:val="auto"/>
          <w:sz w:val="22"/>
          <w:szCs w:val="22"/>
          <w:lang w:eastAsia="en-AU"/>
        </w:rPr>
      </w:pPr>
      <w:hyperlink w:anchor="_Toc116301522" w:history="1">
        <w:r w:rsidRPr="00712510">
          <w:rPr>
            <w:rStyle w:val="Hyperlink"/>
          </w:rPr>
          <w:t>Acute reference dose</w:t>
        </w:r>
        <w:r>
          <w:rPr>
            <w:webHidden/>
          </w:rPr>
          <w:tab/>
        </w:r>
        <w:r>
          <w:rPr>
            <w:webHidden/>
          </w:rPr>
          <w:fldChar w:fldCharType="begin"/>
        </w:r>
        <w:r>
          <w:rPr>
            <w:webHidden/>
          </w:rPr>
          <w:instrText xml:space="preserve"> PAGEREF _Toc116301522 \h </w:instrText>
        </w:r>
        <w:r>
          <w:rPr>
            <w:webHidden/>
          </w:rPr>
        </w:r>
        <w:r>
          <w:rPr>
            <w:webHidden/>
          </w:rPr>
          <w:fldChar w:fldCharType="separate"/>
        </w:r>
        <w:r>
          <w:rPr>
            <w:webHidden/>
          </w:rPr>
          <w:t>12</w:t>
        </w:r>
        <w:r>
          <w:rPr>
            <w:webHidden/>
          </w:rPr>
          <w:fldChar w:fldCharType="end"/>
        </w:r>
      </w:hyperlink>
    </w:p>
    <w:p w14:paraId="648DD49E" w14:textId="1C8E6B75" w:rsidR="0041501F" w:rsidRDefault="0041501F">
      <w:pPr>
        <w:pStyle w:val="TOC3"/>
        <w:rPr>
          <w:rFonts w:asciiTheme="minorHAnsi" w:eastAsiaTheme="minorEastAsia" w:hAnsiTheme="minorHAnsi" w:cstheme="minorBidi"/>
          <w:color w:val="auto"/>
          <w:sz w:val="22"/>
          <w:szCs w:val="22"/>
          <w:lang w:eastAsia="en-AU"/>
        </w:rPr>
      </w:pPr>
      <w:hyperlink w:anchor="_Toc116301523" w:history="1">
        <w:r w:rsidRPr="00712510">
          <w:rPr>
            <w:rStyle w:val="Hyperlink"/>
          </w:rPr>
          <w:t>Poisons scheduling</w:t>
        </w:r>
        <w:r>
          <w:rPr>
            <w:webHidden/>
          </w:rPr>
          <w:tab/>
        </w:r>
        <w:r>
          <w:rPr>
            <w:webHidden/>
          </w:rPr>
          <w:fldChar w:fldCharType="begin"/>
        </w:r>
        <w:r>
          <w:rPr>
            <w:webHidden/>
          </w:rPr>
          <w:instrText xml:space="preserve"> PAGEREF _Toc116301523 \h </w:instrText>
        </w:r>
        <w:r>
          <w:rPr>
            <w:webHidden/>
          </w:rPr>
        </w:r>
        <w:r>
          <w:rPr>
            <w:webHidden/>
          </w:rPr>
          <w:fldChar w:fldCharType="separate"/>
        </w:r>
        <w:r>
          <w:rPr>
            <w:webHidden/>
          </w:rPr>
          <w:t>12</w:t>
        </w:r>
        <w:r>
          <w:rPr>
            <w:webHidden/>
          </w:rPr>
          <w:fldChar w:fldCharType="end"/>
        </w:r>
      </w:hyperlink>
    </w:p>
    <w:p w14:paraId="3022A53D" w14:textId="093FE176" w:rsidR="0041501F" w:rsidRDefault="0041501F">
      <w:pPr>
        <w:pStyle w:val="TOC2"/>
        <w:rPr>
          <w:rFonts w:asciiTheme="minorHAnsi" w:eastAsiaTheme="minorEastAsia" w:hAnsiTheme="minorHAnsi" w:cstheme="minorBidi"/>
          <w:b w:val="0"/>
          <w:color w:val="auto"/>
          <w:sz w:val="22"/>
          <w:szCs w:val="22"/>
          <w:lang w:eastAsia="en-AU"/>
        </w:rPr>
      </w:pPr>
      <w:hyperlink w:anchor="_Toc116301524" w:history="1">
        <w:r w:rsidRPr="00712510">
          <w:rPr>
            <w:rStyle w:val="Hyperlink"/>
          </w:rPr>
          <w:t>Recommendations</w:t>
        </w:r>
        <w:r>
          <w:rPr>
            <w:webHidden/>
          </w:rPr>
          <w:tab/>
        </w:r>
        <w:r>
          <w:rPr>
            <w:webHidden/>
          </w:rPr>
          <w:fldChar w:fldCharType="begin"/>
        </w:r>
        <w:r>
          <w:rPr>
            <w:webHidden/>
          </w:rPr>
          <w:instrText xml:space="preserve"> PAGEREF _Toc116301524 \h </w:instrText>
        </w:r>
        <w:r>
          <w:rPr>
            <w:webHidden/>
          </w:rPr>
        </w:r>
        <w:r>
          <w:rPr>
            <w:webHidden/>
          </w:rPr>
          <w:fldChar w:fldCharType="separate"/>
        </w:r>
        <w:r>
          <w:rPr>
            <w:webHidden/>
          </w:rPr>
          <w:t>12</w:t>
        </w:r>
        <w:r>
          <w:rPr>
            <w:webHidden/>
          </w:rPr>
          <w:fldChar w:fldCharType="end"/>
        </w:r>
      </w:hyperlink>
    </w:p>
    <w:p w14:paraId="3C29E7F5" w14:textId="02D74944" w:rsidR="0041501F" w:rsidRDefault="0041501F">
      <w:pPr>
        <w:pStyle w:val="TOC1"/>
        <w:rPr>
          <w:rFonts w:asciiTheme="minorHAnsi" w:eastAsiaTheme="minorEastAsia" w:hAnsiTheme="minorHAnsi" w:cstheme="minorBidi"/>
          <w:bCs w:val="0"/>
          <w:color w:val="auto"/>
          <w:kern w:val="0"/>
          <w:sz w:val="22"/>
          <w:szCs w:val="22"/>
          <w:lang w:eastAsia="en-AU"/>
        </w:rPr>
      </w:pPr>
      <w:hyperlink w:anchor="_Toc116301525" w:history="1">
        <w:r w:rsidRPr="00712510">
          <w:rPr>
            <w:rStyle w:val="Hyperlink"/>
          </w:rPr>
          <w:t>Occupational health and safety</w:t>
        </w:r>
        <w:r>
          <w:rPr>
            <w:webHidden/>
          </w:rPr>
          <w:tab/>
        </w:r>
        <w:r>
          <w:rPr>
            <w:webHidden/>
          </w:rPr>
          <w:fldChar w:fldCharType="begin"/>
        </w:r>
        <w:r>
          <w:rPr>
            <w:webHidden/>
          </w:rPr>
          <w:instrText xml:space="preserve"> PAGEREF _Toc116301525 \h </w:instrText>
        </w:r>
        <w:r>
          <w:rPr>
            <w:webHidden/>
          </w:rPr>
        </w:r>
        <w:r>
          <w:rPr>
            <w:webHidden/>
          </w:rPr>
          <w:fldChar w:fldCharType="separate"/>
        </w:r>
        <w:r>
          <w:rPr>
            <w:webHidden/>
          </w:rPr>
          <w:t>14</w:t>
        </w:r>
        <w:r>
          <w:rPr>
            <w:webHidden/>
          </w:rPr>
          <w:fldChar w:fldCharType="end"/>
        </w:r>
      </w:hyperlink>
    </w:p>
    <w:p w14:paraId="2EB470D4" w14:textId="35F5F840" w:rsidR="0041501F" w:rsidRDefault="0041501F">
      <w:pPr>
        <w:pStyle w:val="TOC2"/>
        <w:rPr>
          <w:rFonts w:asciiTheme="minorHAnsi" w:eastAsiaTheme="minorEastAsia" w:hAnsiTheme="minorHAnsi" w:cstheme="minorBidi"/>
          <w:b w:val="0"/>
          <w:color w:val="auto"/>
          <w:sz w:val="22"/>
          <w:szCs w:val="22"/>
          <w:lang w:eastAsia="en-AU"/>
        </w:rPr>
      </w:pPr>
      <w:hyperlink w:anchor="_Toc116301526" w:history="1">
        <w:r w:rsidRPr="00712510">
          <w:rPr>
            <w:rStyle w:val="Hyperlink"/>
          </w:rPr>
          <w:t>Consideration of occupational health and safety risks</w:t>
        </w:r>
        <w:r>
          <w:rPr>
            <w:webHidden/>
          </w:rPr>
          <w:tab/>
        </w:r>
        <w:r>
          <w:rPr>
            <w:webHidden/>
          </w:rPr>
          <w:fldChar w:fldCharType="begin"/>
        </w:r>
        <w:r>
          <w:rPr>
            <w:webHidden/>
          </w:rPr>
          <w:instrText xml:space="preserve"> PAGEREF _Toc116301526 \h </w:instrText>
        </w:r>
        <w:r>
          <w:rPr>
            <w:webHidden/>
          </w:rPr>
        </w:r>
        <w:r>
          <w:rPr>
            <w:webHidden/>
          </w:rPr>
          <w:fldChar w:fldCharType="separate"/>
        </w:r>
        <w:r>
          <w:rPr>
            <w:webHidden/>
          </w:rPr>
          <w:t>14</w:t>
        </w:r>
        <w:r>
          <w:rPr>
            <w:webHidden/>
          </w:rPr>
          <w:fldChar w:fldCharType="end"/>
        </w:r>
      </w:hyperlink>
    </w:p>
    <w:p w14:paraId="5B595226" w14:textId="7AA2A799" w:rsidR="0041501F" w:rsidRDefault="0041501F">
      <w:pPr>
        <w:pStyle w:val="TOC2"/>
        <w:rPr>
          <w:rFonts w:asciiTheme="minorHAnsi" w:eastAsiaTheme="minorEastAsia" w:hAnsiTheme="minorHAnsi" w:cstheme="minorBidi"/>
          <w:b w:val="0"/>
          <w:color w:val="auto"/>
          <w:sz w:val="22"/>
          <w:szCs w:val="22"/>
          <w:lang w:eastAsia="en-AU"/>
        </w:rPr>
      </w:pPr>
      <w:hyperlink w:anchor="_Toc116301527" w:history="1">
        <w:r w:rsidRPr="00712510">
          <w:rPr>
            <w:rStyle w:val="Hyperlink"/>
          </w:rPr>
          <w:t>Application methods</w:t>
        </w:r>
        <w:r>
          <w:rPr>
            <w:webHidden/>
          </w:rPr>
          <w:tab/>
        </w:r>
        <w:r>
          <w:rPr>
            <w:webHidden/>
          </w:rPr>
          <w:fldChar w:fldCharType="begin"/>
        </w:r>
        <w:r>
          <w:rPr>
            <w:webHidden/>
          </w:rPr>
          <w:instrText xml:space="preserve"> PAGEREF _Toc116301527 \h </w:instrText>
        </w:r>
        <w:r>
          <w:rPr>
            <w:webHidden/>
          </w:rPr>
        </w:r>
        <w:r>
          <w:rPr>
            <w:webHidden/>
          </w:rPr>
          <w:fldChar w:fldCharType="separate"/>
        </w:r>
        <w:r>
          <w:rPr>
            <w:webHidden/>
          </w:rPr>
          <w:t>14</w:t>
        </w:r>
        <w:r>
          <w:rPr>
            <w:webHidden/>
          </w:rPr>
          <w:fldChar w:fldCharType="end"/>
        </w:r>
      </w:hyperlink>
    </w:p>
    <w:p w14:paraId="0CB1738B" w14:textId="70664F7E" w:rsidR="0041501F" w:rsidRDefault="0041501F">
      <w:pPr>
        <w:pStyle w:val="TOC2"/>
        <w:rPr>
          <w:rFonts w:asciiTheme="minorHAnsi" w:eastAsiaTheme="minorEastAsia" w:hAnsiTheme="minorHAnsi" w:cstheme="minorBidi"/>
          <w:b w:val="0"/>
          <w:color w:val="auto"/>
          <w:sz w:val="22"/>
          <w:szCs w:val="22"/>
          <w:lang w:eastAsia="en-AU"/>
        </w:rPr>
      </w:pPr>
      <w:hyperlink w:anchor="_Toc116301528" w:history="1">
        <w:r w:rsidRPr="00712510">
          <w:rPr>
            <w:rStyle w:val="Hyperlink"/>
          </w:rPr>
          <w:t>Exposure during use</w:t>
        </w:r>
        <w:r>
          <w:rPr>
            <w:webHidden/>
          </w:rPr>
          <w:tab/>
        </w:r>
        <w:r>
          <w:rPr>
            <w:webHidden/>
          </w:rPr>
          <w:fldChar w:fldCharType="begin"/>
        </w:r>
        <w:r>
          <w:rPr>
            <w:webHidden/>
          </w:rPr>
          <w:instrText xml:space="preserve"> PAGEREF _Toc116301528 \h </w:instrText>
        </w:r>
        <w:r>
          <w:rPr>
            <w:webHidden/>
          </w:rPr>
        </w:r>
        <w:r>
          <w:rPr>
            <w:webHidden/>
          </w:rPr>
          <w:fldChar w:fldCharType="separate"/>
        </w:r>
        <w:r>
          <w:rPr>
            <w:webHidden/>
          </w:rPr>
          <w:t>14</w:t>
        </w:r>
        <w:r>
          <w:rPr>
            <w:webHidden/>
          </w:rPr>
          <w:fldChar w:fldCharType="end"/>
        </w:r>
      </w:hyperlink>
    </w:p>
    <w:p w14:paraId="0EAA5904" w14:textId="7FAF808C" w:rsidR="0041501F" w:rsidRDefault="0041501F">
      <w:pPr>
        <w:pStyle w:val="TOC2"/>
        <w:rPr>
          <w:rFonts w:asciiTheme="minorHAnsi" w:eastAsiaTheme="minorEastAsia" w:hAnsiTheme="minorHAnsi" w:cstheme="minorBidi"/>
          <w:b w:val="0"/>
          <w:color w:val="auto"/>
          <w:sz w:val="22"/>
          <w:szCs w:val="22"/>
          <w:lang w:eastAsia="en-AU"/>
        </w:rPr>
      </w:pPr>
      <w:hyperlink w:anchor="_Toc116301529" w:history="1">
        <w:r w:rsidRPr="00712510">
          <w:rPr>
            <w:rStyle w:val="Hyperlink"/>
          </w:rPr>
          <w:t>Exposure during re-entry</w:t>
        </w:r>
        <w:r>
          <w:rPr>
            <w:webHidden/>
          </w:rPr>
          <w:tab/>
        </w:r>
        <w:r>
          <w:rPr>
            <w:webHidden/>
          </w:rPr>
          <w:fldChar w:fldCharType="begin"/>
        </w:r>
        <w:r>
          <w:rPr>
            <w:webHidden/>
          </w:rPr>
          <w:instrText xml:space="preserve"> PAGEREF _Toc116301529 \h </w:instrText>
        </w:r>
        <w:r>
          <w:rPr>
            <w:webHidden/>
          </w:rPr>
        </w:r>
        <w:r>
          <w:rPr>
            <w:webHidden/>
          </w:rPr>
          <w:fldChar w:fldCharType="separate"/>
        </w:r>
        <w:r>
          <w:rPr>
            <w:webHidden/>
          </w:rPr>
          <w:t>16</w:t>
        </w:r>
        <w:r>
          <w:rPr>
            <w:webHidden/>
          </w:rPr>
          <w:fldChar w:fldCharType="end"/>
        </w:r>
      </w:hyperlink>
    </w:p>
    <w:p w14:paraId="3825A6CD" w14:textId="6259C844" w:rsidR="0041501F" w:rsidRDefault="0041501F">
      <w:pPr>
        <w:pStyle w:val="TOC2"/>
        <w:rPr>
          <w:rFonts w:asciiTheme="minorHAnsi" w:eastAsiaTheme="minorEastAsia" w:hAnsiTheme="minorHAnsi" w:cstheme="minorBidi"/>
          <w:b w:val="0"/>
          <w:color w:val="auto"/>
          <w:sz w:val="22"/>
          <w:szCs w:val="22"/>
          <w:lang w:eastAsia="en-AU"/>
        </w:rPr>
      </w:pPr>
      <w:hyperlink w:anchor="_Toc116301530" w:history="1">
        <w:r w:rsidRPr="00712510">
          <w:rPr>
            <w:rStyle w:val="Hyperlink"/>
          </w:rPr>
          <w:t>Public exposure</w:t>
        </w:r>
        <w:r>
          <w:rPr>
            <w:webHidden/>
          </w:rPr>
          <w:tab/>
        </w:r>
        <w:r>
          <w:rPr>
            <w:webHidden/>
          </w:rPr>
          <w:fldChar w:fldCharType="begin"/>
        </w:r>
        <w:r>
          <w:rPr>
            <w:webHidden/>
          </w:rPr>
          <w:instrText xml:space="preserve"> PAGEREF _Toc116301530 \h </w:instrText>
        </w:r>
        <w:r>
          <w:rPr>
            <w:webHidden/>
          </w:rPr>
        </w:r>
        <w:r>
          <w:rPr>
            <w:webHidden/>
          </w:rPr>
          <w:fldChar w:fldCharType="separate"/>
        </w:r>
        <w:r>
          <w:rPr>
            <w:webHidden/>
          </w:rPr>
          <w:t>16</w:t>
        </w:r>
        <w:r>
          <w:rPr>
            <w:webHidden/>
          </w:rPr>
          <w:fldChar w:fldCharType="end"/>
        </w:r>
      </w:hyperlink>
    </w:p>
    <w:p w14:paraId="177CD0BB" w14:textId="2BD8EC78" w:rsidR="0041501F" w:rsidRDefault="0041501F">
      <w:pPr>
        <w:pStyle w:val="TOC3"/>
        <w:rPr>
          <w:rFonts w:asciiTheme="minorHAnsi" w:eastAsiaTheme="minorEastAsia" w:hAnsiTheme="minorHAnsi" w:cstheme="minorBidi"/>
          <w:color w:val="auto"/>
          <w:sz w:val="22"/>
          <w:szCs w:val="22"/>
          <w:lang w:eastAsia="en-AU"/>
        </w:rPr>
      </w:pPr>
      <w:hyperlink w:anchor="_Toc116301531" w:history="1">
        <w:r w:rsidRPr="00712510">
          <w:rPr>
            <w:rStyle w:val="Hyperlink"/>
          </w:rPr>
          <w:t>Treated seed</w:t>
        </w:r>
        <w:r>
          <w:rPr>
            <w:webHidden/>
          </w:rPr>
          <w:tab/>
        </w:r>
        <w:r>
          <w:rPr>
            <w:webHidden/>
          </w:rPr>
          <w:fldChar w:fldCharType="begin"/>
        </w:r>
        <w:r>
          <w:rPr>
            <w:webHidden/>
          </w:rPr>
          <w:instrText xml:space="preserve"> PAGEREF _Toc116301531 \h </w:instrText>
        </w:r>
        <w:r>
          <w:rPr>
            <w:webHidden/>
          </w:rPr>
        </w:r>
        <w:r>
          <w:rPr>
            <w:webHidden/>
          </w:rPr>
          <w:fldChar w:fldCharType="separate"/>
        </w:r>
        <w:r>
          <w:rPr>
            <w:webHidden/>
          </w:rPr>
          <w:t>17</w:t>
        </w:r>
        <w:r>
          <w:rPr>
            <w:webHidden/>
          </w:rPr>
          <w:fldChar w:fldCharType="end"/>
        </w:r>
      </w:hyperlink>
    </w:p>
    <w:p w14:paraId="2A6049A3" w14:textId="238A8578" w:rsidR="0041501F" w:rsidRDefault="0041501F">
      <w:pPr>
        <w:pStyle w:val="TOC2"/>
        <w:rPr>
          <w:rFonts w:asciiTheme="minorHAnsi" w:eastAsiaTheme="minorEastAsia" w:hAnsiTheme="minorHAnsi" w:cstheme="minorBidi"/>
          <w:b w:val="0"/>
          <w:color w:val="auto"/>
          <w:sz w:val="22"/>
          <w:szCs w:val="22"/>
          <w:lang w:eastAsia="en-AU"/>
        </w:rPr>
      </w:pPr>
      <w:hyperlink w:anchor="_Toc116301532" w:history="1">
        <w:r w:rsidRPr="00712510">
          <w:rPr>
            <w:rStyle w:val="Hyperlink"/>
          </w:rPr>
          <w:t>Recommendations</w:t>
        </w:r>
        <w:r>
          <w:rPr>
            <w:webHidden/>
          </w:rPr>
          <w:tab/>
        </w:r>
        <w:r>
          <w:rPr>
            <w:webHidden/>
          </w:rPr>
          <w:fldChar w:fldCharType="begin"/>
        </w:r>
        <w:r>
          <w:rPr>
            <w:webHidden/>
          </w:rPr>
          <w:instrText xml:space="preserve"> PAGEREF _Toc116301532 \h </w:instrText>
        </w:r>
        <w:r>
          <w:rPr>
            <w:webHidden/>
          </w:rPr>
        </w:r>
        <w:r>
          <w:rPr>
            <w:webHidden/>
          </w:rPr>
          <w:fldChar w:fldCharType="separate"/>
        </w:r>
        <w:r>
          <w:rPr>
            <w:webHidden/>
          </w:rPr>
          <w:t>17</w:t>
        </w:r>
        <w:r>
          <w:rPr>
            <w:webHidden/>
          </w:rPr>
          <w:fldChar w:fldCharType="end"/>
        </w:r>
      </w:hyperlink>
    </w:p>
    <w:p w14:paraId="4AF5B26E" w14:textId="629F9FA1" w:rsidR="0041501F" w:rsidRDefault="0041501F">
      <w:pPr>
        <w:pStyle w:val="TOC1"/>
        <w:rPr>
          <w:rFonts w:asciiTheme="minorHAnsi" w:eastAsiaTheme="minorEastAsia" w:hAnsiTheme="minorHAnsi" w:cstheme="minorBidi"/>
          <w:bCs w:val="0"/>
          <w:color w:val="auto"/>
          <w:kern w:val="0"/>
          <w:sz w:val="22"/>
          <w:szCs w:val="22"/>
          <w:lang w:eastAsia="en-AU"/>
        </w:rPr>
      </w:pPr>
      <w:hyperlink w:anchor="_Toc116301533" w:history="1">
        <w:r w:rsidRPr="00712510">
          <w:rPr>
            <w:rStyle w:val="Hyperlink"/>
          </w:rPr>
          <w:t>Residues and trade</w:t>
        </w:r>
        <w:r>
          <w:rPr>
            <w:webHidden/>
          </w:rPr>
          <w:tab/>
        </w:r>
        <w:r>
          <w:rPr>
            <w:webHidden/>
          </w:rPr>
          <w:fldChar w:fldCharType="begin"/>
        </w:r>
        <w:r>
          <w:rPr>
            <w:webHidden/>
          </w:rPr>
          <w:instrText xml:space="preserve"> PAGEREF _Toc116301533 \h </w:instrText>
        </w:r>
        <w:r>
          <w:rPr>
            <w:webHidden/>
          </w:rPr>
        </w:r>
        <w:r>
          <w:rPr>
            <w:webHidden/>
          </w:rPr>
          <w:fldChar w:fldCharType="separate"/>
        </w:r>
        <w:r>
          <w:rPr>
            <w:webHidden/>
          </w:rPr>
          <w:t>19</w:t>
        </w:r>
        <w:r>
          <w:rPr>
            <w:webHidden/>
          </w:rPr>
          <w:fldChar w:fldCharType="end"/>
        </w:r>
      </w:hyperlink>
    </w:p>
    <w:p w14:paraId="4ECAF2FD" w14:textId="31CA09C1" w:rsidR="0041501F" w:rsidRDefault="0041501F">
      <w:pPr>
        <w:pStyle w:val="TOC2"/>
        <w:rPr>
          <w:rFonts w:asciiTheme="minorHAnsi" w:eastAsiaTheme="minorEastAsia" w:hAnsiTheme="minorHAnsi" w:cstheme="minorBidi"/>
          <w:b w:val="0"/>
          <w:color w:val="auto"/>
          <w:sz w:val="22"/>
          <w:szCs w:val="22"/>
          <w:lang w:eastAsia="en-AU"/>
        </w:rPr>
      </w:pPr>
      <w:hyperlink w:anchor="_Toc116301534" w:history="1">
        <w:r w:rsidRPr="00712510">
          <w:rPr>
            <w:rStyle w:val="Hyperlink"/>
          </w:rPr>
          <w:t>Metabolism in plants</w:t>
        </w:r>
        <w:r>
          <w:rPr>
            <w:webHidden/>
          </w:rPr>
          <w:tab/>
        </w:r>
        <w:r>
          <w:rPr>
            <w:webHidden/>
          </w:rPr>
          <w:fldChar w:fldCharType="begin"/>
        </w:r>
        <w:r>
          <w:rPr>
            <w:webHidden/>
          </w:rPr>
          <w:instrText xml:space="preserve"> PAGEREF _Toc116301534 \h </w:instrText>
        </w:r>
        <w:r>
          <w:rPr>
            <w:webHidden/>
          </w:rPr>
        </w:r>
        <w:r>
          <w:rPr>
            <w:webHidden/>
          </w:rPr>
          <w:fldChar w:fldCharType="separate"/>
        </w:r>
        <w:r>
          <w:rPr>
            <w:webHidden/>
          </w:rPr>
          <w:t>19</w:t>
        </w:r>
        <w:r>
          <w:rPr>
            <w:webHidden/>
          </w:rPr>
          <w:fldChar w:fldCharType="end"/>
        </w:r>
      </w:hyperlink>
    </w:p>
    <w:p w14:paraId="5AD8A342" w14:textId="073ED899" w:rsidR="0041501F" w:rsidRDefault="0041501F">
      <w:pPr>
        <w:pStyle w:val="TOC2"/>
        <w:rPr>
          <w:rFonts w:asciiTheme="minorHAnsi" w:eastAsiaTheme="minorEastAsia" w:hAnsiTheme="minorHAnsi" w:cstheme="minorBidi"/>
          <w:b w:val="0"/>
          <w:color w:val="auto"/>
          <w:sz w:val="22"/>
          <w:szCs w:val="22"/>
          <w:lang w:eastAsia="en-AU"/>
        </w:rPr>
      </w:pPr>
      <w:hyperlink w:anchor="_Toc116301535" w:history="1">
        <w:r w:rsidRPr="00712510">
          <w:rPr>
            <w:rStyle w:val="Hyperlink"/>
          </w:rPr>
          <w:t>Metabolism in animals</w:t>
        </w:r>
        <w:r>
          <w:rPr>
            <w:webHidden/>
          </w:rPr>
          <w:tab/>
        </w:r>
        <w:r>
          <w:rPr>
            <w:webHidden/>
          </w:rPr>
          <w:fldChar w:fldCharType="begin"/>
        </w:r>
        <w:r>
          <w:rPr>
            <w:webHidden/>
          </w:rPr>
          <w:instrText xml:space="preserve"> PAGEREF _Toc116301535 \h </w:instrText>
        </w:r>
        <w:r>
          <w:rPr>
            <w:webHidden/>
          </w:rPr>
        </w:r>
        <w:r>
          <w:rPr>
            <w:webHidden/>
          </w:rPr>
          <w:fldChar w:fldCharType="separate"/>
        </w:r>
        <w:r>
          <w:rPr>
            <w:webHidden/>
          </w:rPr>
          <w:t>19</w:t>
        </w:r>
        <w:r>
          <w:rPr>
            <w:webHidden/>
          </w:rPr>
          <w:fldChar w:fldCharType="end"/>
        </w:r>
      </w:hyperlink>
    </w:p>
    <w:p w14:paraId="43FC0287" w14:textId="06DCF59C" w:rsidR="0041501F" w:rsidRDefault="0041501F">
      <w:pPr>
        <w:pStyle w:val="TOC2"/>
        <w:rPr>
          <w:rFonts w:asciiTheme="minorHAnsi" w:eastAsiaTheme="minorEastAsia" w:hAnsiTheme="minorHAnsi" w:cstheme="minorBidi"/>
          <w:b w:val="0"/>
          <w:color w:val="auto"/>
          <w:sz w:val="22"/>
          <w:szCs w:val="22"/>
          <w:lang w:eastAsia="en-AU"/>
        </w:rPr>
      </w:pPr>
      <w:hyperlink w:anchor="_Toc116301536" w:history="1">
        <w:r w:rsidRPr="00712510">
          <w:rPr>
            <w:rStyle w:val="Hyperlink"/>
          </w:rPr>
          <w:t>Analytical methods</w:t>
        </w:r>
        <w:r>
          <w:rPr>
            <w:webHidden/>
          </w:rPr>
          <w:tab/>
        </w:r>
        <w:r>
          <w:rPr>
            <w:webHidden/>
          </w:rPr>
          <w:fldChar w:fldCharType="begin"/>
        </w:r>
        <w:r>
          <w:rPr>
            <w:webHidden/>
          </w:rPr>
          <w:instrText xml:space="preserve"> PAGEREF _Toc116301536 \h </w:instrText>
        </w:r>
        <w:r>
          <w:rPr>
            <w:webHidden/>
          </w:rPr>
        </w:r>
        <w:r>
          <w:rPr>
            <w:webHidden/>
          </w:rPr>
          <w:fldChar w:fldCharType="separate"/>
        </w:r>
        <w:r>
          <w:rPr>
            <w:webHidden/>
          </w:rPr>
          <w:t>19</w:t>
        </w:r>
        <w:r>
          <w:rPr>
            <w:webHidden/>
          </w:rPr>
          <w:fldChar w:fldCharType="end"/>
        </w:r>
      </w:hyperlink>
    </w:p>
    <w:p w14:paraId="35F9CFEF" w14:textId="63A7565E" w:rsidR="0041501F" w:rsidRDefault="0041501F">
      <w:pPr>
        <w:pStyle w:val="TOC2"/>
        <w:rPr>
          <w:rFonts w:asciiTheme="minorHAnsi" w:eastAsiaTheme="minorEastAsia" w:hAnsiTheme="minorHAnsi" w:cstheme="minorBidi"/>
          <w:b w:val="0"/>
          <w:color w:val="auto"/>
          <w:sz w:val="22"/>
          <w:szCs w:val="22"/>
          <w:lang w:eastAsia="en-AU"/>
        </w:rPr>
      </w:pPr>
      <w:hyperlink w:anchor="_Toc116301537" w:history="1">
        <w:r w:rsidRPr="00712510">
          <w:rPr>
            <w:rStyle w:val="Hyperlink"/>
          </w:rPr>
          <w:t>Storage stability</w:t>
        </w:r>
        <w:r>
          <w:rPr>
            <w:webHidden/>
          </w:rPr>
          <w:tab/>
        </w:r>
        <w:r>
          <w:rPr>
            <w:webHidden/>
          </w:rPr>
          <w:fldChar w:fldCharType="begin"/>
        </w:r>
        <w:r>
          <w:rPr>
            <w:webHidden/>
          </w:rPr>
          <w:instrText xml:space="preserve"> PAGEREF _Toc116301537 \h </w:instrText>
        </w:r>
        <w:r>
          <w:rPr>
            <w:webHidden/>
          </w:rPr>
        </w:r>
        <w:r>
          <w:rPr>
            <w:webHidden/>
          </w:rPr>
          <w:fldChar w:fldCharType="separate"/>
        </w:r>
        <w:r>
          <w:rPr>
            <w:webHidden/>
          </w:rPr>
          <w:t>20</w:t>
        </w:r>
        <w:r>
          <w:rPr>
            <w:webHidden/>
          </w:rPr>
          <w:fldChar w:fldCharType="end"/>
        </w:r>
      </w:hyperlink>
    </w:p>
    <w:p w14:paraId="4BAAC3F6" w14:textId="115980EE" w:rsidR="0041501F" w:rsidRDefault="0041501F">
      <w:pPr>
        <w:pStyle w:val="TOC2"/>
        <w:rPr>
          <w:rFonts w:asciiTheme="minorHAnsi" w:eastAsiaTheme="minorEastAsia" w:hAnsiTheme="minorHAnsi" w:cstheme="minorBidi"/>
          <w:b w:val="0"/>
          <w:color w:val="auto"/>
          <w:sz w:val="22"/>
          <w:szCs w:val="22"/>
          <w:lang w:eastAsia="en-AU"/>
        </w:rPr>
      </w:pPr>
      <w:hyperlink w:anchor="_Toc116301538" w:history="1">
        <w:r w:rsidRPr="00712510">
          <w:rPr>
            <w:rStyle w:val="Hyperlink"/>
          </w:rPr>
          <w:t>Residue definition</w:t>
        </w:r>
        <w:r>
          <w:rPr>
            <w:webHidden/>
          </w:rPr>
          <w:tab/>
        </w:r>
        <w:r>
          <w:rPr>
            <w:webHidden/>
          </w:rPr>
          <w:fldChar w:fldCharType="begin"/>
        </w:r>
        <w:r>
          <w:rPr>
            <w:webHidden/>
          </w:rPr>
          <w:instrText xml:space="preserve"> PAGEREF _Toc116301538 \h </w:instrText>
        </w:r>
        <w:r>
          <w:rPr>
            <w:webHidden/>
          </w:rPr>
        </w:r>
        <w:r>
          <w:rPr>
            <w:webHidden/>
          </w:rPr>
          <w:fldChar w:fldCharType="separate"/>
        </w:r>
        <w:r>
          <w:rPr>
            <w:webHidden/>
          </w:rPr>
          <w:t>20</w:t>
        </w:r>
        <w:r>
          <w:rPr>
            <w:webHidden/>
          </w:rPr>
          <w:fldChar w:fldCharType="end"/>
        </w:r>
      </w:hyperlink>
    </w:p>
    <w:p w14:paraId="712CA0C9" w14:textId="67B03582" w:rsidR="0041501F" w:rsidRDefault="0041501F">
      <w:pPr>
        <w:pStyle w:val="TOC2"/>
        <w:rPr>
          <w:rFonts w:asciiTheme="minorHAnsi" w:eastAsiaTheme="minorEastAsia" w:hAnsiTheme="minorHAnsi" w:cstheme="minorBidi"/>
          <w:b w:val="0"/>
          <w:color w:val="auto"/>
          <w:sz w:val="22"/>
          <w:szCs w:val="22"/>
          <w:lang w:eastAsia="en-AU"/>
        </w:rPr>
      </w:pPr>
      <w:hyperlink w:anchor="_Toc116301539" w:history="1">
        <w:r w:rsidRPr="00712510">
          <w:rPr>
            <w:rStyle w:val="Hyperlink"/>
          </w:rPr>
          <w:t>Residues in food and animal feeds</w:t>
        </w:r>
        <w:r>
          <w:rPr>
            <w:webHidden/>
          </w:rPr>
          <w:tab/>
        </w:r>
        <w:r>
          <w:rPr>
            <w:webHidden/>
          </w:rPr>
          <w:fldChar w:fldCharType="begin"/>
        </w:r>
        <w:r>
          <w:rPr>
            <w:webHidden/>
          </w:rPr>
          <w:instrText xml:space="preserve"> PAGEREF _Toc116301539 \h </w:instrText>
        </w:r>
        <w:r>
          <w:rPr>
            <w:webHidden/>
          </w:rPr>
        </w:r>
        <w:r>
          <w:rPr>
            <w:webHidden/>
          </w:rPr>
          <w:fldChar w:fldCharType="separate"/>
        </w:r>
        <w:r>
          <w:rPr>
            <w:webHidden/>
          </w:rPr>
          <w:t>20</w:t>
        </w:r>
        <w:r>
          <w:rPr>
            <w:webHidden/>
          </w:rPr>
          <w:fldChar w:fldCharType="end"/>
        </w:r>
      </w:hyperlink>
    </w:p>
    <w:p w14:paraId="582138DA" w14:textId="2D7E011C" w:rsidR="0041501F" w:rsidRDefault="0041501F">
      <w:pPr>
        <w:pStyle w:val="TOC3"/>
        <w:rPr>
          <w:rFonts w:asciiTheme="minorHAnsi" w:eastAsiaTheme="minorEastAsia" w:hAnsiTheme="minorHAnsi" w:cstheme="minorBidi"/>
          <w:color w:val="auto"/>
          <w:sz w:val="22"/>
          <w:szCs w:val="22"/>
          <w:lang w:eastAsia="en-AU"/>
        </w:rPr>
      </w:pPr>
      <w:hyperlink w:anchor="_Toc116301540" w:history="1">
        <w:r w:rsidRPr="00712510">
          <w:rPr>
            <w:rStyle w:val="Hyperlink"/>
          </w:rPr>
          <w:t>Canola</w:t>
        </w:r>
        <w:r>
          <w:rPr>
            <w:webHidden/>
          </w:rPr>
          <w:tab/>
        </w:r>
        <w:r>
          <w:rPr>
            <w:webHidden/>
          </w:rPr>
          <w:fldChar w:fldCharType="begin"/>
        </w:r>
        <w:r>
          <w:rPr>
            <w:webHidden/>
          </w:rPr>
          <w:instrText xml:space="preserve"> PAGEREF _Toc116301540 \h </w:instrText>
        </w:r>
        <w:r>
          <w:rPr>
            <w:webHidden/>
          </w:rPr>
        </w:r>
        <w:r>
          <w:rPr>
            <w:webHidden/>
          </w:rPr>
          <w:fldChar w:fldCharType="separate"/>
        </w:r>
        <w:r>
          <w:rPr>
            <w:webHidden/>
          </w:rPr>
          <w:t>20</w:t>
        </w:r>
        <w:r>
          <w:rPr>
            <w:webHidden/>
          </w:rPr>
          <w:fldChar w:fldCharType="end"/>
        </w:r>
      </w:hyperlink>
    </w:p>
    <w:p w14:paraId="0D8EEA86" w14:textId="4CD510E0" w:rsidR="0041501F" w:rsidRDefault="0041501F">
      <w:pPr>
        <w:pStyle w:val="TOC3"/>
        <w:rPr>
          <w:rFonts w:asciiTheme="minorHAnsi" w:eastAsiaTheme="minorEastAsia" w:hAnsiTheme="minorHAnsi" w:cstheme="minorBidi"/>
          <w:color w:val="auto"/>
          <w:sz w:val="22"/>
          <w:szCs w:val="22"/>
          <w:lang w:eastAsia="en-AU"/>
        </w:rPr>
      </w:pPr>
      <w:hyperlink w:anchor="_Toc116301541" w:history="1">
        <w:r w:rsidRPr="00712510">
          <w:rPr>
            <w:rStyle w:val="Hyperlink"/>
          </w:rPr>
          <w:t>Faba beans</w:t>
        </w:r>
        <w:r>
          <w:rPr>
            <w:webHidden/>
          </w:rPr>
          <w:tab/>
        </w:r>
        <w:r>
          <w:rPr>
            <w:webHidden/>
          </w:rPr>
          <w:fldChar w:fldCharType="begin"/>
        </w:r>
        <w:r>
          <w:rPr>
            <w:webHidden/>
          </w:rPr>
          <w:instrText xml:space="preserve"> PAGEREF _Toc116301541 \h </w:instrText>
        </w:r>
        <w:r>
          <w:rPr>
            <w:webHidden/>
          </w:rPr>
        </w:r>
        <w:r>
          <w:rPr>
            <w:webHidden/>
          </w:rPr>
          <w:fldChar w:fldCharType="separate"/>
        </w:r>
        <w:r>
          <w:rPr>
            <w:webHidden/>
          </w:rPr>
          <w:t>21</w:t>
        </w:r>
        <w:r>
          <w:rPr>
            <w:webHidden/>
          </w:rPr>
          <w:fldChar w:fldCharType="end"/>
        </w:r>
      </w:hyperlink>
    </w:p>
    <w:p w14:paraId="3EC7DCAA" w14:textId="618461E6" w:rsidR="0041501F" w:rsidRDefault="0041501F">
      <w:pPr>
        <w:pStyle w:val="TOC3"/>
        <w:rPr>
          <w:rFonts w:asciiTheme="minorHAnsi" w:eastAsiaTheme="minorEastAsia" w:hAnsiTheme="minorHAnsi" w:cstheme="minorBidi"/>
          <w:color w:val="auto"/>
          <w:sz w:val="22"/>
          <w:szCs w:val="22"/>
          <w:lang w:eastAsia="en-AU"/>
        </w:rPr>
      </w:pPr>
      <w:hyperlink w:anchor="_Toc116301542" w:history="1">
        <w:r w:rsidRPr="00712510">
          <w:rPr>
            <w:rStyle w:val="Hyperlink"/>
          </w:rPr>
          <w:t>Garlic</w:t>
        </w:r>
        <w:r>
          <w:rPr>
            <w:webHidden/>
          </w:rPr>
          <w:tab/>
        </w:r>
        <w:r>
          <w:rPr>
            <w:webHidden/>
          </w:rPr>
          <w:fldChar w:fldCharType="begin"/>
        </w:r>
        <w:r>
          <w:rPr>
            <w:webHidden/>
          </w:rPr>
          <w:instrText xml:space="preserve"> PAGEREF _Toc116301542 \h </w:instrText>
        </w:r>
        <w:r>
          <w:rPr>
            <w:webHidden/>
          </w:rPr>
        </w:r>
        <w:r>
          <w:rPr>
            <w:webHidden/>
          </w:rPr>
          <w:fldChar w:fldCharType="separate"/>
        </w:r>
        <w:r>
          <w:rPr>
            <w:webHidden/>
          </w:rPr>
          <w:t>21</w:t>
        </w:r>
        <w:r>
          <w:rPr>
            <w:webHidden/>
          </w:rPr>
          <w:fldChar w:fldCharType="end"/>
        </w:r>
      </w:hyperlink>
    </w:p>
    <w:p w14:paraId="14693243" w14:textId="78BBBCE4" w:rsidR="0041501F" w:rsidRDefault="0041501F">
      <w:pPr>
        <w:pStyle w:val="TOC3"/>
        <w:rPr>
          <w:rFonts w:asciiTheme="minorHAnsi" w:eastAsiaTheme="minorEastAsia" w:hAnsiTheme="minorHAnsi" w:cstheme="minorBidi"/>
          <w:color w:val="auto"/>
          <w:sz w:val="22"/>
          <w:szCs w:val="22"/>
          <w:lang w:eastAsia="en-AU"/>
        </w:rPr>
      </w:pPr>
      <w:hyperlink w:anchor="_Toc116301543" w:history="1">
        <w:r w:rsidRPr="00712510">
          <w:rPr>
            <w:rStyle w:val="Hyperlink"/>
          </w:rPr>
          <w:t>Grapes (wine grapes only)</w:t>
        </w:r>
        <w:r>
          <w:rPr>
            <w:webHidden/>
          </w:rPr>
          <w:tab/>
        </w:r>
        <w:r>
          <w:rPr>
            <w:webHidden/>
          </w:rPr>
          <w:fldChar w:fldCharType="begin"/>
        </w:r>
        <w:r>
          <w:rPr>
            <w:webHidden/>
          </w:rPr>
          <w:instrText xml:space="preserve"> PAGEREF _Toc116301543 \h </w:instrText>
        </w:r>
        <w:r>
          <w:rPr>
            <w:webHidden/>
          </w:rPr>
        </w:r>
        <w:r>
          <w:rPr>
            <w:webHidden/>
          </w:rPr>
          <w:fldChar w:fldCharType="separate"/>
        </w:r>
        <w:r>
          <w:rPr>
            <w:webHidden/>
          </w:rPr>
          <w:t>21</w:t>
        </w:r>
        <w:r>
          <w:rPr>
            <w:webHidden/>
          </w:rPr>
          <w:fldChar w:fldCharType="end"/>
        </w:r>
      </w:hyperlink>
    </w:p>
    <w:p w14:paraId="22B9F947" w14:textId="53D9D681" w:rsidR="0041501F" w:rsidRDefault="0041501F">
      <w:pPr>
        <w:pStyle w:val="TOC3"/>
        <w:rPr>
          <w:rFonts w:asciiTheme="minorHAnsi" w:eastAsiaTheme="minorEastAsia" w:hAnsiTheme="minorHAnsi" w:cstheme="minorBidi"/>
          <w:color w:val="auto"/>
          <w:sz w:val="22"/>
          <w:szCs w:val="22"/>
          <w:lang w:eastAsia="en-AU"/>
        </w:rPr>
      </w:pPr>
      <w:hyperlink w:anchor="_Toc116301544" w:history="1">
        <w:r w:rsidRPr="00712510">
          <w:rPr>
            <w:rStyle w:val="Hyperlink"/>
          </w:rPr>
          <w:t>Lentils</w:t>
        </w:r>
        <w:r>
          <w:rPr>
            <w:webHidden/>
          </w:rPr>
          <w:tab/>
        </w:r>
        <w:r>
          <w:rPr>
            <w:webHidden/>
          </w:rPr>
          <w:fldChar w:fldCharType="begin"/>
        </w:r>
        <w:r>
          <w:rPr>
            <w:webHidden/>
          </w:rPr>
          <w:instrText xml:space="preserve"> PAGEREF _Toc116301544 \h </w:instrText>
        </w:r>
        <w:r>
          <w:rPr>
            <w:webHidden/>
          </w:rPr>
        </w:r>
        <w:r>
          <w:rPr>
            <w:webHidden/>
          </w:rPr>
          <w:fldChar w:fldCharType="separate"/>
        </w:r>
        <w:r>
          <w:rPr>
            <w:webHidden/>
          </w:rPr>
          <w:t>22</w:t>
        </w:r>
        <w:r>
          <w:rPr>
            <w:webHidden/>
          </w:rPr>
          <w:fldChar w:fldCharType="end"/>
        </w:r>
      </w:hyperlink>
    </w:p>
    <w:p w14:paraId="539CD077" w14:textId="28053FB0" w:rsidR="0041501F" w:rsidRDefault="0041501F">
      <w:pPr>
        <w:pStyle w:val="TOC3"/>
        <w:rPr>
          <w:rFonts w:asciiTheme="minorHAnsi" w:eastAsiaTheme="minorEastAsia" w:hAnsiTheme="minorHAnsi" w:cstheme="minorBidi"/>
          <w:color w:val="auto"/>
          <w:sz w:val="22"/>
          <w:szCs w:val="22"/>
          <w:lang w:eastAsia="en-AU"/>
        </w:rPr>
      </w:pPr>
      <w:hyperlink w:anchor="_Toc116301545" w:history="1">
        <w:r w:rsidRPr="00712510">
          <w:rPr>
            <w:rStyle w:val="Hyperlink"/>
          </w:rPr>
          <w:t>Lupin (seed dressing use)</w:t>
        </w:r>
        <w:r>
          <w:rPr>
            <w:webHidden/>
          </w:rPr>
          <w:tab/>
        </w:r>
        <w:r>
          <w:rPr>
            <w:webHidden/>
          </w:rPr>
          <w:fldChar w:fldCharType="begin"/>
        </w:r>
        <w:r>
          <w:rPr>
            <w:webHidden/>
          </w:rPr>
          <w:instrText xml:space="preserve"> PAGEREF _Toc116301545 \h </w:instrText>
        </w:r>
        <w:r>
          <w:rPr>
            <w:webHidden/>
          </w:rPr>
        </w:r>
        <w:r>
          <w:rPr>
            <w:webHidden/>
          </w:rPr>
          <w:fldChar w:fldCharType="separate"/>
        </w:r>
        <w:r>
          <w:rPr>
            <w:webHidden/>
          </w:rPr>
          <w:t>22</w:t>
        </w:r>
        <w:r>
          <w:rPr>
            <w:webHidden/>
          </w:rPr>
          <w:fldChar w:fldCharType="end"/>
        </w:r>
      </w:hyperlink>
    </w:p>
    <w:p w14:paraId="41F63D7F" w14:textId="707357B7" w:rsidR="0041501F" w:rsidRDefault="0041501F">
      <w:pPr>
        <w:pStyle w:val="TOC3"/>
        <w:rPr>
          <w:rFonts w:asciiTheme="minorHAnsi" w:eastAsiaTheme="minorEastAsia" w:hAnsiTheme="minorHAnsi" w:cstheme="minorBidi"/>
          <w:color w:val="auto"/>
          <w:sz w:val="22"/>
          <w:szCs w:val="22"/>
          <w:lang w:eastAsia="en-AU"/>
        </w:rPr>
      </w:pPr>
      <w:hyperlink w:anchor="_Toc116301546" w:history="1">
        <w:r w:rsidRPr="00712510">
          <w:rPr>
            <w:rStyle w:val="Hyperlink"/>
          </w:rPr>
          <w:t>Navy beans</w:t>
        </w:r>
        <w:r>
          <w:rPr>
            <w:webHidden/>
          </w:rPr>
          <w:tab/>
        </w:r>
        <w:r>
          <w:rPr>
            <w:webHidden/>
          </w:rPr>
          <w:fldChar w:fldCharType="begin"/>
        </w:r>
        <w:r>
          <w:rPr>
            <w:webHidden/>
          </w:rPr>
          <w:instrText xml:space="preserve"> PAGEREF _Toc116301546 \h </w:instrText>
        </w:r>
        <w:r>
          <w:rPr>
            <w:webHidden/>
          </w:rPr>
        </w:r>
        <w:r>
          <w:rPr>
            <w:webHidden/>
          </w:rPr>
          <w:fldChar w:fldCharType="separate"/>
        </w:r>
        <w:r>
          <w:rPr>
            <w:webHidden/>
          </w:rPr>
          <w:t>23</w:t>
        </w:r>
        <w:r>
          <w:rPr>
            <w:webHidden/>
          </w:rPr>
          <w:fldChar w:fldCharType="end"/>
        </w:r>
      </w:hyperlink>
    </w:p>
    <w:p w14:paraId="1EA209EE" w14:textId="0B6E8EE8" w:rsidR="0041501F" w:rsidRDefault="0041501F">
      <w:pPr>
        <w:pStyle w:val="TOC3"/>
        <w:rPr>
          <w:rFonts w:asciiTheme="minorHAnsi" w:eastAsiaTheme="minorEastAsia" w:hAnsiTheme="minorHAnsi" w:cstheme="minorBidi"/>
          <w:color w:val="auto"/>
          <w:sz w:val="22"/>
          <w:szCs w:val="22"/>
          <w:lang w:eastAsia="en-AU"/>
        </w:rPr>
      </w:pPr>
      <w:hyperlink w:anchor="_Toc116301547" w:history="1">
        <w:r w:rsidRPr="00712510">
          <w:rPr>
            <w:rStyle w:val="Hyperlink"/>
          </w:rPr>
          <w:t>Non-food uses</w:t>
        </w:r>
        <w:r>
          <w:rPr>
            <w:webHidden/>
          </w:rPr>
          <w:tab/>
        </w:r>
        <w:r>
          <w:rPr>
            <w:webHidden/>
          </w:rPr>
          <w:fldChar w:fldCharType="begin"/>
        </w:r>
        <w:r>
          <w:rPr>
            <w:webHidden/>
          </w:rPr>
          <w:instrText xml:space="preserve"> PAGEREF _Toc116301547 \h </w:instrText>
        </w:r>
        <w:r>
          <w:rPr>
            <w:webHidden/>
          </w:rPr>
        </w:r>
        <w:r>
          <w:rPr>
            <w:webHidden/>
          </w:rPr>
          <w:fldChar w:fldCharType="separate"/>
        </w:r>
        <w:r>
          <w:rPr>
            <w:webHidden/>
          </w:rPr>
          <w:t>23</w:t>
        </w:r>
        <w:r>
          <w:rPr>
            <w:webHidden/>
          </w:rPr>
          <w:fldChar w:fldCharType="end"/>
        </w:r>
      </w:hyperlink>
    </w:p>
    <w:p w14:paraId="4963AC4D" w14:textId="5068E599" w:rsidR="0041501F" w:rsidRDefault="0041501F">
      <w:pPr>
        <w:pStyle w:val="TOC3"/>
        <w:rPr>
          <w:rFonts w:asciiTheme="minorHAnsi" w:eastAsiaTheme="minorEastAsia" w:hAnsiTheme="minorHAnsi" w:cstheme="minorBidi"/>
          <w:color w:val="auto"/>
          <w:sz w:val="22"/>
          <w:szCs w:val="22"/>
          <w:lang w:eastAsia="en-AU"/>
        </w:rPr>
      </w:pPr>
      <w:hyperlink w:anchor="_Toc116301548" w:history="1">
        <w:r w:rsidRPr="00712510">
          <w:rPr>
            <w:rStyle w:val="Hyperlink"/>
          </w:rPr>
          <w:t>Onions</w:t>
        </w:r>
        <w:r>
          <w:rPr>
            <w:webHidden/>
          </w:rPr>
          <w:tab/>
        </w:r>
        <w:r>
          <w:rPr>
            <w:webHidden/>
          </w:rPr>
          <w:fldChar w:fldCharType="begin"/>
        </w:r>
        <w:r>
          <w:rPr>
            <w:webHidden/>
          </w:rPr>
          <w:instrText xml:space="preserve"> PAGEREF _Toc116301548 \h </w:instrText>
        </w:r>
        <w:r>
          <w:rPr>
            <w:webHidden/>
          </w:rPr>
        </w:r>
        <w:r>
          <w:rPr>
            <w:webHidden/>
          </w:rPr>
          <w:fldChar w:fldCharType="separate"/>
        </w:r>
        <w:r>
          <w:rPr>
            <w:webHidden/>
          </w:rPr>
          <w:t>23</w:t>
        </w:r>
        <w:r>
          <w:rPr>
            <w:webHidden/>
          </w:rPr>
          <w:fldChar w:fldCharType="end"/>
        </w:r>
      </w:hyperlink>
    </w:p>
    <w:p w14:paraId="0FD5F2B2" w14:textId="720F2282" w:rsidR="0041501F" w:rsidRDefault="0041501F">
      <w:pPr>
        <w:pStyle w:val="TOC3"/>
        <w:rPr>
          <w:rFonts w:asciiTheme="minorHAnsi" w:eastAsiaTheme="minorEastAsia" w:hAnsiTheme="minorHAnsi" w:cstheme="minorBidi"/>
          <w:color w:val="auto"/>
          <w:sz w:val="22"/>
          <w:szCs w:val="22"/>
          <w:lang w:eastAsia="en-AU"/>
        </w:rPr>
      </w:pPr>
      <w:hyperlink w:anchor="_Toc116301549" w:history="1">
        <w:r w:rsidRPr="00712510">
          <w:rPr>
            <w:rStyle w:val="Hyperlink"/>
          </w:rPr>
          <w:t>Potato</w:t>
        </w:r>
        <w:r>
          <w:rPr>
            <w:webHidden/>
          </w:rPr>
          <w:tab/>
        </w:r>
        <w:r>
          <w:rPr>
            <w:webHidden/>
          </w:rPr>
          <w:fldChar w:fldCharType="begin"/>
        </w:r>
        <w:r>
          <w:rPr>
            <w:webHidden/>
          </w:rPr>
          <w:instrText xml:space="preserve"> PAGEREF _Toc116301549 \h </w:instrText>
        </w:r>
        <w:r>
          <w:rPr>
            <w:webHidden/>
          </w:rPr>
        </w:r>
        <w:r>
          <w:rPr>
            <w:webHidden/>
          </w:rPr>
          <w:fldChar w:fldCharType="separate"/>
        </w:r>
        <w:r>
          <w:rPr>
            <w:webHidden/>
          </w:rPr>
          <w:t>23</w:t>
        </w:r>
        <w:r>
          <w:rPr>
            <w:webHidden/>
          </w:rPr>
          <w:fldChar w:fldCharType="end"/>
        </w:r>
      </w:hyperlink>
    </w:p>
    <w:p w14:paraId="1DCC5FA6" w14:textId="3A859BCA" w:rsidR="0041501F" w:rsidRDefault="0041501F">
      <w:pPr>
        <w:pStyle w:val="TOC3"/>
        <w:rPr>
          <w:rFonts w:asciiTheme="minorHAnsi" w:eastAsiaTheme="minorEastAsia" w:hAnsiTheme="minorHAnsi" w:cstheme="minorBidi"/>
          <w:color w:val="auto"/>
          <w:sz w:val="22"/>
          <w:szCs w:val="22"/>
          <w:lang w:eastAsia="en-AU"/>
        </w:rPr>
      </w:pPr>
      <w:hyperlink w:anchor="_Toc116301550" w:history="1">
        <w:r w:rsidRPr="00712510">
          <w:rPr>
            <w:rStyle w:val="Hyperlink"/>
          </w:rPr>
          <w:t>Stone fruit</w:t>
        </w:r>
        <w:r>
          <w:rPr>
            <w:webHidden/>
          </w:rPr>
          <w:tab/>
        </w:r>
        <w:r>
          <w:rPr>
            <w:webHidden/>
          </w:rPr>
          <w:fldChar w:fldCharType="begin"/>
        </w:r>
        <w:r>
          <w:rPr>
            <w:webHidden/>
          </w:rPr>
          <w:instrText xml:space="preserve"> PAGEREF _Toc116301550 \h </w:instrText>
        </w:r>
        <w:r>
          <w:rPr>
            <w:webHidden/>
          </w:rPr>
        </w:r>
        <w:r>
          <w:rPr>
            <w:webHidden/>
          </w:rPr>
          <w:fldChar w:fldCharType="separate"/>
        </w:r>
        <w:r>
          <w:rPr>
            <w:webHidden/>
          </w:rPr>
          <w:t>24</w:t>
        </w:r>
        <w:r>
          <w:rPr>
            <w:webHidden/>
          </w:rPr>
          <w:fldChar w:fldCharType="end"/>
        </w:r>
      </w:hyperlink>
    </w:p>
    <w:p w14:paraId="447E13A2" w14:textId="5440B79F" w:rsidR="0041501F" w:rsidRDefault="0041501F">
      <w:pPr>
        <w:pStyle w:val="TOC2"/>
        <w:rPr>
          <w:rFonts w:asciiTheme="minorHAnsi" w:eastAsiaTheme="minorEastAsia" w:hAnsiTheme="minorHAnsi" w:cstheme="minorBidi"/>
          <w:b w:val="0"/>
          <w:color w:val="auto"/>
          <w:sz w:val="22"/>
          <w:szCs w:val="22"/>
          <w:lang w:eastAsia="en-AU"/>
        </w:rPr>
      </w:pPr>
      <w:hyperlink w:anchor="_Toc116301551" w:history="1">
        <w:r w:rsidRPr="00712510">
          <w:rPr>
            <w:rStyle w:val="Hyperlink"/>
          </w:rPr>
          <w:t>Animal transfer studies and animal commodity MRLs</w:t>
        </w:r>
        <w:r>
          <w:rPr>
            <w:webHidden/>
          </w:rPr>
          <w:tab/>
        </w:r>
        <w:r>
          <w:rPr>
            <w:webHidden/>
          </w:rPr>
          <w:fldChar w:fldCharType="begin"/>
        </w:r>
        <w:r>
          <w:rPr>
            <w:webHidden/>
          </w:rPr>
          <w:instrText xml:space="preserve"> PAGEREF _Toc116301551 \h </w:instrText>
        </w:r>
        <w:r>
          <w:rPr>
            <w:webHidden/>
          </w:rPr>
        </w:r>
        <w:r>
          <w:rPr>
            <w:webHidden/>
          </w:rPr>
          <w:fldChar w:fldCharType="separate"/>
        </w:r>
        <w:r>
          <w:rPr>
            <w:webHidden/>
          </w:rPr>
          <w:t>25</w:t>
        </w:r>
        <w:r>
          <w:rPr>
            <w:webHidden/>
          </w:rPr>
          <w:fldChar w:fldCharType="end"/>
        </w:r>
      </w:hyperlink>
    </w:p>
    <w:p w14:paraId="33C40DC3" w14:textId="26659F85" w:rsidR="0041501F" w:rsidRDefault="0041501F">
      <w:pPr>
        <w:pStyle w:val="TOC2"/>
        <w:rPr>
          <w:rFonts w:asciiTheme="minorHAnsi" w:eastAsiaTheme="minorEastAsia" w:hAnsiTheme="minorHAnsi" w:cstheme="minorBidi"/>
          <w:b w:val="0"/>
          <w:color w:val="auto"/>
          <w:sz w:val="22"/>
          <w:szCs w:val="22"/>
          <w:lang w:eastAsia="en-AU"/>
        </w:rPr>
      </w:pPr>
      <w:hyperlink w:anchor="_Toc116301552" w:history="1">
        <w:r w:rsidRPr="00712510">
          <w:rPr>
            <w:rStyle w:val="Hyperlink"/>
          </w:rPr>
          <w:t>Spray drift</w:t>
        </w:r>
        <w:r>
          <w:rPr>
            <w:webHidden/>
          </w:rPr>
          <w:tab/>
        </w:r>
        <w:r>
          <w:rPr>
            <w:webHidden/>
          </w:rPr>
          <w:fldChar w:fldCharType="begin"/>
        </w:r>
        <w:r>
          <w:rPr>
            <w:webHidden/>
          </w:rPr>
          <w:instrText xml:space="preserve"> PAGEREF _Toc116301552 \h </w:instrText>
        </w:r>
        <w:r>
          <w:rPr>
            <w:webHidden/>
          </w:rPr>
        </w:r>
        <w:r>
          <w:rPr>
            <w:webHidden/>
          </w:rPr>
          <w:fldChar w:fldCharType="separate"/>
        </w:r>
        <w:r>
          <w:rPr>
            <w:webHidden/>
          </w:rPr>
          <w:t>25</w:t>
        </w:r>
        <w:r>
          <w:rPr>
            <w:webHidden/>
          </w:rPr>
          <w:fldChar w:fldCharType="end"/>
        </w:r>
      </w:hyperlink>
    </w:p>
    <w:p w14:paraId="0350B880" w14:textId="53DAE833" w:rsidR="0041501F" w:rsidRDefault="0041501F">
      <w:pPr>
        <w:pStyle w:val="TOC2"/>
        <w:rPr>
          <w:rFonts w:asciiTheme="minorHAnsi" w:eastAsiaTheme="minorEastAsia" w:hAnsiTheme="minorHAnsi" w:cstheme="minorBidi"/>
          <w:b w:val="0"/>
          <w:color w:val="auto"/>
          <w:sz w:val="22"/>
          <w:szCs w:val="22"/>
          <w:lang w:eastAsia="en-AU"/>
        </w:rPr>
      </w:pPr>
      <w:hyperlink w:anchor="_Toc116301553" w:history="1">
        <w:r w:rsidRPr="00712510">
          <w:rPr>
            <w:rStyle w:val="Hyperlink"/>
          </w:rPr>
          <w:t>Dietary exposure</w:t>
        </w:r>
        <w:r>
          <w:rPr>
            <w:webHidden/>
          </w:rPr>
          <w:tab/>
        </w:r>
        <w:r>
          <w:rPr>
            <w:webHidden/>
          </w:rPr>
          <w:fldChar w:fldCharType="begin"/>
        </w:r>
        <w:r>
          <w:rPr>
            <w:webHidden/>
          </w:rPr>
          <w:instrText xml:space="preserve"> PAGEREF _Toc116301553 \h </w:instrText>
        </w:r>
        <w:r>
          <w:rPr>
            <w:webHidden/>
          </w:rPr>
        </w:r>
        <w:r>
          <w:rPr>
            <w:webHidden/>
          </w:rPr>
          <w:fldChar w:fldCharType="separate"/>
        </w:r>
        <w:r>
          <w:rPr>
            <w:webHidden/>
          </w:rPr>
          <w:t>25</w:t>
        </w:r>
        <w:r>
          <w:rPr>
            <w:webHidden/>
          </w:rPr>
          <w:fldChar w:fldCharType="end"/>
        </w:r>
      </w:hyperlink>
    </w:p>
    <w:p w14:paraId="4AC2C4FD" w14:textId="203C7A21" w:rsidR="0041501F" w:rsidRDefault="0041501F">
      <w:pPr>
        <w:pStyle w:val="TOC3"/>
        <w:rPr>
          <w:rFonts w:asciiTheme="minorHAnsi" w:eastAsiaTheme="minorEastAsia" w:hAnsiTheme="minorHAnsi" w:cstheme="minorBidi"/>
          <w:color w:val="auto"/>
          <w:sz w:val="22"/>
          <w:szCs w:val="22"/>
          <w:lang w:eastAsia="en-AU"/>
        </w:rPr>
      </w:pPr>
      <w:hyperlink w:anchor="_Toc116301554" w:history="1">
        <w:r w:rsidRPr="00712510">
          <w:rPr>
            <w:rStyle w:val="Hyperlink"/>
          </w:rPr>
          <w:t>Chronic dietary exposure assessment</w:t>
        </w:r>
        <w:r>
          <w:rPr>
            <w:webHidden/>
          </w:rPr>
          <w:tab/>
        </w:r>
        <w:r>
          <w:rPr>
            <w:webHidden/>
          </w:rPr>
          <w:fldChar w:fldCharType="begin"/>
        </w:r>
        <w:r>
          <w:rPr>
            <w:webHidden/>
          </w:rPr>
          <w:instrText xml:space="preserve"> PAGEREF _Toc116301554 \h </w:instrText>
        </w:r>
        <w:r>
          <w:rPr>
            <w:webHidden/>
          </w:rPr>
        </w:r>
        <w:r>
          <w:rPr>
            <w:webHidden/>
          </w:rPr>
          <w:fldChar w:fldCharType="separate"/>
        </w:r>
        <w:r>
          <w:rPr>
            <w:webHidden/>
          </w:rPr>
          <w:t>25</w:t>
        </w:r>
        <w:r>
          <w:rPr>
            <w:webHidden/>
          </w:rPr>
          <w:fldChar w:fldCharType="end"/>
        </w:r>
      </w:hyperlink>
    </w:p>
    <w:p w14:paraId="2D0C0A7C" w14:textId="7FF67229" w:rsidR="0041501F" w:rsidRDefault="0041501F">
      <w:pPr>
        <w:pStyle w:val="TOC3"/>
        <w:rPr>
          <w:rFonts w:asciiTheme="minorHAnsi" w:eastAsiaTheme="minorEastAsia" w:hAnsiTheme="minorHAnsi" w:cstheme="minorBidi"/>
          <w:color w:val="auto"/>
          <w:sz w:val="22"/>
          <w:szCs w:val="22"/>
          <w:lang w:eastAsia="en-AU"/>
        </w:rPr>
      </w:pPr>
      <w:hyperlink w:anchor="_Toc116301555" w:history="1">
        <w:r w:rsidRPr="00712510">
          <w:rPr>
            <w:rStyle w:val="Hyperlink"/>
          </w:rPr>
          <w:t>Acute dietary exposure assessment</w:t>
        </w:r>
        <w:r>
          <w:rPr>
            <w:webHidden/>
          </w:rPr>
          <w:tab/>
        </w:r>
        <w:r>
          <w:rPr>
            <w:webHidden/>
          </w:rPr>
          <w:fldChar w:fldCharType="begin"/>
        </w:r>
        <w:r>
          <w:rPr>
            <w:webHidden/>
          </w:rPr>
          <w:instrText xml:space="preserve"> PAGEREF _Toc116301555 \h </w:instrText>
        </w:r>
        <w:r>
          <w:rPr>
            <w:webHidden/>
          </w:rPr>
        </w:r>
        <w:r>
          <w:rPr>
            <w:webHidden/>
          </w:rPr>
          <w:fldChar w:fldCharType="separate"/>
        </w:r>
        <w:r>
          <w:rPr>
            <w:webHidden/>
          </w:rPr>
          <w:t>26</w:t>
        </w:r>
        <w:r>
          <w:rPr>
            <w:webHidden/>
          </w:rPr>
          <w:fldChar w:fldCharType="end"/>
        </w:r>
      </w:hyperlink>
    </w:p>
    <w:p w14:paraId="41FB0918" w14:textId="28132F3D" w:rsidR="0041501F" w:rsidRDefault="0041501F">
      <w:pPr>
        <w:pStyle w:val="TOC2"/>
        <w:rPr>
          <w:rFonts w:asciiTheme="minorHAnsi" w:eastAsiaTheme="minorEastAsia" w:hAnsiTheme="minorHAnsi" w:cstheme="minorBidi"/>
          <w:b w:val="0"/>
          <w:color w:val="auto"/>
          <w:sz w:val="22"/>
          <w:szCs w:val="22"/>
          <w:lang w:eastAsia="en-AU"/>
        </w:rPr>
      </w:pPr>
      <w:hyperlink w:anchor="_Toc116301556" w:history="1">
        <w:r w:rsidRPr="00712510">
          <w:rPr>
            <w:rStyle w:val="Hyperlink"/>
          </w:rPr>
          <w:t>Residue-related aspects of trade</w:t>
        </w:r>
        <w:r>
          <w:rPr>
            <w:webHidden/>
          </w:rPr>
          <w:tab/>
        </w:r>
        <w:r>
          <w:rPr>
            <w:webHidden/>
          </w:rPr>
          <w:fldChar w:fldCharType="begin"/>
        </w:r>
        <w:r>
          <w:rPr>
            <w:webHidden/>
          </w:rPr>
          <w:instrText xml:space="preserve"> PAGEREF _Toc116301556 \h </w:instrText>
        </w:r>
        <w:r>
          <w:rPr>
            <w:webHidden/>
          </w:rPr>
        </w:r>
        <w:r>
          <w:rPr>
            <w:webHidden/>
          </w:rPr>
          <w:fldChar w:fldCharType="separate"/>
        </w:r>
        <w:r>
          <w:rPr>
            <w:webHidden/>
          </w:rPr>
          <w:t>26</w:t>
        </w:r>
        <w:r>
          <w:rPr>
            <w:webHidden/>
          </w:rPr>
          <w:fldChar w:fldCharType="end"/>
        </w:r>
      </w:hyperlink>
    </w:p>
    <w:p w14:paraId="5698B396" w14:textId="714ED3A0" w:rsidR="0041501F" w:rsidRDefault="0041501F">
      <w:pPr>
        <w:pStyle w:val="TOC2"/>
        <w:rPr>
          <w:rFonts w:asciiTheme="minorHAnsi" w:eastAsiaTheme="minorEastAsia" w:hAnsiTheme="minorHAnsi" w:cstheme="minorBidi"/>
          <w:b w:val="0"/>
          <w:color w:val="auto"/>
          <w:sz w:val="22"/>
          <w:szCs w:val="22"/>
          <w:lang w:eastAsia="en-AU"/>
        </w:rPr>
      </w:pPr>
      <w:hyperlink w:anchor="_Toc116301557" w:history="1">
        <w:r w:rsidRPr="00712510">
          <w:rPr>
            <w:rStyle w:val="Hyperlink"/>
          </w:rPr>
          <w:t>Residue and Trade conclusions</w:t>
        </w:r>
        <w:r>
          <w:rPr>
            <w:webHidden/>
          </w:rPr>
          <w:tab/>
        </w:r>
        <w:r>
          <w:rPr>
            <w:webHidden/>
          </w:rPr>
          <w:fldChar w:fldCharType="begin"/>
        </w:r>
        <w:r>
          <w:rPr>
            <w:webHidden/>
          </w:rPr>
          <w:instrText xml:space="preserve"> PAGEREF _Toc116301557 \h </w:instrText>
        </w:r>
        <w:r>
          <w:rPr>
            <w:webHidden/>
          </w:rPr>
        </w:r>
        <w:r>
          <w:rPr>
            <w:webHidden/>
          </w:rPr>
          <w:fldChar w:fldCharType="separate"/>
        </w:r>
        <w:r>
          <w:rPr>
            <w:webHidden/>
          </w:rPr>
          <w:t>28</w:t>
        </w:r>
        <w:r>
          <w:rPr>
            <w:webHidden/>
          </w:rPr>
          <w:fldChar w:fldCharType="end"/>
        </w:r>
      </w:hyperlink>
    </w:p>
    <w:p w14:paraId="3B2E617A" w14:textId="601289E0" w:rsidR="0041501F" w:rsidRDefault="0041501F">
      <w:pPr>
        <w:pStyle w:val="TOC3"/>
        <w:rPr>
          <w:rFonts w:asciiTheme="minorHAnsi" w:eastAsiaTheme="minorEastAsia" w:hAnsiTheme="minorHAnsi" w:cstheme="minorBidi"/>
          <w:color w:val="auto"/>
          <w:sz w:val="22"/>
          <w:szCs w:val="22"/>
          <w:lang w:eastAsia="en-AU"/>
        </w:rPr>
      </w:pPr>
      <w:hyperlink w:anchor="_Toc116301558" w:history="1">
        <w:r w:rsidRPr="00712510">
          <w:rPr>
            <w:rStyle w:val="Hyperlink"/>
          </w:rPr>
          <w:t>Amendments to the Agricultural and Veterinary Chemicals Code (MRL Standard) Instrument 2019</w:t>
        </w:r>
        <w:r>
          <w:rPr>
            <w:webHidden/>
          </w:rPr>
          <w:tab/>
        </w:r>
        <w:r>
          <w:rPr>
            <w:webHidden/>
          </w:rPr>
          <w:fldChar w:fldCharType="begin"/>
        </w:r>
        <w:r>
          <w:rPr>
            <w:webHidden/>
          </w:rPr>
          <w:instrText xml:space="preserve"> PAGEREF _Toc116301558 \h </w:instrText>
        </w:r>
        <w:r>
          <w:rPr>
            <w:webHidden/>
          </w:rPr>
        </w:r>
        <w:r>
          <w:rPr>
            <w:webHidden/>
          </w:rPr>
          <w:fldChar w:fldCharType="separate"/>
        </w:r>
        <w:r>
          <w:rPr>
            <w:webHidden/>
          </w:rPr>
          <w:t>28</w:t>
        </w:r>
        <w:r>
          <w:rPr>
            <w:webHidden/>
          </w:rPr>
          <w:fldChar w:fldCharType="end"/>
        </w:r>
      </w:hyperlink>
    </w:p>
    <w:p w14:paraId="7D5E52F1" w14:textId="6FE6C0E1" w:rsidR="0041501F" w:rsidRDefault="0041501F">
      <w:pPr>
        <w:pStyle w:val="TOC3"/>
        <w:rPr>
          <w:rFonts w:asciiTheme="minorHAnsi" w:eastAsiaTheme="minorEastAsia" w:hAnsiTheme="minorHAnsi" w:cstheme="minorBidi"/>
          <w:color w:val="auto"/>
          <w:sz w:val="22"/>
          <w:szCs w:val="22"/>
          <w:lang w:eastAsia="en-AU"/>
        </w:rPr>
      </w:pPr>
      <w:hyperlink w:anchor="_Toc116301559" w:history="1">
        <w:r w:rsidRPr="00712510">
          <w:rPr>
            <w:rStyle w:val="Hyperlink"/>
          </w:rPr>
          <w:t>Residues assessment outcomes for procymidone use patterns</w:t>
        </w:r>
        <w:r>
          <w:rPr>
            <w:webHidden/>
          </w:rPr>
          <w:tab/>
        </w:r>
        <w:r>
          <w:rPr>
            <w:webHidden/>
          </w:rPr>
          <w:fldChar w:fldCharType="begin"/>
        </w:r>
        <w:r>
          <w:rPr>
            <w:webHidden/>
          </w:rPr>
          <w:instrText xml:space="preserve"> PAGEREF _Toc116301559 \h </w:instrText>
        </w:r>
        <w:r>
          <w:rPr>
            <w:webHidden/>
          </w:rPr>
        </w:r>
        <w:r>
          <w:rPr>
            <w:webHidden/>
          </w:rPr>
          <w:fldChar w:fldCharType="separate"/>
        </w:r>
        <w:r>
          <w:rPr>
            <w:webHidden/>
          </w:rPr>
          <w:t>30</w:t>
        </w:r>
        <w:r>
          <w:rPr>
            <w:webHidden/>
          </w:rPr>
          <w:fldChar w:fldCharType="end"/>
        </w:r>
      </w:hyperlink>
    </w:p>
    <w:p w14:paraId="26A0EEA6" w14:textId="77C67948" w:rsidR="0041501F" w:rsidRDefault="0041501F">
      <w:pPr>
        <w:pStyle w:val="TOC1"/>
        <w:rPr>
          <w:rFonts w:asciiTheme="minorHAnsi" w:eastAsiaTheme="minorEastAsia" w:hAnsiTheme="minorHAnsi" w:cstheme="minorBidi"/>
          <w:bCs w:val="0"/>
          <w:color w:val="auto"/>
          <w:kern w:val="0"/>
          <w:sz w:val="22"/>
          <w:szCs w:val="22"/>
          <w:lang w:eastAsia="en-AU"/>
        </w:rPr>
      </w:pPr>
      <w:hyperlink w:anchor="_Toc116301560" w:history="1">
        <w:r w:rsidRPr="00712510">
          <w:rPr>
            <w:rStyle w:val="Hyperlink"/>
          </w:rPr>
          <w:t>Environment</w:t>
        </w:r>
        <w:r>
          <w:rPr>
            <w:webHidden/>
          </w:rPr>
          <w:tab/>
        </w:r>
        <w:r>
          <w:rPr>
            <w:webHidden/>
          </w:rPr>
          <w:fldChar w:fldCharType="begin"/>
        </w:r>
        <w:r>
          <w:rPr>
            <w:webHidden/>
          </w:rPr>
          <w:instrText xml:space="preserve"> PAGEREF _Toc116301560 \h </w:instrText>
        </w:r>
        <w:r>
          <w:rPr>
            <w:webHidden/>
          </w:rPr>
        </w:r>
        <w:r>
          <w:rPr>
            <w:webHidden/>
          </w:rPr>
          <w:fldChar w:fldCharType="separate"/>
        </w:r>
        <w:r>
          <w:rPr>
            <w:webHidden/>
          </w:rPr>
          <w:t>32</w:t>
        </w:r>
        <w:r>
          <w:rPr>
            <w:webHidden/>
          </w:rPr>
          <w:fldChar w:fldCharType="end"/>
        </w:r>
      </w:hyperlink>
    </w:p>
    <w:p w14:paraId="06F01CF7" w14:textId="0FA64DC5" w:rsidR="0041501F" w:rsidRDefault="0041501F">
      <w:pPr>
        <w:pStyle w:val="TOC2"/>
        <w:rPr>
          <w:rFonts w:asciiTheme="minorHAnsi" w:eastAsiaTheme="minorEastAsia" w:hAnsiTheme="minorHAnsi" w:cstheme="minorBidi"/>
          <w:b w:val="0"/>
          <w:color w:val="auto"/>
          <w:sz w:val="22"/>
          <w:szCs w:val="22"/>
          <w:lang w:eastAsia="en-AU"/>
        </w:rPr>
      </w:pPr>
      <w:hyperlink w:anchor="_Toc116301561" w:history="1">
        <w:r w:rsidRPr="00712510">
          <w:rPr>
            <w:rStyle w:val="Hyperlink"/>
          </w:rPr>
          <w:t>Fate and behaviour</w:t>
        </w:r>
        <w:r>
          <w:rPr>
            <w:webHidden/>
          </w:rPr>
          <w:tab/>
        </w:r>
        <w:r>
          <w:rPr>
            <w:webHidden/>
          </w:rPr>
          <w:fldChar w:fldCharType="begin"/>
        </w:r>
        <w:r>
          <w:rPr>
            <w:webHidden/>
          </w:rPr>
          <w:instrText xml:space="preserve"> PAGEREF _Toc116301561 \h </w:instrText>
        </w:r>
        <w:r>
          <w:rPr>
            <w:webHidden/>
          </w:rPr>
        </w:r>
        <w:r>
          <w:rPr>
            <w:webHidden/>
          </w:rPr>
          <w:fldChar w:fldCharType="separate"/>
        </w:r>
        <w:r>
          <w:rPr>
            <w:webHidden/>
          </w:rPr>
          <w:t>32</w:t>
        </w:r>
        <w:r>
          <w:rPr>
            <w:webHidden/>
          </w:rPr>
          <w:fldChar w:fldCharType="end"/>
        </w:r>
      </w:hyperlink>
    </w:p>
    <w:p w14:paraId="4493EE39" w14:textId="6FBB5213" w:rsidR="0041501F" w:rsidRDefault="0041501F">
      <w:pPr>
        <w:pStyle w:val="TOC3"/>
        <w:rPr>
          <w:rFonts w:asciiTheme="minorHAnsi" w:eastAsiaTheme="minorEastAsia" w:hAnsiTheme="minorHAnsi" w:cstheme="minorBidi"/>
          <w:color w:val="auto"/>
          <w:sz w:val="22"/>
          <w:szCs w:val="22"/>
          <w:lang w:eastAsia="en-AU"/>
        </w:rPr>
      </w:pPr>
      <w:hyperlink w:anchor="_Toc116301562" w:history="1">
        <w:r w:rsidRPr="00712510">
          <w:rPr>
            <w:rStyle w:val="Hyperlink"/>
          </w:rPr>
          <w:t>Spray drift</w:t>
        </w:r>
        <w:r>
          <w:rPr>
            <w:webHidden/>
          </w:rPr>
          <w:tab/>
        </w:r>
        <w:r>
          <w:rPr>
            <w:webHidden/>
          </w:rPr>
          <w:fldChar w:fldCharType="begin"/>
        </w:r>
        <w:r>
          <w:rPr>
            <w:webHidden/>
          </w:rPr>
          <w:instrText xml:space="preserve"> PAGEREF _Toc116301562 \h </w:instrText>
        </w:r>
        <w:r>
          <w:rPr>
            <w:webHidden/>
          </w:rPr>
        </w:r>
        <w:r>
          <w:rPr>
            <w:webHidden/>
          </w:rPr>
          <w:fldChar w:fldCharType="separate"/>
        </w:r>
        <w:r>
          <w:rPr>
            <w:webHidden/>
          </w:rPr>
          <w:t>32</w:t>
        </w:r>
        <w:r>
          <w:rPr>
            <w:webHidden/>
          </w:rPr>
          <w:fldChar w:fldCharType="end"/>
        </w:r>
      </w:hyperlink>
    </w:p>
    <w:p w14:paraId="7A26C6E9" w14:textId="1324C0CA" w:rsidR="0041501F" w:rsidRDefault="0041501F">
      <w:pPr>
        <w:pStyle w:val="TOC3"/>
        <w:rPr>
          <w:rFonts w:asciiTheme="minorHAnsi" w:eastAsiaTheme="minorEastAsia" w:hAnsiTheme="minorHAnsi" w:cstheme="minorBidi"/>
          <w:color w:val="auto"/>
          <w:sz w:val="22"/>
          <w:szCs w:val="22"/>
          <w:lang w:eastAsia="en-AU"/>
        </w:rPr>
      </w:pPr>
      <w:hyperlink w:anchor="_Toc116301563" w:history="1">
        <w:r w:rsidRPr="00712510">
          <w:rPr>
            <w:rStyle w:val="Hyperlink"/>
          </w:rPr>
          <w:t>Natural aquatic areas</w:t>
        </w:r>
        <w:r>
          <w:rPr>
            <w:webHidden/>
          </w:rPr>
          <w:tab/>
        </w:r>
        <w:r>
          <w:rPr>
            <w:webHidden/>
          </w:rPr>
          <w:fldChar w:fldCharType="begin"/>
        </w:r>
        <w:r>
          <w:rPr>
            <w:webHidden/>
          </w:rPr>
          <w:instrText xml:space="preserve"> PAGEREF _Toc116301563 \h </w:instrText>
        </w:r>
        <w:r>
          <w:rPr>
            <w:webHidden/>
          </w:rPr>
        </w:r>
        <w:r>
          <w:rPr>
            <w:webHidden/>
          </w:rPr>
          <w:fldChar w:fldCharType="separate"/>
        </w:r>
        <w:r>
          <w:rPr>
            <w:webHidden/>
          </w:rPr>
          <w:t>33</w:t>
        </w:r>
        <w:r>
          <w:rPr>
            <w:webHidden/>
          </w:rPr>
          <w:fldChar w:fldCharType="end"/>
        </w:r>
      </w:hyperlink>
    </w:p>
    <w:p w14:paraId="3CA9E06A" w14:textId="62FECB03" w:rsidR="0041501F" w:rsidRDefault="0041501F">
      <w:pPr>
        <w:pStyle w:val="TOC3"/>
        <w:rPr>
          <w:rFonts w:asciiTheme="minorHAnsi" w:eastAsiaTheme="minorEastAsia" w:hAnsiTheme="minorHAnsi" w:cstheme="minorBidi"/>
          <w:color w:val="auto"/>
          <w:sz w:val="22"/>
          <w:szCs w:val="22"/>
          <w:lang w:eastAsia="en-AU"/>
        </w:rPr>
      </w:pPr>
      <w:hyperlink w:anchor="_Toc116301564" w:history="1">
        <w:r w:rsidRPr="00712510">
          <w:rPr>
            <w:rStyle w:val="Hyperlink"/>
          </w:rPr>
          <w:t>Pollinator areas</w:t>
        </w:r>
        <w:r>
          <w:rPr>
            <w:webHidden/>
          </w:rPr>
          <w:tab/>
        </w:r>
        <w:r>
          <w:rPr>
            <w:webHidden/>
          </w:rPr>
          <w:fldChar w:fldCharType="begin"/>
        </w:r>
        <w:r>
          <w:rPr>
            <w:webHidden/>
          </w:rPr>
          <w:instrText xml:space="preserve"> PAGEREF _Toc116301564 \h </w:instrText>
        </w:r>
        <w:r>
          <w:rPr>
            <w:webHidden/>
          </w:rPr>
        </w:r>
        <w:r>
          <w:rPr>
            <w:webHidden/>
          </w:rPr>
          <w:fldChar w:fldCharType="separate"/>
        </w:r>
        <w:r>
          <w:rPr>
            <w:webHidden/>
          </w:rPr>
          <w:t>33</w:t>
        </w:r>
        <w:r>
          <w:rPr>
            <w:webHidden/>
          </w:rPr>
          <w:fldChar w:fldCharType="end"/>
        </w:r>
      </w:hyperlink>
    </w:p>
    <w:p w14:paraId="5C132171" w14:textId="08997E39" w:rsidR="0041501F" w:rsidRDefault="0041501F">
      <w:pPr>
        <w:pStyle w:val="TOC3"/>
        <w:rPr>
          <w:rFonts w:asciiTheme="minorHAnsi" w:eastAsiaTheme="minorEastAsia" w:hAnsiTheme="minorHAnsi" w:cstheme="minorBidi"/>
          <w:color w:val="auto"/>
          <w:sz w:val="22"/>
          <w:szCs w:val="22"/>
          <w:lang w:eastAsia="en-AU"/>
        </w:rPr>
      </w:pPr>
      <w:hyperlink w:anchor="_Toc116301565" w:history="1">
        <w:r w:rsidRPr="00712510">
          <w:rPr>
            <w:rStyle w:val="Hyperlink"/>
          </w:rPr>
          <w:t>Vegetation areas</w:t>
        </w:r>
        <w:r>
          <w:rPr>
            <w:webHidden/>
          </w:rPr>
          <w:tab/>
        </w:r>
        <w:r>
          <w:rPr>
            <w:webHidden/>
          </w:rPr>
          <w:fldChar w:fldCharType="begin"/>
        </w:r>
        <w:r>
          <w:rPr>
            <w:webHidden/>
          </w:rPr>
          <w:instrText xml:space="preserve"> PAGEREF _Toc116301565 \h </w:instrText>
        </w:r>
        <w:r>
          <w:rPr>
            <w:webHidden/>
          </w:rPr>
        </w:r>
        <w:r>
          <w:rPr>
            <w:webHidden/>
          </w:rPr>
          <w:fldChar w:fldCharType="separate"/>
        </w:r>
        <w:r>
          <w:rPr>
            <w:webHidden/>
          </w:rPr>
          <w:t>33</w:t>
        </w:r>
        <w:r>
          <w:rPr>
            <w:webHidden/>
          </w:rPr>
          <w:fldChar w:fldCharType="end"/>
        </w:r>
      </w:hyperlink>
    </w:p>
    <w:p w14:paraId="64F6CB35" w14:textId="061AD3EA" w:rsidR="0041501F" w:rsidRDefault="0041501F">
      <w:pPr>
        <w:pStyle w:val="TOC3"/>
        <w:rPr>
          <w:rFonts w:asciiTheme="minorHAnsi" w:eastAsiaTheme="minorEastAsia" w:hAnsiTheme="minorHAnsi" w:cstheme="minorBidi"/>
          <w:color w:val="auto"/>
          <w:sz w:val="22"/>
          <w:szCs w:val="22"/>
          <w:lang w:eastAsia="en-AU"/>
        </w:rPr>
      </w:pPr>
      <w:hyperlink w:anchor="_Toc116301566" w:history="1">
        <w:r w:rsidRPr="00712510">
          <w:rPr>
            <w:rStyle w:val="Hyperlink"/>
          </w:rPr>
          <w:t>Disposal statement for spent dip</w:t>
        </w:r>
        <w:r>
          <w:rPr>
            <w:webHidden/>
          </w:rPr>
          <w:tab/>
        </w:r>
        <w:r>
          <w:rPr>
            <w:webHidden/>
          </w:rPr>
          <w:fldChar w:fldCharType="begin"/>
        </w:r>
        <w:r>
          <w:rPr>
            <w:webHidden/>
          </w:rPr>
          <w:instrText xml:space="preserve"> PAGEREF _Toc116301566 \h </w:instrText>
        </w:r>
        <w:r>
          <w:rPr>
            <w:webHidden/>
          </w:rPr>
        </w:r>
        <w:r>
          <w:rPr>
            <w:webHidden/>
          </w:rPr>
          <w:fldChar w:fldCharType="separate"/>
        </w:r>
        <w:r>
          <w:rPr>
            <w:webHidden/>
          </w:rPr>
          <w:t>33</w:t>
        </w:r>
        <w:r>
          <w:rPr>
            <w:webHidden/>
          </w:rPr>
          <w:fldChar w:fldCharType="end"/>
        </w:r>
      </w:hyperlink>
    </w:p>
    <w:p w14:paraId="6ADEA451" w14:textId="6E12610E" w:rsidR="0041501F" w:rsidRDefault="0041501F">
      <w:pPr>
        <w:pStyle w:val="TOC3"/>
        <w:rPr>
          <w:rFonts w:asciiTheme="minorHAnsi" w:eastAsiaTheme="minorEastAsia" w:hAnsiTheme="minorHAnsi" w:cstheme="minorBidi"/>
          <w:color w:val="auto"/>
          <w:sz w:val="22"/>
          <w:szCs w:val="22"/>
          <w:lang w:eastAsia="en-AU"/>
        </w:rPr>
      </w:pPr>
      <w:hyperlink w:anchor="_Toc116301567" w:history="1">
        <w:r w:rsidRPr="00712510">
          <w:rPr>
            <w:rStyle w:val="Hyperlink"/>
          </w:rPr>
          <w:t>Seed treatment products</w:t>
        </w:r>
        <w:r>
          <w:rPr>
            <w:webHidden/>
          </w:rPr>
          <w:tab/>
        </w:r>
        <w:r>
          <w:rPr>
            <w:webHidden/>
          </w:rPr>
          <w:fldChar w:fldCharType="begin"/>
        </w:r>
        <w:r>
          <w:rPr>
            <w:webHidden/>
          </w:rPr>
          <w:instrText xml:space="preserve"> PAGEREF _Toc116301567 \h </w:instrText>
        </w:r>
        <w:r>
          <w:rPr>
            <w:webHidden/>
          </w:rPr>
        </w:r>
        <w:r>
          <w:rPr>
            <w:webHidden/>
          </w:rPr>
          <w:fldChar w:fldCharType="separate"/>
        </w:r>
        <w:r>
          <w:rPr>
            <w:webHidden/>
          </w:rPr>
          <w:t>34</w:t>
        </w:r>
        <w:r>
          <w:rPr>
            <w:webHidden/>
          </w:rPr>
          <w:fldChar w:fldCharType="end"/>
        </w:r>
      </w:hyperlink>
    </w:p>
    <w:p w14:paraId="7A529F20" w14:textId="63F55E8E" w:rsidR="0041501F" w:rsidRDefault="0041501F">
      <w:pPr>
        <w:pStyle w:val="TOC2"/>
        <w:rPr>
          <w:rFonts w:asciiTheme="minorHAnsi" w:eastAsiaTheme="minorEastAsia" w:hAnsiTheme="minorHAnsi" w:cstheme="minorBidi"/>
          <w:b w:val="0"/>
          <w:color w:val="auto"/>
          <w:sz w:val="22"/>
          <w:szCs w:val="22"/>
          <w:lang w:eastAsia="en-AU"/>
        </w:rPr>
      </w:pPr>
      <w:hyperlink w:anchor="_Toc116301568" w:history="1">
        <w:r w:rsidRPr="00712510">
          <w:rPr>
            <w:rStyle w:val="Hyperlink"/>
          </w:rPr>
          <w:t>Recommendations</w:t>
        </w:r>
        <w:r>
          <w:rPr>
            <w:webHidden/>
          </w:rPr>
          <w:tab/>
        </w:r>
        <w:r>
          <w:rPr>
            <w:webHidden/>
          </w:rPr>
          <w:fldChar w:fldCharType="begin"/>
        </w:r>
        <w:r>
          <w:rPr>
            <w:webHidden/>
          </w:rPr>
          <w:instrText xml:space="preserve"> PAGEREF _Toc116301568 \h </w:instrText>
        </w:r>
        <w:r>
          <w:rPr>
            <w:webHidden/>
          </w:rPr>
        </w:r>
        <w:r>
          <w:rPr>
            <w:webHidden/>
          </w:rPr>
          <w:fldChar w:fldCharType="separate"/>
        </w:r>
        <w:r>
          <w:rPr>
            <w:webHidden/>
          </w:rPr>
          <w:t>34</w:t>
        </w:r>
        <w:r>
          <w:rPr>
            <w:webHidden/>
          </w:rPr>
          <w:fldChar w:fldCharType="end"/>
        </w:r>
      </w:hyperlink>
    </w:p>
    <w:p w14:paraId="4EAF7773" w14:textId="7F0E7643" w:rsidR="0041501F" w:rsidRDefault="0041501F">
      <w:pPr>
        <w:pStyle w:val="TOC1"/>
        <w:rPr>
          <w:rFonts w:asciiTheme="minorHAnsi" w:eastAsiaTheme="minorEastAsia" w:hAnsiTheme="minorHAnsi" w:cstheme="minorBidi"/>
          <w:bCs w:val="0"/>
          <w:color w:val="auto"/>
          <w:kern w:val="0"/>
          <w:sz w:val="22"/>
          <w:szCs w:val="22"/>
          <w:lang w:eastAsia="en-AU"/>
        </w:rPr>
      </w:pPr>
      <w:hyperlink w:anchor="_Toc116301569" w:history="1">
        <w:r w:rsidRPr="00712510">
          <w:rPr>
            <w:rStyle w:val="Hyperlink"/>
          </w:rPr>
          <w:t>Spray drift</w:t>
        </w:r>
        <w:r>
          <w:rPr>
            <w:webHidden/>
          </w:rPr>
          <w:tab/>
        </w:r>
        <w:r>
          <w:rPr>
            <w:webHidden/>
          </w:rPr>
          <w:fldChar w:fldCharType="begin"/>
        </w:r>
        <w:r>
          <w:rPr>
            <w:webHidden/>
          </w:rPr>
          <w:instrText xml:space="preserve"> PAGEREF _Toc116301569 \h </w:instrText>
        </w:r>
        <w:r>
          <w:rPr>
            <w:webHidden/>
          </w:rPr>
        </w:r>
        <w:r>
          <w:rPr>
            <w:webHidden/>
          </w:rPr>
          <w:fldChar w:fldCharType="separate"/>
        </w:r>
        <w:r>
          <w:rPr>
            <w:webHidden/>
          </w:rPr>
          <w:t>35</w:t>
        </w:r>
        <w:r>
          <w:rPr>
            <w:webHidden/>
          </w:rPr>
          <w:fldChar w:fldCharType="end"/>
        </w:r>
      </w:hyperlink>
    </w:p>
    <w:p w14:paraId="3C86551D" w14:textId="47D300BD" w:rsidR="0041501F" w:rsidRDefault="0041501F">
      <w:pPr>
        <w:pStyle w:val="TOC2"/>
        <w:rPr>
          <w:rFonts w:asciiTheme="minorHAnsi" w:eastAsiaTheme="minorEastAsia" w:hAnsiTheme="minorHAnsi" w:cstheme="minorBidi"/>
          <w:b w:val="0"/>
          <w:color w:val="auto"/>
          <w:sz w:val="22"/>
          <w:szCs w:val="22"/>
          <w:lang w:eastAsia="en-AU"/>
        </w:rPr>
      </w:pPr>
      <w:hyperlink w:anchor="_Toc116301570" w:history="1">
        <w:r w:rsidRPr="00712510">
          <w:rPr>
            <w:rStyle w:val="Hyperlink"/>
          </w:rPr>
          <w:t>FS 500 g/L procymidone products</w:t>
        </w:r>
        <w:r>
          <w:rPr>
            <w:webHidden/>
          </w:rPr>
          <w:tab/>
        </w:r>
        <w:r>
          <w:rPr>
            <w:webHidden/>
          </w:rPr>
          <w:fldChar w:fldCharType="begin"/>
        </w:r>
        <w:r>
          <w:rPr>
            <w:webHidden/>
          </w:rPr>
          <w:instrText xml:space="preserve"> PAGEREF _Toc116301570 \h </w:instrText>
        </w:r>
        <w:r>
          <w:rPr>
            <w:webHidden/>
          </w:rPr>
        </w:r>
        <w:r>
          <w:rPr>
            <w:webHidden/>
          </w:rPr>
          <w:fldChar w:fldCharType="separate"/>
        </w:r>
        <w:r>
          <w:rPr>
            <w:webHidden/>
          </w:rPr>
          <w:t>35</w:t>
        </w:r>
        <w:r>
          <w:rPr>
            <w:webHidden/>
          </w:rPr>
          <w:fldChar w:fldCharType="end"/>
        </w:r>
      </w:hyperlink>
    </w:p>
    <w:p w14:paraId="087C0750" w14:textId="752CA5CE" w:rsidR="0041501F" w:rsidRDefault="0041501F">
      <w:pPr>
        <w:pStyle w:val="TOC2"/>
        <w:rPr>
          <w:rFonts w:asciiTheme="minorHAnsi" w:eastAsiaTheme="minorEastAsia" w:hAnsiTheme="minorHAnsi" w:cstheme="minorBidi"/>
          <w:b w:val="0"/>
          <w:color w:val="auto"/>
          <w:sz w:val="22"/>
          <w:szCs w:val="22"/>
          <w:lang w:eastAsia="en-AU"/>
        </w:rPr>
      </w:pPr>
      <w:hyperlink w:anchor="_Toc116301571" w:history="1">
        <w:r w:rsidRPr="00712510">
          <w:rPr>
            <w:rStyle w:val="Hyperlink"/>
          </w:rPr>
          <w:t>SC 500 g/L procymidone products</w:t>
        </w:r>
        <w:r>
          <w:rPr>
            <w:webHidden/>
          </w:rPr>
          <w:tab/>
        </w:r>
        <w:r>
          <w:rPr>
            <w:webHidden/>
          </w:rPr>
          <w:fldChar w:fldCharType="begin"/>
        </w:r>
        <w:r>
          <w:rPr>
            <w:webHidden/>
          </w:rPr>
          <w:instrText xml:space="preserve"> PAGEREF _Toc116301571 \h </w:instrText>
        </w:r>
        <w:r>
          <w:rPr>
            <w:webHidden/>
          </w:rPr>
        </w:r>
        <w:r>
          <w:rPr>
            <w:webHidden/>
          </w:rPr>
          <w:fldChar w:fldCharType="separate"/>
        </w:r>
        <w:r>
          <w:rPr>
            <w:webHidden/>
          </w:rPr>
          <w:t>35</w:t>
        </w:r>
        <w:r>
          <w:rPr>
            <w:webHidden/>
          </w:rPr>
          <w:fldChar w:fldCharType="end"/>
        </w:r>
      </w:hyperlink>
    </w:p>
    <w:p w14:paraId="1931505F" w14:textId="2D5AE5F2" w:rsidR="0041501F" w:rsidRDefault="0041501F">
      <w:pPr>
        <w:pStyle w:val="TOC2"/>
        <w:rPr>
          <w:rFonts w:asciiTheme="minorHAnsi" w:eastAsiaTheme="minorEastAsia" w:hAnsiTheme="minorHAnsi" w:cstheme="minorBidi"/>
          <w:b w:val="0"/>
          <w:color w:val="auto"/>
          <w:sz w:val="22"/>
          <w:szCs w:val="22"/>
          <w:lang w:eastAsia="en-AU"/>
        </w:rPr>
      </w:pPr>
      <w:hyperlink w:anchor="_Toc116301572" w:history="1">
        <w:r w:rsidRPr="00712510">
          <w:rPr>
            <w:rStyle w:val="Hyperlink"/>
          </w:rPr>
          <w:t>WG 800 g/kg procymidone products</w:t>
        </w:r>
        <w:r>
          <w:rPr>
            <w:webHidden/>
          </w:rPr>
          <w:tab/>
        </w:r>
        <w:r>
          <w:rPr>
            <w:webHidden/>
          </w:rPr>
          <w:fldChar w:fldCharType="begin"/>
        </w:r>
        <w:r>
          <w:rPr>
            <w:webHidden/>
          </w:rPr>
          <w:instrText xml:space="preserve"> PAGEREF _Toc116301572 \h </w:instrText>
        </w:r>
        <w:r>
          <w:rPr>
            <w:webHidden/>
          </w:rPr>
        </w:r>
        <w:r>
          <w:rPr>
            <w:webHidden/>
          </w:rPr>
          <w:fldChar w:fldCharType="separate"/>
        </w:r>
        <w:r>
          <w:rPr>
            <w:webHidden/>
          </w:rPr>
          <w:t>35</w:t>
        </w:r>
        <w:r>
          <w:rPr>
            <w:webHidden/>
          </w:rPr>
          <w:fldChar w:fldCharType="end"/>
        </w:r>
      </w:hyperlink>
    </w:p>
    <w:p w14:paraId="13E50ADB" w14:textId="2FF38CD0" w:rsidR="0041501F" w:rsidRDefault="0041501F">
      <w:pPr>
        <w:pStyle w:val="TOC1"/>
        <w:rPr>
          <w:rFonts w:asciiTheme="minorHAnsi" w:eastAsiaTheme="minorEastAsia" w:hAnsiTheme="minorHAnsi" w:cstheme="minorBidi"/>
          <w:bCs w:val="0"/>
          <w:color w:val="auto"/>
          <w:kern w:val="0"/>
          <w:sz w:val="22"/>
          <w:szCs w:val="22"/>
          <w:lang w:eastAsia="en-AU"/>
        </w:rPr>
      </w:pPr>
      <w:hyperlink w:anchor="_Toc116301573" w:history="1">
        <w:r w:rsidRPr="00712510">
          <w:rPr>
            <w:rStyle w:val="Hyperlink"/>
          </w:rPr>
          <w:t>Appendix A – Spray drift restraints</w:t>
        </w:r>
        <w:r>
          <w:rPr>
            <w:webHidden/>
          </w:rPr>
          <w:tab/>
        </w:r>
        <w:r>
          <w:rPr>
            <w:webHidden/>
          </w:rPr>
          <w:fldChar w:fldCharType="begin"/>
        </w:r>
        <w:r>
          <w:rPr>
            <w:webHidden/>
          </w:rPr>
          <w:instrText xml:space="preserve"> PAGEREF _Toc116301573 \h </w:instrText>
        </w:r>
        <w:r>
          <w:rPr>
            <w:webHidden/>
          </w:rPr>
        </w:r>
        <w:r>
          <w:rPr>
            <w:webHidden/>
          </w:rPr>
          <w:fldChar w:fldCharType="separate"/>
        </w:r>
        <w:r>
          <w:rPr>
            <w:webHidden/>
          </w:rPr>
          <w:t>37</w:t>
        </w:r>
        <w:r>
          <w:rPr>
            <w:webHidden/>
          </w:rPr>
          <w:fldChar w:fldCharType="end"/>
        </w:r>
      </w:hyperlink>
    </w:p>
    <w:p w14:paraId="54DE2BD4" w14:textId="256BB758" w:rsidR="0041501F" w:rsidRDefault="0041501F">
      <w:pPr>
        <w:pStyle w:val="TOC2"/>
        <w:rPr>
          <w:rFonts w:asciiTheme="minorHAnsi" w:eastAsiaTheme="minorEastAsia" w:hAnsiTheme="minorHAnsi" w:cstheme="minorBidi"/>
          <w:b w:val="0"/>
          <w:color w:val="auto"/>
          <w:sz w:val="22"/>
          <w:szCs w:val="22"/>
          <w:lang w:eastAsia="en-AU"/>
        </w:rPr>
      </w:pPr>
      <w:hyperlink w:anchor="_Toc116301574" w:history="1">
        <w:r w:rsidRPr="00712510">
          <w:rPr>
            <w:rStyle w:val="Hyperlink"/>
          </w:rPr>
          <w:t>General spray drift restraints</w:t>
        </w:r>
        <w:r>
          <w:rPr>
            <w:webHidden/>
          </w:rPr>
          <w:tab/>
        </w:r>
        <w:r>
          <w:rPr>
            <w:webHidden/>
          </w:rPr>
          <w:fldChar w:fldCharType="begin"/>
        </w:r>
        <w:r>
          <w:rPr>
            <w:webHidden/>
          </w:rPr>
          <w:instrText xml:space="preserve"> PAGEREF _Toc116301574 \h </w:instrText>
        </w:r>
        <w:r>
          <w:rPr>
            <w:webHidden/>
          </w:rPr>
        </w:r>
        <w:r>
          <w:rPr>
            <w:webHidden/>
          </w:rPr>
          <w:fldChar w:fldCharType="separate"/>
        </w:r>
        <w:r>
          <w:rPr>
            <w:webHidden/>
          </w:rPr>
          <w:t>37</w:t>
        </w:r>
        <w:r>
          <w:rPr>
            <w:webHidden/>
          </w:rPr>
          <w:fldChar w:fldCharType="end"/>
        </w:r>
      </w:hyperlink>
    </w:p>
    <w:p w14:paraId="6A444DAA" w14:textId="4FAC275D" w:rsidR="0041501F" w:rsidRDefault="0041501F">
      <w:pPr>
        <w:pStyle w:val="TOC2"/>
        <w:rPr>
          <w:rFonts w:asciiTheme="minorHAnsi" w:eastAsiaTheme="minorEastAsia" w:hAnsiTheme="minorHAnsi" w:cstheme="minorBidi"/>
          <w:b w:val="0"/>
          <w:color w:val="auto"/>
          <w:sz w:val="22"/>
          <w:szCs w:val="22"/>
          <w:lang w:eastAsia="en-AU"/>
        </w:rPr>
      </w:pPr>
      <w:hyperlink w:anchor="_Toc116301575" w:history="1">
        <w:r w:rsidRPr="00712510">
          <w:rPr>
            <w:rStyle w:val="Hyperlink"/>
          </w:rPr>
          <w:t>Additional spray drift restraints for SC 500 g/L procymidone products</w:t>
        </w:r>
        <w:r>
          <w:rPr>
            <w:webHidden/>
          </w:rPr>
          <w:tab/>
        </w:r>
        <w:r>
          <w:rPr>
            <w:webHidden/>
          </w:rPr>
          <w:fldChar w:fldCharType="begin"/>
        </w:r>
        <w:r>
          <w:rPr>
            <w:webHidden/>
          </w:rPr>
          <w:instrText xml:space="preserve"> PAGEREF _Toc116301575 \h </w:instrText>
        </w:r>
        <w:r>
          <w:rPr>
            <w:webHidden/>
          </w:rPr>
        </w:r>
        <w:r>
          <w:rPr>
            <w:webHidden/>
          </w:rPr>
          <w:fldChar w:fldCharType="separate"/>
        </w:r>
        <w:r>
          <w:rPr>
            <w:webHidden/>
          </w:rPr>
          <w:t>37</w:t>
        </w:r>
        <w:r>
          <w:rPr>
            <w:webHidden/>
          </w:rPr>
          <w:fldChar w:fldCharType="end"/>
        </w:r>
      </w:hyperlink>
    </w:p>
    <w:p w14:paraId="596450F1" w14:textId="710ABE11" w:rsidR="0041501F" w:rsidRDefault="0041501F">
      <w:pPr>
        <w:pStyle w:val="TOC3"/>
        <w:rPr>
          <w:rFonts w:asciiTheme="minorHAnsi" w:eastAsiaTheme="minorEastAsia" w:hAnsiTheme="minorHAnsi" w:cstheme="minorBidi"/>
          <w:color w:val="auto"/>
          <w:sz w:val="22"/>
          <w:szCs w:val="22"/>
          <w:lang w:eastAsia="en-AU"/>
        </w:rPr>
      </w:pPr>
      <w:hyperlink w:anchor="_Toc116301576" w:history="1">
        <w:r w:rsidRPr="00712510">
          <w:rPr>
            <w:rStyle w:val="Hyperlink"/>
          </w:rPr>
          <w:t>Boom sprayers</w:t>
        </w:r>
        <w:r>
          <w:rPr>
            <w:webHidden/>
          </w:rPr>
          <w:tab/>
        </w:r>
        <w:r>
          <w:rPr>
            <w:webHidden/>
          </w:rPr>
          <w:fldChar w:fldCharType="begin"/>
        </w:r>
        <w:r>
          <w:rPr>
            <w:webHidden/>
          </w:rPr>
          <w:instrText xml:space="preserve"> PAGEREF _Toc116301576 \h </w:instrText>
        </w:r>
        <w:r>
          <w:rPr>
            <w:webHidden/>
          </w:rPr>
        </w:r>
        <w:r>
          <w:rPr>
            <w:webHidden/>
          </w:rPr>
          <w:fldChar w:fldCharType="separate"/>
        </w:r>
        <w:r>
          <w:rPr>
            <w:webHidden/>
          </w:rPr>
          <w:t>37</w:t>
        </w:r>
        <w:r>
          <w:rPr>
            <w:webHidden/>
          </w:rPr>
          <w:fldChar w:fldCharType="end"/>
        </w:r>
      </w:hyperlink>
    </w:p>
    <w:p w14:paraId="788213C0" w14:textId="51E42FE2" w:rsidR="0041501F" w:rsidRDefault="0041501F">
      <w:pPr>
        <w:pStyle w:val="TOC3"/>
        <w:rPr>
          <w:rFonts w:asciiTheme="minorHAnsi" w:eastAsiaTheme="minorEastAsia" w:hAnsiTheme="minorHAnsi" w:cstheme="minorBidi"/>
          <w:color w:val="auto"/>
          <w:sz w:val="22"/>
          <w:szCs w:val="22"/>
          <w:lang w:eastAsia="en-AU"/>
        </w:rPr>
      </w:pPr>
      <w:hyperlink w:anchor="_Toc116301577" w:history="1">
        <w:r w:rsidRPr="00712510">
          <w:rPr>
            <w:rStyle w:val="Hyperlink"/>
          </w:rPr>
          <w:t>Vertical sprayers</w:t>
        </w:r>
        <w:r>
          <w:rPr>
            <w:webHidden/>
          </w:rPr>
          <w:tab/>
        </w:r>
        <w:r>
          <w:rPr>
            <w:webHidden/>
          </w:rPr>
          <w:fldChar w:fldCharType="begin"/>
        </w:r>
        <w:r>
          <w:rPr>
            <w:webHidden/>
          </w:rPr>
          <w:instrText xml:space="preserve"> PAGEREF _Toc116301577 \h </w:instrText>
        </w:r>
        <w:r>
          <w:rPr>
            <w:webHidden/>
          </w:rPr>
        </w:r>
        <w:r>
          <w:rPr>
            <w:webHidden/>
          </w:rPr>
          <w:fldChar w:fldCharType="separate"/>
        </w:r>
        <w:r>
          <w:rPr>
            <w:webHidden/>
          </w:rPr>
          <w:t>38</w:t>
        </w:r>
        <w:r>
          <w:rPr>
            <w:webHidden/>
          </w:rPr>
          <w:fldChar w:fldCharType="end"/>
        </w:r>
      </w:hyperlink>
    </w:p>
    <w:p w14:paraId="313CA3AA" w14:textId="7C4D2112" w:rsidR="0041501F" w:rsidRDefault="0041501F">
      <w:pPr>
        <w:pStyle w:val="TOC3"/>
        <w:rPr>
          <w:rFonts w:asciiTheme="minorHAnsi" w:eastAsiaTheme="minorEastAsia" w:hAnsiTheme="minorHAnsi" w:cstheme="minorBidi"/>
          <w:color w:val="auto"/>
          <w:sz w:val="22"/>
          <w:szCs w:val="22"/>
          <w:lang w:eastAsia="en-AU"/>
        </w:rPr>
      </w:pPr>
      <w:hyperlink w:anchor="_Toc116301578" w:history="1">
        <w:r w:rsidRPr="00712510">
          <w:rPr>
            <w:rStyle w:val="Hyperlink"/>
          </w:rPr>
          <w:t>Aircraft</w:t>
        </w:r>
        <w:r>
          <w:rPr>
            <w:webHidden/>
          </w:rPr>
          <w:tab/>
        </w:r>
        <w:r>
          <w:rPr>
            <w:webHidden/>
          </w:rPr>
          <w:fldChar w:fldCharType="begin"/>
        </w:r>
        <w:r>
          <w:rPr>
            <w:webHidden/>
          </w:rPr>
          <w:instrText xml:space="preserve"> PAGEREF _Toc116301578 \h </w:instrText>
        </w:r>
        <w:r>
          <w:rPr>
            <w:webHidden/>
          </w:rPr>
        </w:r>
        <w:r>
          <w:rPr>
            <w:webHidden/>
          </w:rPr>
          <w:fldChar w:fldCharType="separate"/>
        </w:r>
        <w:r>
          <w:rPr>
            <w:webHidden/>
          </w:rPr>
          <w:t>39</w:t>
        </w:r>
        <w:r>
          <w:rPr>
            <w:webHidden/>
          </w:rPr>
          <w:fldChar w:fldCharType="end"/>
        </w:r>
      </w:hyperlink>
    </w:p>
    <w:p w14:paraId="7E5F6E6C" w14:textId="06E12B41" w:rsidR="0041501F" w:rsidRDefault="0041501F">
      <w:pPr>
        <w:pStyle w:val="TOC2"/>
        <w:rPr>
          <w:rFonts w:asciiTheme="minorHAnsi" w:eastAsiaTheme="minorEastAsia" w:hAnsiTheme="minorHAnsi" w:cstheme="minorBidi"/>
          <w:b w:val="0"/>
          <w:color w:val="auto"/>
          <w:sz w:val="22"/>
          <w:szCs w:val="22"/>
          <w:lang w:eastAsia="en-AU"/>
        </w:rPr>
      </w:pPr>
      <w:hyperlink w:anchor="_Toc116301579" w:history="1">
        <w:r w:rsidRPr="00712510">
          <w:rPr>
            <w:rStyle w:val="Hyperlink"/>
          </w:rPr>
          <w:t>Additional spray drift restraints for WG 800 g/kg procymidone labels</w:t>
        </w:r>
        <w:r>
          <w:rPr>
            <w:webHidden/>
          </w:rPr>
          <w:tab/>
        </w:r>
        <w:r>
          <w:rPr>
            <w:webHidden/>
          </w:rPr>
          <w:fldChar w:fldCharType="begin"/>
        </w:r>
        <w:r>
          <w:rPr>
            <w:webHidden/>
          </w:rPr>
          <w:instrText xml:space="preserve"> PAGEREF _Toc116301579 \h </w:instrText>
        </w:r>
        <w:r>
          <w:rPr>
            <w:webHidden/>
          </w:rPr>
        </w:r>
        <w:r>
          <w:rPr>
            <w:webHidden/>
          </w:rPr>
          <w:fldChar w:fldCharType="separate"/>
        </w:r>
        <w:r>
          <w:rPr>
            <w:webHidden/>
          </w:rPr>
          <w:t>40</w:t>
        </w:r>
        <w:r>
          <w:rPr>
            <w:webHidden/>
          </w:rPr>
          <w:fldChar w:fldCharType="end"/>
        </w:r>
      </w:hyperlink>
    </w:p>
    <w:p w14:paraId="2E1C11E2" w14:textId="55196D49" w:rsidR="0041501F" w:rsidRDefault="0041501F">
      <w:pPr>
        <w:pStyle w:val="TOC3"/>
        <w:rPr>
          <w:rFonts w:asciiTheme="minorHAnsi" w:eastAsiaTheme="minorEastAsia" w:hAnsiTheme="minorHAnsi" w:cstheme="minorBidi"/>
          <w:color w:val="auto"/>
          <w:sz w:val="22"/>
          <w:szCs w:val="22"/>
          <w:lang w:eastAsia="en-AU"/>
        </w:rPr>
      </w:pPr>
      <w:hyperlink w:anchor="_Toc116301580" w:history="1">
        <w:r w:rsidRPr="00712510">
          <w:rPr>
            <w:rStyle w:val="Hyperlink"/>
          </w:rPr>
          <w:t>Boom sprayers</w:t>
        </w:r>
        <w:r>
          <w:rPr>
            <w:webHidden/>
          </w:rPr>
          <w:tab/>
        </w:r>
        <w:r>
          <w:rPr>
            <w:webHidden/>
          </w:rPr>
          <w:fldChar w:fldCharType="begin"/>
        </w:r>
        <w:r>
          <w:rPr>
            <w:webHidden/>
          </w:rPr>
          <w:instrText xml:space="preserve"> PAGEREF _Toc116301580 \h </w:instrText>
        </w:r>
        <w:r>
          <w:rPr>
            <w:webHidden/>
          </w:rPr>
        </w:r>
        <w:r>
          <w:rPr>
            <w:webHidden/>
          </w:rPr>
          <w:fldChar w:fldCharType="separate"/>
        </w:r>
        <w:r>
          <w:rPr>
            <w:webHidden/>
          </w:rPr>
          <w:t>40</w:t>
        </w:r>
        <w:r>
          <w:rPr>
            <w:webHidden/>
          </w:rPr>
          <w:fldChar w:fldCharType="end"/>
        </w:r>
      </w:hyperlink>
    </w:p>
    <w:p w14:paraId="05E6CD44" w14:textId="3C1AADE1" w:rsidR="0041501F" w:rsidRDefault="0041501F">
      <w:pPr>
        <w:pStyle w:val="TOC3"/>
        <w:rPr>
          <w:rFonts w:asciiTheme="minorHAnsi" w:eastAsiaTheme="minorEastAsia" w:hAnsiTheme="minorHAnsi" w:cstheme="minorBidi"/>
          <w:color w:val="auto"/>
          <w:sz w:val="22"/>
          <w:szCs w:val="22"/>
          <w:lang w:eastAsia="en-AU"/>
        </w:rPr>
      </w:pPr>
      <w:hyperlink w:anchor="_Toc116301581" w:history="1">
        <w:r w:rsidRPr="00712510">
          <w:rPr>
            <w:rStyle w:val="Hyperlink"/>
          </w:rPr>
          <w:t>Vertical sprayers</w:t>
        </w:r>
        <w:r>
          <w:rPr>
            <w:webHidden/>
          </w:rPr>
          <w:tab/>
        </w:r>
        <w:r>
          <w:rPr>
            <w:webHidden/>
          </w:rPr>
          <w:fldChar w:fldCharType="begin"/>
        </w:r>
        <w:r>
          <w:rPr>
            <w:webHidden/>
          </w:rPr>
          <w:instrText xml:space="preserve"> PAGEREF _Toc116301581 \h </w:instrText>
        </w:r>
        <w:r>
          <w:rPr>
            <w:webHidden/>
          </w:rPr>
        </w:r>
        <w:r>
          <w:rPr>
            <w:webHidden/>
          </w:rPr>
          <w:fldChar w:fldCharType="separate"/>
        </w:r>
        <w:r>
          <w:rPr>
            <w:webHidden/>
          </w:rPr>
          <w:t>40</w:t>
        </w:r>
        <w:r>
          <w:rPr>
            <w:webHidden/>
          </w:rPr>
          <w:fldChar w:fldCharType="end"/>
        </w:r>
      </w:hyperlink>
    </w:p>
    <w:p w14:paraId="025D6C18" w14:textId="717D6EEF" w:rsidR="0041501F" w:rsidRDefault="0041501F">
      <w:pPr>
        <w:pStyle w:val="TOC3"/>
        <w:rPr>
          <w:rFonts w:asciiTheme="minorHAnsi" w:eastAsiaTheme="minorEastAsia" w:hAnsiTheme="minorHAnsi" w:cstheme="minorBidi"/>
          <w:color w:val="auto"/>
          <w:sz w:val="22"/>
          <w:szCs w:val="22"/>
          <w:lang w:eastAsia="en-AU"/>
        </w:rPr>
      </w:pPr>
      <w:hyperlink w:anchor="_Toc116301582" w:history="1">
        <w:r w:rsidRPr="00712510">
          <w:rPr>
            <w:rStyle w:val="Hyperlink"/>
          </w:rPr>
          <w:t>Aircraft</w:t>
        </w:r>
        <w:r>
          <w:rPr>
            <w:webHidden/>
          </w:rPr>
          <w:tab/>
        </w:r>
        <w:r>
          <w:rPr>
            <w:webHidden/>
          </w:rPr>
          <w:fldChar w:fldCharType="begin"/>
        </w:r>
        <w:r>
          <w:rPr>
            <w:webHidden/>
          </w:rPr>
          <w:instrText xml:space="preserve"> PAGEREF _Toc116301582 \h </w:instrText>
        </w:r>
        <w:r>
          <w:rPr>
            <w:webHidden/>
          </w:rPr>
        </w:r>
        <w:r>
          <w:rPr>
            <w:webHidden/>
          </w:rPr>
          <w:fldChar w:fldCharType="separate"/>
        </w:r>
        <w:r>
          <w:rPr>
            <w:webHidden/>
          </w:rPr>
          <w:t>41</w:t>
        </w:r>
        <w:r>
          <w:rPr>
            <w:webHidden/>
          </w:rPr>
          <w:fldChar w:fldCharType="end"/>
        </w:r>
      </w:hyperlink>
    </w:p>
    <w:p w14:paraId="550885A5" w14:textId="66C8DBA7" w:rsidR="0041501F" w:rsidRDefault="0041501F">
      <w:pPr>
        <w:pStyle w:val="TOC1"/>
        <w:rPr>
          <w:rFonts w:asciiTheme="minorHAnsi" w:eastAsiaTheme="minorEastAsia" w:hAnsiTheme="minorHAnsi" w:cstheme="minorBidi"/>
          <w:bCs w:val="0"/>
          <w:color w:val="auto"/>
          <w:kern w:val="0"/>
          <w:sz w:val="22"/>
          <w:szCs w:val="22"/>
          <w:lang w:eastAsia="en-AU"/>
        </w:rPr>
      </w:pPr>
      <w:hyperlink w:anchor="_Toc116301583" w:history="1">
        <w:r w:rsidRPr="00712510">
          <w:rPr>
            <w:rStyle w:val="Hyperlink"/>
          </w:rPr>
          <w:t>Appendix B – Public consultation</w:t>
        </w:r>
        <w:r>
          <w:rPr>
            <w:webHidden/>
          </w:rPr>
          <w:tab/>
        </w:r>
        <w:r>
          <w:rPr>
            <w:webHidden/>
          </w:rPr>
          <w:fldChar w:fldCharType="begin"/>
        </w:r>
        <w:r>
          <w:rPr>
            <w:webHidden/>
          </w:rPr>
          <w:instrText xml:space="preserve"> PAGEREF _Toc116301583 \h </w:instrText>
        </w:r>
        <w:r>
          <w:rPr>
            <w:webHidden/>
          </w:rPr>
        </w:r>
        <w:r>
          <w:rPr>
            <w:webHidden/>
          </w:rPr>
          <w:fldChar w:fldCharType="separate"/>
        </w:r>
        <w:r>
          <w:rPr>
            <w:webHidden/>
          </w:rPr>
          <w:t>43</w:t>
        </w:r>
        <w:r>
          <w:rPr>
            <w:webHidden/>
          </w:rPr>
          <w:fldChar w:fldCharType="end"/>
        </w:r>
      </w:hyperlink>
    </w:p>
    <w:p w14:paraId="42FBFC3C" w14:textId="32C9E527" w:rsidR="0041501F" w:rsidRDefault="0041501F">
      <w:pPr>
        <w:pStyle w:val="TOC1"/>
        <w:rPr>
          <w:rFonts w:asciiTheme="minorHAnsi" w:eastAsiaTheme="minorEastAsia" w:hAnsiTheme="minorHAnsi" w:cstheme="minorBidi"/>
          <w:bCs w:val="0"/>
          <w:color w:val="auto"/>
          <w:kern w:val="0"/>
          <w:sz w:val="22"/>
          <w:szCs w:val="22"/>
          <w:lang w:eastAsia="en-AU"/>
        </w:rPr>
      </w:pPr>
      <w:hyperlink w:anchor="_Toc116301584" w:history="1">
        <w:r w:rsidRPr="00712510">
          <w:rPr>
            <w:rStyle w:val="Hyperlink"/>
          </w:rPr>
          <w:t>Acronyms and abbreviations</w:t>
        </w:r>
        <w:r>
          <w:rPr>
            <w:webHidden/>
          </w:rPr>
          <w:tab/>
        </w:r>
        <w:r>
          <w:rPr>
            <w:webHidden/>
          </w:rPr>
          <w:fldChar w:fldCharType="begin"/>
        </w:r>
        <w:r>
          <w:rPr>
            <w:webHidden/>
          </w:rPr>
          <w:instrText xml:space="preserve"> PAGEREF _Toc116301584 \h </w:instrText>
        </w:r>
        <w:r>
          <w:rPr>
            <w:webHidden/>
          </w:rPr>
        </w:r>
        <w:r>
          <w:rPr>
            <w:webHidden/>
          </w:rPr>
          <w:fldChar w:fldCharType="separate"/>
        </w:r>
        <w:r>
          <w:rPr>
            <w:webHidden/>
          </w:rPr>
          <w:t>45</w:t>
        </w:r>
        <w:r>
          <w:rPr>
            <w:webHidden/>
          </w:rPr>
          <w:fldChar w:fldCharType="end"/>
        </w:r>
      </w:hyperlink>
    </w:p>
    <w:p w14:paraId="58086CDA" w14:textId="618458AF" w:rsidR="0041501F" w:rsidRDefault="0041501F">
      <w:pPr>
        <w:pStyle w:val="TOC1"/>
        <w:rPr>
          <w:rFonts w:asciiTheme="minorHAnsi" w:eastAsiaTheme="minorEastAsia" w:hAnsiTheme="minorHAnsi" w:cstheme="minorBidi"/>
          <w:bCs w:val="0"/>
          <w:color w:val="auto"/>
          <w:kern w:val="0"/>
          <w:sz w:val="22"/>
          <w:szCs w:val="22"/>
          <w:lang w:eastAsia="en-AU"/>
        </w:rPr>
      </w:pPr>
      <w:hyperlink w:anchor="_Toc116301585" w:history="1">
        <w:r w:rsidRPr="00712510">
          <w:rPr>
            <w:rStyle w:val="Hyperlink"/>
          </w:rPr>
          <w:t>References</w:t>
        </w:r>
        <w:r>
          <w:rPr>
            <w:webHidden/>
          </w:rPr>
          <w:tab/>
        </w:r>
        <w:r>
          <w:rPr>
            <w:webHidden/>
          </w:rPr>
          <w:fldChar w:fldCharType="begin"/>
        </w:r>
        <w:r>
          <w:rPr>
            <w:webHidden/>
          </w:rPr>
          <w:instrText xml:space="preserve"> PAGEREF _Toc116301585 \h </w:instrText>
        </w:r>
        <w:r>
          <w:rPr>
            <w:webHidden/>
          </w:rPr>
        </w:r>
        <w:r>
          <w:rPr>
            <w:webHidden/>
          </w:rPr>
          <w:fldChar w:fldCharType="separate"/>
        </w:r>
        <w:r>
          <w:rPr>
            <w:webHidden/>
          </w:rPr>
          <w:t>47</w:t>
        </w:r>
        <w:r>
          <w:rPr>
            <w:webHidden/>
          </w:rPr>
          <w:fldChar w:fldCharType="end"/>
        </w:r>
      </w:hyperlink>
    </w:p>
    <w:p w14:paraId="5644C5FB" w14:textId="0CFA1ED8" w:rsidR="0041501F" w:rsidRDefault="0041501F">
      <w:pPr>
        <w:pStyle w:val="TOC2"/>
        <w:rPr>
          <w:rFonts w:asciiTheme="minorHAnsi" w:eastAsiaTheme="minorEastAsia" w:hAnsiTheme="minorHAnsi" w:cstheme="minorBidi"/>
          <w:b w:val="0"/>
          <w:color w:val="auto"/>
          <w:sz w:val="22"/>
          <w:szCs w:val="22"/>
          <w:lang w:eastAsia="en-AU"/>
        </w:rPr>
      </w:pPr>
      <w:hyperlink w:anchor="_Toc116301586" w:history="1">
        <w:r w:rsidRPr="00712510">
          <w:rPr>
            <w:rStyle w:val="Hyperlink"/>
          </w:rPr>
          <w:t>Environment</w:t>
        </w:r>
        <w:r>
          <w:rPr>
            <w:webHidden/>
          </w:rPr>
          <w:tab/>
        </w:r>
        <w:r>
          <w:rPr>
            <w:webHidden/>
          </w:rPr>
          <w:fldChar w:fldCharType="begin"/>
        </w:r>
        <w:r>
          <w:rPr>
            <w:webHidden/>
          </w:rPr>
          <w:instrText xml:space="preserve"> PAGEREF _Toc116301586 \h </w:instrText>
        </w:r>
        <w:r>
          <w:rPr>
            <w:webHidden/>
          </w:rPr>
        </w:r>
        <w:r>
          <w:rPr>
            <w:webHidden/>
          </w:rPr>
          <w:fldChar w:fldCharType="separate"/>
        </w:r>
        <w:r>
          <w:rPr>
            <w:webHidden/>
          </w:rPr>
          <w:t>47</w:t>
        </w:r>
        <w:r>
          <w:rPr>
            <w:webHidden/>
          </w:rPr>
          <w:fldChar w:fldCharType="end"/>
        </w:r>
      </w:hyperlink>
    </w:p>
    <w:p w14:paraId="276BFF68" w14:textId="37CA83F2" w:rsidR="0041501F" w:rsidRDefault="0041501F">
      <w:pPr>
        <w:pStyle w:val="TOC2"/>
        <w:rPr>
          <w:rFonts w:asciiTheme="minorHAnsi" w:eastAsiaTheme="minorEastAsia" w:hAnsiTheme="minorHAnsi" w:cstheme="minorBidi"/>
          <w:b w:val="0"/>
          <w:color w:val="auto"/>
          <w:sz w:val="22"/>
          <w:szCs w:val="22"/>
          <w:lang w:eastAsia="en-AU"/>
        </w:rPr>
      </w:pPr>
      <w:hyperlink w:anchor="_Toc116301587" w:history="1">
        <w:r w:rsidRPr="00712510">
          <w:rPr>
            <w:rStyle w:val="Hyperlink"/>
          </w:rPr>
          <w:t>Chemistry and manufacture</w:t>
        </w:r>
        <w:r>
          <w:rPr>
            <w:webHidden/>
          </w:rPr>
          <w:tab/>
        </w:r>
        <w:r>
          <w:rPr>
            <w:webHidden/>
          </w:rPr>
          <w:fldChar w:fldCharType="begin"/>
        </w:r>
        <w:r>
          <w:rPr>
            <w:webHidden/>
          </w:rPr>
          <w:instrText xml:space="preserve"> PAGEREF _Toc116301587 \h </w:instrText>
        </w:r>
        <w:r>
          <w:rPr>
            <w:webHidden/>
          </w:rPr>
        </w:r>
        <w:r>
          <w:rPr>
            <w:webHidden/>
          </w:rPr>
          <w:fldChar w:fldCharType="separate"/>
        </w:r>
        <w:r>
          <w:rPr>
            <w:webHidden/>
          </w:rPr>
          <w:t>48</w:t>
        </w:r>
        <w:r>
          <w:rPr>
            <w:webHidden/>
          </w:rPr>
          <w:fldChar w:fldCharType="end"/>
        </w:r>
      </w:hyperlink>
    </w:p>
    <w:p w14:paraId="75320EB9" w14:textId="00F7C44B" w:rsidR="0041501F" w:rsidRDefault="0041501F">
      <w:pPr>
        <w:pStyle w:val="TOC2"/>
        <w:rPr>
          <w:rFonts w:asciiTheme="minorHAnsi" w:eastAsiaTheme="minorEastAsia" w:hAnsiTheme="minorHAnsi" w:cstheme="minorBidi"/>
          <w:b w:val="0"/>
          <w:color w:val="auto"/>
          <w:sz w:val="22"/>
          <w:szCs w:val="22"/>
          <w:lang w:eastAsia="en-AU"/>
        </w:rPr>
      </w:pPr>
      <w:hyperlink w:anchor="_Toc116301588" w:history="1">
        <w:r w:rsidRPr="00712510">
          <w:rPr>
            <w:rStyle w:val="Hyperlink"/>
          </w:rPr>
          <w:t>Residues and trade</w:t>
        </w:r>
        <w:r>
          <w:rPr>
            <w:webHidden/>
          </w:rPr>
          <w:tab/>
        </w:r>
        <w:r>
          <w:rPr>
            <w:webHidden/>
          </w:rPr>
          <w:fldChar w:fldCharType="begin"/>
        </w:r>
        <w:r>
          <w:rPr>
            <w:webHidden/>
          </w:rPr>
          <w:instrText xml:space="preserve"> PAGEREF _Toc116301588 \h </w:instrText>
        </w:r>
        <w:r>
          <w:rPr>
            <w:webHidden/>
          </w:rPr>
        </w:r>
        <w:r>
          <w:rPr>
            <w:webHidden/>
          </w:rPr>
          <w:fldChar w:fldCharType="separate"/>
        </w:r>
        <w:r>
          <w:rPr>
            <w:webHidden/>
          </w:rPr>
          <w:t>48</w:t>
        </w:r>
        <w:r>
          <w:rPr>
            <w:webHidden/>
          </w:rPr>
          <w:fldChar w:fldCharType="end"/>
        </w:r>
      </w:hyperlink>
    </w:p>
    <w:p w14:paraId="1C6BB629" w14:textId="4171CCAB" w:rsidR="0041501F" w:rsidRDefault="0041501F">
      <w:pPr>
        <w:pStyle w:val="TOC2"/>
        <w:rPr>
          <w:rFonts w:asciiTheme="minorHAnsi" w:eastAsiaTheme="minorEastAsia" w:hAnsiTheme="minorHAnsi" w:cstheme="minorBidi"/>
          <w:b w:val="0"/>
          <w:color w:val="auto"/>
          <w:sz w:val="22"/>
          <w:szCs w:val="22"/>
          <w:lang w:eastAsia="en-AU"/>
        </w:rPr>
      </w:pPr>
      <w:hyperlink w:anchor="_Toc116301589" w:history="1">
        <w:r w:rsidRPr="00712510">
          <w:rPr>
            <w:rStyle w:val="Hyperlink"/>
          </w:rPr>
          <w:t>Human health and toxicology</w:t>
        </w:r>
        <w:r>
          <w:rPr>
            <w:webHidden/>
          </w:rPr>
          <w:tab/>
        </w:r>
        <w:r>
          <w:rPr>
            <w:webHidden/>
          </w:rPr>
          <w:fldChar w:fldCharType="begin"/>
        </w:r>
        <w:r>
          <w:rPr>
            <w:webHidden/>
          </w:rPr>
          <w:instrText xml:space="preserve"> PAGEREF _Toc116301589 \h </w:instrText>
        </w:r>
        <w:r>
          <w:rPr>
            <w:webHidden/>
          </w:rPr>
        </w:r>
        <w:r>
          <w:rPr>
            <w:webHidden/>
          </w:rPr>
          <w:fldChar w:fldCharType="separate"/>
        </w:r>
        <w:r>
          <w:rPr>
            <w:webHidden/>
          </w:rPr>
          <w:t>57</w:t>
        </w:r>
        <w:r>
          <w:rPr>
            <w:webHidden/>
          </w:rPr>
          <w:fldChar w:fldCharType="end"/>
        </w:r>
      </w:hyperlink>
    </w:p>
    <w:p w14:paraId="6B380C8C" w14:textId="31A0A956" w:rsidR="0041501F" w:rsidRDefault="0041501F">
      <w:pPr>
        <w:pStyle w:val="TOC3"/>
        <w:rPr>
          <w:rFonts w:asciiTheme="minorHAnsi" w:eastAsiaTheme="minorEastAsia" w:hAnsiTheme="minorHAnsi" w:cstheme="minorBidi"/>
          <w:color w:val="auto"/>
          <w:sz w:val="22"/>
          <w:szCs w:val="22"/>
          <w:lang w:eastAsia="en-AU"/>
        </w:rPr>
      </w:pPr>
      <w:hyperlink w:anchor="_Toc116301590" w:history="1">
        <w:r w:rsidRPr="00712510">
          <w:rPr>
            <w:rStyle w:val="Hyperlink"/>
          </w:rPr>
          <w:t>Human health and toxicology studies evaluated in 2021</w:t>
        </w:r>
        <w:r>
          <w:rPr>
            <w:webHidden/>
          </w:rPr>
          <w:tab/>
        </w:r>
        <w:r>
          <w:rPr>
            <w:webHidden/>
          </w:rPr>
          <w:fldChar w:fldCharType="begin"/>
        </w:r>
        <w:r>
          <w:rPr>
            <w:webHidden/>
          </w:rPr>
          <w:instrText xml:space="preserve"> PAGEREF _Toc116301590 \h </w:instrText>
        </w:r>
        <w:r>
          <w:rPr>
            <w:webHidden/>
          </w:rPr>
        </w:r>
        <w:r>
          <w:rPr>
            <w:webHidden/>
          </w:rPr>
          <w:fldChar w:fldCharType="separate"/>
        </w:r>
        <w:r>
          <w:rPr>
            <w:webHidden/>
          </w:rPr>
          <w:t>57</w:t>
        </w:r>
        <w:r>
          <w:rPr>
            <w:webHidden/>
          </w:rPr>
          <w:fldChar w:fldCharType="end"/>
        </w:r>
      </w:hyperlink>
    </w:p>
    <w:p w14:paraId="604645E7" w14:textId="0B79D4E7" w:rsidR="0041501F" w:rsidRDefault="0041501F">
      <w:pPr>
        <w:pStyle w:val="TOC3"/>
        <w:rPr>
          <w:rFonts w:asciiTheme="minorHAnsi" w:eastAsiaTheme="minorEastAsia" w:hAnsiTheme="minorHAnsi" w:cstheme="minorBidi"/>
          <w:color w:val="auto"/>
          <w:sz w:val="22"/>
          <w:szCs w:val="22"/>
          <w:lang w:eastAsia="en-AU"/>
        </w:rPr>
      </w:pPr>
      <w:hyperlink w:anchor="_Toc116301591" w:history="1">
        <w:r w:rsidRPr="00712510">
          <w:rPr>
            <w:rStyle w:val="Hyperlink"/>
          </w:rPr>
          <w:t>Human health and toxicology studies evaluated in 2015</w:t>
        </w:r>
        <w:r>
          <w:rPr>
            <w:webHidden/>
          </w:rPr>
          <w:tab/>
        </w:r>
        <w:r>
          <w:rPr>
            <w:webHidden/>
          </w:rPr>
          <w:fldChar w:fldCharType="begin"/>
        </w:r>
        <w:r>
          <w:rPr>
            <w:webHidden/>
          </w:rPr>
          <w:instrText xml:space="preserve"> PAGEREF _Toc116301591 \h </w:instrText>
        </w:r>
        <w:r>
          <w:rPr>
            <w:webHidden/>
          </w:rPr>
        </w:r>
        <w:r>
          <w:rPr>
            <w:webHidden/>
          </w:rPr>
          <w:fldChar w:fldCharType="separate"/>
        </w:r>
        <w:r>
          <w:rPr>
            <w:webHidden/>
          </w:rPr>
          <w:t>58</w:t>
        </w:r>
        <w:r>
          <w:rPr>
            <w:webHidden/>
          </w:rPr>
          <w:fldChar w:fldCharType="end"/>
        </w:r>
      </w:hyperlink>
    </w:p>
    <w:p w14:paraId="02F49041" w14:textId="550CFA6A" w:rsidR="0041501F" w:rsidRDefault="0041501F">
      <w:pPr>
        <w:pStyle w:val="TOC3"/>
        <w:rPr>
          <w:rFonts w:asciiTheme="minorHAnsi" w:eastAsiaTheme="minorEastAsia" w:hAnsiTheme="minorHAnsi" w:cstheme="minorBidi"/>
          <w:color w:val="auto"/>
          <w:sz w:val="22"/>
          <w:szCs w:val="22"/>
          <w:lang w:eastAsia="en-AU"/>
        </w:rPr>
      </w:pPr>
      <w:hyperlink w:anchor="_Toc116301592" w:history="1">
        <w:r w:rsidRPr="00712510">
          <w:rPr>
            <w:rStyle w:val="Hyperlink"/>
          </w:rPr>
          <w:t>Human health and toxicology studies evaluated in 2007</w:t>
        </w:r>
        <w:r>
          <w:rPr>
            <w:webHidden/>
          </w:rPr>
          <w:tab/>
        </w:r>
        <w:r>
          <w:rPr>
            <w:webHidden/>
          </w:rPr>
          <w:fldChar w:fldCharType="begin"/>
        </w:r>
        <w:r>
          <w:rPr>
            <w:webHidden/>
          </w:rPr>
          <w:instrText xml:space="preserve"> PAGEREF _Toc116301592 \h </w:instrText>
        </w:r>
        <w:r>
          <w:rPr>
            <w:webHidden/>
          </w:rPr>
        </w:r>
        <w:r>
          <w:rPr>
            <w:webHidden/>
          </w:rPr>
          <w:fldChar w:fldCharType="separate"/>
        </w:r>
        <w:r>
          <w:rPr>
            <w:webHidden/>
          </w:rPr>
          <w:t>59</w:t>
        </w:r>
        <w:r>
          <w:rPr>
            <w:webHidden/>
          </w:rPr>
          <w:fldChar w:fldCharType="end"/>
        </w:r>
      </w:hyperlink>
    </w:p>
    <w:p w14:paraId="7B4EBF36" w14:textId="7466CFEE" w:rsidR="0041501F" w:rsidRDefault="0041501F">
      <w:pPr>
        <w:pStyle w:val="TOC3"/>
        <w:rPr>
          <w:rFonts w:asciiTheme="minorHAnsi" w:eastAsiaTheme="minorEastAsia" w:hAnsiTheme="minorHAnsi" w:cstheme="minorBidi"/>
          <w:color w:val="auto"/>
          <w:sz w:val="22"/>
          <w:szCs w:val="22"/>
          <w:lang w:eastAsia="en-AU"/>
        </w:rPr>
      </w:pPr>
      <w:hyperlink w:anchor="_Toc116301593" w:history="1">
        <w:r w:rsidRPr="00712510">
          <w:rPr>
            <w:rStyle w:val="Hyperlink"/>
          </w:rPr>
          <w:t>Other human health and toxicology references</w:t>
        </w:r>
        <w:r>
          <w:rPr>
            <w:webHidden/>
          </w:rPr>
          <w:tab/>
        </w:r>
        <w:r>
          <w:rPr>
            <w:webHidden/>
          </w:rPr>
          <w:fldChar w:fldCharType="begin"/>
        </w:r>
        <w:r>
          <w:rPr>
            <w:webHidden/>
          </w:rPr>
          <w:instrText xml:space="preserve"> PAGEREF _Toc116301593 \h </w:instrText>
        </w:r>
        <w:r>
          <w:rPr>
            <w:webHidden/>
          </w:rPr>
        </w:r>
        <w:r>
          <w:rPr>
            <w:webHidden/>
          </w:rPr>
          <w:fldChar w:fldCharType="separate"/>
        </w:r>
        <w:r>
          <w:rPr>
            <w:webHidden/>
          </w:rPr>
          <w:t>66</w:t>
        </w:r>
        <w:r>
          <w:rPr>
            <w:webHidden/>
          </w:rPr>
          <w:fldChar w:fldCharType="end"/>
        </w:r>
      </w:hyperlink>
    </w:p>
    <w:p w14:paraId="00C12892" w14:textId="170A8444" w:rsidR="0041501F" w:rsidRDefault="005064D5" w:rsidP="0041501F">
      <w:pPr>
        <w:pStyle w:val="APVMAText"/>
      </w:pPr>
      <w:r w:rsidRPr="00AA25C3">
        <w:fldChar w:fldCharType="end"/>
      </w:r>
      <w:r w:rsidR="0041501F">
        <w:br w:type="page"/>
      </w:r>
    </w:p>
    <w:p w14:paraId="48678B5C" w14:textId="77777777" w:rsidR="0041501F" w:rsidRDefault="0041501F" w:rsidP="0041501F">
      <w:pPr>
        <w:pStyle w:val="APVMAText"/>
      </w:pPr>
    </w:p>
    <w:p w14:paraId="1121F01F" w14:textId="17AA7116" w:rsidR="00AA25C3" w:rsidRPr="00AA25C3" w:rsidRDefault="002E20AC" w:rsidP="0041501F">
      <w:pPr>
        <w:pStyle w:val="TOCH1"/>
      </w:pPr>
      <w:r w:rsidRPr="00AA25C3">
        <w:t>List of tables</w:t>
      </w:r>
    </w:p>
    <w:p w14:paraId="2DE3E02F" w14:textId="743A6C1E" w:rsidR="0041501F" w:rsidRDefault="00426C3A">
      <w:pPr>
        <w:pStyle w:val="TableofFigures"/>
        <w:rPr>
          <w:rFonts w:asciiTheme="minorHAnsi" w:eastAsiaTheme="minorEastAsia" w:hAnsiTheme="minorHAnsi" w:cstheme="minorBidi"/>
          <w:color w:val="auto"/>
          <w:sz w:val="22"/>
          <w:szCs w:val="22"/>
          <w:lang w:eastAsia="en-AU"/>
        </w:rPr>
      </w:pPr>
      <w:r>
        <w:rPr>
          <w:color w:val="00747A" w:themeColor="background2"/>
        </w:rPr>
        <w:fldChar w:fldCharType="begin"/>
      </w:r>
      <w:r>
        <w:rPr>
          <w:color w:val="00747A" w:themeColor="background2"/>
        </w:rPr>
        <w:instrText xml:space="preserve"> TOC \h \z \c "Table" </w:instrText>
      </w:r>
      <w:r>
        <w:rPr>
          <w:color w:val="00747A" w:themeColor="background2"/>
        </w:rPr>
        <w:fldChar w:fldCharType="separate"/>
      </w:r>
      <w:hyperlink w:anchor="_Toc116301692" w:history="1">
        <w:r w:rsidR="0041501F" w:rsidRPr="00085BDD">
          <w:rPr>
            <w:rStyle w:val="Hyperlink"/>
          </w:rPr>
          <w:t>Table 1:</w:t>
        </w:r>
        <w:r w:rsidR="0041501F">
          <w:rPr>
            <w:rFonts w:asciiTheme="minorHAnsi" w:eastAsiaTheme="minorEastAsia" w:hAnsiTheme="minorHAnsi" w:cstheme="minorBidi"/>
            <w:color w:val="auto"/>
            <w:sz w:val="22"/>
            <w:szCs w:val="22"/>
            <w:lang w:eastAsia="en-AU"/>
          </w:rPr>
          <w:tab/>
        </w:r>
        <w:r w:rsidR="0041501F" w:rsidRPr="00085BDD">
          <w:rPr>
            <w:rStyle w:val="Hyperlink"/>
          </w:rPr>
          <w:t>Nomenclature and structural formula of the active constituent procymidone</w:t>
        </w:r>
        <w:r w:rsidR="0041501F">
          <w:rPr>
            <w:webHidden/>
          </w:rPr>
          <w:tab/>
        </w:r>
        <w:r w:rsidR="0041501F">
          <w:rPr>
            <w:webHidden/>
          </w:rPr>
          <w:fldChar w:fldCharType="begin"/>
        </w:r>
        <w:r w:rsidR="0041501F">
          <w:rPr>
            <w:webHidden/>
          </w:rPr>
          <w:instrText xml:space="preserve"> PAGEREF _Toc116301692 \h </w:instrText>
        </w:r>
        <w:r w:rsidR="0041501F">
          <w:rPr>
            <w:webHidden/>
          </w:rPr>
        </w:r>
        <w:r w:rsidR="0041501F">
          <w:rPr>
            <w:webHidden/>
          </w:rPr>
          <w:fldChar w:fldCharType="separate"/>
        </w:r>
        <w:r w:rsidR="0041501F">
          <w:rPr>
            <w:webHidden/>
          </w:rPr>
          <w:t>4</w:t>
        </w:r>
        <w:r w:rsidR="0041501F">
          <w:rPr>
            <w:webHidden/>
          </w:rPr>
          <w:fldChar w:fldCharType="end"/>
        </w:r>
      </w:hyperlink>
    </w:p>
    <w:p w14:paraId="1A1C485D" w14:textId="79072193" w:rsidR="0041501F" w:rsidRDefault="0041501F">
      <w:pPr>
        <w:pStyle w:val="TableofFigures"/>
        <w:rPr>
          <w:rFonts w:asciiTheme="minorHAnsi" w:eastAsiaTheme="minorEastAsia" w:hAnsiTheme="minorHAnsi" w:cstheme="minorBidi"/>
          <w:color w:val="auto"/>
          <w:sz w:val="22"/>
          <w:szCs w:val="22"/>
          <w:lang w:eastAsia="en-AU"/>
        </w:rPr>
      </w:pPr>
      <w:hyperlink w:anchor="_Toc116301693" w:history="1">
        <w:r w:rsidRPr="00085BDD">
          <w:rPr>
            <w:rStyle w:val="Hyperlink"/>
          </w:rPr>
          <w:t>Table 2:</w:t>
        </w:r>
        <w:r>
          <w:rPr>
            <w:rFonts w:asciiTheme="minorHAnsi" w:eastAsiaTheme="minorEastAsia" w:hAnsiTheme="minorHAnsi" w:cstheme="minorBidi"/>
            <w:color w:val="auto"/>
            <w:sz w:val="22"/>
            <w:szCs w:val="22"/>
            <w:lang w:eastAsia="en-AU"/>
          </w:rPr>
          <w:tab/>
        </w:r>
        <w:r w:rsidRPr="00085BDD">
          <w:rPr>
            <w:rStyle w:val="Hyperlink"/>
          </w:rPr>
          <w:t>Key physicochemical properties of the active constituent procymidone</w:t>
        </w:r>
        <w:r>
          <w:rPr>
            <w:webHidden/>
          </w:rPr>
          <w:tab/>
        </w:r>
        <w:r>
          <w:rPr>
            <w:webHidden/>
          </w:rPr>
          <w:fldChar w:fldCharType="begin"/>
        </w:r>
        <w:r>
          <w:rPr>
            <w:webHidden/>
          </w:rPr>
          <w:instrText xml:space="preserve"> PAGEREF _Toc116301693 \h </w:instrText>
        </w:r>
        <w:r>
          <w:rPr>
            <w:webHidden/>
          </w:rPr>
        </w:r>
        <w:r>
          <w:rPr>
            <w:webHidden/>
          </w:rPr>
          <w:fldChar w:fldCharType="separate"/>
        </w:r>
        <w:r>
          <w:rPr>
            <w:webHidden/>
          </w:rPr>
          <w:t>5</w:t>
        </w:r>
        <w:r>
          <w:rPr>
            <w:webHidden/>
          </w:rPr>
          <w:fldChar w:fldCharType="end"/>
        </w:r>
      </w:hyperlink>
    </w:p>
    <w:p w14:paraId="4A10D0BB" w14:textId="45B8335C" w:rsidR="0041501F" w:rsidRDefault="0041501F">
      <w:pPr>
        <w:pStyle w:val="TableofFigures"/>
        <w:rPr>
          <w:rFonts w:asciiTheme="minorHAnsi" w:eastAsiaTheme="minorEastAsia" w:hAnsiTheme="minorHAnsi" w:cstheme="minorBidi"/>
          <w:color w:val="auto"/>
          <w:sz w:val="22"/>
          <w:szCs w:val="22"/>
          <w:lang w:eastAsia="en-AU"/>
        </w:rPr>
      </w:pPr>
      <w:hyperlink w:anchor="_Toc116301694" w:history="1">
        <w:r w:rsidRPr="00085BDD">
          <w:rPr>
            <w:rStyle w:val="Hyperlink"/>
          </w:rPr>
          <w:t>Table 3:</w:t>
        </w:r>
        <w:r>
          <w:rPr>
            <w:rFonts w:asciiTheme="minorHAnsi" w:eastAsiaTheme="minorEastAsia" w:hAnsiTheme="minorHAnsi" w:cstheme="minorBidi"/>
            <w:color w:val="auto"/>
            <w:sz w:val="22"/>
            <w:szCs w:val="22"/>
            <w:lang w:eastAsia="en-AU"/>
          </w:rPr>
          <w:tab/>
        </w:r>
        <w:r w:rsidRPr="00085BDD">
          <w:rPr>
            <w:rStyle w:val="Hyperlink"/>
          </w:rPr>
          <w:t>Current active approvals for procymidone</w:t>
        </w:r>
        <w:r>
          <w:rPr>
            <w:webHidden/>
          </w:rPr>
          <w:tab/>
        </w:r>
        <w:r>
          <w:rPr>
            <w:webHidden/>
          </w:rPr>
          <w:fldChar w:fldCharType="begin"/>
        </w:r>
        <w:r>
          <w:rPr>
            <w:webHidden/>
          </w:rPr>
          <w:instrText xml:space="preserve"> PAGEREF _Toc116301694 \h </w:instrText>
        </w:r>
        <w:r>
          <w:rPr>
            <w:webHidden/>
          </w:rPr>
        </w:r>
        <w:r>
          <w:rPr>
            <w:webHidden/>
          </w:rPr>
          <w:fldChar w:fldCharType="separate"/>
        </w:r>
        <w:r>
          <w:rPr>
            <w:webHidden/>
          </w:rPr>
          <w:t>6</w:t>
        </w:r>
        <w:r>
          <w:rPr>
            <w:webHidden/>
          </w:rPr>
          <w:fldChar w:fldCharType="end"/>
        </w:r>
      </w:hyperlink>
    </w:p>
    <w:p w14:paraId="02247193" w14:textId="4FA201F6" w:rsidR="0041501F" w:rsidRDefault="0041501F">
      <w:pPr>
        <w:pStyle w:val="TableofFigures"/>
        <w:rPr>
          <w:rFonts w:asciiTheme="minorHAnsi" w:eastAsiaTheme="minorEastAsia" w:hAnsiTheme="minorHAnsi" w:cstheme="minorBidi"/>
          <w:color w:val="auto"/>
          <w:sz w:val="22"/>
          <w:szCs w:val="22"/>
          <w:lang w:eastAsia="en-AU"/>
        </w:rPr>
      </w:pPr>
      <w:hyperlink w:anchor="_Toc116301695" w:history="1">
        <w:r w:rsidRPr="00085BDD">
          <w:rPr>
            <w:rStyle w:val="Hyperlink"/>
          </w:rPr>
          <w:t>Table 4:</w:t>
        </w:r>
        <w:r>
          <w:rPr>
            <w:rFonts w:asciiTheme="minorHAnsi" w:eastAsiaTheme="minorEastAsia" w:hAnsiTheme="minorHAnsi" w:cstheme="minorBidi"/>
            <w:color w:val="auto"/>
            <w:sz w:val="22"/>
            <w:szCs w:val="22"/>
            <w:lang w:eastAsia="en-AU"/>
          </w:rPr>
          <w:tab/>
        </w:r>
        <w:r w:rsidRPr="00085BDD">
          <w:rPr>
            <w:rStyle w:val="Hyperlink"/>
          </w:rPr>
          <w:t>Currently registered agricultural products containing procymidone</w:t>
        </w:r>
        <w:r>
          <w:rPr>
            <w:webHidden/>
          </w:rPr>
          <w:tab/>
        </w:r>
        <w:r>
          <w:rPr>
            <w:webHidden/>
          </w:rPr>
          <w:fldChar w:fldCharType="begin"/>
        </w:r>
        <w:r>
          <w:rPr>
            <w:webHidden/>
          </w:rPr>
          <w:instrText xml:space="preserve"> PAGEREF _Toc116301695 \h </w:instrText>
        </w:r>
        <w:r>
          <w:rPr>
            <w:webHidden/>
          </w:rPr>
        </w:r>
        <w:r>
          <w:rPr>
            <w:webHidden/>
          </w:rPr>
          <w:fldChar w:fldCharType="separate"/>
        </w:r>
        <w:r>
          <w:rPr>
            <w:webHidden/>
          </w:rPr>
          <w:t>7</w:t>
        </w:r>
        <w:r>
          <w:rPr>
            <w:webHidden/>
          </w:rPr>
          <w:fldChar w:fldCharType="end"/>
        </w:r>
      </w:hyperlink>
    </w:p>
    <w:p w14:paraId="4B25CD7F" w14:textId="2F17598E" w:rsidR="0041501F" w:rsidRDefault="0041501F">
      <w:pPr>
        <w:pStyle w:val="TableofFigures"/>
        <w:rPr>
          <w:rFonts w:asciiTheme="minorHAnsi" w:eastAsiaTheme="minorEastAsia" w:hAnsiTheme="minorHAnsi" w:cstheme="minorBidi"/>
          <w:color w:val="auto"/>
          <w:sz w:val="22"/>
          <w:szCs w:val="22"/>
          <w:lang w:eastAsia="en-AU"/>
        </w:rPr>
      </w:pPr>
      <w:hyperlink w:anchor="_Toc116301696" w:history="1">
        <w:r w:rsidRPr="00085BDD">
          <w:rPr>
            <w:rStyle w:val="Hyperlink"/>
          </w:rPr>
          <w:t>Table 5:</w:t>
        </w:r>
        <w:r>
          <w:rPr>
            <w:rFonts w:asciiTheme="minorHAnsi" w:eastAsiaTheme="minorEastAsia" w:hAnsiTheme="minorHAnsi" w:cstheme="minorBidi"/>
            <w:color w:val="auto"/>
            <w:sz w:val="22"/>
            <w:szCs w:val="22"/>
            <w:lang w:eastAsia="en-AU"/>
          </w:rPr>
          <w:tab/>
        </w:r>
        <w:r w:rsidRPr="00085BDD">
          <w:rPr>
            <w:rStyle w:val="Hyperlink"/>
          </w:rPr>
          <w:t>Toxicology summary</w:t>
        </w:r>
        <w:r>
          <w:rPr>
            <w:webHidden/>
          </w:rPr>
          <w:tab/>
        </w:r>
        <w:r>
          <w:rPr>
            <w:webHidden/>
          </w:rPr>
          <w:fldChar w:fldCharType="begin"/>
        </w:r>
        <w:r>
          <w:rPr>
            <w:webHidden/>
          </w:rPr>
          <w:instrText xml:space="preserve"> PAGEREF _Toc116301696 \h </w:instrText>
        </w:r>
        <w:r>
          <w:rPr>
            <w:webHidden/>
          </w:rPr>
        </w:r>
        <w:r>
          <w:rPr>
            <w:webHidden/>
          </w:rPr>
          <w:fldChar w:fldCharType="separate"/>
        </w:r>
        <w:r>
          <w:rPr>
            <w:webHidden/>
          </w:rPr>
          <w:t>9</w:t>
        </w:r>
        <w:r>
          <w:rPr>
            <w:webHidden/>
          </w:rPr>
          <w:fldChar w:fldCharType="end"/>
        </w:r>
      </w:hyperlink>
    </w:p>
    <w:p w14:paraId="04496AB8" w14:textId="4D7C29F3" w:rsidR="0041501F" w:rsidRDefault="0041501F">
      <w:pPr>
        <w:pStyle w:val="TableofFigures"/>
        <w:rPr>
          <w:rFonts w:asciiTheme="minorHAnsi" w:eastAsiaTheme="minorEastAsia" w:hAnsiTheme="minorHAnsi" w:cstheme="minorBidi"/>
          <w:color w:val="auto"/>
          <w:sz w:val="22"/>
          <w:szCs w:val="22"/>
          <w:lang w:eastAsia="en-AU"/>
        </w:rPr>
      </w:pPr>
      <w:hyperlink w:anchor="_Toc116301697" w:history="1">
        <w:r w:rsidRPr="00085BDD">
          <w:rPr>
            <w:rStyle w:val="Hyperlink"/>
          </w:rPr>
          <w:t>Table 6:</w:t>
        </w:r>
        <w:r>
          <w:rPr>
            <w:rFonts w:asciiTheme="minorHAnsi" w:eastAsiaTheme="minorEastAsia" w:hAnsiTheme="minorHAnsi" w:cstheme="minorBidi"/>
            <w:color w:val="auto"/>
            <w:sz w:val="22"/>
            <w:szCs w:val="22"/>
            <w:lang w:eastAsia="en-AU"/>
          </w:rPr>
          <w:tab/>
        </w:r>
        <w:r w:rsidRPr="00085BDD">
          <w:rPr>
            <w:rStyle w:val="Hyperlink"/>
          </w:rPr>
          <w:t>Maximum use rates and standard work rates for procymidone application</w:t>
        </w:r>
        <w:r>
          <w:rPr>
            <w:webHidden/>
          </w:rPr>
          <w:tab/>
        </w:r>
        <w:r>
          <w:rPr>
            <w:webHidden/>
          </w:rPr>
          <w:fldChar w:fldCharType="begin"/>
        </w:r>
        <w:r>
          <w:rPr>
            <w:webHidden/>
          </w:rPr>
          <w:instrText xml:space="preserve"> PAGEREF _Toc116301697 \h </w:instrText>
        </w:r>
        <w:r>
          <w:rPr>
            <w:webHidden/>
          </w:rPr>
        </w:r>
        <w:r>
          <w:rPr>
            <w:webHidden/>
          </w:rPr>
          <w:fldChar w:fldCharType="separate"/>
        </w:r>
        <w:r>
          <w:rPr>
            <w:webHidden/>
          </w:rPr>
          <w:t>14</w:t>
        </w:r>
        <w:r>
          <w:rPr>
            <w:webHidden/>
          </w:rPr>
          <w:fldChar w:fldCharType="end"/>
        </w:r>
      </w:hyperlink>
    </w:p>
    <w:p w14:paraId="0F8FB657" w14:textId="02674707" w:rsidR="0041501F" w:rsidRDefault="0041501F">
      <w:pPr>
        <w:pStyle w:val="TableofFigures"/>
        <w:rPr>
          <w:rFonts w:asciiTheme="minorHAnsi" w:eastAsiaTheme="minorEastAsia" w:hAnsiTheme="minorHAnsi" w:cstheme="minorBidi"/>
          <w:color w:val="auto"/>
          <w:sz w:val="22"/>
          <w:szCs w:val="22"/>
          <w:lang w:eastAsia="en-AU"/>
        </w:rPr>
      </w:pPr>
      <w:hyperlink w:anchor="_Toc116301698" w:history="1">
        <w:r w:rsidRPr="00085BDD">
          <w:rPr>
            <w:rStyle w:val="Hyperlink"/>
          </w:rPr>
          <w:t>Table 7:</w:t>
        </w:r>
        <w:r>
          <w:rPr>
            <w:rFonts w:asciiTheme="minorHAnsi" w:eastAsiaTheme="minorEastAsia" w:hAnsiTheme="minorHAnsi" w:cstheme="minorBidi"/>
            <w:color w:val="auto"/>
            <w:sz w:val="22"/>
            <w:szCs w:val="22"/>
            <w:lang w:eastAsia="en-AU"/>
          </w:rPr>
          <w:tab/>
        </w:r>
        <w:r w:rsidRPr="00085BDD">
          <w:rPr>
            <w:rStyle w:val="Hyperlink"/>
          </w:rPr>
          <w:t>Assumptions used in modelling exposure during procymidone application</w:t>
        </w:r>
        <w:r>
          <w:rPr>
            <w:webHidden/>
          </w:rPr>
          <w:tab/>
        </w:r>
        <w:r>
          <w:rPr>
            <w:webHidden/>
          </w:rPr>
          <w:fldChar w:fldCharType="begin"/>
        </w:r>
        <w:r>
          <w:rPr>
            <w:webHidden/>
          </w:rPr>
          <w:instrText xml:space="preserve"> PAGEREF _Toc116301698 \h </w:instrText>
        </w:r>
        <w:r>
          <w:rPr>
            <w:webHidden/>
          </w:rPr>
        </w:r>
        <w:r>
          <w:rPr>
            <w:webHidden/>
          </w:rPr>
          <w:fldChar w:fldCharType="separate"/>
        </w:r>
        <w:r>
          <w:rPr>
            <w:webHidden/>
          </w:rPr>
          <w:t>15</w:t>
        </w:r>
        <w:r>
          <w:rPr>
            <w:webHidden/>
          </w:rPr>
          <w:fldChar w:fldCharType="end"/>
        </w:r>
      </w:hyperlink>
    </w:p>
    <w:p w14:paraId="1752E280" w14:textId="51E10DC7" w:rsidR="0041501F" w:rsidRDefault="0041501F">
      <w:pPr>
        <w:pStyle w:val="TableofFigures"/>
        <w:rPr>
          <w:rFonts w:asciiTheme="minorHAnsi" w:eastAsiaTheme="minorEastAsia" w:hAnsiTheme="minorHAnsi" w:cstheme="minorBidi"/>
          <w:color w:val="auto"/>
          <w:sz w:val="22"/>
          <w:szCs w:val="22"/>
          <w:lang w:eastAsia="en-AU"/>
        </w:rPr>
      </w:pPr>
      <w:hyperlink w:anchor="_Toc116301699" w:history="1">
        <w:r w:rsidRPr="00085BDD">
          <w:rPr>
            <w:rStyle w:val="Hyperlink"/>
          </w:rPr>
          <w:t>Table 8:</w:t>
        </w:r>
        <w:r>
          <w:rPr>
            <w:rFonts w:asciiTheme="minorHAnsi" w:eastAsiaTheme="minorEastAsia" w:hAnsiTheme="minorHAnsi" w:cstheme="minorBidi"/>
            <w:color w:val="auto"/>
            <w:sz w:val="22"/>
            <w:szCs w:val="22"/>
            <w:lang w:eastAsia="en-AU"/>
          </w:rPr>
          <w:tab/>
        </w:r>
        <w:r w:rsidRPr="00085BDD">
          <w:rPr>
            <w:rStyle w:val="Hyperlink"/>
          </w:rPr>
          <w:t>Details of procymidone stone fruit residue data</w:t>
        </w:r>
        <w:r>
          <w:rPr>
            <w:webHidden/>
          </w:rPr>
          <w:tab/>
        </w:r>
        <w:r>
          <w:rPr>
            <w:webHidden/>
          </w:rPr>
          <w:fldChar w:fldCharType="begin"/>
        </w:r>
        <w:r>
          <w:rPr>
            <w:webHidden/>
          </w:rPr>
          <w:instrText xml:space="preserve"> PAGEREF _Toc116301699 \h </w:instrText>
        </w:r>
        <w:r>
          <w:rPr>
            <w:webHidden/>
          </w:rPr>
        </w:r>
        <w:r>
          <w:rPr>
            <w:webHidden/>
          </w:rPr>
          <w:fldChar w:fldCharType="separate"/>
        </w:r>
        <w:r>
          <w:rPr>
            <w:webHidden/>
          </w:rPr>
          <w:t>24</w:t>
        </w:r>
        <w:r>
          <w:rPr>
            <w:webHidden/>
          </w:rPr>
          <w:fldChar w:fldCharType="end"/>
        </w:r>
      </w:hyperlink>
    </w:p>
    <w:p w14:paraId="61C8197F" w14:textId="039FB2D7" w:rsidR="0041501F" w:rsidRDefault="0041501F">
      <w:pPr>
        <w:pStyle w:val="TableofFigures"/>
        <w:rPr>
          <w:rFonts w:asciiTheme="minorHAnsi" w:eastAsiaTheme="minorEastAsia" w:hAnsiTheme="minorHAnsi" w:cstheme="minorBidi"/>
          <w:color w:val="auto"/>
          <w:sz w:val="22"/>
          <w:szCs w:val="22"/>
          <w:lang w:eastAsia="en-AU"/>
        </w:rPr>
      </w:pPr>
      <w:hyperlink w:anchor="_Toc116301700" w:history="1">
        <w:r w:rsidRPr="00085BDD">
          <w:rPr>
            <w:rStyle w:val="Hyperlink"/>
          </w:rPr>
          <w:t>Table 9:</w:t>
        </w:r>
        <w:r>
          <w:rPr>
            <w:rFonts w:asciiTheme="minorHAnsi" w:eastAsiaTheme="minorEastAsia" w:hAnsiTheme="minorHAnsi" w:cstheme="minorBidi"/>
            <w:color w:val="auto"/>
            <w:sz w:val="22"/>
            <w:szCs w:val="22"/>
            <w:lang w:eastAsia="en-AU"/>
          </w:rPr>
          <w:tab/>
        </w:r>
        <w:r w:rsidRPr="00085BDD">
          <w:rPr>
            <w:rStyle w:val="Hyperlink"/>
          </w:rPr>
          <w:t>Comparison of recommended Australian and current international procymidone MRLs</w:t>
        </w:r>
        <w:r>
          <w:rPr>
            <w:webHidden/>
          </w:rPr>
          <w:tab/>
        </w:r>
        <w:r>
          <w:rPr>
            <w:webHidden/>
          </w:rPr>
          <w:fldChar w:fldCharType="begin"/>
        </w:r>
        <w:r>
          <w:rPr>
            <w:webHidden/>
          </w:rPr>
          <w:instrText xml:space="preserve"> PAGEREF _Toc116301700 \h </w:instrText>
        </w:r>
        <w:r>
          <w:rPr>
            <w:webHidden/>
          </w:rPr>
        </w:r>
        <w:r>
          <w:rPr>
            <w:webHidden/>
          </w:rPr>
          <w:fldChar w:fldCharType="separate"/>
        </w:r>
        <w:r>
          <w:rPr>
            <w:webHidden/>
          </w:rPr>
          <w:t>26</w:t>
        </w:r>
        <w:r>
          <w:rPr>
            <w:webHidden/>
          </w:rPr>
          <w:fldChar w:fldCharType="end"/>
        </w:r>
      </w:hyperlink>
    </w:p>
    <w:p w14:paraId="54870489" w14:textId="447E3CB0" w:rsidR="0041501F" w:rsidRDefault="0041501F">
      <w:pPr>
        <w:pStyle w:val="TableofFigures"/>
        <w:rPr>
          <w:rFonts w:asciiTheme="minorHAnsi" w:eastAsiaTheme="minorEastAsia" w:hAnsiTheme="minorHAnsi" w:cstheme="minorBidi"/>
          <w:color w:val="auto"/>
          <w:sz w:val="22"/>
          <w:szCs w:val="22"/>
          <w:lang w:eastAsia="en-AU"/>
        </w:rPr>
      </w:pPr>
      <w:hyperlink w:anchor="_Toc116301701" w:history="1">
        <w:r w:rsidRPr="00085BDD">
          <w:rPr>
            <w:rStyle w:val="Hyperlink"/>
          </w:rPr>
          <w:t>Table 10:</w:t>
        </w:r>
        <w:r>
          <w:rPr>
            <w:rFonts w:asciiTheme="minorHAnsi" w:eastAsiaTheme="minorEastAsia" w:hAnsiTheme="minorHAnsi" w:cstheme="minorBidi"/>
            <w:color w:val="auto"/>
            <w:sz w:val="22"/>
            <w:szCs w:val="22"/>
            <w:lang w:eastAsia="en-AU"/>
          </w:rPr>
          <w:tab/>
        </w:r>
        <w:r w:rsidRPr="00085BDD">
          <w:rPr>
            <w:rStyle w:val="Hyperlink"/>
          </w:rPr>
          <w:t>Recommended Amendments to Table 1 of the Agricultural and Veterinary Chemicals Code (MRL Standard) Instrument 2019</w:t>
        </w:r>
        <w:r>
          <w:rPr>
            <w:webHidden/>
          </w:rPr>
          <w:tab/>
        </w:r>
        <w:r>
          <w:rPr>
            <w:webHidden/>
          </w:rPr>
          <w:fldChar w:fldCharType="begin"/>
        </w:r>
        <w:r>
          <w:rPr>
            <w:webHidden/>
          </w:rPr>
          <w:instrText xml:space="preserve"> PAGEREF _Toc116301701 \h </w:instrText>
        </w:r>
        <w:r>
          <w:rPr>
            <w:webHidden/>
          </w:rPr>
        </w:r>
        <w:r>
          <w:rPr>
            <w:webHidden/>
          </w:rPr>
          <w:fldChar w:fldCharType="separate"/>
        </w:r>
        <w:r>
          <w:rPr>
            <w:webHidden/>
          </w:rPr>
          <w:t>28</w:t>
        </w:r>
        <w:r>
          <w:rPr>
            <w:webHidden/>
          </w:rPr>
          <w:fldChar w:fldCharType="end"/>
        </w:r>
      </w:hyperlink>
    </w:p>
    <w:p w14:paraId="5AC5EF15" w14:textId="2473BDAE" w:rsidR="0041501F" w:rsidRDefault="0041501F">
      <w:pPr>
        <w:pStyle w:val="TableofFigures"/>
        <w:rPr>
          <w:rFonts w:asciiTheme="minorHAnsi" w:eastAsiaTheme="minorEastAsia" w:hAnsiTheme="minorHAnsi" w:cstheme="minorBidi"/>
          <w:color w:val="auto"/>
          <w:sz w:val="22"/>
          <w:szCs w:val="22"/>
          <w:lang w:eastAsia="en-AU"/>
        </w:rPr>
      </w:pPr>
      <w:hyperlink w:anchor="_Toc116301702" w:history="1">
        <w:r w:rsidRPr="00085BDD">
          <w:rPr>
            <w:rStyle w:val="Hyperlink"/>
          </w:rPr>
          <w:t>Table 11:</w:t>
        </w:r>
        <w:r>
          <w:rPr>
            <w:rFonts w:asciiTheme="minorHAnsi" w:eastAsiaTheme="minorEastAsia" w:hAnsiTheme="minorHAnsi" w:cstheme="minorBidi"/>
            <w:color w:val="auto"/>
            <w:sz w:val="22"/>
            <w:szCs w:val="22"/>
            <w:lang w:eastAsia="en-AU"/>
          </w:rPr>
          <w:tab/>
        </w:r>
        <w:r w:rsidRPr="00085BDD">
          <w:rPr>
            <w:rStyle w:val="Hyperlink"/>
          </w:rPr>
          <w:t>Recommended Amendments to Table 4 of the Agricultural and Veterinary Chemicals Code (MRL Standard) Instrument 2019</w:t>
        </w:r>
        <w:r>
          <w:rPr>
            <w:webHidden/>
          </w:rPr>
          <w:tab/>
        </w:r>
        <w:r>
          <w:rPr>
            <w:webHidden/>
          </w:rPr>
          <w:fldChar w:fldCharType="begin"/>
        </w:r>
        <w:r>
          <w:rPr>
            <w:webHidden/>
          </w:rPr>
          <w:instrText xml:space="preserve"> PAGEREF _Toc116301702 \h </w:instrText>
        </w:r>
        <w:r>
          <w:rPr>
            <w:webHidden/>
          </w:rPr>
        </w:r>
        <w:r>
          <w:rPr>
            <w:webHidden/>
          </w:rPr>
          <w:fldChar w:fldCharType="separate"/>
        </w:r>
        <w:r>
          <w:rPr>
            <w:webHidden/>
          </w:rPr>
          <w:t>29</w:t>
        </w:r>
        <w:r>
          <w:rPr>
            <w:webHidden/>
          </w:rPr>
          <w:fldChar w:fldCharType="end"/>
        </w:r>
      </w:hyperlink>
    </w:p>
    <w:p w14:paraId="7671E75F" w14:textId="2C5BEFE9" w:rsidR="0041501F" w:rsidRDefault="0041501F">
      <w:pPr>
        <w:pStyle w:val="TableofFigures"/>
        <w:rPr>
          <w:rFonts w:asciiTheme="minorHAnsi" w:eastAsiaTheme="minorEastAsia" w:hAnsiTheme="minorHAnsi" w:cstheme="minorBidi"/>
          <w:color w:val="auto"/>
          <w:sz w:val="22"/>
          <w:szCs w:val="22"/>
          <w:lang w:eastAsia="en-AU"/>
        </w:rPr>
      </w:pPr>
      <w:hyperlink w:anchor="_Toc116301703" w:history="1">
        <w:r w:rsidRPr="00085BDD">
          <w:rPr>
            <w:rStyle w:val="Hyperlink"/>
          </w:rPr>
          <w:t>Table 12:</w:t>
        </w:r>
        <w:r>
          <w:rPr>
            <w:rFonts w:asciiTheme="minorHAnsi" w:eastAsiaTheme="minorEastAsia" w:hAnsiTheme="minorHAnsi" w:cstheme="minorBidi"/>
            <w:color w:val="auto"/>
            <w:sz w:val="22"/>
            <w:szCs w:val="22"/>
            <w:lang w:eastAsia="en-AU"/>
          </w:rPr>
          <w:tab/>
        </w:r>
        <w:r w:rsidRPr="00085BDD">
          <w:rPr>
            <w:rStyle w:val="Hyperlink"/>
          </w:rPr>
          <w:t>Summary of residue assessment outcomes for procymidone use patterns</w:t>
        </w:r>
        <w:r>
          <w:rPr>
            <w:webHidden/>
          </w:rPr>
          <w:tab/>
        </w:r>
        <w:r>
          <w:rPr>
            <w:webHidden/>
          </w:rPr>
          <w:fldChar w:fldCharType="begin"/>
        </w:r>
        <w:r>
          <w:rPr>
            <w:webHidden/>
          </w:rPr>
          <w:instrText xml:space="preserve"> PAGEREF _Toc116301703 \h </w:instrText>
        </w:r>
        <w:r>
          <w:rPr>
            <w:webHidden/>
          </w:rPr>
        </w:r>
        <w:r>
          <w:rPr>
            <w:webHidden/>
          </w:rPr>
          <w:fldChar w:fldCharType="separate"/>
        </w:r>
        <w:r>
          <w:rPr>
            <w:webHidden/>
          </w:rPr>
          <w:t>30</w:t>
        </w:r>
        <w:r>
          <w:rPr>
            <w:webHidden/>
          </w:rPr>
          <w:fldChar w:fldCharType="end"/>
        </w:r>
      </w:hyperlink>
    </w:p>
    <w:p w14:paraId="0AC61330" w14:textId="2C062BB7" w:rsidR="0041501F" w:rsidRDefault="0041501F">
      <w:pPr>
        <w:pStyle w:val="TableofFigures"/>
        <w:rPr>
          <w:rFonts w:asciiTheme="minorHAnsi" w:eastAsiaTheme="minorEastAsia" w:hAnsiTheme="minorHAnsi" w:cstheme="minorBidi"/>
          <w:color w:val="auto"/>
          <w:sz w:val="22"/>
          <w:szCs w:val="22"/>
          <w:lang w:eastAsia="en-AU"/>
        </w:rPr>
      </w:pPr>
      <w:hyperlink w:anchor="_Toc116301704" w:history="1">
        <w:r w:rsidRPr="00085BDD">
          <w:rPr>
            <w:rStyle w:val="Hyperlink"/>
          </w:rPr>
          <w:t>Table 13:</w:t>
        </w:r>
        <w:r>
          <w:rPr>
            <w:rFonts w:asciiTheme="minorHAnsi" w:eastAsiaTheme="minorEastAsia" w:hAnsiTheme="minorHAnsi" w:cstheme="minorBidi"/>
            <w:color w:val="auto"/>
            <w:sz w:val="22"/>
            <w:szCs w:val="22"/>
            <w:lang w:eastAsia="en-AU"/>
          </w:rPr>
          <w:tab/>
        </w:r>
        <w:r w:rsidRPr="00085BDD">
          <w:rPr>
            <w:rStyle w:val="Hyperlink"/>
          </w:rPr>
          <w:t>Regulatory acceptable levels of procymidone resulting from spray drift</w:t>
        </w:r>
        <w:r>
          <w:rPr>
            <w:webHidden/>
          </w:rPr>
          <w:tab/>
        </w:r>
        <w:r>
          <w:rPr>
            <w:webHidden/>
          </w:rPr>
          <w:fldChar w:fldCharType="begin"/>
        </w:r>
        <w:r>
          <w:rPr>
            <w:webHidden/>
          </w:rPr>
          <w:instrText xml:space="preserve"> PAGEREF _Toc116301704 \h </w:instrText>
        </w:r>
        <w:r>
          <w:rPr>
            <w:webHidden/>
          </w:rPr>
        </w:r>
        <w:r>
          <w:rPr>
            <w:webHidden/>
          </w:rPr>
          <w:fldChar w:fldCharType="separate"/>
        </w:r>
        <w:r>
          <w:rPr>
            <w:webHidden/>
          </w:rPr>
          <w:t>35</w:t>
        </w:r>
        <w:r>
          <w:rPr>
            <w:webHidden/>
          </w:rPr>
          <w:fldChar w:fldCharType="end"/>
        </w:r>
      </w:hyperlink>
    </w:p>
    <w:p w14:paraId="6BDACCA9" w14:textId="546ADC67" w:rsidR="0041501F" w:rsidRDefault="0041501F">
      <w:pPr>
        <w:pStyle w:val="TableofFigures"/>
        <w:rPr>
          <w:rFonts w:asciiTheme="minorHAnsi" w:eastAsiaTheme="minorEastAsia" w:hAnsiTheme="minorHAnsi" w:cstheme="minorBidi"/>
          <w:color w:val="auto"/>
          <w:sz w:val="22"/>
          <w:szCs w:val="22"/>
          <w:lang w:eastAsia="en-AU"/>
        </w:rPr>
      </w:pPr>
      <w:hyperlink w:anchor="_Toc116301705" w:history="1">
        <w:r w:rsidRPr="00085BDD">
          <w:rPr>
            <w:rStyle w:val="Hyperlink"/>
          </w:rPr>
          <w:t>Table 14:</w:t>
        </w:r>
        <w:r>
          <w:rPr>
            <w:rFonts w:asciiTheme="minorHAnsi" w:eastAsiaTheme="minorEastAsia" w:hAnsiTheme="minorHAnsi" w:cstheme="minorBidi"/>
            <w:color w:val="auto"/>
            <w:sz w:val="22"/>
            <w:szCs w:val="22"/>
            <w:lang w:eastAsia="en-AU"/>
          </w:rPr>
          <w:tab/>
        </w:r>
        <w:r w:rsidRPr="00085BDD">
          <w:rPr>
            <w:rStyle w:val="Hyperlink"/>
          </w:rPr>
          <w:t>Buffer zones for boom sprayers (SC 500 g/L procymidone)</w:t>
        </w:r>
        <w:r>
          <w:rPr>
            <w:webHidden/>
          </w:rPr>
          <w:tab/>
        </w:r>
        <w:r>
          <w:rPr>
            <w:webHidden/>
          </w:rPr>
          <w:fldChar w:fldCharType="begin"/>
        </w:r>
        <w:r>
          <w:rPr>
            <w:webHidden/>
          </w:rPr>
          <w:instrText xml:space="preserve"> PAGEREF _Toc116301705 \h </w:instrText>
        </w:r>
        <w:r>
          <w:rPr>
            <w:webHidden/>
          </w:rPr>
        </w:r>
        <w:r>
          <w:rPr>
            <w:webHidden/>
          </w:rPr>
          <w:fldChar w:fldCharType="separate"/>
        </w:r>
        <w:r>
          <w:rPr>
            <w:webHidden/>
          </w:rPr>
          <w:t>37</w:t>
        </w:r>
        <w:r>
          <w:rPr>
            <w:webHidden/>
          </w:rPr>
          <w:fldChar w:fldCharType="end"/>
        </w:r>
      </w:hyperlink>
    </w:p>
    <w:p w14:paraId="43EA6063" w14:textId="4409DEBC" w:rsidR="0041501F" w:rsidRDefault="0041501F">
      <w:pPr>
        <w:pStyle w:val="TableofFigures"/>
        <w:rPr>
          <w:rFonts w:asciiTheme="minorHAnsi" w:eastAsiaTheme="minorEastAsia" w:hAnsiTheme="minorHAnsi" w:cstheme="minorBidi"/>
          <w:color w:val="auto"/>
          <w:sz w:val="22"/>
          <w:szCs w:val="22"/>
          <w:lang w:eastAsia="en-AU"/>
        </w:rPr>
      </w:pPr>
      <w:hyperlink w:anchor="_Toc116301706" w:history="1">
        <w:r w:rsidRPr="00085BDD">
          <w:rPr>
            <w:rStyle w:val="Hyperlink"/>
          </w:rPr>
          <w:t>Table 15:</w:t>
        </w:r>
        <w:r>
          <w:rPr>
            <w:rFonts w:asciiTheme="minorHAnsi" w:eastAsiaTheme="minorEastAsia" w:hAnsiTheme="minorHAnsi" w:cstheme="minorBidi"/>
            <w:color w:val="auto"/>
            <w:sz w:val="22"/>
            <w:szCs w:val="22"/>
            <w:lang w:eastAsia="en-AU"/>
          </w:rPr>
          <w:tab/>
        </w:r>
        <w:r w:rsidRPr="00085BDD">
          <w:rPr>
            <w:rStyle w:val="Hyperlink"/>
          </w:rPr>
          <w:t>Buffer zones for vertical sprayers (SC 500 g/L procymidone)</w:t>
        </w:r>
        <w:r>
          <w:rPr>
            <w:webHidden/>
          </w:rPr>
          <w:tab/>
        </w:r>
        <w:r>
          <w:rPr>
            <w:webHidden/>
          </w:rPr>
          <w:fldChar w:fldCharType="begin"/>
        </w:r>
        <w:r>
          <w:rPr>
            <w:webHidden/>
          </w:rPr>
          <w:instrText xml:space="preserve"> PAGEREF _Toc116301706 \h </w:instrText>
        </w:r>
        <w:r>
          <w:rPr>
            <w:webHidden/>
          </w:rPr>
        </w:r>
        <w:r>
          <w:rPr>
            <w:webHidden/>
          </w:rPr>
          <w:fldChar w:fldCharType="separate"/>
        </w:r>
        <w:r>
          <w:rPr>
            <w:webHidden/>
          </w:rPr>
          <w:t>38</w:t>
        </w:r>
        <w:r>
          <w:rPr>
            <w:webHidden/>
          </w:rPr>
          <w:fldChar w:fldCharType="end"/>
        </w:r>
      </w:hyperlink>
    </w:p>
    <w:p w14:paraId="11808C83" w14:textId="6DB186D1" w:rsidR="0041501F" w:rsidRDefault="0041501F">
      <w:pPr>
        <w:pStyle w:val="TableofFigures"/>
        <w:rPr>
          <w:rFonts w:asciiTheme="minorHAnsi" w:eastAsiaTheme="minorEastAsia" w:hAnsiTheme="minorHAnsi" w:cstheme="minorBidi"/>
          <w:color w:val="auto"/>
          <w:sz w:val="22"/>
          <w:szCs w:val="22"/>
          <w:lang w:eastAsia="en-AU"/>
        </w:rPr>
      </w:pPr>
      <w:hyperlink w:anchor="_Toc116301707" w:history="1">
        <w:r w:rsidRPr="00085BDD">
          <w:rPr>
            <w:rStyle w:val="Hyperlink"/>
          </w:rPr>
          <w:t>Table 16:</w:t>
        </w:r>
        <w:r>
          <w:rPr>
            <w:rFonts w:asciiTheme="minorHAnsi" w:eastAsiaTheme="minorEastAsia" w:hAnsiTheme="minorHAnsi" w:cstheme="minorBidi"/>
            <w:color w:val="auto"/>
            <w:sz w:val="22"/>
            <w:szCs w:val="22"/>
            <w:lang w:eastAsia="en-AU"/>
          </w:rPr>
          <w:tab/>
        </w:r>
        <w:r w:rsidRPr="00085BDD">
          <w:rPr>
            <w:rStyle w:val="Hyperlink"/>
          </w:rPr>
          <w:t>Buffer zones for aircraft (MEDIUM spray droplet size SC 500 g/L procymidone)</w:t>
        </w:r>
        <w:r>
          <w:rPr>
            <w:webHidden/>
          </w:rPr>
          <w:tab/>
        </w:r>
        <w:r>
          <w:rPr>
            <w:webHidden/>
          </w:rPr>
          <w:fldChar w:fldCharType="begin"/>
        </w:r>
        <w:r>
          <w:rPr>
            <w:webHidden/>
          </w:rPr>
          <w:instrText xml:space="preserve"> PAGEREF _Toc116301707 \h </w:instrText>
        </w:r>
        <w:r>
          <w:rPr>
            <w:webHidden/>
          </w:rPr>
        </w:r>
        <w:r>
          <w:rPr>
            <w:webHidden/>
          </w:rPr>
          <w:fldChar w:fldCharType="separate"/>
        </w:r>
        <w:r>
          <w:rPr>
            <w:webHidden/>
          </w:rPr>
          <w:t>39</w:t>
        </w:r>
        <w:r>
          <w:rPr>
            <w:webHidden/>
          </w:rPr>
          <w:fldChar w:fldCharType="end"/>
        </w:r>
      </w:hyperlink>
    </w:p>
    <w:p w14:paraId="0B9B2934" w14:textId="4E8351EE" w:rsidR="0041501F" w:rsidRDefault="0041501F">
      <w:pPr>
        <w:pStyle w:val="TableofFigures"/>
        <w:rPr>
          <w:rFonts w:asciiTheme="minorHAnsi" w:eastAsiaTheme="minorEastAsia" w:hAnsiTheme="minorHAnsi" w:cstheme="minorBidi"/>
          <w:color w:val="auto"/>
          <w:sz w:val="22"/>
          <w:szCs w:val="22"/>
          <w:lang w:eastAsia="en-AU"/>
        </w:rPr>
      </w:pPr>
      <w:hyperlink w:anchor="_Toc116301708" w:history="1">
        <w:r w:rsidRPr="00085BDD">
          <w:rPr>
            <w:rStyle w:val="Hyperlink"/>
          </w:rPr>
          <w:t>Table 17:</w:t>
        </w:r>
        <w:r>
          <w:rPr>
            <w:rFonts w:asciiTheme="minorHAnsi" w:eastAsiaTheme="minorEastAsia" w:hAnsiTheme="minorHAnsi" w:cstheme="minorBidi"/>
            <w:color w:val="auto"/>
            <w:sz w:val="22"/>
            <w:szCs w:val="22"/>
            <w:lang w:eastAsia="en-AU"/>
          </w:rPr>
          <w:tab/>
        </w:r>
        <w:r w:rsidRPr="00085BDD">
          <w:rPr>
            <w:rStyle w:val="Hyperlink"/>
          </w:rPr>
          <w:t>Buffer zones for aircraft (Coarse spray droplet size SC 500 g/L procymidone)</w:t>
        </w:r>
        <w:r>
          <w:rPr>
            <w:webHidden/>
          </w:rPr>
          <w:tab/>
        </w:r>
        <w:r>
          <w:rPr>
            <w:webHidden/>
          </w:rPr>
          <w:fldChar w:fldCharType="begin"/>
        </w:r>
        <w:r>
          <w:rPr>
            <w:webHidden/>
          </w:rPr>
          <w:instrText xml:space="preserve"> PAGEREF _Toc116301708 \h </w:instrText>
        </w:r>
        <w:r>
          <w:rPr>
            <w:webHidden/>
          </w:rPr>
        </w:r>
        <w:r>
          <w:rPr>
            <w:webHidden/>
          </w:rPr>
          <w:fldChar w:fldCharType="separate"/>
        </w:r>
        <w:r>
          <w:rPr>
            <w:webHidden/>
          </w:rPr>
          <w:t>39</w:t>
        </w:r>
        <w:r>
          <w:rPr>
            <w:webHidden/>
          </w:rPr>
          <w:fldChar w:fldCharType="end"/>
        </w:r>
      </w:hyperlink>
    </w:p>
    <w:p w14:paraId="5A88586D" w14:textId="1DCF3123" w:rsidR="0041501F" w:rsidRDefault="0041501F">
      <w:pPr>
        <w:pStyle w:val="TableofFigures"/>
        <w:rPr>
          <w:rFonts w:asciiTheme="minorHAnsi" w:eastAsiaTheme="minorEastAsia" w:hAnsiTheme="minorHAnsi" w:cstheme="minorBidi"/>
          <w:color w:val="auto"/>
          <w:sz w:val="22"/>
          <w:szCs w:val="22"/>
          <w:lang w:eastAsia="en-AU"/>
        </w:rPr>
      </w:pPr>
      <w:hyperlink w:anchor="_Toc116301709" w:history="1">
        <w:r w:rsidRPr="00085BDD">
          <w:rPr>
            <w:rStyle w:val="Hyperlink"/>
          </w:rPr>
          <w:t>Table 18:</w:t>
        </w:r>
        <w:r>
          <w:rPr>
            <w:rFonts w:asciiTheme="minorHAnsi" w:eastAsiaTheme="minorEastAsia" w:hAnsiTheme="minorHAnsi" w:cstheme="minorBidi"/>
            <w:color w:val="auto"/>
            <w:sz w:val="22"/>
            <w:szCs w:val="22"/>
            <w:lang w:eastAsia="en-AU"/>
          </w:rPr>
          <w:tab/>
        </w:r>
        <w:r w:rsidRPr="00085BDD">
          <w:rPr>
            <w:rStyle w:val="Hyperlink"/>
          </w:rPr>
          <w:t>Buffer zones for boom sprayers (WG 800 g/L procymidone)</w:t>
        </w:r>
        <w:r>
          <w:rPr>
            <w:webHidden/>
          </w:rPr>
          <w:tab/>
        </w:r>
        <w:r>
          <w:rPr>
            <w:webHidden/>
          </w:rPr>
          <w:fldChar w:fldCharType="begin"/>
        </w:r>
        <w:r>
          <w:rPr>
            <w:webHidden/>
          </w:rPr>
          <w:instrText xml:space="preserve"> PAGEREF _Toc116301709 \h </w:instrText>
        </w:r>
        <w:r>
          <w:rPr>
            <w:webHidden/>
          </w:rPr>
        </w:r>
        <w:r>
          <w:rPr>
            <w:webHidden/>
          </w:rPr>
          <w:fldChar w:fldCharType="separate"/>
        </w:r>
        <w:r>
          <w:rPr>
            <w:webHidden/>
          </w:rPr>
          <w:t>40</w:t>
        </w:r>
        <w:r>
          <w:rPr>
            <w:webHidden/>
          </w:rPr>
          <w:fldChar w:fldCharType="end"/>
        </w:r>
      </w:hyperlink>
    </w:p>
    <w:p w14:paraId="3BB531B4" w14:textId="14DD4992" w:rsidR="0041501F" w:rsidRDefault="0041501F">
      <w:pPr>
        <w:pStyle w:val="TableofFigures"/>
        <w:rPr>
          <w:rFonts w:asciiTheme="minorHAnsi" w:eastAsiaTheme="minorEastAsia" w:hAnsiTheme="minorHAnsi" w:cstheme="minorBidi"/>
          <w:color w:val="auto"/>
          <w:sz w:val="22"/>
          <w:szCs w:val="22"/>
          <w:lang w:eastAsia="en-AU"/>
        </w:rPr>
      </w:pPr>
      <w:hyperlink w:anchor="_Toc116301710" w:history="1">
        <w:r w:rsidRPr="00085BDD">
          <w:rPr>
            <w:rStyle w:val="Hyperlink"/>
          </w:rPr>
          <w:t>Table 19:</w:t>
        </w:r>
        <w:r>
          <w:rPr>
            <w:rFonts w:asciiTheme="minorHAnsi" w:eastAsiaTheme="minorEastAsia" w:hAnsiTheme="minorHAnsi" w:cstheme="minorBidi"/>
            <w:color w:val="auto"/>
            <w:sz w:val="22"/>
            <w:szCs w:val="22"/>
            <w:lang w:eastAsia="en-AU"/>
          </w:rPr>
          <w:tab/>
        </w:r>
        <w:r w:rsidRPr="00085BDD">
          <w:rPr>
            <w:rStyle w:val="Hyperlink"/>
          </w:rPr>
          <w:t>Buffer zones for vertical sprayers (WG 800 g/L procymidone)</w:t>
        </w:r>
        <w:r>
          <w:rPr>
            <w:webHidden/>
          </w:rPr>
          <w:tab/>
        </w:r>
        <w:r>
          <w:rPr>
            <w:webHidden/>
          </w:rPr>
          <w:fldChar w:fldCharType="begin"/>
        </w:r>
        <w:r>
          <w:rPr>
            <w:webHidden/>
          </w:rPr>
          <w:instrText xml:space="preserve"> PAGEREF _Toc116301710 \h </w:instrText>
        </w:r>
        <w:r>
          <w:rPr>
            <w:webHidden/>
          </w:rPr>
        </w:r>
        <w:r>
          <w:rPr>
            <w:webHidden/>
          </w:rPr>
          <w:fldChar w:fldCharType="separate"/>
        </w:r>
        <w:r>
          <w:rPr>
            <w:webHidden/>
          </w:rPr>
          <w:t>41</w:t>
        </w:r>
        <w:r>
          <w:rPr>
            <w:webHidden/>
          </w:rPr>
          <w:fldChar w:fldCharType="end"/>
        </w:r>
      </w:hyperlink>
    </w:p>
    <w:p w14:paraId="314093A5" w14:textId="06F3200C" w:rsidR="0041501F" w:rsidRDefault="0041501F">
      <w:pPr>
        <w:pStyle w:val="TableofFigures"/>
        <w:rPr>
          <w:rFonts w:asciiTheme="minorHAnsi" w:eastAsiaTheme="minorEastAsia" w:hAnsiTheme="minorHAnsi" w:cstheme="minorBidi"/>
          <w:color w:val="auto"/>
          <w:sz w:val="22"/>
          <w:szCs w:val="22"/>
          <w:lang w:eastAsia="en-AU"/>
        </w:rPr>
      </w:pPr>
      <w:hyperlink w:anchor="_Toc116301711" w:history="1">
        <w:r w:rsidRPr="00085BDD">
          <w:rPr>
            <w:rStyle w:val="Hyperlink"/>
          </w:rPr>
          <w:t>Table 20:</w:t>
        </w:r>
        <w:r>
          <w:rPr>
            <w:rFonts w:asciiTheme="minorHAnsi" w:eastAsiaTheme="minorEastAsia" w:hAnsiTheme="minorHAnsi" w:cstheme="minorBidi"/>
            <w:color w:val="auto"/>
            <w:sz w:val="22"/>
            <w:szCs w:val="22"/>
            <w:lang w:eastAsia="en-AU"/>
          </w:rPr>
          <w:tab/>
        </w:r>
        <w:r w:rsidRPr="00085BDD">
          <w:rPr>
            <w:rStyle w:val="Hyperlink"/>
          </w:rPr>
          <w:t>Buffer zones for aircraft (MEDIUM spray droplet size, WG 800 g/L procymidone)</w:t>
        </w:r>
        <w:r>
          <w:rPr>
            <w:webHidden/>
          </w:rPr>
          <w:tab/>
        </w:r>
        <w:r>
          <w:rPr>
            <w:webHidden/>
          </w:rPr>
          <w:fldChar w:fldCharType="begin"/>
        </w:r>
        <w:r>
          <w:rPr>
            <w:webHidden/>
          </w:rPr>
          <w:instrText xml:space="preserve"> PAGEREF _Toc116301711 \h </w:instrText>
        </w:r>
        <w:r>
          <w:rPr>
            <w:webHidden/>
          </w:rPr>
        </w:r>
        <w:r>
          <w:rPr>
            <w:webHidden/>
          </w:rPr>
          <w:fldChar w:fldCharType="separate"/>
        </w:r>
        <w:r>
          <w:rPr>
            <w:webHidden/>
          </w:rPr>
          <w:t>41</w:t>
        </w:r>
        <w:r>
          <w:rPr>
            <w:webHidden/>
          </w:rPr>
          <w:fldChar w:fldCharType="end"/>
        </w:r>
      </w:hyperlink>
    </w:p>
    <w:p w14:paraId="156CDED6" w14:textId="029EF60A" w:rsidR="0041501F" w:rsidRDefault="0041501F">
      <w:pPr>
        <w:pStyle w:val="TableofFigures"/>
        <w:rPr>
          <w:rFonts w:asciiTheme="minorHAnsi" w:eastAsiaTheme="minorEastAsia" w:hAnsiTheme="minorHAnsi" w:cstheme="minorBidi"/>
          <w:color w:val="auto"/>
          <w:sz w:val="22"/>
          <w:szCs w:val="22"/>
          <w:lang w:eastAsia="en-AU"/>
        </w:rPr>
      </w:pPr>
      <w:hyperlink w:anchor="_Toc116301712" w:history="1">
        <w:r w:rsidRPr="00085BDD">
          <w:rPr>
            <w:rStyle w:val="Hyperlink"/>
          </w:rPr>
          <w:t>Table 21:</w:t>
        </w:r>
        <w:r>
          <w:rPr>
            <w:rFonts w:asciiTheme="minorHAnsi" w:eastAsiaTheme="minorEastAsia" w:hAnsiTheme="minorHAnsi" w:cstheme="minorBidi"/>
            <w:color w:val="auto"/>
            <w:sz w:val="22"/>
            <w:szCs w:val="22"/>
            <w:lang w:eastAsia="en-AU"/>
          </w:rPr>
          <w:tab/>
        </w:r>
        <w:r w:rsidRPr="00085BDD">
          <w:rPr>
            <w:rStyle w:val="Hyperlink"/>
          </w:rPr>
          <w:t>Buffer zones for aircraft (Coarse spray droplet size, WG 800 g/L procymidone)</w:t>
        </w:r>
        <w:r>
          <w:rPr>
            <w:webHidden/>
          </w:rPr>
          <w:tab/>
        </w:r>
        <w:r>
          <w:rPr>
            <w:webHidden/>
          </w:rPr>
          <w:fldChar w:fldCharType="begin"/>
        </w:r>
        <w:r>
          <w:rPr>
            <w:webHidden/>
          </w:rPr>
          <w:instrText xml:space="preserve"> PAGEREF _Toc116301712 \h </w:instrText>
        </w:r>
        <w:r>
          <w:rPr>
            <w:webHidden/>
          </w:rPr>
        </w:r>
        <w:r>
          <w:rPr>
            <w:webHidden/>
          </w:rPr>
          <w:fldChar w:fldCharType="separate"/>
        </w:r>
        <w:r>
          <w:rPr>
            <w:webHidden/>
          </w:rPr>
          <w:t>42</w:t>
        </w:r>
        <w:r>
          <w:rPr>
            <w:webHidden/>
          </w:rPr>
          <w:fldChar w:fldCharType="end"/>
        </w:r>
      </w:hyperlink>
    </w:p>
    <w:p w14:paraId="0CAD6C92" w14:textId="772EF717" w:rsidR="0041501F" w:rsidRDefault="0041501F">
      <w:pPr>
        <w:pStyle w:val="TableofFigures"/>
        <w:rPr>
          <w:rFonts w:asciiTheme="minorHAnsi" w:eastAsiaTheme="minorEastAsia" w:hAnsiTheme="minorHAnsi" w:cstheme="minorBidi"/>
          <w:color w:val="auto"/>
          <w:sz w:val="22"/>
          <w:szCs w:val="22"/>
          <w:lang w:eastAsia="en-AU"/>
        </w:rPr>
      </w:pPr>
      <w:hyperlink w:anchor="_Toc116301713" w:history="1">
        <w:r w:rsidRPr="00085BDD">
          <w:rPr>
            <w:rStyle w:val="Hyperlink"/>
          </w:rPr>
          <w:t>Table 22:</w:t>
        </w:r>
        <w:r>
          <w:rPr>
            <w:rFonts w:asciiTheme="minorHAnsi" w:eastAsiaTheme="minorEastAsia" w:hAnsiTheme="minorHAnsi" w:cstheme="minorBidi"/>
            <w:color w:val="auto"/>
            <w:sz w:val="22"/>
            <w:szCs w:val="22"/>
            <w:lang w:eastAsia="en-AU"/>
          </w:rPr>
          <w:tab/>
        </w:r>
        <w:r w:rsidRPr="00085BDD">
          <w:rPr>
            <w:rStyle w:val="Hyperlink"/>
          </w:rPr>
          <w:t>Submissions in response to the proposed regulatory decisions on the reconsideration of procymidone</w:t>
        </w:r>
        <w:r>
          <w:rPr>
            <w:webHidden/>
          </w:rPr>
          <w:tab/>
        </w:r>
        <w:r>
          <w:rPr>
            <w:webHidden/>
          </w:rPr>
          <w:fldChar w:fldCharType="begin"/>
        </w:r>
        <w:r>
          <w:rPr>
            <w:webHidden/>
          </w:rPr>
          <w:instrText xml:space="preserve"> PAGEREF _Toc116301713 \h </w:instrText>
        </w:r>
        <w:r>
          <w:rPr>
            <w:webHidden/>
          </w:rPr>
        </w:r>
        <w:r>
          <w:rPr>
            <w:webHidden/>
          </w:rPr>
          <w:fldChar w:fldCharType="separate"/>
        </w:r>
        <w:r>
          <w:rPr>
            <w:webHidden/>
          </w:rPr>
          <w:t>43</w:t>
        </w:r>
        <w:r>
          <w:rPr>
            <w:webHidden/>
          </w:rPr>
          <w:fldChar w:fldCharType="end"/>
        </w:r>
      </w:hyperlink>
    </w:p>
    <w:p w14:paraId="642BE59F" w14:textId="742AD2AF" w:rsidR="002A3239" w:rsidRDefault="00426C3A" w:rsidP="00426C3A">
      <w:pPr>
        <w:pStyle w:val="TOCH1"/>
        <w:spacing w:before="500"/>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5C33962C" w:rsidR="002E20AC" w:rsidRPr="00D05130" w:rsidRDefault="00426C3A" w:rsidP="00D05130">
      <w:pPr>
        <w:pStyle w:val="PreliminariesH1"/>
      </w:pPr>
      <w:bookmarkStart w:id="1" w:name="_Toc116301503"/>
      <w:r w:rsidRPr="00D05130">
        <w:lastRenderedPageBreak/>
        <w:t>Preface</w:t>
      </w:r>
      <w:bookmarkEnd w:id="1"/>
    </w:p>
    <w:p w14:paraId="5D740E85" w14:textId="77777777" w:rsidR="00426C3A" w:rsidRPr="00D05130" w:rsidRDefault="00426C3A" w:rsidP="00D05130">
      <w:pPr>
        <w:pStyle w:val="APVMAText"/>
      </w:pPr>
      <w:r w:rsidRPr="00D05130">
        <w:t xml:space="preserve">The </w:t>
      </w:r>
      <w:r w:rsidRPr="007C119E">
        <w:t>Australian Pesticides and Veterinary Medicines Authority (APVMA)</w:t>
      </w:r>
      <w:r w:rsidRPr="00D05130">
        <w:t xml:space="preserve"> is an independent statutory authority with responsibility for the regulation of agricultural and veterinary chemicals in Australia. Its statutory powers are provided in the Agvet Codes scheduled to the </w:t>
      </w:r>
      <w:r w:rsidRPr="00D05130">
        <w:rPr>
          <w:i/>
          <w:iCs/>
        </w:rPr>
        <w:t>Agricultural and Veterinary Chemicals Code Act 1994</w:t>
      </w:r>
      <w:r w:rsidRPr="00D05130">
        <w:t>.</w:t>
      </w:r>
    </w:p>
    <w:p w14:paraId="485DF2E9" w14:textId="77777777" w:rsidR="00426C3A" w:rsidRPr="00D05130" w:rsidRDefault="00426C3A" w:rsidP="00D05130">
      <w:pPr>
        <w:pStyle w:val="APVMAText"/>
      </w:pPr>
      <w:r w:rsidRPr="00D05130">
        <w:t>The APVMA has legislated powers to reconsider the approval of an active constituent, registration of a chemical product or approval of a label at any time after it has been registered. The reconsideration process is outlined in sections 29 to 34 of Part 2, Division 4 of the Agvet Codes.</w:t>
      </w:r>
    </w:p>
    <w:p w14:paraId="573CB261" w14:textId="77777777" w:rsidR="00426C3A" w:rsidRPr="00D05130" w:rsidRDefault="00426C3A" w:rsidP="00D05130">
      <w:pPr>
        <w:pStyle w:val="APVMAText"/>
      </w:pPr>
      <w:r w:rsidRPr="00D05130">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work health and safety), the environment (environmental fate and ecotoxicology), residues and trade, chemistry, efficacy or target crop or animal safety. However, the scope of each reconsideration is determined on a case-by-case basis reflecting the specific issues raised by the new research or evidence.</w:t>
      </w:r>
    </w:p>
    <w:p w14:paraId="4E9415FE" w14:textId="77777777" w:rsidR="00426C3A" w:rsidRPr="00D05130" w:rsidRDefault="00426C3A" w:rsidP="00D05130">
      <w:pPr>
        <w:pStyle w:val="APVMAText"/>
      </w:pPr>
      <w:r w:rsidRPr="00D05130">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scientific and evidence-based risk analysis with respect to the matters of concern by analysing all the relevant information and data available.</w:t>
      </w:r>
    </w:p>
    <w:p w14:paraId="5801EE30" w14:textId="5090A325" w:rsidR="002E20AC" w:rsidRPr="00D05130" w:rsidRDefault="00426C3A" w:rsidP="00D05130">
      <w:pPr>
        <w:pStyle w:val="PreliminariesH2"/>
      </w:pPr>
      <w:bookmarkStart w:id="2" w:name="_Toc116301504"/>
      <w:r w:rsidRPr="00D05130">
        <w:t>About this document</w:t>
      </w:r>
      <w:bookmarkEnd w:id="2"/>
    </w:p>
    <w:p w14:paraId="1512819F" w14:textId="77777777" w:rsidR="00426C3A" w:rsidRPr="00D05130" w:rsidRDefault="00426C3A" w:rsidP="00D05130">
      <w:pPr>
        <w:pStyle w:val="APVMAText"/>
      </w:pPr>
      <w:r w:rsidRPr="00D05130">
        <w:t>This Technical Report is intended to provide an overview of the assessments that have been conducted by the APVMA. It has been deliberately presented in a manner that is likely to be informative to the widest possible audience, thereby encouraging public comment.</w:t>
      </w:r>
    </w:p>
    <w:p w14:paraId="0203679D" w14:textId="77777777" w:rsidR="00426C3A" w:rsidRPr="00D05130" w:rsidRDefault="00426C3A" w:rsidP="00D05130">
      <w:pPr>
        <w:pStyle w:val="APVMAText"/>
      </w:pPr>
      <w:r w:rsidRPr="00D05130">
        <w:t xml:space="preserve">This document contains a summary of the assessment reports generated </w:t>
      </w:r>
      <w:proofErr w:type="gramStart"/>
      <w:r w:rsidRPr="00D05130">
        <w:t>in the course of</w:t>
      </w:r>
      <w:proofErr w:type="gramEnd"/>
      <w:r w:rsidRPr="00D05130">
        <w:t xml:space="preserve"> the chemical review of an active ingredient, including the registered product and approved labels. The document provides a summary of the APVMA’s assessment, which includes details of:</w:t>
      </w:r>
    </w:p>
    <w:p w14:paraId="726417AB" w14:textId="77777777" w:rsidR="00426C3A" w:rsidRPr="00D05130" w:rsidRDefault="00426C3A" w:rsidP="00D05130">
      <w:pPr>
        <w:pStyle w:val="Bullet1"/>
      </w:pPr>
      <w:r w:rsidRPr="00D05130">
        <w:t>the chemistry of the active constituent</w:t>
      </w:r>
    </w:p>
    <w:p w14:paraId="04ECDE1B" w14:textId="77777777" w:rsidR="00426C3A" w:rsidRPr="00D05130" w:rsidRDefault="00426C3A" w:rsidP="00D05130">
      <w:pPr>
        <w:pStyle w:val="Bullet1"/>
      </w:pPr>
      <w:r w:rsidRPr="00D05130">
        <w:t>the toxicology of both the active constituent and product</w:t>
      </w:r>
    </w:p>
    <w:p w14:paraId="0E116357" w14:textId="77777777" w:rsidR="00426C3A" w:rsidRPr="00D05130" w:rsidRDefault="00426C3A" w:rsidP="00D05130">
      <w:pPr>
        <w:pStyle w:val="Bullet1"/>
      </w:pPr>
      <w:r w:rsidRPr="00D05130">
        <w:t>the residues and trade assessment</w:t>
      </w:r>
    </w:p>
    <w:p w14:paraId="4C1CB68E" w14:textId="77777777" w:rsidR="00426C3A" w:rsidRPr="00D05130" w:rsidRDefault="00426C3A" w:rsidP="00D05130">
      <w:pPr>
        <w:pStyle w:val="Bullet1"/>
      </w:pPr>
      <w:r w:rsidRPr="00D05130">
        <w:t>occupational exposure aspects</w:t>
      </w:r>
    </w:p>
    <w:p w14:paraId="04943709" w14:textId="6882B434" w:rsidR="00426C3A" w:rsidRPr="00D05130" w:rsidRDefault="00426C3A" w:rsidP="00D05130">
      <w:pPr>
        <w:pStyle w:val="Bullet1"/>
        <w:sectPr w:rsidR="00426C3A" w:rsidRPr="00D05130">
          <w:headerReference w:type="default" r:id="rId21"/>
          <w:pgSz w:w="11906" w:h="16838" w:code="9"/>
          <w:pgMar w:top="2835" w:right="1134" w:bottom="1134" w:left="1134" w:header="1701" w:footer="680" w:gutter="0"/>
          <w:pgNumType w:start="1"/>
          <w:cols w:space="708"/>
          <w:docGrid w:linePitch="360"/>
        </w:sectPr>
      </w:pPr>
      <w:r w:rsidRPr="00D05130">
        <w:t xml:space="preserve">environmental fate, toxicity, potential </w:t>
      </w:r>
      <w:proofErr w:type="gramStart"/>
      <w:r w:rsidRPr="00D05130">
        <w:t>exposure</w:t>
      </w:r>
      <w:proofErr w:type="gramEnd"/>
      <w:r w:rsidRPr="00D05130">
        <w:t xml:space="preserve"> and hazard.</w:t>
      </w:r>
    </w:p>
    <w:p w14:paraId="6A1014FE" w14:textId="193CD242" w:rsidR="002E20AC" w:rsidRPr="00D05130" w:rsidRDefault="00426C3A" w:rsidP="00D05130">
      <w:pPr>
        <w:pStyle w:val="Heading1"/>
      </w:pPr>
      <w:bookmarkStart w:id="3" w:name="_Toc116301505"/>
      <w:r w:rsidRPr="00D05130">
        <w:lastRenderedPageBreak/>
        <w:t>Introduction</w:t>
      </w:r>
      <w:bookmarkEnd w:id="3"/>
    </w:p>
    <w:p w14:paraId="358C3826" w14:textId="77777777" w:rsidR="00426C3A" w:rsidRPr="00D05130" w:rsidRDefault="00426C3A" w:rsidP="00D05130">
      <w:pPr>
        <w:pStyle w:val="APVMAText"/>
      </w:pPr>
      <w:bookmarkStart w:id="4" w:name="_Toc414373835"/>
      <w:r w:rsidRPr="00D05130">
        <w:t xml:space="preserve">Procymidone is a systemic dicarboximide fungicide that has been registered for use in Australia since 1968. Procymidone is used in horticulture, turf, ornamentals, </w:t>
      </w:r>
      <w:proofErr w:type="gramStart"/>
      <w:r w:rsidRPr="00D05130">
        <w:t>canola</w:t>
      </w:r>
      <w:proofErr w:type="gramEnd"/>
      <w:r w:rsidRPr="00D05130">
        <w:t xml:space="preserve"> and pulses for the control of various fungal diseases.</w:t>
      </w:r>
    </w:p>
    <w:p w14:paraId="5CE0DC7E" w14:textId="77777777" w:rsidR="00426C3A" w:rsidRPr="00D05130" w:rsidRDefault="00426C3A" w:rsidP="00D05130">
      <w:pPr>
        <w:pStyle w:val="APVMAText"/>
      </w:pPr>
      <w:r w:rsidRPr="00D05130">
        <w:t xml:space="preserve">The APVMA began its reconsideration of procymidone active constituent approvals, product registrations and associated label approvals in 2004 because of toxicological, occupational health and safety, </w:t>
      </w:r>
      <w:proofErr w:type="gramStart"/>
      <w:r w:rsidRPr="00D05130">
        <w:t>residue</w:t>
      </w:r>
      <w:proofErr w:type="gramEnd"/>
      <w:r w:rsidRPr="00D05130">
        <w:t xml:space="preserve"> and trade concerns. The adequacy of instructions and warnings on product labels was also considered.</w:t>
      </w:r>
    </w:p>
    <w:p w14:paraId="2FB52DA4" w14:textId="0581639D" w:rsidR="00426C3A" w:rsidRPr="00D05130" w:rsidRDefault="00426C3A" w:rsidP="00D05130">
      <w:pPr>
        <w:pStyle w:val="APVMAText"/>
      </w:pPr>
      <w:r w:rsidRPr="00D05130">
        <w:t>Registrations of products containing procymidone were suspended in 2004 as the labels and use patterns did not meet the safety criteria. Instructions for use to address the safety concerns were issued for the duration of the suspension. Holders voluntarily varied their labels to include the amended instructions for use, or requested cancellation of their registrations, and as a result, the suspensions were revoked in 2005.</w:t>
      </w:r>
    </w:p>
    <w:p w14:paraId="48F84DF5" w14:textId="37263E2C" w:rsidR="002E20AC" w:rsidRPr="00D05130" w:rsidRDefault="00426C3A" w:rsidP="00D05130">
      <w:pPr>
        <w:pStyle w:val="Heading2"/>
      </w:pPr>
      <w:bookmarkStart w:id="5" w:name="_Toc116301506"/>
      <w:bookmarkEnd w:id="4"/>
      <w:r w:rsidRPr="00D05130">
        <w:t>Purpose of review</w:t>
      </w:r>
      <w:bookmarkEnd w:id="5"/>
    </w:p>
    <w:p w14:paraId="423B1B7E" w14:textId="77777777" w:rsidR="00426C3A" w:rsidRPr="00D05130" w:rsidRDefault="00426C3A" w:rsidP="00D05130">
      <w:pPr>
        <w:pStyle w:val="APVMAText"/>
      </w:pPr>
      <w:bookmarkStart w:id="6" w:name="_Toc414373836"/>
      <w:r w:rsidRPr="00D05130">
        <w:rPr>
          <w:rStyle w:val="APVMATextChar"/>
        </w:rPr>
        <w:t>The scope of the reconsideration includes the following aspects of active constituent approvals, product registrations and label approvals for procymidone:</w:t>
      </w:r>
    </w:p>
    <w:p w14:paraId="709A88E3" w14:textId="77777777" w:rsidR="00426C3A" w:rsidRPr="00D05130" w:rsidRDefault="00426C3A" w:rsidP="00D05130">
      <w:pPr>
        <w:pStyle w:val="Bullet1"/>
      </w:pPr>
      <w:r w:rsidRPr="00D05130">
        <w:t>Toxicology, including potential for birth defects or impairment of human fertility due to anti-androgenic effects</w:t>
      </w:r>
    </w:p>
    <w:p w14:paraId="73825DAE" w14:textId="77777777" w:rsidR="00426C3A" w:rsidRPr="00D05130" w:rsidRDefault="00426C3A" w:rsidP="00D05130">
      <w:pPr>
        <w:pStyle w:val="Bullet1"/>
      </w:pPr>
      <w:r w:rsidRPr="00D05130">
        <w:t>Occupational health and safety (</w:t>
      </w:r>
      <w:proofErr w:type="gramStart"/>
      <w:r w:rsidRPr="00D05130">
        <w:t>OHS</w:t>
      </w:r>
      <w:proofErr w:type="gramEnd"/>
      <w:r w:rsidRPr="00D05130">
        <w:t>):</w:t>
      </w:r>
    </w:p>
    <w:p w14:paraId="6B50C7BB" w14:textId="318FE56D" w:rsidR="00426C3A" w:rsidRPr="00D05130" w:rsidRDefault="00426C3A" w:rsidP="00D05130">
      <w:pPr>
        <w:pStyle w:val="Bullet2"/>
      </w:pPr>
      <w:r w:rsidRPr="00D05130">
        <w:t>Risks arising from exposure during handling and application</w:t>
      </w:r>
    </w:p>
    <w:p w14:paraId="150B43F4" w14:textId="47B27D68" w:rsidR="00426C3A" w:rsidRPr="00D05130" w:rsidRDefault="00426C3A" w:rsidP="00D05130">
      <w:pPr>
        <w:pStyle w:val="Bullet2"/>
      </w:pPr>
      <w:r w:rsidRPr="00D05130">
        <w:t>Re-entry exposure risks</w:t>
      </w:r>
    </w:p>
    <w:p w14:paraId="6C3A9438" w14:textId="45A38707" w:rsidR="00426C3A" w:rsidRPr="00D05130" w:rsidRDefault="00426C3A" w:rsidP="00D05130">
      <w:pPr>
        <w:pStyle w:val="Bullet2"/>
      </w:pPr>
      <w:r w:rsidRPr="00D05130">
        <w:t>Determination of appropriate personal protective clothing requirements</w:t>
      </w:r>
    </w:p>
    <w:p w14:paraId="1E552B78" w14:textId="77777777" w:rsidR="00426C3A" w:rsidRPr="00D05130" w:rsidRDefault="00426C3A" w:rsidP="00D05130">
      <w:pPr>
        <w:pStyle w:val="Bullet1"/>
      </w:pPr>
      <w:r w:rsidRPr="00D05130">
        <w:t>Residues and trade:</w:t>
      </w:r>
    </w:p>
    <w:p w14:paraId="44716FA3" w14:textId="2189F7B3" w:rsidR="00426C3A" w:rsidRPr="00D05130" w:rsidRDefault="00426C3A" w:rsidP="00D05130">
      <w:pPr>
        <w:pStyle w:val="Bullet2"/>
      </w:pPr>
      <w:r w:rsidRPr="00D05130">
        <w:t>Residues in treated produce arising from application in accordance with label instructions</w:t>
      </w:r>
    </w:p>
    <w:p w14:paraId="4ED4A046" w14:textId="24D99386" w:rsidR="00426C3A" w:rsidRPr="00D05130" w:rsidRDefault="00426C3A" w:rsidP="00D05130">
      <w:pPr>
        <w:pStyle w:val="Bullet2"/>
      </w:pPr>
      <w:r w:rsidRPr="00D05130">
        <w:t>Establish appropriate maximum residue limits (MRLs) to underpin the assessment of dietary and trade risk</w:t>
      </w:r>
      <w:r w:rsidRPr="00D05130" w:rsidDel="00A863F9">
        <w:t xml:space="preserve"> </w:t>
      </w:r>
      <w:r w:rsidRPr="00D05130">
        <w:t>for all commodities on which procymidone is used</w:t>
      </w:r>
    </w:p>
    <w:p w14:paraId="4E157206" w14:textId="5F804776" w:rsidR="00426C3A" w:rsidRPr="00D05130" w:rsidRDefault="00426C3A" w:rsidP="00D05130">
      <w:pPr>
        <w:pStyle w:val="Bullet2"/>
      </w:pPr>
      <w:r w:rsidRPr="00D05130">
        <w:t>Determination of dietary exposure resulting from the consumption of produce treated with procymidone</w:t>
      </w:r>
    </w:p>
    <w:p w14:paraId="27C42CCB" w14:textId="77777777" w:rsidR="00426C3A" w:rsidRPr="00D05130" w:rsidRDefault="00426C3A" w:rsidP="00D05130">
      <w:pPr>
        <w:pStyle w:val="APVMAText"/>
      </w:pPr>
      <w:r w:rsidRPr="00D05130">
        <w:t>The APVMA has also considered information pertaining to chemistry (impurities of toxicological concern) and environmental safety (spray drift).</w:t>
      </w:r>
    </w:p>
    <w:p w14:paraId="63E39197" w14:textId="0DA1DD38" w:rsidR="002E20AC" w:rsidRPr="00D05130" w:rsidRDefault="00426C3A" w:rsidP="00D05130">
      <w:pPr>
        <w:pStyle w:val="Heading2"/>
      </w:pPr>
      <w:bookmarkStart w:id="7" w:name="_Toc116301507"/>
      <w:bookmarkEnd w:id="6"/>
      <w:r w:rsidRPr="00D05130">
        <w:t>Product claims and use patterns</w:t>
      </w:r>
      <w:bookmarkEnd w:id="7"/>
    </w:p>
    <w:p w14:paraId="289FD348" w14:textId="35AA10E1" w:rsidR="00426C3A" w:rsidRPr="00D05130" w:rsidRDefault="00426C3A" w:rsidP="00D05130">
      <w:pPr>
        <w:pStyle w:val="APVMAText"/>
      </w:pPr>
      <w:r w:rsidRPr="00D05130">
        <w:t>Procymidone is currently registered in Australia for the control of certain fungal diseases on food crops, including canola, pulse crops (</w:t>
      </w:r>
      <w:proofErr w:type="spellStart"/>
      <w:r w:rsidRPr="00D05130">
        <w:t>faba</w:t>
      </w:r>
      <w:proofErr w:type="spellEnd"/>
      <w:r w:rsidRPr="00D05130">
        <w:t xml:space="preserve"> beans, navy beans, lentils, and lupins), stone fruit, grapes (wine grapes only), onions, </w:t>
      </w:r>
      <w:proofErr w:type="gramStart"/>
      <w:r w:rsidRPr="00D05130">
        <w:t>garlic</w:t>
      </w:r>
      <w:proofErr w:type="gramEnd"/>
      <w:r w:rsidRPr="00D05130">
        <w:t xml:space="preserve"> and potatoes. Procymidone is also registered in Australia for the control of certain fungal diseases on ornamentals and turf grass.</w:t>
      </w:r>
    </w:p>
    <w:p w14:paraId="16792CBA" w14:textId="77777777" w:rsidR="00426C3A" w:rsidRPr="00D05130" w:rsidRDefault="00426C3A" w:rsidP="00D05130">
      <w:pPr>
        <w:pStyle w:val="APVMAText"/>
      </w:pPr>
      <w:r w:rsidRPr="00D05130">
        <w:lastRenderedPageBreak/>
        <w:t>Procymidone is also used under permit for the control of certain fungal diseases in mustard (oilseed cultivars) and peppers. The permit uses were not included under this reconsideration but will be reviewed on the renewal of the permit.</w:t>
      </w:r>
    </w:p>
    <w:p w14:paraId="72A7C0E4" w14:textId="5AA832E4" w:rsidR="00426C3A" w:rsidRPr="00D05130" w:rsidRDefault="00426C3A" w:rsidP="00D05130">
      <w:pPr>
        <w:pStyle w:val="Heading2"/>
      </w:pPr>
      <w:bookmarkStart w:id="8" w:name="_Toc116301508"/>
      <w:r w:rsidRPr="00D05130">
        <w:t>Mode of action</w:t>
      </w:r>
      <w:bookmarkEnd w:id="8"/>
    </w:p>
    <w:p w14:paraId="5B5885BA" w14:textId="372B3436" w:rsidR="00426C3A" w:rsidRPr="00D05130" w:rsidRDefault="00426C3A" w:rsidP="00D05130">
      <w:pPr>
        <w:pStyle w:val="APVMAText"/>
      </w:pPr>
      <w:r w:rsidRPr="00D05130">
        <w:t xml:space="preserve">Procymidone is a systemic fungicide with protective and curative action. It belongs to the </w:t>
      </w:r>
      <w:proofErr w:type="spellStart"/>
      <w:r w:rsidRPr="00D05130">
        <w:t>dichlorophenyl</w:t>
      </w:r>
      <w:proofErr w:type="spellEnd"/>
      <w:r w:rsidRPr="00D05130">
        <w:t xml:space="preserve"> dicarboximide class of fungicide. It is rapidly absorbed by foliage with translocation to leaves and flowers. It inhibits germination of fungal spores and growth of fungal mycelium by affecting mitogen-activated protein (MAP) kinase and histidine kinase in osmotic signal transduction pathways. Procymidone is used against various fungal diseases including grey mould, blossom blight, and rots on grapevines, stone fruits, beans, onions, </w:t>
      </w:r>
      <w:proofErr w:type="gramStart"/>
      <w:r w:rsidRPr="00D05130">
        <w:t>ornamentals</w:t>
      </w:r>
      <w:proofErr w:type="gramEnd"/>
      <w:r w:rsidRPr="00D05130">
        <w:t xml:space="preserve"> and turf grass.</w:t>
      </w:r>
    </w:p>
    <w:p w14:paraId="1C924724" w14:textId="77777777" w:rsidR="006F2FE5" w:rsidRPr="00D05130" w:rsidRDefault="00426C3A" w:rsidP="00D05130">
      <w:pPr>
        <w:pStyle w:val="APVMAText"/>
      </w:pPr>
      <w:r w:rsidRPr="00D05130">
        <w:t>Procymidone can act as an androgen antagonist, and competitively inhibits the binding of androgens to their receptors, thereby preventing androgen function of the reproductive systems. It is in Schedule 7 of the SUSMP and therefore defined as a ‘Dangerous Poison’.</w:t>
      </w:r>
    </w:p>
    <w:p w14:paraId="115C97D9" w14:textId="3929E138" w:rsidR="006F2FE5" w:rsidRPr="00D05130" w:rsidRDefault="006F2FE5" w:rsidP="00D05130">
      <w:pPr>
        <w:pStyle w:val="Heading2"/>
      </w:pPr>
      <w:bookmarkStart w:id="9" w:name="_Toc116301509"/>
      <w:r w:rsidRPr="00D05130">
        <w:t>Submissions received during consultation</w:t>
      </w:r>
      <w:bookmarkEnd w:id="9"/>
    </w:p>
    <w:p w14:paraId="4C0EEDD8" w14:textId="2CC1DD1E" w:rsidR="00654B4D" w:rsidRPr="00654B4D" w:rsidRDefault="006F2FE5" w:rsidP="00D05130">
      <w:pPr>
        <w:pStyle w:val="APVMAText"/>
        <w:sectPr w:rsidR="00654B4D" w:rsidRPr="00654B4D">
          <w:headerReference w:type="even" r:id="rId22"/>
          <w:headerReference w:type="default" r:id="rId23"/>
          <w:pgSz w:w="11906" w:h="16838" w:code="9"/>
          <w:pgMar w:top="2835" w:right="1134" w:bottom="1134" w:left="1134" w:header="1701" w:footer="680" w:gutter="0"/>
          <w:cols w:space="708"/>
          <w:docGrid w:linePitch="360"/>
        </w:sectPr>
      </w:pPr>
      <w:r w:rsidRPr="00D05130">
        <w:t>3 submissions were received</w:t>
      </w:r>
      <w:r w:rsidR="00500078" w:rsidRPr="00D05130">
        <w:t xml:space="preserve"> </w:t>
      </w:r>
      <w:r w:rsidRPr="00D05130">
        <w:t xml:space="preserve">during the consultation period following publication of the APVMA’s proposed regulatory decisions on the reconsideration of procymidone on </w:t>
      </w:r>
      <w:hyperlink r:id="rId24" w:history="1">
        <w:r w:rsidRPr="00D05130">
          <w:rPr>
            <w:rStyle w:val="Hyperlink"/>
          </w:rPr>
          <w:t>9 May 2022</w:t>
        </w:r>
      </w:hyperlink>
      <w:r w:rsidR="00500078" w:rsidRPr="00D05130">
        <w:t xml:space="preserve">. </w:t>
      </w:r>
      <w:r w:rsidR="002F3497" w:rsidRPr="00D05130">
        <w:t xml:space="preserve">The submissions have been published on the APVMA’s website and are summarised </w:t>
      </w:r>
      <w:r w:rsidR="00654B4D" w:rsidRPr="00D05130">
        <w:t xml:space="preserve">in </w:t>
      </w:r>
      <w:hyperlink w:anchor="_Appendix_B_–" w:history="1">
        <w:r w:rsidR="00654B4D" w:rsidRPr="00D05130">
          <w:rPr>
            <w:rStyle w:val="Hyperlink"/>
          </w:rPr>
          <w:t>Appendix B</w:t>
        </w:r>
      </w:hyperlink>
      <w:r w:rsidR="002F3497" w:rsidRPr="00D05130">
        <w:t>.</w:t>
      </w:r>
    </w:p>
    <w:p w14:paraId="6E0F09E2" w14:textId="79873DCC" w:rsidR="00426C3A" w:rsidRPr="00D05130" w:rsidRDefault="00426C3A" w:rsidP="00D05130">
      <w:pPr>
        <w:pStyle w:val="Heading1"/>
      </w:pPr>
      <w:bookmarkStart w:id="10" w:name="_Toc116301510"/>
      <w:r w:rsidRPr="00D05130">
        <w:lastRenderedPageBreak/>
        <w:t>Chemistry</w:t>
      </w:r>
      <w:bookmarkEnd w:id="10"/>
    </w:p>
    <w:p w14:paraId="0A077678" w14:textId="5EFC6951" w:rsidR="00426C3A" w:rsidRPr="00D05130" w:rsidRDefault="00426C3A" w:rsidP="00D05130">
      <w:pPr>
        <w:pStyle w:val="Heading2"/>
      </w:pPr>
      <w:bookmarkStart w:id="11" w:name="_Toc116301511"/>
      <w:r w:rsidRPr="00D05130">
        <w:t>Active constituent</w:t>
      </w:r>
      <w:bookmarkEnd w:id="11"/>
    </w:p>
    <w:p w14:paraId="29D17006" w14:textId="218F79C7" w:rsidR="00426C3A" w:rsidRDefault="00426C3A" w:rsidP="00426C3A">
      <w:pPr>
        <w:pStyle w:val="Caption"/>
      </w:pPr>
      <w:bookmarkStart w:id="12" w:name="_Toc101967997"/>
      <w:bookmarkStart w:id="13" w:name="_Toc116301692"/>
      <w:r>
        <w:t xml:space="preserve">Table </w:t>
      </w:r>
      <w:r>
        <w:rPr>
          <w:noProof/>
        </w:rPr>
        <w:fldChar w:fldCharType="begin"/>
      </w:r>
      <w:r>
        <w:rPr>
          <w:noProof/>
        </w:rPr>
        <w:instrText xml:space="preserve"> SEQ Table \* ARABIC </w:instrText>
      </w:r>
      <w:r>
        <w:rPr>
          <w:noProof/>
        </w:rPr>
        <w:fldChar w:fldCharType="separate"/>
      </w:r>
      <w:r w:rsidR="00ED7319">
        <w:rPr>
          <w:noProof/>
        </w:rPr>
        <w:t>1</w:t>
      </w:r>
      <w:r>
        <w:rPr>
          <w:noProof/>
        </w:rPr>
        <w:fldChar w:fldCharType="end"/>
      </w:r>
      <w:r>
        <w:t>:</w:t>
      </w:r>
      <w:r>
        <w:tab/>
      </w:r>
      <w:r w:rsidRPr="00426C3A">
        <w:t>Nomenclature and structural formula of the active constituent procymidone</w:t>
      </w:r>
      <w:bookmarkStart w:id="14" w:name="_Ref100154154"/>
      <w:r w:rsidRPr="00426C3A">
        <w:rPr>
          <w:vertAlign w:val="superscript"/>
        </w:rPr>
        <w:footnoteReference w:id="2"/>
      </w:r>
      <w:bookmarkEnd w:id="12"/>
      <w:bookmarkEnd w:id="13"/>
      <w:bookmarkEnd w:id="14"/>
    </w:p>
    <w:tbl>
      <w:tblPr>
        <w:tblW w:w="5000" w:type="pct"/>
        <w:tblBorders>
          <w:bottom w:val="dotted" w:sz="2" w:space="0" w:color="auto"/>
          <w:insideH w:val="dotted" w:sz="2" w:space="0" w:color="auto"/>
        </w:tblBorders>
        <w:tblLook w:val="01E0" w:firstRow="1" w:lastRow="1" w:firstColumn="1" w:lastColumn="1" w:noHBand="0" w:noVBand="0"/>
      </w:tblPr>
      <w:tblGrid>
        <w:gridCol w:w="2835"/>
        <w:gridCol w:w="6803"/>
      </w:tblGrid>
      <w:tr w:rsidR="00426C3A" w14:paraId="7B280BB7" w14:textId="77777777" w:rsidTr="0041501F">
        <w:trPr>
          <w:cantSplit/>
          <w:tblHeader/>
        </w:trPr>
        <w:tc>
          <w:tcPr>
            <w:tcW w:w="1471" w:type="pct"/>
            <w:tcBorders>
              <w:top w:val="single" w:sz="4" w:space="0" w:color="auto"/>
              <w:bottom w:val="single" w:sz="4" w:space="0" w:color="auto"/>
            </w:tcBorders>
            <w:shd w:val="clear" w:color="auto" w:fill="5C2946"/>
          </w:tcPr>
          <w:p w14:paraId="04933479" w14:textId="0319BEBF" w:rsidR="00426C3A" w:rsidRPr="00D05130" w:rsidRDefault="00426C3A" w:rsidP="00D05130">
            <w:pPr>
              <w:pStyle w:val="TableHead"/>
            </w:pPr>
            <w:r w:rsidRPr="00D05130">
              <w:t>Common name (ISO):</w:t>
            </w:r>
          </w:p>
        </w:tc>
        <w:tc>
          <w:tcPr>
            <w:tcW w:w="3529" w:type="pct"/>
            <w:tcBorders>
              <w:top w:val="single" w:sz="4" w:space="0" w:color="auto"/>
              <w:bottom w:val="single" w:sz="4" w:space="0" w:color="auto"/>
            </w:tcBorders>
          </w:tcPr>
          <w:p w14:paraId="48BD99D0" w14:textId="0538020F" w:rsidR="00426C3A" w:rsidRPr="00FB0015" w:rsidRDefault="00426C3A" w:rsidP="00D05130">
            <w:pPr>
              <w:pStyle w:val="TableText"/>
            </w:pPr>
            <w:r w:rsidRPr="000554B4">
              <w:t>Procymidone</w:t>
            </w:r>
          </w:p>
        </w:tc>
      </w:tr>
      <w:tr w:rsidR="00426C3A" w14:paraId="188F09A3" w14:textId="77777777" w:rsidTr="0041501F">
        <w:trPr>
          <w:cantSplit/>
          <w:tblHeader/>
        </w:trPr>
        <w:tc>
          <w:tcPr>
            <w:tcW w:w="1471" w:type="pct"/>
            <w:tcBorders>
              <w:top w:val="single" w:sz="4" w:space="0" w:color="auto"/>
              <w:bottom w:val="single" w:sz="4" w:space="0" w:color="auto"/>
            </w:tcBorders>
            <w:shd w:val="clear" w:color="auto" w:fill="5C2946"/>
          </w:tcPr>
          <w:p w14:paraId="1A5F6391" w14:textId="0DB753D8" w:rsidR="00426C3A" w:rsidRPr="00D05130" w:rsidRDefault="00426C3A" w:rsidP="00D05130">
            <w:pPr>
              <w:pStyle w:val="TableHead"/>
            </w:pPr>
            <w:r w:rsidRPr="00D05130">
              <w:t>IUPAC name:</w:t>
            </w:r>
          </w:p>
        </w:tc>
        <w:tc>
          <w:tcPr>
            <w:tcW w:w="3529" w:type="pct"/>
            <w:tcBorders>
              <w:top w:val="single" w:sz="4" w:space="0" w:color="auto"/>
              <w:bottom w:val="single" w:sz="4" w:space="0" w:color="auto"/>
            </w:tcBorders>
          </w:tcPr>
          <w:p w14:paraId="4111AE6F" w14:textId="50B3BD1C" w:rsidR="00426C3A" w:rsidRDefault="00426C3A" w:rsidP="00D05130">
            <w:pPr>
              <w:pStyle w:val="TableText"/>
            </w:pPr>
            <w:r w:rsidRPr="000554B4">
              <w:t>3-(3,5-dichlorophenyl)-1,5-dimethyl-3-</w:t>
            </w:r>
            <w:proofErr w:type="gramStart"/>
            <w:r w:rsidRPr="000554B4">
              <w:t>azabicyclo[</w:t>
            </w:r>
            <w:proofErr w:type="gramEnd"/>
            <w:r w:rsidRPr="000554B4">
              <w:t>3.1.0]hexane-2,4-dione</w:t>
            </w:r>
          </w:p>
        </w:tc>
      </w:tr>
      <w:tr w:rsidR="00426C3A" w14:paraId="701B8DFE" w14:textId="77777777" w:rsidTr="0041501F">
        <w:trPr>
          <w:cantSplit/>
          <w:tblHeader/>
        </w:trPr>
        <w:tc>
          <w:tcPr>
            <w:tcW w:w="1471" w:type="pct"/>
            <w:tcBorders>
              <w:top w:val="single" w:sz="4" w:space="0" w:color="auto"/>
              <w:bottom w:val="single" w:sz="4" w:space="0" w:color="auto"/>
            </w:tcBorders>
            <w:shd w:val="clear" w:color="auto" w:fill="5C2946"/>
          </w:tcPr>
          <w:p w14:paraId="13A1BB4A" w14:textId="4D1850A0" w:rsidR="00426C3A" w:rsidRPr="00D05130" w:rsidRDefault="00426C3A" w:rsidP="00D05130">
            <w:pPr>
              <w:pStyle w:val="TableHead"/>
            </w:pPr>
            <w:r w:rsidRPr="00D05130">
              <w:t>CAS registry number:</w:t>
            </w:r>
          </w:p>
        </w:tc>
        <w:tc>
          <w:tcPr>
            <w:tcW w:w="3529" w:type="pct"/>
            <w:tcBorders>
              <w:top w:val="single" w:sz="4" w:space="0" w:color="auto"/>
              <w:bottom w:val="single" w:sz="4" w:space="0" w:color="auto"/>
            </w:tcBorders>
          </w:tcPr>
          <w:p w14:paraId="4C3AFEE9" w14:textId="1A6AB5D6" w:rsidR="00426C3A" w:rsidRDefault="00426C3A" w:rsidP="00D05130">
            <w:pPr>
              <w:pStyle w:val="TableText"/>
            </w:pPr>
            <w:r w:rsidRPr="000554B4">
              <w:t>32809-16-8</w:t>
            </w:r>
          </w:p>
        </w:tc>
      </w:tr>
      <w:tr w:rsidR="00426C3A" w14:paraId="22BB6A61" w14:textId="77777777" w:rsidTr="0041501F">
        <w:trPr>
          <w:cantSplit/>
          <w:tblHeader/>
        </w:trPr>
        <w:tc>
          <w:tcPr>
            <w:tcW w:w="1471" w:type="pct"/>
            <w:tcBorders>
              <w:top w:val="single" w:sz="4" w:space="0" w:color="auto"/>
              <w:bottom w:val="single" w:sz="4" w:space="0" w:color="auto"/>
            </w:tcBorders>
            <w:shd w:val="clear" w:color="auto" w:fill="5C2946"/>
          </w:tcPr>
          <w:p w14:paraId="3A52311F" w14:textId="0AECCC21" w:rsidR="00426C3A" w:rsidRPr="00D05130" w:rsidRDefault="00426C3A" w:rsidP="00D05130">
            <w:pPr>
              <w:pStyle w:val="TableHead"/>
            </w:pPr>
            <w:r w:rsidRPr="00D05130">
              <w:t>Molecular formula:</w:t>
            </w:r>
          </w:p>
        </w:tc>
        <w:tc>
          <w:tcPr>
            <w:tcW w:w="3529" w:type="pct"/>
            <w:tcBorders>
              <w:top w:val="single" w:sz="4" w:space="0" w:color="auto"/>
              <w:bottom w:val="single" w:sz="4" w:space="0" w:color="auto"/>
            </w:tcBorders>
          </w:tcPr>
          <w:p w14:paraId="7E4BF2FD" w14:textId="0ACEA458" w:rsidR="00426C3A" w:rsidRDefault="00426C3A" w:rsidP="00D05130">
            <w:pPr>
              <w:pStyle w:val="TableText"/>
            </w:pPr>
            <w:r w:rsidRPr="000554B4">
              <w:t>C13H11Cl2NO2</w:t>
            </w:r>
          </w:p>
        </w:tc>
      </w:tr>
      <w:tr w:rsidR="00426C3A" w14:paraId="74AC34A6" w14:textId="77777777" w:rsidTr="0041501F">
        <w:trPr>
          <w:cantSplit/>
          <w:tblHeader/>
        </w:trPr>
        <w:tc>
          <w:tcPr>
            <w:tcW w:w="1471" w:type="pct"/>
            <w:tcBorders>
              <w:top w:val="single" w:sz="4" w:space="0" w:color="auto"/>
              <w:bottom w:val="single" w:sz="4" w:space="0" w:color="auto"/>
            </w:tcBorders>
            <w:shd w:val="clear" w:color="auto" w:fill="5C2946"/>
          </w:tcPr>
          <w:p w14:paraId="492E3A26" w14:textId="0D6CCB54" w:rsidR="00426C3A" w:rsidRPr="00D05130" w:rsidRDefault="00426C3A" w:rsidP="00D05130">
            <w:pPr>
              <w:pStyle w:val="TableHead"/>
            </w:pPr>
            <w:r w:rsidRPr="00D05130">
              <w:t>Molecular weight:</w:t>
            </w:r>
          </w:p>
        </w:tc>
        <w:tc>
          <w:tcPr>
            <w:tcW w:w="3529" w:type="pct"/>
            <w:tcBorders>
              <w:top w:val="single" w:sz="4" w:space="0" w:color="auto"/>
              <w:bottom w:val="single" w:sz="4" w:space="0" w:color="auto"/>
            </w:tcBorders>
          </w:tcPr>
          <w:p w14:paraId="5440F229" w14:textId="34837007" w:rsidR="00426C3A" w:rsidRDefault="00426C3A" w:rsidP="00D05130">
            <w:pPr>
              <w:pStyle w:val="TableText"/>
            </w:pPr>
            <w:r w:rsidRPr="000554B4">
              <w:t>284.1 gmol-1</w:t>
            </w:r>
          </w:p>
        </w:tc>
      </w:tr>
      <w:tr w:rsidR="00426C3A" w14:paraId="3C3C6262" w14:textId="77777777" w:rsidTr="0041501F">
        <w:trPr>
          <w:cantSplit/>
          <w:tblHeader/>
        </w:trPr>
        <w:tc>
          <w:tcPr>
            <w:tcW w:w="1471" w:type="pct"/>
            <w:tcBorders>
              <w:top w:val="single" w:sz="4" w:space="0" w:color="auto"/>
              <w:bottom w:val="single" w:sz="4" w:space="0" w:color="auto"/>
            </w:tcBorders>
            <w:shd w:val="clear" w:color="auto" w:fill="5C2946"/>
          </w:tcPr>
          <w:p w14:paraId="3C3639D1" w14:textId="739713A1" w:rsidR="00426C3A" w:rsidRPr="00D05130" w:rsidRDefault="00426C3A" w:rsidP="00D05130">
            <w:pPr>
              <w:pStyle w:val="TableHead"/>
            </w:pPr>
            <w:r w:rsidRPr="00D05130">
              <w:t>Structural formula:</w:t>
            </w:r>
          </w:p>
        </w:tc>
        <w:tc>
          <w:tcPr>
            <w:tcW w:w="3529" w:type="pct"/>
            <w:tcBorders>
              <w:top w:val="single" w:sz="4" w:space="0" w:color="auto"/>
              <w:bottom w:val="single" w:sz="4" w:space="0" w:color="auto"/>
            </w:tcBorders>
          </w:tcPr>
          <w:p w14:paraId="316D8EE4" w14:textId="77777777" w:rsidR="00426C3A" w:rsidRPr="000554B4" w:rsidRDefault="00426C3A" w:rsidP="00D05130">
            <w:pPr>
              <w:pStyle w:val="TableText"/>
            </w:pPr>
          </w:p>
          <w:p w14:paraId="530F8C35" w14:textId="77777777" w:rsidR="00426C3A" w:rsidRPr="000554B4" w:rsidRDefault="00426C3A" w:rsidP="00D05130">
            <w:pPr>
              <w:pStyle w:val="TableText"/>
            </w:pPr>
          </w:p>
          <w:p w14:paraId="16829CC1" w14:textId="77777777" w:rsidR="00426C3A" w:rsidRPr="000554B4" w:rsidRDefault="00426C3A" w:rsidP="00D05130">
            <w:pPr>
              <w:pStyle w:val="TableText"/>
            </w:pPr>
          </w:p>
          <w:p w14:paraId="2BC4673D" w14:textId="77777777" w:rsidR="00426C3A" w:rsidRPr="000554B4" w:rsidRDefault="00426C3A" w:rsidP="00D05130">
            <w:pPr>
              <w:pStyle w:val="TableText"/>
            </w:pPr>
          </w:p>
          <w:p w14:paraId="6CAD0BF9" w14:textId="28B961CF" w:rsidR="00426C3A" w:rsidRDefault="00426C3A" w:rsidP="00D05130">
            <w:pPr>
              <w:pStyle w:val="TableText"/>
            </w:pPr>
            <w:r w:rsidRPr="000554B4">
              <w:rPr>
                <w:noProof/>
                <w:lang w:eastAsia="en-AU"/>
              </w:rPr>
              <w:drawing>
                <wp:inline distT="0" distB="0" distL="0" distR="0" wp14:anchorId="6AEA0316" wp14:editId="02E2CBCB">
                  <wp:extent cx="1490702" cy="1034365"/>
                  <wp:effectExtent l="0" t="0" r="0" b="0"/>
                  <wp:docPr id="1" name="Picture 1" descr="Structural formula of the active constituent procymi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ructural formula of the active constituent procymidone"/>
                          <pic:cNvPicPr/>
                        </pic:nvPicPr>
                        <pic:blipFill>
                          <a:blip r:embed="rId25">
                            <a:extLst>
                              <a:ext uri="{BEBA8EAE-BF5A-486C-A8C5-ECC9F3942E4B}">
                                <a14:imgProps xmlns:a14="http://schemas.microsoft.com/office/drawing/2010/main">
                                  <a14:imgLayer r:embed="rId26">
                                    <a14:imgEffect>
                                      <a14:sharpenSoften amount="50000"/>
                                    </a14:imgEffect>
                                  </a14:imgLayer>
                                </a14:imgProps>
                              </a:ext>
                            </a:extLst>
                          </a:blip>
                          <a:stretch>
                            <a:fillRect/>
                          </a:stretch>
                        </pic:blipFill>
                        <pic:spPr>
                          <a:xfrm>
                            <a:off x="0" y="0"/>
                            <a:ext cx="1490702" cy="1034365"/>
                          </a:xfrm>
                          <a:prstGeom prst="rect">
                            <a:avLst/>
                          </a:prstGeom>
                        </pic:spPr>
                      </pic:pic>
                    </a:graphicData>
                  </a:graphic>
                </wp:inline>
              </w:drawing>
            </w:r>
          </w:p>
        </w:tc>
      </w:tr>
    </w:tbl>
    <w:p w14:paraId="5A996FB7" w14:textId="77777777" w:rsidR="00426C3A" w:rsidRDefault="00426C3A" w:rsidP="00426C3A">
      <w:pPr>
        <w:sectPr w:rsidR="00426C3A">
          <w:pgSz w:w="11906" w:h="16838" w:code="9"/>
          <w:pgMar w:top="2835" w:right="1134" w:bottom="1134" w:left="1134" w:header="1701" w:footer="680" w:gutter="0"/>
          <w:cols w:space="708"/>
          <w:docGrid w:linePitch="360"/>
        </w:sectPr>
      </w:pPr>
    </w:p>
    <w:p w14:paraId="4B5FA8C1" w14:textId="6CDBDE5F" w:rsidR="00426C3A" w:rsidRDefault="00426C3A" w:rsidP="00426C3A">
      <w:pPr>
        <w:pStyle w:val="Caption"/>
      </w:pPr>
      <w:bookmarkStart w:id="15" w:name="_Toc101967998"/>
      <w:bookmarkStart w:id="16" w:name="_Toc116301693"/>
      <w:r>
        <w:lastRenderedPageBreak/>
        <w:t xml:space="preserve">Table </w:t>
      </w:r>
      <w:r>
        <w:rPr>
          <w:noProof/>
        </w:rPr>
        <w:fldChar w:fldCharType="begin"/>
      </w:r>
      <w:r>
        <w:rPr>
          <w:noProof/>
        </w:rPr>
        <w:instrText xml:space="preserve"> SEQ Table \* ARABIC </w:instrText>
      </w:r>
      <w:r>
        <w:rPr>
          <w:noProof/>
        </w:rPr>
        <w:fldChar w:fldCharType="separate"/>
      </w:r>
      <w:r w:rsidR="00ED7319">
        <w:rPr>
          <w:noProof/>
        </w:rPr>
        <w:t>2</w:t>
      </w:r>
      <w:r>
        <w:rPr>
          <w:noProof/>
        </w:rPr>
        <w:fldChar w:fldCharType="end"/>
      </w:r>
      <w:r>
        <w:t>:</w:t>
      </w:r>
      <w:r>
        <w:tab/>
      </w:r>
      <w:r w:rsidRPr="00426C3A">
        <w:t>Key physicochemical properties of the active constituent procymidone</w:t>
      </w:r>
      <w:r w:rsidRPr="00426C3A">
        <w:rPr>
          <w:vertAlign w:val="superscript"/>
        </w:rPr>
        <w:footnoteReference w:id="3"/>
      </w:r>
      <w:bookmarkEnd w:id="15"/>
      <w:bookmarkEnd w:id="16"/>
    </w:p>
    <w:tbl>
      <w:tblPr>
        <w:tblW w:w="5000" w:type="pct"/>
        <w:tblBorders>
          <w:bottom w:val="dotted" w:sz="2" w:space="0" w:color="auto"/>
          <w:insideH w:val="dotted" w:sz="2" w:space="0" w:color="auto"/>
        </w:tblBorders>
        <w:tblLook w:val="01E0" w:firstRow="1" w:lastRow="1" w:firstColumn="1" w:lastColumn="1" w:noHBand="0" w:noVBand="0"/>
      </w:tblPr>
      <w:tblGrid>
        <w:gridCol w:w="4112"/>
        <w:gridCol w:w="5526"/>
      </w:tblGrid>
      <w:tr w:rsidR="00426C3A" w14:paraId="5CD1D3F8" w14:textId="77777777" w:rsidTr="0041501F">
        <w:trPr>
          <w:cantSplit/>
          <w:tblHeader/>
        </w:trPr>
        <w:tc>
          <w:tcPr>
            <w:tcW w:w="2133" w:type="pct"/>
            <w:tcBorders>
              <w:top w:val="single" w:sz="4" w:space="0" w:color="auto"/>
              <w:bottom w:val="single" w:sz="4" w:space="0" w:color="auto"/>
            </w:tcBorders>
            <w:shd w:val="clear" w:color="auto" w:fill="5C2946"/>
          </w:tcPr>
          <w:p w14:paraId="77022FEE" w14:textId="546F3FEC" w:rsidR="00426C3A" w:rsidRPr="00D05130" w:rsidRDefault="00426C3A" w:rsidP="00D05130">
            <w:pPr>
              <w:pStyle w:val="TableHead"/>
            </w:pPr>
            <w:r w:rsidRPr="00D05130">
              <w:t>Appearance:</w:t>
            </w:r>
          </w:p>
        </w:tc>
        <w:tc>
          <w:tcPr>
            <w:tcW w:w="2867" w:type="pct"/>
            <w:tcBorders>
              <w:top w:val="single" w:sz="4" w:space="0" w:color="auto"/>
              <w:bottom w:val="single" w:sz="4" w:space="0" w:color="auto"/>
            </w:tcBorders>
          </w:tcPr>
          <w:p w14:paraId="297081D6" w14:textId="77777777" w:rsidR="00426C3A" w:rsidRPr="00570803" w:rsidRDefault="00426C3A" w:rsidP="00426C3A">
            <w:pPr>
              <w:pStyle w:val="APVMATableText"/>
            </w:pPr>
            <w:r>
              <w:t>Colourless crystalline powder (PAI, 99.5% purity)</w:t>
            </w:r>
          </w:p>
          <w:p w14:paraId="036C8067" w14:textId="5C31AB35" w:rsidR="00426C3A" w:rsidRPr="00FB0015" w:rsidRDefault="00426C3A" w:rsidP="00426C3A">
            <w:pPr>
              <w:pStyle w:val="TableText"/>
            </w:pPr>
            <w:r>
              <w:t>O</w:t>
            </w:r>
            <w:r w:rsidRPr="00570803">
              <w:t>ff-white to light brown</w:t>
            </w:r>
            <w:r>
              <w:t>ish crystalline</w:t>
            </w:r>
            <w:r w:rsidRPr="00570803">
              <w:t xml:space="preserve"> solid </w:t>
            </w:r>
            <w:r>
              <w:t>(TGAI)</w:t>
            </w:r>
          </w:p>
        </w:tc>
      </w:tr>
      <w:tr w:rsidR="00426C3A" w14:paraId="3F084112" w14:textId="77777777" w:rsidTr="0041501F">
        <w:trPr>
          <w:cantSplit/>
          <w:tblHeader/>
        </w:trPr>
        <w:tc>
          <w:tcPr>
            <w:tcW w:w="2133" w:type="pct"/>
            <w:tcBorders>
              <w:top w:val="single" w:sz="4" w:space="0" w:color="auto"/>
              <w:bottom w:val="single" w:sz="4" w:space="0" w:color="auto"/>
            </w:tcBorders>
            <w:shd w:val="clear" w:color="auto" w:fill="5C2946"/>
          </w:tcPr>
          <w:p w14:paraId="4FFC0830" w14:textId="4AF42B22" w:rsidR="00426C3A" w:rsidRPr="00D05130" w:rsidRDefault="00426C3A" w:rsidP="00D05130">
            <w:pPr>
              <w:pStyle w:val="TableHead"/>
            </w:pPr>
            <w:r w:rsidRPr="00D05130">
              <w:t>Melting point:</w:t>
            </w:r>
          </w:p>
        </w:tc>
        <w:tc>
          <w:tcPr>
            <w:tcW w:w="2867" w:type="pct"/>
            <w:tcBorders>
              <w:top w:val="single" w:sz="4" w:space="0" w:color="auto"/>
              <w:bottom w:val="single" w:sz="4" w:space="0" w:color="auto"/>
            </w:tcBorders>
          </w:tcPr>
          <w:p w14:paraId="6AD68BDD" w14:textId="15BC51DD" w:rsidR="00426C3A" w:rsidRDefault="00426C3A" w:rsidP="00426C3A">
            <w:pPr>
              <w:pStyle w:val="TableText"/>
            </w:pPr>
            <w:r>
              <w:rPr>
                <w:szCs w:val="17"/>
              </w:rPr>
              <w:t>163 to 164</w:t>
            </w:r>
            <w:r w:rsidRPr="00570803">
              <w:rPr>
                <w:szCs w:val="17"/>
              </w:rPr>
              <w:t>.5°C</w:t>
            </w:r>
          </w:p>
        </w:tc>
      </w:tr>
      <w:tr w:rsidR="00426C3A" w14:paraId="6FB96BA6" w14:textId="77777777" w:rsidTr="0041501F">
        <w:trPr>
          <w:cantSplit/>
          <w:tblHeader/>
        </w:trPr>
        <w:tc>
          <w:tcPr>
            <w:tcW w:w="2133" w:type="pct"/>
            <w:tcBorders>
              <w:top w:val="single" w:sz="4" w:space="0" w:color="auto"/>
              <w:bottom w:val="single" w:sz="4" w:space="0" w:color="auto"/>
            </w:tcBorders>
            <w:shd w:val="clear" w:color="auto" w:fill="5C2946"/>
          </w:tcPr>
          <w:p w14:paraId="43EB0406" w14:textId="14278E7F" w:rsidR="00426C3A" w:rsidRPr="00D05130" w:rsidRDefault="00426C3A" w:rsidP="00D05130">
            <w:pPr>
              <w:pStyle w:val="TableHead"/>
            </w:pPr>
            <w:r w:rsidRPr="00D05130">
              <w:t>Boiling point:</w:t>
            </w:r>
          </w:p>
        </w:tc>
        <w:tc>
          <w:tcPr>
            <w:tcW w:w="2867" w:type="pct"/>
            <w:tcBorders>
              <w:top w:val="single" w:sz="4" w:space="0" w:color="auto"/>
              <w:bottom w:val="single" w:sz="4" w:space="0" w:color="auto"/>
            </w:tcBorders>
          </w:tcPr>
          <w:p w14:paraId="4C41BA5E" w14:textId="4F5B1210" w:rsidR="00426C3A" w:rsidRDefault="00426C3A" w:rsidP="00426C3A">
            <w:pPr>
              <w:pStyle w:val="TableText"/>
            </w:pPr>
            <w:r>
              <w:rPr>
                <w:szCs w:val="17"/>
              </w:rPr>
              <w:t>Decomposes at 360</w:t>
            </w:r>
            <w:r w:rsidRPr="00570803">
              <w:rPr>
                <w:szCs w:val="17"/>
              </w:rPr>
              <w:t>°C</w:t>
            </w:r>
            <w:r>
              <w:rPr>
                <w:szCs w:val="17"/>
              </w:rPr>
              <w:t xml:space="preserve"> before boiling point of 478</w:t>
            </w:r>
            <w:r w:rsidRPr="00570803">
              <w:rPr>
                <w:szCs w:val="17"/>
              </w:rPr>
              <w:t>°C</w:t>
            </w:r>
          </w:p>
        </w:tc>
      </w:tr>
      <w:tr w:rsidR="00426C3A" w14:paraId="79EAEDCC" w14:textId="77777777" w:rsidTr="0041501F">
        <w:trPr>
          <w:cantSplit/>
          <w:tblHeader/>
        </w:trPr>
        <w:tc>
          <w:tcPr>
            <w:tcW w:w="2133" w:type="pct"/>
            <w:tcBorders>
              <w:top w:val="single" w:sz="4" w:space="0" w:color="auto"/>
              <w:bottom w:val="single" w:sz="4" w:space="0" w:color="auto"/>
            </w:tcBorders>
            <w:shd w:val="clear" w:color="auto" w:fill="5C2946"/>
          </w:tcPr>
          <w:p w14:paraId="4937AA4F" w14:textId="4C925B21" w:rsidR="00426C3A" w:rsidRPr="00D05130" w:rsidRDefault="00426C3A" w:rsidP="00D05130">
            <w:pPr>
              <w:pStyle w:val="TableHead"/>
            </w:pPr>
            <w:r w:rsidRPr="00D05130">
              <w:t>Solubility in water:</w:t>
            </w:r>
          </w:p>
        </w:tc>
        <w:tc>
          <w:tcPr>
            <w:tcW w:w="2867" w:type="pct"/>
            <w:tcBorders>
              <w:top w:val="single" w:sz="4" w:space="0" w:color="auto"/>
              <w:bottom w:val="single" w:sz="4" w:space="0" w:color="auto"/>
            </w:tcBorders>
          </w:tcPr>
          <w:p w14:paraId="49CEBF1A" w14:textId="2D2D073E" w:rsidR="00426C3A" w:rsidRDefault="00426C3A" w:rsidP="00426C3A">
            <w:pPr>
              <w:pStyle w:val="APVMATableText"/>
              <w:rPr>
                <w:szCs w:val="17"/>
              </w:rPr>
            </w:pPr>
            <w:r>
              <w:t>2.46</w:t>
            </w:r>
            <w:r w:rsidR="00295DF8">
              <w:rPr>
                <w:szCs w:val="17"/>
              </w:rPr>
              <w:t> </w:t>
            </w:r>
            <w:r>
              <w:t xml:space="preserve">mg/L at </w:t>
            </w:r>
            <w:r>
              <w:rPr>
                <w:kern w:val="22"/>
                <w:szCs w:val="17"/>
              </w:rPr>
              <w:t>20</w:t>
            </w:r>
            <w:r w:rsidRPr="00570803">
              <w:rPr>
                <w:szCs w:val="17"/>
              </w:rPr>
              <w:t>°C</w:t>
            </w:r>
          </w:p>
          <w:p w14:paraId="20CFA829" w14:textId="282095B2" w:rsidR="00426C3A" w:rsidRDefault="00426C3A" w:rsidP="00426C3A">
            <w:pPr>
              <w:pStyle w:val="TableText"/>
            </w:pPr>
            <w:r>
              <w:rPr>
                <w:szCs w:val="17"/>
              </w:rPr>
              <w:t>3.07</w:t>
            </w:r>
            <w:r w:rsidR="00295DF8">
              <w:rPr>
                <w:szCs w:val="17"/>
              </w:rPr>
              <w:t> </w:t>
            </w:r>
            <w:r>
              <w:rPr>
                <w:szCs w:val="17"/>
              </w:rPr>
              <w:t xml:space="preserve">mg/L at </w:t>
            </w:r>
            <w:r>
              <w:rPr>
                <w:kern w:val="22"/>
                <w:szCs w:val="17"/>
              </w:rPr>
              <w:t>30</w:t>
            </w:r>
            <w:r w:rsidRPr="00570803">
              <w:rPr>
                <w:szCs w:val="17"/>
              </w:rPr>
              <w:t>°C</w:t>
            </w:r>
          </w:p>
        </w:tc>
      </w:tr>
      <w:tr w:rsidR="00426C3A" w14:paraId="7EF31385" w14:textId="77777777" w:rsidTr="0041501F">
        <w:trPr>
          <w:cantSplit/>
          <w:tblHeader/>
        </w:trPr>
        <w:tc>
          <w:tcPr>
            <w:tcW w:w="2133" w:type="pct"/>
            <w:tcBorders>
              <w:top w:val="single" w:sz="4" w:space="0" w:color="auto"/>
              <w:bottom w:val="single" w:sz="4" w:space="0" w:color="auto"/>
            </w:tcBorders>
            <w:shd w:val="clear" w:color="auto" w:fill="5C2946"/>
          </w:tcPr>
          <w:p w14:paraId="0A10B70E" w14:textId="1C456AD3" w:rsidR="00426C3A" w:rsidRPr="00D05130" w:rsidRDefault="00426C3A" w:rsidP="00D05130">
            <w:pPr>
              <w:pStyle w:val="TableHead"/>
            </w:pPr>
            <w:r w:rsidRPr="00D05130">
              <w:t>Solubility in organic solvents (20 to 25°C):</w:t>
            </w:r>
          </w:p>
        </w:tc>
        <w:tc>
          <w:tcPr>
            <w:tcW w:w="2867" w:type="pct"/>
            <w:tcBorders>
              <w:top w:val="single" w:sz="4" w:space="0" w:color="auto"/>
              <w:bottom w:val="single" w:sz="4" w:space="0" w:color="auto"/>
            </w:tcBorders>
          </w:tcPr>
          <w:p w14:paraId="02B60984" w14:textId="77777777" w:rsidR="00426C3A" w:rsidRPr="00570803" w:rsidRDefault="00426C3A" w:rsidP="00426C3A">
            <w:pPr>
              <w:pStyle w:val="APVMATableText"/>
              <w:rPr>
                <w:kern w:val="22"/>
                <w:szCs w:val="17"/>
              </w:rPr>
            </w:pPr>
            <w:r w:rsidRPr="00570803">
              <w:rPr>
                <w:kern w:val="22"/>
                <w:szCs w:val="17"/>
              </w:rPr>
              <w:t>Acetone: 180</w:t>
            </w:r>
            <w:r>
              <w:rPr>
                <w:szCs w:val="17"/>
              </w:rPr>
              <w:t> </w:t>
            </w:r>
            <w:r>
              <w:rPr>
                <w:kern w:val="22"/>
                <w:szCs w:val="17"/>
              </w:rPr>
              <w:t>g/L</w:t>
            </w:r>
          </w:p>
          <w:p w14:paraId="1C97C274" w14:textId="77777777" w:rsidR="00426C3A" w:rsidRPr="00570803" w:rsidRDefault="00426C3A" w:rsidP="00426C3A">
            <w:pPr>
              <w:pStyle w:val="APVMATableText"/>
              <w:rPr>
                <w:kern w:val="22"/>
                <w:szCs w:val="17"/>
              </w:rPr>
            </w:pPr>
            <w:r w:rsidRPr="00570803">
              <w:rPr>
                <w:kern w:val="22"/>
                <w:szCs w:val="17"/>
              </w:rPr>
              <w:t>Acetonitrile: 101</w:t>
            </w:r>
            <w:r>
              <w:rPr>
                <w:szCs w:val="17"/>
              </w:rPr>
              <w:t> </w:t>
            </w:r>
            <w:r>
              <w:rPr>
                <w:kern w:val="22"/>
                <w:szCs w:val="17"/>
              </w:rPr>
              <w:t>g/L</w:t>
            </w:r>
          </w:p>
          <w:p w14:paraId="050BAA26" w14:textId="77777777" w:rsidR="00426C3A" w:rsidRPr="00570803" w:rsidRDefault="00426C3A" w:rsidP="00426C3A">
            <w:pPr>
              <w:pStyle w:val="APVMATableText"/>
              <w:rPr>
                <w:kern w:val="22"/>
                <w:szCs w:val="17"/>
              </w:rPr>
            </w:pPr>
            <w:r w:rsidRPr="00570803">
              <w:rPr>
                <w:kern w:val="22"/>
                <w:szCs w:val="17"/>
              </w:rPr>
              <w:t>Benzene: 86</w:t>
            </w:r>
            <w:r>
              <w:rPr>
                <w:szCs w:val="17"/>
              </w:rPr>
              <w:t> </w:t>
            </w:r>
            <w:r>
              <w:rPr>
                <w:kern w:val="22"/>
                <w:szCs w:val="17"/>
              </w:rPr>
              <w:t>g/L</w:t>
            </w:r>
          </w:p>
          <w:p w14:paraId="2B8B1B4B" w14:textId="77777777" w:rsidR="00426C3A" w:rsidRPr="00570803" w:rsidRDefault="00426C3A" w:rsidP="00426C3A">
            <w:pPr>
              <w:pStyle w:val="APVMATableText"/>
              <w:rPr>
                <w:kern w:val="22"/>
                <w:szCs w:val="17"/>
              </w:rPr>
            </w:pPr>
            <w:r w:rsidRPr="00570803">
              <w:rPr>
                <w:kern w:val="22"/>
                <w:szCs w:val="17"/>
              </w:rPr>
              <w:t>Chloroform: 216</w:t>
            </w:r>
            <w:r>
              <w:rPr>
                <w:szCs w:val="17"/>
              </w:rPr>
              <w:t> </w:t>
            </w:r>
            <w:r>
              <w:rPr>
                <w:kern w:val="22"/>
                <w:szCs w:val="17"/>
              </w:rPr>
              <w:t>g/L</w:t>
            </w:r>
          </w:p>
          <w:p w14:paraId="12A2DB86" w14:textId="77777777" w:rsidR="00426C3A" w:rsidRPr="00570803" w:rsidRDefault="00426C3A" w:rsidP="00426C3A">
            <w:pPr>
              <w:pStyle w:val="APVMATableText"/>
              <w:rPr>
                <w:kern w:val="22"/>
                <w:szCs w:val="17"/>
              </w:rPr>
            </w:pPr>
            <w:r w:rsidRPr="00570803">
              <w:rPr>
                <w:kern w:val="22"/>
                <w:szCs w:val="17"/>
              </w:rPr>
              <w:t>Cyclohexanone: 148</w:t>
            </w:r>
            <w:r>
              <w:rPr>
                <w:szCs w:val="17"/>
              </w:rPr>
              <w:t> </w:t>
            </w:r>
            <w:r>
              <w:rPr>
                <w:kern w:val="22"/>
                <w:szCs w:val="17"/>
              </w:rPr>
              <w:t>g/L</w:t>
            </w:r>
          </w:p>
          <w:p w14:paraId="0CCC5DE7" w14:textId="77777777" w:rsidR="00426C3A" w:rsidRPr="00570803" w:rsidRDefault="00426C3A" w:rsidP="00426C3A">
            <w:pPr>
              <w:pStyle w:val="APVMATableText"/>
              <w:rPr>
                <w:kern w:val="22"/>
                <w:szCs w:val="17"/>
              </w:rPr>
            </w:pPr>
            <w:r w:rsidRPr="00570803">
              <w:rPr>
                <w:kern w:val="22"/>
                <w:szCs w:val="17"/>
              </w:rPr>
              <w:t>Ethyl acetate: 115</w:t>
            </w:r>
            <w:r>
              <w:rPr>
                <w:szCs w:val="17"/>
              </w:rPr>
              <w:t> </w:t>
            </w:r>
            <w:r>
              <w:rPr>
                <w:kern w:val="22"/>
                <w:szCs w:val="17"/>
              </w:rPr>
              <w:t>g/L</w:t>
            </w:r>
          </w:p>
          <w:p w14:paraId="173B1F91" w14:textId="77777777" w:rsidR="00426C3A" w:rsidRPr="00570803" w:rsidRDefault="00426C3A" w:rsidP="00426C3A">
            <w:pPr>
              <w:pStyle w:val="APVMATableText"/>
              <w:rPr>
                <w:kern w:val="22"/>
                <w:szCs w:val="17"/>
              </w:rPr>
            </w:pPr>
            <w:r w:rsidRPr="00570803">
              <w:rPr>
                <w:kern w:val="22"/>
                <w:szCs w:val="17"/>
              </w:rPr>
              <w:t>Methanol: 16</w:t>
            </w:r>
            <w:r>
              <w:rPr>
                <w:szCs w:val="17"/>
              </w:rPr>
              <w:t> </w:t>
            </w:r>
            <w:r>
              <w:rPr>
                <w:kern w:val="22"/>
                <w:szCs w:val="17"/>
              </w:rPr>
              <w:t>g/L</w:t>
            </w:r>
          </w:p>
          <w:p w14:paraId="2913374B" w14:textId="5236BD70" w:rsidR="00426C3A" w:rsidRDefault="00426C3A" w:rsidP="00426C3A">
            <w:pPr>
              <w:pStyle w:val="TableText"/>
            </w:pPr>
            <w:r w:rsidRPr="00570803">
              <w:rPr>
                <w:kern w:val="22"/>
                <w:szCs w:val="17"/>
              </w:rPr>
              <w:t>Toluene: 66</w:t>
            </w:r>
            <w:r>
              <w:rPr>
                <w:szCs w:val="17"/>
              </w:rPr>
              <w:t> </w:t>
            </w:r>
            <w:r>
              <w:rPr>
                <w:kern w:val="22"/>
                <w:szCs w:val="17"/>
              </w:rPr>
              <w:t>g/L</w:t>
            </w:r>
          </w:p>
        </w:tc>
      </w:tr>
      <w:tr w:rsidR="00426C3A" w14:paraId="43622476" w14:textId="77777777" w:rsidTr="0041501F">
        <w:trPr>
          <w:cantSplit/>
          <w:tblHeader/>
        </w:trPr>
        <w:tc>
          <w:tcPr>
            <w:tcW w:w="2133" w:type="pct"/>
            <w:tcBorders>
              <w:top w:val="single" w:sz="4" w:space="0" w:color="auto"/>
              <w:bottom w:val="single" w:sz="4" w:space="0" w:color="auto"/>
            </w:tcBorders>
            <w:shd w:val="clear" w:color="auto" w:fill="5C2946"/>
            <w:vAlign w:val="center"/>
          </w:tcPr>
          <w:p w14:paraId="6B669591" w14:textId="2E1FE2E4" w:rsidR="00426C3A" w:rsidRPr="00D05130" w:rsidRDefault="00426C3A" w:rsidP="00D05130">
            <w:pPr>
              <w:pStyle w:val="TableHead"/>
            </w:pPr>
            <w:r w:rsidRPr="00D05130">
              <w:t>n-Octanol/water partition coefficient (25°C):</w:t>
            </w:r>
          </w:p>
        </w:tc>
        <w:tc>
          <w:tcPr>
            <w:tcW w:w="2867" w:type="pct"/>
            <w:tcBorders>
              <w:top w:val="single" w:sz="4" w:space="0" w:color="auto"/>
              <w:bottom w:val="single" w:sz="4" w:space="0" w:color="auto"/>
            </w:tcBorders>
            <w:vAlign w:val="center"/>
          </w:tcPr>
          <w:p w14:paraId="7EC64957" w14:textId="0BD87144" w:rsidR="00426C3A" w:rsidRDefault="00426C3A" w:rsidP="00426C3A">
            <w:pPr>
              <w:pStyle w:val="TableText"/>
            </w:pPr>
            <w:r>
              <w:rPr>
                <w:kern w:val="22"/>
                <w:szCs w:val="17"/>
              </w:rPr>
              <w:t>Log P</w:t>
            </w:r>
            <w:r w:rsidRPr="00CC4A3F">
              <w:rPr>
                <w:rStyle w:val="APVMASubscript"/>
              </w:rPr>
              <w:t>ow</w:t>
            </w:r>
            <w:r>
              <w:rPr>
                <w:kern w:val="22"/>
                <w:szCs w:val="17"/>
              </w:rPr>
              <w:t>=</w:t>
            </w:r>
            <w:r w:rsidR="00D05130">
              <w:rPr>
                <w:kern w:val="22"/>
                <w:szCs w:val="17"/>
              </w:rPr>
              <w:t xml:space="preserve"> </w:t>
            </w:r>
            <w:r>
              <w:rPr>
                <w:kern w:val="22"/>
                <w:szCs w:val="17"/>
              </w:rPr>
              <w:t>3.30</w:t>
            </w:r>
            <w:r w:rsidRPr="0081066C">
              <w:rPr>
                <w:kern w:val="22"/>
                <w:szCs w:val="17"/>
              </w:rPr>
              <w:t xml:space="preserve"> </w:t>
            </w:r>
            <w:r>
              <w:rPr>
                <w:kern w:val="22"/>
                <w:szCs w:val="17"/>
              </w:rPr>
              <w:t>(pH</w:t>
            </w:r>
            <w:r w:rsidR="00295DF8">
              <w:rPr>
                <w:szCs w:val="17"/>
              </w:rPr>
              <w:t> </w:t>
            </w:r>
            <w:r>
              <w:rPr>
                <w:kern w:val="22"/>
                <w:szCs w:val="17"/>
              </w:rPr>
              <w:t>6.0)</w:t>
            </w:r>
          </w:p>
        </w:tc>
      </w:tr>
      <w:tr w:rsidR="00426C3A" w14:paraId="688ED6DC" w14:textId="77777777" w:rsidTr="0041501F">
        <w:trPr>
          <w:cantSplit/>
          <w:tblHeader/>
        </w:trPr>
        <w:tc>
          <w:tcPr>
            <w:tcW w:w="2133" w:type="pct"/>
            <w:tcBorders>
              <w:top w:val="single" w:sz="4" w:space="0" w:color="auto"/>
              <w:bottom w:val="single" w:sz="4" w:space="0" w:color="auto"/>
            </w:tcBorders>
            <w:shd w:val="clear" w:color="auto" w:fill="5C2946"/>
            <w:vAlign w:val="center"/>
          </w:tcPr>
          <w:p w14:paraId="1A48E432" w14:textId="4AD5B2C1" w:rsidR="00426C3A" w:rsidRPr="00D05130" w:rsidRDefault="00426C3A" w:rsidP="00D05130">
            <w:pPr>
              <w:pStyle w:val="TableHead"/>
            </w:pPr>
            <w:r w:rsidRPr="00D05130">
              <w:t>Vapour pressure:</w:t>
            </w:r>
          </w:p>
        </w:tc>
        <w:tc>
          <w:tcPr>
            <w:tcW w:w="2867" w:type="pct"/>
            <w:tcBorders>
              <w:top w:val="single" w:sz="4" w:space="0" w:color="auto"/>
              <w:bottom w:val="single" w:sz="4" w:space="0" w:color="auto"/>
            </w:tcBorders>
            <w:vAlign w:val="center"/>
          </w:tcPr>
          <w:p w14:paraId="57C44590" w14:textId="27D7BC67" w:rsidR="00426C3A" w:rsidRDefault="00426C3A" w:rsidP="00426C3A">
            <w:pPr>
              <w:pStyle w:val="APVMATableText"/>
              <w:rPr>
                <w:szCs w:val="17"/>
              </w:rPr>
            </w:pPr>
            <w:r>
              <w:rPr>
                <w:kern w:val="22"/>
                <w:szCs w:val="17"/>
              </w:rPr>
              <w:t>2.3</w:t>
            </w:r>
            <w:r w:rsidRPr="008A4895">
              <w:rPr>
                <w:kern w:val="22"/>
                <w:szCs w:val="17"/>
              </w:rPr>
              <w:t>×10</w:t>
            </w:r>
            <w:r w:rsidRPr="008A4895">
              <w:rPr>
                <w:kern w:val="22"/>
                <w:szCs w:val="17"/>
                <w:vertAlign w:val="superscript"/>
              </w:rPr>
              <w:t>-</w:t>
            </w:r>
            <w:r>
              <w:rPr>
                <w:kern w:val="22"/>
                <w:szCs w:val="17"/>
                <w:vertAlign w:val="superscript"/>
              </w:rPr>
              <w:t>5</w:t>
            </w:r>
            <w:r w:rsidRPr="008A4895">
              <w:rPr>
                <w:kern w:val="22"/>
                <w:szCs w:val="17"/>
              </w:rPr>
              <w:t xml:space="preserve"> </w:t>
            </w:r>
            <w:r>
              <w:rPr>
                <w:kern w:val="22"/>
                <w:szCs w:val="17"/>
              </w:rPr>
              <w:t>Pa</w:t>
            </w:r>
            <w:r w:rsidRPr="008A4895">
              <w:rPr>
                <w:kern w:val="22"/>
                <w:szCs w:val="17"/>
              </w:rPr>
              <w:t xml:space="preserve"> at 25</w:t>
            </w:r>
            <w:r w:rsidRPr="008A4895">
              <w:rPr>
                <w:szCs w:val="17"/>
              </w:rPr>
              <w:t>°C</w:t>
            </w:r>
          </w:p>
          <w:p w14:paraId="1FAD8A9E" w14:textId="1A6380CE" w:rsidR="00426C3A" w:rsidRDefault="00426C3A" w:rsidP="00426C3A">
            <w:pPr>
              <w:pStyle w:val="APVMATableText"/>
              <w:rPr>
                <w:szCs w:val="17"/>
              </w:rPr>
            </w:pPr>
            <w:r>
              <w:rPr>
                <w:kern w:val="22"/>
                <w:szCs w:val="17"/>
              </w:rPr>
              <w:t>1.29</w:t>
            </w:r>
            <w:r w:rsidRPr="008A4895">
              <w:rPr>
                <w:kern w:val="22"/>
                <w:szCs w:val="17"/>
              </w:rPr>
              <w:t>×10</w:t>
            </w:r>
            <w:r w:rsidRPr="008A4895">
              <w:rPr>
                <w:kern w:val="22"/>
                <w:szCs w:val="17"/>
                <w:vertAlign w:val="superscript"/>
              </w:rPr>
              <w:t>-</w:t>
            </w:r>
            <w:r>
              <w:rPr>
                <w:kern w:val="22"/>
                <w:szCs w:val="17"/>
                <w:vertAlign w:val="superscript"/>
              </w:rPr>
              <w:t>4</w:t>
            </w:r>
            <w:r w:rsidRPr="008A4895">
              <w:rPr>
                <w:kern w:val="22"/>
                <w:szCs w:val="17"/>
              </w:rPr>
              <w:t xml:space="preserve"> </w:t>
            </w:r>
            <w:r>
              <w:rPr>
                <w:kern w:val="22"/>
                <w:szCs w:val="17"/>
              </w:rPr>
              <w:t>Pa</w:t>
            </w:r>
            <w:r w:rsidRPr="008A4895">
              <w:rPr>
                <w:kern w:val="22"/>
                <w:szCs w:val="17"/>
              </w:rPr>
              <w:t xml:space="preserve"> at </w:t>
            </w:r>
            <w:r>
              <w:rPr>
                <w:kern w:val="22"/>
                <w:szCs w:val="17"/>
              </w:rPr>
              <w:t>3</w:t>
            </w:r>
            <w:r w:rsidRPr="008A4895">
              <w:rPr>
                <w:kern w:val="22"/>
                <w:szCs w:val="17"/>
              </w:rPr>
              <w:t>5</w:t>
            </w:r>
            <w:r w:rsidRPr="008A4895">
              <w:rPr>
                <w:szCs w:val="17"/>
              </w:rPr>
              <w:t>°C</w:t>
            </w:r>
          </w:p>
          <w:p w14:paraId="37C1B365" w14:textId="765119F4" w:rsidR="00426C3A" w:rsidRDefault="00426C3A" w:rsidP="00426C3A">
            <w:pPr>
              <w:pStyle w:val="TableText"/>
            </w:pPr>
            <w:r>
              <w:rPr>
                <w:kern w:val="22"/>
                <w:szCs w:val="17"/>
              </w:rPr>
              <w:t>5.4</w:t>
            </w:r>
            <w:r w:rsidRPr="008A4895">
              <w:rPr>
                <w:kern w:val="22"/>
                <w:szCs w:val="17"/>
              </w:rPr>
              <w:t>×10</w:t>
            </w:r>
            <w:r w:rsidRPr="008A4895">
              <w:rPr>
                <w:kern w:val="22"/>
                <w:szCs w:val="17"/>
                <w:vertAlign w:val="superscript"/>
              </w:rPr>
              <w:t>-</w:t>
            </w:r>
            <w:r>
              <w:rPr>
                <w:kern w:val="22"/>
                <w:szCs w:val="17"/>
                <w:vertAlign w:val="superscript"/>
              </w:rPr>
              <w:t>4</w:t>
            </w:r>
            <w:r w:rsidRPr="008A4895">
              <w:rPr>
                <w:kern w:val="22"/>
                <w:szCs w:val="17"/>
              </w:rPr>
              <w:t xml:space="preserve"> </w:t>
            </w:r>
            <w:r>
              <w:rPr>
                <w:kern w:val="22"/>
                <w:szCs w:val="17"/>
              </w:rPr>
              <w:t>Pa</w:t>
            </w:r>
            <w:r w:rsidRPr="008A4895">
              <w:rPr>
                <w:kern w:val="22"/>
                <w:szCs w:val="17"/>
              </w:rPr>
              <w:t xml:space="preserve"> at </w:t>
            </w:r>
            <w:r>
              <w:rPr>
                <w:kern w:val="22"/>
                <w:szCs w:val="17"/>
              </w:rPr>
              <w:t>4</w:t>
            </w:r>
            <w:r w:rsidRPr="008A4895">
              <w:rPr>
                <w:kern w:val="22"/>
                <w:szCs w:val="17"/>
              </w:rPr>
              <w:t>5</w:t>
            </w:r>
            <w:r w:rsidRPr="008A4895">
              <w:rPr>
                <w:szCs w:val="17"/>
              </w:rPr>
              <w:t>°C</w:t>
            </w:r>
          </w:p>
        </w:tc>
      </w:tr>
      <w:tr w:rsidR="00426C3A" w14:paraId="636EC6BD" w14:textId="77777777" w:rsidTr="0041501F">
        <w:trPr>
          <w:cantSplit/>
          <w:tblHeader/>
        </w:trPr>
        <w:tc>
          <w:tcPr>
            <w:tcW w:w="2133" w:type="pct"/>
            <w:tcBorders>
              <w:top w:val="single" w:sz="4" w:space="0" w:color="auto"/>
              <w:bottom w:val="single" w:sz="4" w:space="0" w:color="auto"/>
            </w:tcBorders>
            <w:shd w:val="clear" w:color="auto" w:fill="5C2946"/>
            <w:vAlign w:val="center"/>
          </w:tcPr>
          <w:p w14:paraId="5ECF1A38" w14:textId="632F0B5B" w:rsidR="00426C3A" w:rsidRPr="00D05130" w:rsidRDefault="00426C3A" w:rsidP="00D05130">
            <w:pPr>
              <w:pStyle w:val="TableHead"/>
            </w:pPr>
            <w:r w:rsidRPr="00D05130">
              <w:t>Dissociation constant (20°C):</w:t>
            </w:r>
          </w:p>
        </w:tc>
        <w:tc>
          <w:tcPr>
            <w:tcW w:w="2867" w:type="pct"/>
            <w:tcBorders>
              <w:top w:val="single" w:sz="4" w:space="0" w:color="auto"/>
              <w:bottom w:val="single" w:sz="4" w:space="0" w:color="auto"/>
            </w:tcBorders>
            <w:vAlign w:val="center"/>
          </w:tcPr>
          <w:p w14:paraId="6FF07596" w14:textId="7B326F25" w:rsidR="00426C3A" w:rsidRDefault="00426C3A" w:rsidP="00426C3A">
            <w:pPr>
              <w:pStyle w:val="TableText"/>
            </w:pPr>
            <w:r>
              <w:rPr>
                <w:kern w:val="22"/>
                <w:szCs w:val="17"/>
              </w:rPr>
              <w:t xml:space="preserve">No </w:t>
            </w:r>
            <w:proofErr w:type="spellStart"/>
            <w:r>
              <w:rPr>
                <w:kern w:val="22"/>
                <w:szCs w:val="17"/>
              </w:rPr>
              <w:t>pKa</w:t>
            </w:r>
            <w:proofErr w:type="spellEnd"/>
            <w:r>
              <w:rPr>
                <w:kern w:val="22"/>
                <w:szCs w:val="17"/>
              </w:rPr>
              <w:t xml:space="preserve"> value at pH</w:t>
            </w:r>
            <w:r w:rsidR="00295DF8">
              <w:rPr>
                <w:szCs w:val="17"/>
              </w:rPr>
              <w:t> </w:t>
            </w:r>
            <w:r>
              <w:rPr>
                <w:kern w:val="22"/>
                <w:szCs w:val="17"/>
              </w:rPr>
              <w:t>2.0 to 12.0, decomposition occurs at pH</w:t>
            </w:r>
            <w:r>
              <w:rPr>
                <w:szCs w:val="17"/>
              </w:rPr>
              <w:t> </w:t>
            </w:r>
            <w:r>
              <w:rPr>
                <w:kern w:val="22"/>
                <w:szCs w:val="17"/>
              </w:rPr>
              <w:t>&gt;8.0</w:t>
            </w:r>
          </w:p>
        </w:tc>
      </w:tr>
      <w:tr w:rsidR="00426C3A" w14:paraId="3A4A09FD" w14:textId="77777777" w:rsidTr="0041501F">
        <w:trPr>
          <w:cantSplit/>
          <w:tblHeader/>
        </w:trPr>
        <w:tc>
          <w:tcPr>
            <w:tcW w:w="2133" w:type="pct"/>
            <w:tcBorders>
              <w:top w:val="single" w:sz="4" w:space="0" w:color="auto"/>
              <w:bottom w:val="single" w:sz="4" w:space="0" w:color="auto"/>
            </w:tcBorders>
            <w:shd w:val="clear" w:color="auto" w:fill="5C2946"/>
          </w:tcPr>
          <w:p w14:paraId="107F0CBC" w14:textId="456E08F9" w:rsidR="00426C3A" w:rsidRPr="00D05130" w:rsidRDefault="00426C3A" w:rsidP="00D05130">
            <w:pPr>
              <w:pStyle w:val="TableHead"/>
            </w:pPr>
            <w:r w:rsidRPr="00D05130">
              <w:t>Stability:</w:t>
            </w:r>
          </w:p>
        </w:tc>
        <w:tc>
          <w:tcPr>
            <w:tcW w:w="2867" w:type="pct"/>
            <w:tcBorders>
              <w:top w:val="single" w:sz="4" w:space="0" w:color="auto"/>
              <w:bottom w:val="single" w:sz="4" w:space="0" w:color="auto"/>
            </w:tcBorders>
          </w:tcPr>
          <w:p w14:paraId="6DBBAB35" w14:textId="19A81E63" w:rsidR="00426C3A" w:rsidRDefault="00426C3A" w:rsidP="00426C3A">
            <w:pPr>
              <w:pStyle w:val="TableText"/>
            </w:pPr>
            <w:r w:rsidRPr="00570803">
              <w:t xml:space="preserve">Stable for at least </w:t>
            </w:r>
            <w:r>
              <w:t>2</w:t>
            </w:r>
            <w:r w:rsidRPr="00570803">
              <w:t xml:space="preserve"> years storage under </w:t>
            </w:r>
            <w:r>
              <w:t>normal conditions</w:t>
            </w:r>
          </w:p>
        </w:tc>
      </w:tr>
      <w:tr w:rsidR="00426C3A" w14:paraId="01D92BEE" w14:textId="77777777" w:rsidTr="0041501F">
        <w:trPr>
          <w:cantSplit/>
          <w:tblHeader/>
        </w:trPr>
        <w:tc>
          <w:tcPr>
            <w:tcW w:w="2133" w:type="pct"/>
            <w:tcBorders>
              <w:top w:val="single" w:sz="4" w:space="0" w:color="auto"/>
              <w:bottom w:val="single" w:sz="4" w:space="0" w:color="auto"/>
            </w:tcBorders>
            <w:shd w:val="clear" w:color="auto" w:fill="5C2946"/>
          </w:tcPr>
          <w:p w14:paraId="2091398F" w14:textId="1ED39A52" w:rsidR="00426C3A" w:rsidRPr="00D05130" w:rsidRDefault="00426C3A" w:rsidP="00D05130">
            <w:pPr>
              <w:pStyle w:val="TableHead"/>
            </w:pPr>
            <w:r w:rsidRPr="00D05130">
              <w:t>Henry’s law constant (20°C):</w:t>
            </w:r>
          </w:p>
        </w:tc>
        <w:tc>
          <w:tcPr>
            <w:tcW w:w="2867" w:type="pct"/>
            <w:tcBorders>
              <w:top w:val="single" w:sz="4" w:space="0" w:color="auto"/>
              <w:bottom w:val="single" w:sz="4" w:space="0" w:color="auto"/>
            </w:tcBorders>
          </w:tcPr>
          <w:p w14:paraId="56F8B72F" w14:textId="61A285FE" w:rsidR="00426C3A" w:rsidRDefault="00426C3A" w:rsidP="00426C3A">
            <w:pPr>
              <w:pStyle w:val="TableText"/>
            </w:pPr>
            <w:r w:rsidRPr="00570803">
              <w:t>2</w:t>
            </w:r>
            <w:r>
              <w:t>.</w:t>
            </w:r>
            <w:r w:rsidRPr="00570803">
              <w:t>65</w:t>
            </w:r>
            <w:r w:rsidRPr="008A4895">
              <w:rPr>
                <w:kern w:val="22"/>
                <w:szCs w:val="17"/>
              </w:rPr>
              <w:t>×10</w:t>
            </w:r>
            <w:r w:rsidRPr="008A4895">
              <w:rPr>
                <w:kern w:val="22"/>
                <w:szCs w:val="17"/>
                <w:vertAlign w:val="superscript"/>
              </w:rPr>
              <w:t>-</w:t>
            </w:r>
            <w:r>
              <w:rPr>
                <w:kern w:val="22"/>
                <w:szCs w:val="17"/>
                <w:vertAlign w:val="superscript"/>
              </w:rPr>
              <w:t>3</w:t>
            </w:r>
            <w:r>
              <w:rPr>
                <w:szCs w:val="17"/>
              </w:rPr>
              <w:t> </w:t>
            </w:r>
            <w:r w:rsidRPr="00570803">
              <w:t>Pa.m</w:t>
            </w:r>
            <w:r w:rsidRPr="00570803">
              <w:rPr>
                <w:vertAlign w:val="superscript"/>
              </w:rPr>
              <w:t>3</w:t>
            </w:r>
            <w:r w:rsidRPr="00570803">
              <w:t>mol</w:t>
            </w:r>
            <w:r w:rsidRPr="00570803">
              <w:rPr>
                <w:vertAlign w:val="superscript"/>
              </w:rPr>
              <w:t>-1</w:t>
            </w:r>
          </w:p>
        </w:tc>
      </w:tr>
      <w:tr w:rsidR="00426C3A" w14:paraId="53FE08DD" w14:textId="77777777" w:rsidTr="0041501F">
        <w:trPr>
          <w:cantSplit/>
          <w:tblHeader/>
        </w:trPr>
        <w:tc>
          <w:tcPr>
            <w:tcW w:w="2133" w:type="pct"/>
            <w:tcBorders>
              <w:top w:val="single" w:sz="4" w:space="0" w:color="auto"/>
              <w:bottom w:val="single" w:sz="4" w:space="0" w:color="auto"/>
            </w:tcBorders>
            <w:shd w:val="clear" w:color="auto" w:fill="5C2946"/>
          </w:tcPr>
          <w:p w14:paraId="677E0B7A" w14:textId="36D403B9" w:rsidR="00426C3A" w:rsidRPr="00D05130" w:rsidRDefault="00426C3A" w:rsidP="00D05130">
            <w:pPr>
              <w:pStyle w:val="TableHead"/>
            </w:pPr>
            <w:r w:rsidRPr="00D05130">
              <w:t>Hydrolysis (DT</w:t>
            </w:r>
            <w:r w:rsidRPr="00E456D9">
              <w:rPr>
                <w:rStyle w:val="APVMASubscript"/>
                <w:vertAlign w:val="superscript"/>
              </w:rPr>
              <w:t>50</w:t>
            </w:r>
            <w:r w:rsidRPr="00D05130">
              <w:t>, 30°C):</w:t>
            </w:r>
          </w:p>
        </w:tc>
        <w:tc>
          <w:tcPr>
            <w:tcW w:w="2867" w:type="pct"/>
            <w:tcBorders>
              <w:top w:val="single" w:sz="4" w:space="0" w:color="auto"/>
              <w:bottom w:val="single" w:sz="4" w:space="0" w:color="auto"/>
            </w:tcBorders>
          </w:tcPr>
          <w:p w14:paraId="32FB4CCC" w14:textId="76F6A9CB" w:rsidR="00426C3A" w:rsidRDefault="00426C3A" w:rsidP="00426C3A">
            <w:pPr>
              <w:pStyle w:val="APVMATableText"/>
              <w:rPr>
                <w:kern w:val="22"/>
                <w:szCs w:val="17"/>
              </w:rPr>
            </w:pPr>
            <w:r>
              <w:rPr>
                <w:kern w:val="22"/>
                <w:szCs w:val="17"/>
              </w:rPr>
              <w:t>DT</w:t>
            </w:r>
            <w:r w:rsidRPr="00CC4A3F">
              <w:rPr>
                <w:rStyle w:val="APVMASubscript"/>
              </w:rPr>
              <w:t>50</w:t>
            </w:r>
            <w:r>
              <w:rPr>
                <w:kern w:val="22"/>
                <w:szCs w:val="17"/>
              </w:rPr>
              <w:t xml:space="preserve"> at pH</w:t>
            </w:r>
            <w:r>
              <w:rPr>
                <w:szCs w:val="17"/>
              </w:rPr>
              <w:t> </w:t>
            </w:r>
            <w:r>
              <w:rPr>
                <w:kern w:val="22"/>
                <w:szCs w:val="17"/>
              </w:rPr>
              <w:t>2 is 120.4</w:t>
            </w:r>
            <w:r w:rsidR="00295DF8">
              <w:rPr>
                <w:szCs w:val="17"/>
              </w:rPr>
              <w:t> </w:t>
            </w:r>
            <w:r>
              <w:rPr>
                <w:kern w:val="22"/>
                <w:szCs w:val="17"/>
              </w:rPr>
              <w:t>days</w:t>
            </w:r>
          </w:p>
          <w:p w14:paraId="6DBDFAAF" w14:textId="05B8E70F" w:rsidR="00426C3A" w:rsidRDefault="00426C3A" w:rsidP="00426C3A">
            <w:pPr>
              <w:pStyle w:val="APVMATableText"/>
              <w:rPr>
                <w:kern w:val="22"/>
                <w:szCs w:val="17"/>
              </w:rPr>
            </w:pPr>
            <w:r>
              <w:rPr>
                <w:kern w:val="22"/>
                <w:szCs w:val="17"/>
              </w:rPr>
              <w:t>DT</w:t>
            </w:r>
            <w:r w:rsidRPr="00CC4A3F">
              <w:rPr>
                <w:rStyle w:val="APVMASubscript"/>
              </w:rPr>
              <w:t>50</w:t>
            </w:r>
            <w:r>
              <w:rPr>
                <w:kern w:val="22"/>
                <w:szCs w:val="17"/>
              </w:rPr>
              <w:t xml:space="preserve"> at pH</w:t>
            </w:r>
            <w:r>
              <w:rPr>
                <w:szCs w:val="17"/>
              </w:rPr>
              <w:t> </w:t>
            </w:r>
            <w:r>
              <w:rPr>
                <w:kern w:val="22"/>
                <w:szCs w:val="17"/>
              </w:rPr>
              <w:t>7 is 3.8</w:t>
            </w:r>
            <w:r w:rsidR="00295DF8">
              <w:rPr>
                <w:szCs w:val="17"/>
              </w:rPr>
              <w:t> </w:t>
            </w:r>
            <w:r>
              <w:rPr>
                <w:kern w:val="22"/>
                <w:szCs w:val="17"/>
              </w:rPr>
              <w:t>days</w:t>
            </w:r>
          </w:p>
          <w:p w14:paraId="56230B80" w14:textId="023413E9" w:rsidR="00426C3A" w:rsidRDefault="00426C3A" w:rsidP="00426C3A">
            <w:pPr>
              <w:pStyle w:val="TableText"/>
            </w:pPr>
            <w:r>
              <w:rPr>
                <w:kern w:val="22"/>
                <w:szCs w:val="17"/>
              </w:rPr>
              <w:t>DT</w:t>
            </w:r>
            <w:r w:rsidRPr="00CC4A3F">
              <w:rPr>
                <w:rStyle w:val="APVMASubscript"/>
              </w:rPr>
              <w:t>50</w:t>
            </w:r>
            <w:r>
              <w:rPr>
                <w:kern w:val="22"/>
                <w:szCs w:val="17"/>
              </w:rPr>
              <w:t xml:space="preserve"> at pH</w:t>
            </w:r>
            <w:r>
              <w:rPr>
                <w:szCs w:val="17"/>
              </w:rPr>
              <w:t> </w:t>
            </w:r>
            <w:r>
              <w:rPr>
                <w:kern w:val="22"/>
                <w:szCs w:val="17"/>
              </w:rPr>
              <w:t>9 is 1.9</w:t>
            </w:r>
            <w:r w:rsidR="00295DF8">
              <w:rPr>
                <w:szCs w:val="17"/>
              </w:rPr>
              <w:t> </w:t>
            </w:r>
            <w:r>
              <w:rPr>
                <w:kern w:val="22"/>
                <w:szCs w:val="17"/>
              </w:rPr>
              <w:t>days</w:t>
            </w:r>
          </w:p>
        </w:tc>
      </w:tr>
      <w:tr w:rsidR="00426C3A" w14:paraId="6A5D6631" w14:textId="77777777" w:rsidTr="0041501F">
        <w:trPr>
          <w:cantSplit/>
          <w:tblHeader/>
        </w:trPr>
        <w:tc>
          <w:tcPr>
            <w:tcW w:w="2133" w:type="pct"/>
            <w:tcBorders>
              <w:top w:val="single" w:sz="4" w:space="0" w:color="auto"/>
              <w:bottom w:val="single" w:sz="4" w:space="0" w:color="auto"/>
            </w:tcBorders>
            <w:shd w:val="clear" w:color="auto" w:fill="5C2946"/>
          </w:tcPr>
          <w:p w14:paraId="56D8D4CE" w14:textId="1C26549F" w:rsidR="00426C3A" w:rsidRPr="00D05130" w:rsidRDefault="00426C3A" w:rsidP="00D05130">
            <w:pPr>
              <w:pStyle w:val="TableHead"/>
            </w:pPr>
            <w:r w:rsidRPr="00D05130">
              <w:t>Photolysis:</w:t>
            </w:r>
          </w:p>
        </w:tc>
        <w:tc>
          <w:tcPr>
            <w:tcW w:w="2867" w:type="pct"/>
            <w:tcBorders>
              <w:top w:val="single" w:sz="4" w:space="0" w:color="auto"/>
              <w:bottom w:val="single" w:sz="4" w:space="0" w:color="auto"/>
            </w:tcBorders>
          </w:tcPr>
          <w:p w14:paraId="6B89D20B" w14:textId="3A84FB18" w:rsidR="00426C3A" w:rsidRDefault="00426C3A" w:rsidP="00426C3A">
            <w:pPr>
              <w:pStyle w:val="TableText"/>
            </w:pPr>
            <w:r>
              <w:rPr>
                <w:kern w:val="22"/>
                <w:szCs w:val="17"/>
              </w:rPr>
              <w:t>Aqueous photolysis (DT</w:t>
            </w:r>
            <w:r w:rsidRPr="00CC4A3F">
              <w:rPr>
                <w:rStyle w:val="APVMASubscript"/>
              </w:rPr>
              <w:t>50</w:t>
            </w:r>
            <w:r>
              <w:rPr>
                <w:kern w:val="22"/>
                <w:szCs w:val="17"/>
              </w:rPr>
              <w:t>) is 8 days under sunlight</w:t>
            </w:r>
          </w:p>
        </w:tc>
      </w:tr>
    </w:tbl>
    <w:p w14:paraId="5771728B" w14:textId="2AAE690C" w:rsidR="00426C3A" w:rsidRPr="00D05130" w:rsidRDefault="00426C3A" w:rsidP="00D05130">
      <w:pPr>
        <w:pStyle w:val="APVMAText"/>
      </w:pPr>
      <w:r w:rsidRPr="00D05130">
        <w:t>Procymidone is a colourless crystalline powered solid that melts at 163 to 164.5°C, and further heating leads to decomposition at temperature above 360°C. It is practically insoluble in water (2.4</w:t>
      </w:r>
      <w:r w:rsidR="00295DF8" w:rsidRPr="00D05130">
        <w:t> </w:t>
      </w:r>
      <w:r w:rsidRPr="00D05130">
        <w:t xml:space="preserve">mg/L at 20°C) but is highly soluble in organic solvents. The octanol-water partition coefficient (Log </w:t>
      </w:r>
      <w:r w:rsidRPr="007C119E">
        <w:t>P</w:t>
      </w:r>
      <w:r w:rsidRPr="007C119E">
        <w:rPr>
          <w:rStyle w:val="APVMASubscript"/>
        </w:rPr>
        <w:t>ow</w:t>
      </w:r>
      <w:r w:rsidRPr="00D05130">
        <w:t>= 3.3, pH 6.0) suggests that moderate bioaccumulation could occur, but the bioaccumulation factor is low. The vapour pressure</w:t>
      </w:r>
      <w:r w:rsidR="0041501F">
        <w:br/>
      </w:r>
      <w:r w:rsidRPr="00D05130">
        <w:lastRenderedPageBreak/>
        <w:t>(2.3×10-5</w:t>
      </w:r>
      <w:r w:rsidR="00295DF8" w:rsidRPr="00D05130">
        <w:t> </w:t>
      </w:r>
      <w:r w:rsidRPr="00D05130">
        <w:t>Pa) and the Henry's law constant (2.65×10-3 Pa-m3/mol) indicate that volatilisation is not a significant route of dissipation. Procymidone is stable to photolysis in acidic solution but hydrolysed rapidly at pH 7.0 and pH 9.0. Degradation follows first-order kinetics with an estimated half-life of 8 days under sunlight conditions.</w:t>
      </w:r>
    </w:p>
    <w:p w14:paraId="36442573" w14:textId="162EFD56" w:rsidR="00426C3A" w:rsidRPr="000554B4" w:rsidRDefault="00426C3A" w:rsidP="00D05130">
      <w:pPr>
        <w:pStyle w:val="APVMAText"/>
      </w:pPr>
      <w:r w:rsidRPr="000554B4">
        <w:t>There is currently one active approval for procymidone (see</w:t>
      </w:r>
      <w:r>
        <w:t xml:space="preserve"> Table 3</w:t>
      </w:r>
      <w:r w:rsidRPr="000554B4">
        <w:t>).</w:t>
      </w:r>
    </w:p>
    <w:p w14:paraId="1CAC2D32" w14:textId="4580EB64" w:rsidR="00426C3A" w:rsidRDefault="00426C3A" w:rsidP="00426C3A">
      <w:pPr>
        <w:pStyle w:val="Caption"/>
      </w:pPr>
      <w:bookmarkStart w:id="17" w:name="_Toc101967999"/>
      <w:bookmarkStart w:id="18" w:name="_Hlk111728427"/>
      <w:bookmarkStart w:id="19" w:name="_Toc116301694"/>
      <w:r>
        <w:t xml:space="preserve">Table </w:t>
      </w:r>
      <w:r>
        <w:rPr>
          <w:noProof/>
        </w:rPr>
        <w:fldChar w:fldCharType="begin"/>
      </w:r>
      <w:r>
        <w:rPr>
          <w:noProof/>
        </w:rPr>
        <w:instrText xml:space="preserve"> SEQ Table \* ARABIC </w:instrText>
      </w:r>
      <w:r>
        <w:rPr>
          <w:noProof/>
        </w:rPr>
        <w:fldChar w:fldCharType="separate"/>
      </w:r>
      <w:r w:rsidR="00ED7319">
        <w:rPr>
          <w:noProof/>
        </w:rPr>
        <w:t>3</w:t>
      </w:r>
      <w:r>
        <w:rPr>
          <w:noProof/>
        </w:rPr>
        <w:fldChar w:fldCharType="end"/>
      </w:r>
      <w:r>
        <w:t>:</w:t>
      </w:r>
      <w:r>
        <w:tab/>
        <w:t>Current active approvals for procymidone</w:t>
      </w:r>
      <w:bookmarkEnd w:id="17"/>
      <w:bookmarkEnd w:id="19"/>
    </w:p>
    <w:tbl>
      <w:tblPr>
        <w:tblW w:w="5000" w:type="pct"/>
        <w:tblBorders>
          <w:bottom w:val="dotted" w:sz="2" w:space="0" w:color="auto"/>
          <w:insideH w:val="dotted" w:sz="2" w:space="0" w:color="auto"/>
        </w:tblBorders>
        <w:tblLook w:val="01E0" w:firstRow="1" w:lastRow="1" w:firstColumn="1" w:lastColumn="1" w:noHBand="0" w:noVBand="0"/>
      </w:tblPr>
      <w:tblGrid>
        <w:gridCol w:w="4819"/>
        <w:gridCol w:w="4819"/>
      </w:tblGrid>
      <w:tr w:rsidR="00426C3A" w14:paraId="47990B38" w14:textId="77777777" w:rsidTr="00426C3A">
        <w:trPr>
          <w:cantSplit/>
          <w:tblHeader/>
        </w:trPr>
        <w:tc>
          <w:tcPr>
            <w:tcW w:w="2500" w:type="pct"/>
            <w:tcBorders>
              <w:top w:val="single" w:sz="4" w:space="0" w:color="auto"/>
              <w:bottom w:val="single" w:sz="4" w:space="0" w:color="auto"/>
            </w:tcBorders>
            <w:shd w:val="clear" w:color="auto" w:fill="5C2946"/>
            <w:vAlign w:val="bottom"/>
          </w:tcPr>
          <w:p w14:paraId="0C377CDB" w14:textId="296AA8F0" w:rsidR="00426C3A" w:rsidRPr="00FB0015" w:rsidRDefault="00426C3A" w:rsidP="00426C3A">
            <w:pPr>
              <w:pStyle w:val="TableHead"/>
            </w:pPr>
            <w:r w:rsidRPr="0065245B">
              <w:t>Approval number</w:t>
            </w:r>
          </w:p>
        </w:tc>
        <w:tc>
          <w:tcPr>
            <w:tcW w:w="2500" w:type="pct"/>
            <w:tcBorders>
              <w:top w:val="single" w:sz="4" w:space="0" w:color="auto"/>
              <w:bottom w:val="single" w:sz="4" w:space="0" w:color="auto"/>
            </w:tcBorders>
            <w:shd w:val="clear" w:color="auto" w:fill="5C2946"/>
            <w:vAlign w:val="bottom"/>
          </w:tcPr>
          <w:p w14:paraId="47BD91EF" w14:textId="7BDFCB03" w:rsidR="00426C3A" w:rsidRPr="00FB0015" w:rsidRDefault="00426C3A" w:rsidP="00426C3A">
            <w:pPr>
              <w:pStyle w:val="TableHead"/>
            </w:pPr>
            <w:r w:rsidRPr="0065245B">
              <w:t>Approval holder</w:t>
            </w:r>
          </w:p>
        </w:tc>
      </w:tr>
      <w:tr w:rsidR="00426C3A" w14:paraId="75EF5FD7" w14:textId="77777777" w:rsidTr="00426C3A">
        <w:trPr>
          <w:cantSplit/>
        </w:trPr>
        <w:tc>
          <w:tcPr>
            <w:tcW w:w="2500" w:type="pct"/>
            <w:tcBorders>
              <w:top w:val="single" w:sz="4" w:space="0" w:color="auto"/>
              <w:bottom w:val="single" w:sz="4" w:space="0" w:color="auto"/>
            </w:tcBorders>
          </w:tcPr>
          <w:p w14:paraId="2BC308A1" w14:textId="537C2B66" w:rsidR="00426C3A" w:rsidRDefault="00426C3A" w:rsidP="00426C3A">
            <w:pPr>
              <w:pStyle w:val="TableText"/>
            </w:pPr>
            <w:r w:rsidRPr="0065245B">
              <w:t>50862</w:t>
            </w:r>
          </w:p>
        </w:tc>
        <w:tc>
          <w:tcPr>
            <w:tcW w:w="2500" w:type="pct"/>
            <w:tcBorders>
              <w:top w:val="single" w:sz="4" w:space="0" w:color="auto"/>
              <w:bottom w:val="single" w:sz="4" w:space="0" w:color="auto"/>
            </w:tcBorders>
          </w:tcPr>
          <w:p w14:paraId="742EDB35" w14:textId="5D99C4E4" w:rsidR="00426C3A" w:rsidRDefault="00426C3A" w:rsidP="00426C3A">
            <w:pPr>
              <w:pStyle w:val="TableText"/>
            </w:pPr>
            <w:r w:rsidRPr="0065245B">
              <w:t>Sumitomo Chemical Australia Pty Ltd</w:t>
            </w:r>
          </w:p>
        </w:tc>
      </w:tr>
    </w:tbl>
    <w:bookmarkEnd w:id="18"/>
    <w:p w14:paraId="122D21AC" w14:textId="3E682128" w:rsidR="00426C3A" w:rsidRPr="00D05130" w:rsidRDefault="00426C3A" w:rsidP="00D05130">
      <w:pPr>
        <w:pStyle w:val="APVMAText"/>
      </w:pPr>
      <w:r w:rsidRPr="00D05130">
        <w:t>The current APVMA active constituent standard for procymidone specifies a minimum purity of 985 g/kg for the technical material</w:t>
      </w:r>
      <w:r w:rsidRPr="00D05130">
        <w:rPr>
          <w:rStyle w:val="APVMASuperscript"/>
        </w:rPr>
        <w:footnoteReference w:id="4"/>
      </w:r>
      <w:r w:rsidRPr="00D05130">
        <w:t xml:space="preserve">. This minimum purity of 985 g/kg is the same as that specified in the </w:t>
      </w:r>
      <w:r w:rsidRPr="007C119E">
        <w:t>FAO</w:t>
      </w:r>
      <w:r w:rsidRPr="00D05130">
        <w:t xml:space="preserve"> specification for procymidone technical material</w:t>
      </w:r>
      <w:bookmarkStart w:id="20" w:name="_Ref42613989"/>
      <w:r w:rsidRPr="00D05130">
        <w:rPr>
          <w:rStyle w:val="APVMASuperscript"/>
        </w:rPr>
        <w:footnoteReference w:id="5"/>
      </w:r>
      <w:bookmarkEnd w:id="20"/>
      <w:r w:rsidRPr="00D05130">
        <w:rPr>
          <w:rStyle w:val="APVMASuperscript"/>
          <w:vertAlign w:val="baseline"/>
        </w:rPr>
        <w:t>.</w:t>
      </w:r>
    </w:p>
    <w:p w14:paraId="1461262A" w14:textId="7D14721A" w:rsidR="00426C3A" w:rsidRPr="00D05130" w:rsidRDefault="00426C3A" w:rsidP="00D05130">
      <w:pPr>
        <w:pStyle w:val="Heading3"/>
      </w:pPr>
      <w:bookmarkStart w:id="21" w:name="_Toc116301512"/>
      <w:r w:rsidRPr="00D05130">
        <w:t>Toxicologically significant impurities</w:t>
      </w:r>
      <w:bookmarkEnd w:id="21"/>
    </w:p>
    <w:p w14:paraId="01C6F07F" w14:textId="3BB983F1" w:rsidR="00426C3A" w:rsidRPr="00D05130" w:rsidRDefault="00426C3A" w:rsidP="00D05130">
      <w:pPr>
        <w:pStyle w:val="APVMAText"/>
      </w:pPr>
      <w:r w:rsidRPr="00D05130">
        <w:t>Noting the general list of impurities and classes of impurities of toxicological concern</w:t>
      </w:r>
      <w:r w:rsidRPr="007C119E">
        <w:rPr>
          <w:rStyle w:val="FootnoteReference"/>
        </w:rPr>
        <w:footnoteReference w:id="6"/>
      </w:r>
      <w:r w:rsidRPr="00D05130">
        <w:t>, the aniline derivative,</w:t>
      </w:r>
      <w:r w:rsidR="00D05130">
        <w:t xml:space="preserve"> </w:t>
      </w:r>
      <w:r w:rsidRPr="00D05130">
        <w:t>3,5-dichloroaniline is a potential impurity in technical procymidone. The FAO/</w:t>
      </w:r>
      <w:r w:rsidRPr="007C119E">
        <w:t>WHO</w:t>
      </w:r>
      <w:r w:rsidRPr="00D05130">
        <w:t xml:space="preserve"> Joint Meeting on Pesticide Specifications (JMPS) assessment in 2001 did not identify any impurities as toxicologically relevant for the technical procymidone</w:t>
      </w:r>
      <w:r w:rsidRPr="00D05130">
        <w:rPr>
          <w:rStyle w:val="APVMASuperscript"/>
          <w:vertAlign w:val="baseline"/>
        </w:rPr>
        <w:fldChar w:fldCharType="begin"/>
      </w:r>
      <w:r w:rsidRPr="00D05130">
        <w:rPr>
          <w:rStyle w:val="APVMASuperscript"/>
          <w:vertAlign w:val="baseline"/>
        </w:rPr>
        <w:instrText xml:space="preserve"> NOTEREF _Ref42613989 \h  \* MERGEFORMAT </w:instrText>
      </w:r>
      <w:r w:rsidRPr="00D05130">
        <w:rPr>
          <w:rStyle w:val="APVMASuperscript"/>
          <w:vertAlign w:val="baseline"/>
        </w:rPr>
      </w:r>
      <w:r w:rsidRPr="00D05130">
        <w:rPr>
          <w:rStyle w:val="APVMASuperscript"/>
          <w:vertAlign w:val="baseline"/>
        </w:rPr>
        <w:fldChar w:fldCharType="separate"/>
      </w:r>
      <w:r w:rsidR="00ED7319" w:rsidRPr="00D05130">
        <w:rPr>
          <w:rStyle w:val="APVMASuperscript"/>
          <w:vertAlign w:val="baseline"/>
        </w:rPr>
        <w:t>4</w:t>
      </w:r>
      <w:r w:rsidRPr="00D05130">
        <w:rPr>
          <w:rStyle w:val="APVMASuperscript"/>
          <w:vertAlign w:val="baseline"/>
        </w:rPr>
        <w:fldChar w:fldCharType="end"/>
      </w:r>
      <w:r w:rsidRPr="00D05130">
        <w:t xml:space="preserve">. The APVMA considers that a maximum limit of 1 g/kg for 3,5-dichloroaniline is appropriate from a toxicological perspective. Therefore, a maximum limit of 1 g/kg for 3,5-dichloroaniline </w:t>
      </w:r>
      <w:r w:rsidR="004E2737" w:rsidRPr="00D05130">
        <w:t xml:space="preserve">has been included </w:t>
      </w:r>
      <w:r w:rsidRPr="00D05130">
        <w:t>in the APVMA Standard for procymidone.</w:t>
      </w:r>
    </w:p>
    <w:p w14:paraId="32A05B8F" w14:textId="4804FA1C" w:rsidR="00426C3A" w:rsidRPr="00D05130" w:rsidRDefault="00426C3A" w:rsidP="00D05130">
      <w:pPr>
        <w:pStyle w:val="APVMAText"/>
      </w:pPr>
      <w:proofErr w:type="gramStart"/>
      <w:r w:rsidRPr="00D05130">
        <w:t>On the basis of</w:t>
      </w:r>
      <w:proofErr w:type="gramEnd"/>
      <w:r w:rsidRPr="00D05130">
        <w:t xml:space="preserve"> the information considered under this review, the currently approved source of procymidone active constituent will comply with this limit. No other changes to the APVMA standard for procymidone active constituent are considered necessary to ensure continued satisfaction with respect to the safety criteria for procymidone active constituent approvals.</w:t>
      </w:r>
    </w:p>
    <w:p w14:paraId="4CE5579D" w14:textId="77777777" w:rsidR="00426C3A" w:rsidRPr="00D05130" w:rsidRDefault="00426C3A" w:rsidP="00D05130">
      <w:pPr>
        <w:pStyle w:val="APVMAText"/>
      </w:pPr>
      <w:r w:rsidRPr="00D05130">
        <w:t>An amended active constituent standard for procymidone has been established under section 6E of the Agvet Code.</w:t>
      </w:r>
    </w:p>
    <w:p w14:paraId="0D87ED1E" w14:textId="655C62D7" w:rsidR="00426C3A" w:rsidRPr="00D05130" w:rsidRDefault="00426C3A" w:rsidP="00D05130">
      <w:pPr>
        <w:pStyle w:val="Heading2"/>
      </w:pPr>
      <w:bookmarkStart w:id="22" w:name="_Toc116301513"/>
      <w:r w:rsidRPr="00D05130">
        <w:t>Formulated products</w:t>
      </w:r>
      <w:bookmarkEnd w:id="22"/>
    </w:p>
    <w:p w14:paraId="14D09F61" w14:textId="1B7B70A4" w:rsidR="00426C3A" w:rsidRPr="00D05130" w:rsidRDefault="00426C3A" w:rsidP="00D05130">
      <w:pPr>
        <w:pStyle w:val="APVMAText"/>
      </w:pPr>
      <w:r w:rsidRPr="00D05130">
        <w:t>There are currently 19 registered products containing procymidone across 3 product formulation types. They are 500</w:t>
      </w:r>
      <w:r w:rsidR="00295DF8" w:rsidRPr="00D05130">
        <w:t> </w:t>
      </w:r>
      <w:r w:rsidRPr="00D05130">
        <w:t xml:space="preserve">g/L of procymidone as suspension concentrate (SC) or flowable concentrate for seed treatment </w:t>
      </w:r>
      <w:r w:rsidRPr="00D05130">
        <w:lastRenderedPageBreak/>
        <w:t>(FS), and 800 g/kg of procymidone as water dispersible granule (WG) (see Table 4). There are no co-formulated products, all products currently registered contain only procymidone as the active constituent.</w:t>
      </w:r>
    </w:p>
    <w:p w14:paraId="227F0DF4" w14:textId="2E2903D6" w:rsidR="00426C3A" w:rsidRPr="00D05130" w:rsidRDefault="00426C3A" w:rsidP="00D05130">
      <w:pPr>
        <w:pStyle w:val="APVMAText"/>
      </w:pPr>
      <w:r w:rsidRPr="00D05130">
        <w:t>Of the registered products, 16 products have approved uses for seed treatment, 15 are registered for use on onion seeds and 3 are registered for use on lupin seed (products #53963, 54455 and 67183). Under regulation 8</w:t>
      </w:r>
      <w:proofErr w:type="gramStart"/>
      <w:r w:rsidRPr="00D05130">
        <w:t>AB(</w:t>
      </w:r>
      <w:proofErr w:type="gramEnd"/>
      <w:r w:rsidRPr="00D05130">
        <w:t>1) of the Agvet Code Regulations, Safety Criteria – chemical products; for a product that is to be applied to seeds to be stored before sowing the APVMA must have regard to whether the product contains sufficient pigment or dye to colour the seed to enable the seed to be readily distinguished from seed to which the product has not been applied. This consideration is included under</w:t>
      </w:r>
      <w:r w:rsidR="00D85656" w:rsidRPr="00D05130">
        <w:t xml:space="preserve"> the </w:t>
      </w:r>
      <w:r w:rsidR="001C4729" w:rsidRPr="00D05130">
        <w:t>‘</w:t>
      </w:r>
      <w:hyperlink w:anchor="_Treated_seed" w:history="1">
        <w:r w:rsidR="00D85656" w:rsidRPr="00D05130">
          <w:rPr>
            <w:rStyle w:val="Hyperlink"/>
            <w:color w:val="auto"/>
            <w:u w:val="none"/>
          </w:rPr>
          <w:t xml:space="preserve">Treated </w:t>
        </w:r>
        <w:r w:rsidR="00C13E09" w:rsidRPr="00D05130">
          <w:rPr>
            <w:rStyle w:val="Hyperlink"/>
            <w:color w:val="auto"/>
            <w:u w:val="none"/>
          </w:rPr>
          <w:t>s</w:t>
        </w:r>
        <w:r w:rsidR="00D85656" w:rsidRPr="00D05130">
          <w:rPr>
            <w:rStyle w:val="Hyperlink"/>
            <w:color w:val="auto"/>
            <w:u w:val="none"/>
          </w:rPr>
          <w:t>eed</w:t>
        </w:r>
      </w:hyperlink>
      <w:r w:rsidR="001C4729" w:rsidRPr="00D05130">
        <w:t>’</w:t>
      </w:r>
      <w:r w:rsidRPr="00D05130">
        <w:t xml:space="preserve"> section below.</w:t>
      </w:r>
    </w:p>
    <w:p w14:paraId="72076181" w14:textId="4B857C86" w:rsidR="00426C3A" w:rsidRDefault="00426C3A" w:rsidP="00426C3A">
      <w:pPr>
        <w:pStyle w:val="Caption"/>
      </w:pPr>
      <w:bookmarkStart w:id="23" w:name="_Toc101968000"/>
      <w:bookmarkStart w:id="24" w:name="_Toc116301695"/>
      <w:r>
        <w:t xml:space="preserve">Table </w:t>
      </w:r>
      <w:r>
        <w:rPr>
          <w:noProof/>
        </w:rPr>
        <w:fldChar w:fldCharType="begin"/>
      </w:r>
      <w:r>
        <w:rPr>
          <w:noProof/>
        </w:rPr>
        <w:instrText xml:space="preserve"> SEQ Table \* ARABIC </w:instrText>
      </w:r>
      <w:r>
        <w:rPr>
          <w:noProof/>
        </w:rPr>
        <w:fldChar w:fldCharType="separate"/>
      </w:r>
      <w:r w:rsidR="00ED7319">
        <w:rPr>
          <w:noProof/>
        </w:rPr>
        <w:t>4</w:t>
      </w:r>
      <w:r>
        <w:rPr>
          <w:noProof/>
        </w:rPr>
        <w:fldChar w:fldCharType="end"/>
      </w:r>
      <w:r>
        <w:t>:</w:t>
      </w:r>
      <w:r>
        <w:tab/>
        <w:t>Currently registered agricultural products containing procymidone</w:t>
      </w:r>
      <w:bookmarkEnd w:id="23"/>
      <w:bookmarkEnd w:id="24"/>
    </w:p>
    <w:tbl>
      <w:tblPr>
        <w:tblW w:w="5006" w:type="pct"/>
        <w:tblBorders>
          <w:bottom w:val="dotted" w:sz="2" w:space="0" w:color="auto"/>
          <w:insideH w:val="dotted" w:sz="2" w:space="0" w:color="auto"/>
        </w:tblBorders>
        <w:tblLook w:val="01E0" w:firstRow="1" w:lastRow="1" w:firstColumn="1" w:lastColumn="1" w:noHBand="0" w:noVBand="0"/>
      </w:tblPr>
      <w:tblGrid>
        <w:gridCol w:w="2127"/>
        <w:gridCol w:w="3119"/>
        <w:gridCol w:w="4404"/>
      </w:tblGrid>
      <w:tr w:rsidR="00426C3A" w14:paraId="2F121122" w14:textId="1A3852D1" w:rsidTr="00426C3A">
        <w:trPr>
          <w:cantSplit/>
          <w:tblHeader/>
        </w:trPr>
        <w:tc>
          <w:tcPr>
            <w:tcW w:w="1102" w:type="pct"/>
            <w:tcBorders>
              <w:top w:val="single" w:sz="4" w:space="0" w:color="auto"/>
              <w:bottom w:val="single" w:sz="4" w:space="0" w:color="auto"/>
            </w:tcBorders>
            <w:shd w:val="clear" w:color="auto" w:fill="5C2946"/>
            <w:vAlign w:val="center"/>
          </w:tcPr>
          <w:p w14:paraId="04E26BF7" w14:textId="556B2660" w:rsidR="00426C3A" w:rsidRPr="00FB0015" w:rsidRDefault="00426C3A" w:rsidP="00426C3A">
            <w:pPr>
              <w:pStyle w:val="TableHead"/>
            </w:pPr>
            <w:r w:rsidRPr="000554B4">
              <w:t>Registration number</w:t>
            </w:r>
          </w:p>
        </w:tc>
        <w:tc>
          <w:tcPr>
            <w:tcW w:w="1616" w:type="pct"/>
            <w:tcBorders>
              <w:top w:val="single" w:sz="4" w:space="0" w:color="auto"/>
              <w:bottom w:val="single" w:sz="4" w:space="0" w:color="auto"/>
            </w:tcBorders>
            <w:shd w:val="clear" w:color="auto" w:fill="5C2946"/>
            <w:vAlign w:val="center"/>
          </w:tcPr>
          <w:p w14:paraId="7D54A4E4" w14:textId="0AAC0326" w:rsidR="00426C3A" w:rsidRPr="00FB0015" w:rsidRDefault="00426C3A" w:rsidP="00426C3A">
            <w:pPr>
              <w:pStyle w:val="TableHead"/>
            </w:pPr>
            <w:r w:rsidRPr="000554B4">
              <w:t>Holder</w:t>
            </w:r>
          </w:p>
        </w:tc>
        <w:tc>
          <w:tcPr>
            <w:tcW w:w="2282" w:type="pct"/>
            <w:tcBorders>
              <w:top w:val="single" w:sz="4" w:space="0" w:color="auto"/>
              <w:bottom w:val="single" w:sz="4" w:space="0" w:color="auto"/>
            </w:tcBorders>
            <w:shd w:val="clear" w:color="auto" w:fill="5C2946"/>
            <w:vAlign w:val="center"/>
          </w:tcPr>
          <w:p w14:paraId="3346A794" w14:textId="04018D38" w:rsidR="00426C3A" w:rsidRPr="00FB0015" w:rsidRDefault="00426C3A" w:rsidP="00426C3A">
            <w:pPr>
              <w:pStyle w:val="TableHead"/>
            </w:pPr>
            <w:r w:rsidRPr="000554B4">
              <w:t>Product name</w:t>
            </w:r>
          </w:p>
        </w:tc>
      </w:tr>
      <w:tr w:rsidR="00426C3A" w14:paraId="21F50B2F" w14:textId="5E9151F2" w:rsidTr="00426C3A">
        <w:trPr>
          <w:cantSplit/>
        </w:trPr>
        <w:tc>
          <w:tcPr>
            <w:tcW w:w="5000" w:type="pct"/>
            <w:gridSpan w:val="3"/>
            <w:tcBorders>
              <w:top w:val="single" w:sz="4" w:space="0" w:color="auto"/>
              <w:bottom w:val="single" w:sz="4" w:space="0" w:color="auto"/>
            </w:tcBorders>
          </w:tcPr>
          <w:p w14:paraId="04E3CA25" w14:textId="45E0ECEE" w:rsidR="00426C3A" w:rsidRDefault="00426C3A" w:rsidP="00426C3A">
            <w:pPr>
              <w:pStyle w:val="TableSubHead"/>
            </w:pPr>
            <w:r w:rsidRPr="0065245B">
              <w:t>Suspension concentrate (SC) formulation containing 500 g/L procymidone</w:t>
            </w:r>
          </w:p>
        </w:tc>
      </w:tr>
      <w:tr w:rsidR="00426C3A" w14:paraId="547D7A73" w14:textId="77777777" w:rsidTr="00426C3A">
        <w:trPr>
          <w:cantSplit/>
        </w:trPr>
        <w:tc>
          <w:tcPr>
            <w:tcW w:w="1102" w:type="pct"/>
            <w:tcBorders>
              <w:top w:val="single" w:sz="4" w:space="0" w:color="auto"/>
              <w:bottom w:val="single" w:sz="4" w:space="0" w:color="auto"/>
            </w:tcBorders>
          </w:tcPr>
          <w:p w14:paraId="22E18C04" w14:textId="6CCF660A" w:rsidR="00426C3A" w:rsidRPr="0065245B" w:rsidRDefault="00426C3A" w:rsidP="00426C3A">
            <w:pPr>
              <w:pStyle w:val="TableText"/>
            </w:pPr>
            <w:r w:rsidRPr="0065245B">
              <w:t>50883</w:t>
            </w:r>
          </w:p>
        </w:tc>
        <w:tc>
          <w:tcPr>
            <w:tcW w:w="1616" w:type="pct"/>
            <w:tcBorders>
              <w:top w:val="single" w:sz="4" w:space="0" w:color="auto"/>
              <w:bottom w:val="single" w:sz="4" w:space="0" w:color="auto"/>
            </w:tcBorders>
          </w:tcPr>
          <w:p w14:paraId="41C54746" w14:textId="6B8A8CC9" w:rsidR="00426C3A" w:rsidRDefault="00426C3A" w:rsidP="00426C3A">
            <w:pPr>
              <w:pStyle w:val="TableText"/>
            </w:pPr>
            <w:r w:rsidRPr="0065245B">
              <w:t>Sumitomo Chemical Australia Pty L</w:t>
            </w:r>
            <w:r>
              <w:t>td</w:t>
            </w:r>
          </w:p>
        </w:tc>
        <w:tc>
          <w:tcPr>
            <w:tcW w:w="2282" w:type="pct"/>
            <w:tcBorders>
              <w:top w:val="single" w:sz="4" w:space="0" w:color="auto"/>
              <w:bottom w:val="single" w:sz="4" w:space="0" w:color="auto"/>
            </w:tcBorders>
          </w:tcPr>
          <w:p w14:paraId="484C2FC1" w14:textId="3D47DE4D" w:rsidR="00426C3A" w:rsidRDefault="00426C3A" w:rsidP="00426C3A">
            <w:pPr>
              <w:pStyle w:val="TableText"/>
            </w:pPr>
            <w:r w:rsidRPr="0065245B">
              <w:t xml:space="preserve">Sumitomo </w:t>
            </w:r>
            <w:proofErr w:type="spellStart"/>
            <w:r w:rsidRPr="0065245B">
              <w:t>Sumisclex</w:t>
            </w:r>
            <w:proofErr w:type="spellEnd"/>
            <w:r w:rsidRPr="0065245B">
              <w:t xml:space="preserve"> 500 Fungicide#</w:t>
            </w:r>
          </w:p>
        </w:tc>
      </w:tr>
      <w:tr w:rsidR="00426C3A" w14:paraId="7FFCE58F" w14:textId="77777777" w:rsidTr="00426C3A">
        <w:trPr>
          <w:cantSplit/>
        </w:trPr>
        <w:tc>
          <w:tcPr>
            <w:tcW w:w="1102" w:type="pct"/>
            <w:tcBorders>
              <w:top w:val="single" w:sz="4" w:space="0" w:color="auto"/>
              <w:bottom w:val="single" w:sz="4" w:space="0" w:color="auto"/>
            </w:tcBorders>
          </w:tcPr>
          <w:p w14:paraId="7EE01791" w14:textId="23FF92B7" w:rsidR="00426C3A" w:rsidRPr="0065245B" w:rsidRDefault="00426C3A" w:rsidP="00426C3A">
            <w:pPr>
              <w:pStyle w:val="TableText"/>
            </w:pPr>
            <w:r w:rsidRPr="0065245B">
              <w:t>53963</w:t>
            </w:r>
          </w:p>
        </w:tc>
        <w:tc>
          <w:tcPr>
            <w:tcW w:w="1616" w:type="pct"/>
            <w:tcBorders>
              <w:top w:val="single" w:sz="4" w:space="0" w:color="auto"/>
              <w:bottom w:val="single" w:sz="4" w:space="0" w:color="auto"/>
            </w:tcBorders>
          </w:tcPr>
          <w:p w14:paraId="75F51487" w14:textId="1EAC4263" w:rsidR="00426C3A" w:rsidRPr="0065245B" w:rsidRDefault="00426C3A" w:rsidP="00426C3A">
            <w:pPr>
              <w:pStyle w:val="TableText"/>
            </w:pPr>
            <w:r w:rsidRPr="0065245B">
              <w:t>Sumitomo Chemical Australia Pty L</w:t>
            </w:r>
            <w:r>
              <w:t>td</w:t>
            </w:r>
          </w:p>
        </w:tc>
        <w:tc>
          <w:tcPr>
            <w:tcW w:w="2282" w:type="pct"/>
            <w:tcBorders>
              <w:top w:val="single" w:sz="4" w:space="0" w:color="auto"/>
              <w:bottom w:val="single" w:sz="4" w:space="0" w:color="auto"/>
            </w:tcBorders>
          </w:tcPr>
          <w:p w14:paraId="56216CD0" w14:textId="517B8384" w:rsidR="00426C3A" w:rsidRPr="0065245B" w:rsidRDefault="00426C3A" w:rsidP="00426C3A">
            <w:pPr>
              <w:pStyle w:val="TableText"/>
            </w:pPr>
            <w:r w:rsidRPr="0065245B">
              <w:t xml:space="preserve">Sumitomo </w:t>
            </w:r>
            <w:proofErr w:type="spellStart"/>
            <w:r w:rsidRPr="0065245B">
              <w:t>Sumisclex</w:t>
            </w:r>
            <w:proofErr w:type="spellEnd"/>
            <w:r w:rsidRPr="0065245B">
              <w:t xml:space="preserve"> Broadacre Fungicide#</w:t>
            </w:r>
          </w:p>
        </w:tc>
      </w:tr>
      <w:tr w:rsidR="00426C3A" w14:paraId="3AF0CE0A" w14:textId="77777777" w:rsidTr="00426C3A">
        <w:trPr>
          <w:cantSplit/>
        </w:trPr>
        <w:tc>
          <w:tcPr>
            <w:tcW w:w="1102" w:type="pct"/>
            <w:tcBorders>
              <w:top w:val="single" w:sz="4" w:space="0" w:color="auto"/>
              <w:bottom w:val="single" w:sz="4" w:space="0" w:color="auto"/>
            </w:tcBorders>
          </w:tcPr>
          <w:p w14:paraId="43318199" w14:textId="431D1F4A" w:rsidR="00426C3A" w:rsidRPr="0065245B" w:rsidRDefault="00426C3A" w:rsidP="00426C3A">
            <w:pPr>
              <w:pStyle w:val="TableText"/>
            </w:pPr>
            <w:r w:rsidRPr="0065245B">
              <w:t>54455</w:t>
            </w:r>
          </w:p>
        </w:tc>
        <w:tc>
          <w:tcPr>
            <w:tcW w:w="1616" w:type="pct"/>
            <w:tcBorders>
              <w:top w:val="single" w:sz="4" w:space="0" w:color="auto"/>
              <w:bottom w:val="single" w:sz="4" w:space="0" w:color="auto"/>
            </w:tcBorders>
          </w:tcPr>
          <w:p w14:paraId="5D45AC49" w14:textId="4F462290" w:rsidR="00426C3A" w:rsidRPr="0065245B" w:rsidRDefault="00426C3A" w:rsidP="00426C3A">
            <w:pPr>
              <w:pStyle w:val="TableText"/>
            </w:pPr>
            <w:proofErr w:type="spellStart"/>
            <w:r w:rsidRPr="0065245B">
              <w:t>Adama</w:t>
            </w:r>
            <w:proofErr w:type="spellEnd"/>
            <w:r w:rsidRPr="0065245B">
              <w:t xml:space="preserve"> Australia Pty L</w:t>
            </w:r>
            <w:r>
              <w:t>td</w:t>
            </w:r>
          </w:p>
        </w:tc>
        <w:tc>
          <w:tcPr>
            <w:tcW w:w="2282" w:type="pct"/>
            <w:tcBorders>
              <w:top w:val="single" w:sz="4" w:space="0" w:color="auto"/>
              <w:bottom w:val="single" w:sz="4" w:space="0" w:color="auto"/>
            </w:tcBorders>
          </w:tcPr>
          <w:p w14:paraId="54EF6753" w14:textId="50A8CF7E" w:rsidR="00426C3A" w:rsidRPr="0065245B" w:rsidRDefault="00426C3A" w:rsidP="00426C3A">
            <w:pPr>
              <w:pStyle w:val="TableText"/>
            </w:pPr>
            <w:r w:rsidRPr="0065245B">
              <w:t xml:space="preserve">Spiral </w:t>
            </w:r>
            <w:proofErr w:type="spellStart"/>
            <w:r w:rsidRPr="0065245B">
              <w:t>Aquaflo</w:t>
            </w:r>
            <w:proofErr w:type="spellEnd"/>
            <w:r w:rsidRPr="0065245B">
              <w:t xml:space="preserve"> Fungicide#</w:t>
            </w:r>
          </w:p>
        </w:tc>
      </w:tr>
      <w:tr w:rsidR="00426C3A" w14:paraId="6CDB501F" w14:textId="77777777" w:rsidTr="00426C3A">
        <w:trPr>
          <w:cantSplit/>
        </w:trPr>
        <w:tc>
          <w:tcPr>
            <w:tcW w:w="1102" w:type="pct"/>
            <w:tcBorders>
              <w:top w:val="single" w:sz="4" w:space="0" w:color="auto"/>
              <w:bottom w:val="single" w:sz="4" w:space="0" w:color="auto"/>
            </w:tcBorders>
          </w:tcPr>
          <w:p w14:paraId="22ADAB71" w14:textId="349DA32F" w:rsidR="00426C3A" w:rsidRPr="0065245B" w:rsidRDefault="00426C3A" w:rsidP="00426C3A">
            <w:pPr>
              <w:pStyle w:val="TableText"/>
            </w:pPr>
            <w:r w:rsidRPr="0065245B">
              <w:t>59268</w:t>
            </w:r>
          </w:p>
        </w:tc>
        <w:tc>
          <w:tcPr>
            <w:tcW w:w="1616" w:type="pct"/>
            <w:tcBorders>
              <w:top w:val="single" w:sz="4" w:space="0" w:color="auto"/>
              <w:bottom w:val="single" w:sz="4" w:space="0" w:color="auto"/>
            </w:tcBorders>
          </w:tcPr>
          <w:p w14:paraId="7B96C80B" w14:textId="1E8A0789" w:rsidR="00426C3A" w:rsidRPr="0065245B" w:rsidRDefault="00426C3A" w:rsidP="00426C3A">
            <w:pPr>
              <w:pStyle w:val="TableText"/>
            </w:pPr>
            <w:proofErr w:type="spellStart"/>
            <w:r w:rsidRPr="0065245B">
              <w:t>Nutrien</w:t>
            </w:r>
            <w:proofErr w:type="spellEnd"/>
            <w:r w:rsidRPr="0065245B">
              <w:t xml:space="preserve"> Ag Solutions Limited</w:t>
            </w:r>
          </w:p>
        </w:tc>
        <w:tc>
          <w:tcPr>
            <w:tcW w:w="2282" w:type="pct"/>
            <w:tcBorders>
              <w:top w:val="single" w:sz="4" w:space="0" w:color="auto"/>
              <w:bottom w:val="single" w:sz="4" w:space="0" w:color="auto"/>
            </w:tcBorders>
          </w:tcPr>
          <w:p w14:paraId="62853E76" w14:textId="304FD4DC" w:rsidR="00426C3A" w:rsidRPr="0065245B" w:rsidRDefault="00426C3A" w:rsidP="00426C3A">
            <w:pPr>
              <w:pStyle w:val="TableText"/>
            </w:pPr>
            <w:proofErr w:type="spellStart"/>
            <w:r w:rsidRPr="0065245B">
              <w:t>Genfarm</w:t>
            </w:r>
            <w:proofErr w:type="spellEnd"/>
            <w:r w:rsidRPr="0065245B">
              <w:t xml:space="preserve"> </w:t>
            </w:r>
            <w:proofErr w:type="spellStart"/>
            <w:r w:rsidRPr="0065245B">
              <w:t>Proflex</w:t>
            </w:r>
            <w:proofErr w:type="spellEnd"/>
            <w:r w:rsidRPr="0065245B">
              <w:t xml:space="preserve"> 500 Fungicide#</w:t>
            </w:r>
          </w:p>
        </w:tc>
      </w:tr>
      <w:tr w:rsidR="00426C3A" w14:paraId="308EA9F5" w14:textId="77777777" w:rsidTr="00426C3A">
        <w:trPr>
          <w:cantSplit/>
        </w:trPr>
        <w:tc>
          <w:tcPr>
            <w:tcW w:w="1102" w:type="pct"/>
            <w:tcBorders>
              <w:top w:val="single" w:sz="4" w:space="0" w:color="auto"/>
              <w:bottom w:val="single" w:sz="4" w:space="0" w:color="auto"/>
            </w:tcBorders>
          </w:tcPr>
          <w:p w14:paraId="38FBF27E" w14:textId="6C1AF278" w:rsidR="00426C3A" w:rsidRPr="0065245B" w:rsidRDefault="00426C3A" w:rsidP="00426C3A">
            <w:pPr>
              <w:pStyle w:val="TableText"/>
            </w:pPr>
            <w:r w:rsidRPr="0065245B">
              <w:t>63494</w:t>
            </w:r>
          </w:p>
        </w:tc>
        <w:tc>
          <w:tcPr>
            <w:tcW w:w="1616" w:type="pct"/>
            <w:tcBorders>
              <w:top w:val="single" w:sz="4" w:space="0" w:color="auto"/>
              <w:bottom w:val="single" w:sz="4" w:space="0" w:color="auto"/>
            </w:tcBorders>
          </w:tcPr>
          <w:p w14:paraId="3492AC48" w14:textId="60D4D6F5" w:rsidR="00426C3A" w:rsidRPr="0065245B" w:rsidRDefault="00426C3A" w:rsidP="00426C3A">
            <w:pPr>
              <w:pStyle w:val="TableText"/>
            </w:pPr>
            <w:proofErr w:type="spellStart"/>
            <w:r w:rsidRPr="0065245B">
              <w:t>Accensi</w:t>
            </w:r>
            <w:proofErr w:type="spellEnd"/>
            <w:r w:rsidRPr="0065245B">
              <w:t xml:space="preserve"> Pty Ltd</w:t>
            </w:r>
          </w:p>
        </w:tc>
        <w:tc>
          <w:tcPr>
            <w:tcW w:w="2282" w:type="pct"/>
            <w:tcBorders>
              <w:top w:val="single" w:sz="4" w:space="0" w:color="auto"/>
              <w:bottom w:val="single" w:sz="4" w:space="0" w:color="auto"/>
            </w:tcBorders>
          </w:tcPr>
          <w:p w14:paraId="79E81E32" w14:textId="60476E76" w:rsidR="00426C3A" w:rsidRPr="0065245B" w:rsidRDefault="00426C3A" w:rsidP="00426C3A">
            <w:pPr>
              <w:pStyle w:val="TableText"/>
            </w:pPr>
            <w:proofErr w:type="spellStart"/>
            <w:r w:rsidRPr="0065245B">
              <w:t>Accensi</w:t>
            </w:r>
            <w:proofErr w:type="spellEnd"/>
            <w:r w:rsidRPr="0065245B">
              <w:t xml:space="preserve"> Procymidone 500 Fungicide#</w:t>
            </w:r>
          </w:p>
        </w:tc>
      </w:tr>
      <w:tr w:rsidR="00426C3A" w14:paraId="6C620DA9" w14:textId="77777777" w:rsidTr="00426C3A">
        <w:trPr>
          <w:cantSplit/>
        </w:trPr>
        <w:tc>
          <w:tcPr>
            <w:tcW w:w="1102" w:type="pct"/>
            <w:tcBorders>
              <w:top w:val="single" w:sz="4" w:space="0" w:color="auto"/>
              <w:bottom w:val="single" w:sz="4" w:space="0" w:color="auto"/>
            </w:tcBorders>
          </w:tcPr>
          <w:p w14:paraId="6F3BC490" w14:textId="08B30089" w:rsidR="00426C3A" w:rsidRPr="0065245B" w:rsidRDefault="00426C3A" w:rsidP="00426C3A">
            <w:pPr>
              <w:pStyle w:val="TableText"/>
            </w:pPr>
            <w:r w:rsidRPr="0065245B">
              <w:t>65892</w:t>
            </w:r>
          </w:p>
        </w:tc>
        <w:tc>
          <w:tcPr>
            <w:tcW w:w="1616" w:type="pct"/>
            <w:tcBorders>
              <w:top w:val="single" w:sz="4" w:space="0" w:color="auto"/>
              <w:bottom w:val="single" w:sz="4" w:space="0" w:color="auto"/>
            </w:tcBorders>
          </w:tcPr>
          <w:p w14:paraId="62F0B93A" w14:textId="56285039" w:rsidR="00426C3A" w:rsidRPr="0065245B" w:rsidRDefault="00426C3A" w:rsidP="00426C3A">
            <w:pPr>
              <w:pStyle w:val="TableText"/>
            </w:pPr>
            <w:r w:rsidRPr="0065245B">
              <w:t>Titan Ag Pty Ltd</w:t>
            </w:r>
          </w:p>
        </w:tc>
        <w:tc>
          <w:tcPr>
            <w:tcW w:w="2282" w:type="pct"/>
            <w:tcBorders>
              <w:top w:val="single" w:sz="4" w:space="0" w:color="auto"/>
              <w:bottom w:val="single" w:sz="4" w:space="0" w:color="auto"/>
            </w:tcBorders>
          </w:tcPr>
          <w:p w14:paraId="47FEDC15" w14:textId="639A8D58" w:rsidR="00426C3A" w:rsidRPr="0065245B" w:rsidRDefault="00426C3A" w:rsidP="00426C3A">
            <w:pPr>
              <w:pStyle w:val="TableText"/>
            </w:pPr>
            <w:r w:rsidRPr="0065245B">
              <w:t>Titan Procymidone 500 Fungicide#</w:t>
            </w:r>
          </w:p>
        </w:tc>
      </w:tr>
      <w:tr w:rsidR="00426C3A" w14:paraId="4471C2DF" w14:textId="77777777" w:rsidTr="00426C3A">
        <w:trPr>
          <w:cantSplit/>
        </w:trPr>
        <w:tc>
          <w:tcPr>
            <w:tcW w:w="1102" w:type="pct"/>
            <w:tcBorders>
              <w:top w:val="single" w:sz="4" w:space="0" w:color="auto"/>
              <w:bottom w:val="single" w:sz="4" w:space="0" w:color="auto"/>
            </w:tcBorders>
          </w:tcPr>
          <w:p w14:paraId="6ED7866F" w14:textId="5B4DB961" w:rsidR="00426C3A" w:rsidRPr="0065245B" w:rsidRDefault="00426C3A" w:rsidP="00426C3A">
            <w:pPr>
              <w:pStyle w:val="TableText"/>
            </w:pPr>
            <w:r w:rsidRPr="0065245B">
              <w:t>67536</w:t>
            </w:r>
          </w:p>
        </w:tc>
        <w:tc>
          <w:tcPr>
            <w:tcW w:w="1616" w:type="pct"/>
            <w:tcBorders>
              <w:top w:val="single" w:sz="4" w:space="0" w:color="auto"/>
              <w:bottom w:val="single" w:sz="4" w:space="0" w:color="auto"/>
            </w:tcBorders>
          </w:tcPr>
          <w:p w14:paraId="5D4D4F8D" w14:textId="4FCDAC4F" w:rsidR="00426C3A" w:rsidRPr="0065245B" w:rsidRDefault="00426C3A" w:rsidP="00426C3A">
            <w:pPr>
              <w:pStyle w:val="TableText"/>
            </w:pPr>
            <w:r w:rsidRPr="0065245B">
              <w:t>4 Farmers Australia Pty Ltd</w:t>
            </w:r>
          </w:p>
        </w:tc>
        <w:tc>
          <w:tcPr>
            <w:tcW w:w="2282" w:type="pct"/>
            <w:tcBorders>
              <w:top w:val="single" w:sz="4" w:space="0" w:color="auto"/>
              <w:bottom w:val="single" w:sz="4" w:space="0" w:color="auto"/>
            </w:tcBorders>
          </w:tcPr>
          <w:p w14:paraId="79F1BE8B" w14:textId="20582606" w:rsidR="00426C3A" w:rsidRPr="0065245B" w:rsidRDefault="00426C3A" w:rsidP="00426C3A">
            <w:pPr>
              <w:pStyle w:val="TableText"/>
            </w:pPr>
            <w:r w:rsidRPr="0065245B">
              <w:t>4farmers Procymidone 500 Fungicide#</w:t>
            </w:r>
          </w:p>
        </w:tc>
      </w:tr>
      <w:tr w:rsidR="00426C3A" w14:paraId="40CFF0DF" w14:textId="77777777" w:rsidTr="00426C3A">
        <w:trPr>
          <w:cantSplit/>
        </w:trPr>
        <w:tc>
          <w:tcPr>
            <w:tcW w:w="1102" w:type="pct"/>
            <w:tcBorders>
              <w:top w:val="single" w:sz="4" w:space="0" w:color="auto"/>
              <w:bottom w:val="single" w:sz="4" w:space="0" w:color="auto"/>
            </w:tcBorders>
          </w:tcPr>
          <w:p w14:paraId="20D85528" w14:textId="045867BE" w:rsidR="00426C3A" w:rsidRPr="0065245B" w:rsidRDefault="00426C3A" w:rsidP="00426C3A">
            <w:pPr>
              <w:pStyle w:val="TableText"/>
            </w:pPr>
            <w:r w:rsidRPr="0065245B">
              <w:t>69208</w:t>
            </w:r>
          </w:p>
        </w:tc>
        <w:tc>
          <w:tcPr>
            <w:tcW w:w="1616" w:type="pct"/>
            <w:tcBorders>
              <w:top w:val="single" w:sz="4" w:space="0" w:color="auto"/>
              <w:bottom w:val="single" w:sz="4" w:space="0" w:color="auto"/>
            </w:tcBorders>
          </w:tcPr>
          <w:p w14:paraId="2647A49E" w14:textId="4E909780" w:rsidR="00426C3A" w:rsidRPr="0065245B" w:rsidRDefault="00426C3A" w:rsidP="00426C3A">
            <w:pPr>
              <w:pStyle w:val="TableText"/>
            </w:pPr>
            <w:r w:rsidRPr="0065245B">
              <w:t>Titan Ag Pty Ltd</w:t>
            </w:r>
          </w:p>
        </w:tc>
        <w:tc>
          <w:tcPr>
            <w:tcW w:w="2282" w:type="pct"/>
            <w:tcBorders>
              <w:top w:val="single" w:sz="4" w:space="0" w:color="auto"/>
              <w:bottom w:val="single" w:sz="4" w:space="0" w:color="auto"/>
            </w:tcBorders>
          </w:tcPr>
          <w:p w14:paraId="25830702" w14:textId="1C10DB2D" w:rsidR="00426C3A" w:rsidRPr="0065245B" w:rsidRDefault="00426C3A" w:rsidP="00426C3A">
            <w:pPr>
              <w:pStyle w:val="TableText"/>
            </w:pPr>
            <w:r w:rsidRPr="0065245B">
              <w:t>Apparent Procymidone 500 Fungicide#</w:t>
            </w:r>
          </w:p>
        </w:tc>
      </w:tr>
      <w:tr w:rsidR="00426C3A" w14:paraId="74DCFF36" w14:textId="77777777" w:rsidTr="00426C3A">
        <w:trPr>
          <w:cantSplit/>
        </w:trPr>
        <w:tc>
          <w:tcPr>
            <w:tcW w:w="1102" w:type="pct"/>
            <w:tcBorders>
              <w:top w:val="single" w:sz="4" w:space="0" w:color="auto"/>
              <w:bottom w:val="single" w:sz="4" w:space="0" w:color="auto"/>
            </w:tcBorders>
          </w:tcPr>
          <w:p w14:paraId="024E0BEE" w14:textId="5D37AA69" w:rsidR="00426C3A" w:rsidRPr="0065245B" w:rsidRDefault="00426C3A" w:rsidP="00426C3A">
            <w:pPr>
              <w:pStyle w:val="TableText"/>
            </w:pPr>
            <w:r w:rsidRPr="0065245B">
              <w:t>69322</w:t>
            </w:r>
          </w:p>
        </w:tc>
        <w:tc>
          <w:tcPr>
            <w:tcW w:w="1616" w:type="pct"/>
            <w:tcBorders>
              <w:top w:val="single" w:sz="4" w:space="0" w:color="auto"/>
              <w:bottom w:val="single" w:sz="4" w:space="0" w:color="auto"/>
            </w:tcBorders>
          </w:tcPr>
          <w:p w14:paraId="072C4E2E" w14:textId="3B916F5D" w:rsidR="00426C3A" w:rsidRPr="0065245B" w:rsidRDefault="00426C3A" w:rsidP="00426C3A">
            <w:pPr>
              <w:pStyle w:val="TableText"/>
            </w:pPr>
            <w:proofErr w:type="spellStart"/>
            <w:r w:rsidRPr="0065245B">
              <w:t>Farmalinx</w:t>
            </w:r>
            <w:proofErr w:type="spellEnd"/>
            <w:r w:rsidRPr="0065245B">
              <w:t xml:space="preserve"> Pty Ltd</w:t>
            </w:r>
          </w:p>
        </w:tc>
        <w:tc>
          <w:tcPr>
            <w:tcW w:w="2282" w:type="pct"/>
            <w:tcBorders>
              <w:top w:val="single" w:sz="4" w:space="0" w:color="auto"/>
              <w:bottom w:val="single" w:sz="4" w:space="0" w:color="auto"/>
            </w:tcBorders>
          </w:tcPr>
          <w:p w14:paraId="49BFEE57" w14:textId="556A07DE" w:rsidR="00426C3A" w:rsidRPr="0065245B" w:rsidRDefault="00426C3A" w:rsidP="00426C3A">
            <w:pPr>
              <w:pStyle w:val="TableText"/>
            </w:pPr>
            <w:proofErr w:type="spellStart"/>
            <w:r w:rsidRPr="0065245B">
              <w:t>Farmalinx</w:t>
            </w:r>
            <w:proofErr w:type="spellEnd"/>
            <w:r w:rsidRPr="0065245B">
              <w:t xml:space="preserve"> </w:t>
            </w:r>
            <w:proofErr w:type="spellStart"/>
            <w:r w:rsidRPr="0065245B">
              <w:t>Metapris</w:t>
            </w:r>
            <w:proofErr w:type="spellEnd"/>
            <w:r w:rsidRPr="0065245B">
              <w:t xml:space="preserve"> 500 </w:t>
            </w:r>
            <w:proofErr w:type="spellStart"/>
            <w:r w:rsidRPr="0065245B">
              <w:t>SCFungicide</w:t>
            </w:r>
            <w:proofErr w:type="spellEnd"/>
            <w:r w:rsidRPr="0065245B">
              <w:t>#</w:t>
            </w:r>
          </w:p>
        </w:tc>
      </w:tr>
      <w:tr w:rsidR="00426C3A" w14:paraId="538E5F70" w14:textId="77777777" w:rsidTr="00426C3A">
        <w:trPr>
          <w:cantSplit/>
        </w:trPr>
        <w:tc>
          <w:tcPr>
            <w:tcW w:w="1102" w:type="pct"/>
            <w:tcBorders>
              <w:top w:val="single" w:sz="4" w:space="0" w:color="auto"/>
              <w:bottom w:val="single" w:sz="4" w:space="0" w:color="auto"/>
            </w:tcBorders>
          </w:tcPr>
          <w:p w14:paraId="2F109E9D" w14:textId="17F03530" w:rsidR="00426C3A" w:rsidRPr="0065245B" w:rsidRDefault="00426C3A" w:rsidP="00426C3A">
            <w:pPr>
              <w:pStyle w:val="TableText"/>
            </w:pPr>
            <w:r w:rsidRPr="0065245B">
              <w:t>80001</w:t>
            </w:r>
          </w:p>
        </w:tc>
        <w:tc>
          <w:tcPr>
            <w:tcW w:w="1616" w:type="pct"/>
            <w:tcBorders>
              <w:top w:val="single" w:sz="4" w:space="0" w:color="auto"/>
              <w:bottom w:val="single" w:sz="4" w:space="0" w:color="auto"/>
            </w:tcBorders>
          </w:tcPr>
          <w:p w14:paraId="2BA1BF88" w14:textId="753542AF" w:rsidR="00426C3A" w:rsidRPr="0065245B" w:rsidRDefault="00426C3A" w:rsidP="00426C3A">
            <w:pPr>
              <w:pStyle w:val="TableText"/>
            </w:pPr>
            <w:r w:rsidRPr="0065245B">
              <w:t>Shandong Rainbow International Co Ltd</w:t>
            </w:r>
          </w:p>
        </w:tc>
        <w:tc>
          <w:tcPr>
            <w:tcW w:w="2282" w:type="pct"/>
            <w:tcBorders>
              <w:top w:val="single" w:sz="4" w:space="0" w:color="auto"/>
              <w:bottom w:val="single" w:sz="4" w:space="0" w:color="auto"/>
            </w:tcBorders>
          </w:tcPr>
          <w:p w14:paraId="773D9DB8" w14:textId="174C2205" w:rsidR="00426C3A" w:rsidRPr="0065245B" w:rsidRDefault="00426C3A" w:rsidP="00426C3A">
            <w:pPr>
              <w:pStyle w:val="TableText"/>
            </w:pPr>
            <w:proofErr w:type="spellStart"/>
            <w:r w:rsidRPr="0065245B">
              <w:t>Proclex</w:t>
            </w:r>
            <w:proofErr w:type="spellEnd"/>
            <w:r w:rsidRPr="0065245B">
              <w:t xml:space="preserve"> 500 Fungicide#</w:t>
            </w:r>
          </w:p>
        </w:tc>
      </w:tr>
      <w:tr w:rsidR="00426C3A" w14:paraId="02047475" w14:textId="77777777" w:rsidTr="00426C3A">
        <w:trPr>
          <w:cantSplit/>
        </w:trPr>
        <w:tc>
          <w:tcPr>
            <w:tcW w:w="1102" w:type="pct"/>
            <w:tcBorders>
              <w:top w:val="single" w:sz="4" w:space="0" w:color="auto"/>
              <w:bottom w:val="single" w:sz="4" w:space="0" w:color="auto"/>
            </w:tcBorders>
          </w:tcPr>
          <w:p w14:paraId="02513F44" w14:textId="7FF4690B" w:rsidR="00426C3A" w:rsidRPr="0065245B" w:rsidRDefault="00426C3A" w:rsidP="00426C3A">
            <w:pPr>
              <w:pStyle w:val="TableText"/>
            </w:pPr>
            <w:r w:rsidRPr="0065245B">
              <w:t>83139</w:t>
            </w:r>
          </w:p>
        </w:tc>
        <w:tc>
          <w:tcPr>
            <w:tcW w:w="1616" w:type="pct"/>
            <w:tcBorders>
              <w:top w:val="single" w:sz="4" w:space="0" w:color="auto"/>
              <w:bottom w:val="single" w:sz="4" w:space="0" w:color="auto"/>
            </w:tcBorders>
          </w:tcPr>
          <w:p w14:paraId="01F4D86B" w14:textId="5E6EC235" w:rsidR="00426C3A" w:rsidRPr="0065245B" w:rsidRDefault="00426C3A" w:rsidP="00426C3A">
            <w:pPr>
              <w:pStyle w:val="TableText"/>
            </w:pPr>
            <w:proofErr w:type="spellStart"/>
            <w:r w:rsidRPr="0065245B">
              <w:t>Nutrien</w:t>
            </w:r>
            <w:proofErr w:type="spellEnd"/>
            <w:r w:rsidRPr="0065245B">
              <w:t xml:space="preserve"> Ag Solutions Limited</w:t>
            </w:r>
          </w:p>
        </w:tc>
        <w:tc>
          <w:tcPr>
            <w:tcW w:w="2282" w:type="pct"/>
            <w:tcBorders>
              <w:top w:val="single" w:sz="4" w:space="0" w:color="auto"/>
              <w:bottom w:val="single" w:sz="4" w:space="0" w:color="auto"/>
            </w:tcBorders>
          </w:tcPr>
          <w:p w14:paraId="291F23A4" w14:textId="5A1D5BB8" w:rsidR="00426C3A" w:rsidRPr="0065245B" w:rsidRDefault="00426C3A" w:rsidP="00426C3A">
            <w:pPr>
              <w:pStyle w:val="TableText"/>
            </w:pPr>
            <w:proofErr w:type="spellStart"/>
            <w:r w:rsidRPr="0065245B">
              <w:t>Prodone</w:t>
            </w:r>
            <w:proofErr w:type="spellEnd"/>
            <w:r w:rsidRPr="0065245B">
              <w:t xml:space="preserve"> 500sc Fungicide#</w:t>
            </w:r>
          </w:p>
        </w:tc>
      </w:tr>
      <w:tr w:rsidR="00426C3A" w14:paraId="2291D1E4" w14:textId="77777777" w:rsidTr="00426C3A">
        <w:trPr>
          <w:cantSplit/>
        </w:trPr>
        <w:tc>
          <w:tcPr>
            <w:tcW w:w="1102" w:type="pct"/>
            <w:tcBorders>
              <w:top w:val="single" w:sz="4" w:space="0" w:color="auto"/>
              <w:bottom w:val="single" w:sz="4" w:space="0" w:color="auto"/>
            </w:tcBorders>
          </w:tcPr>
          <w:p w14:paraId="256DA90B" w14:textId="4F2DE561" w:rsidR="00426C3A" w:rsidRPr="0065245B" w:rsidRDefault="00426C3A" w:rsidP="00426C3A">
            <w:pPr>
              <w:pStyle w:val="TableText"/>
            </w:pPr>
            <w:r w:rsidRPr="0065245B">
              <w:t>84082</w:t>
            </w:r>
          </w:p>
        </w:tc>
        <w:tc>
          <w:tcPr>
            <w:tcW w:w="1616" w:type="pct"/>
            <w:tcBorders>
              <w:top w:val="single" w:sz="4" w:space="0" w:color="auto"/>
              <w:bottom w:val="single" w:sz="4" w:space="0" w:color="auto"/>
            </w:tcBorders>
          </w:tcPr>
          <w:p w14:paraId="7AFADFBD" w14:textId="2EC59401" w:rsidR="00426C3A" w:rsidRPr="0065245B" w:rsidRDefault="00426C3A" w:rsidP="00426C3A">
            <w:pPr>
              <w:pStyle w:val="TableText"/>
            </w:pPr>
            <w:r w:rsidRPr="0065245B">
              <w:t>Conquest Crop Protection Pty Ltd</w:t>
            </w:r>
          </w:p>
        </w:tc>
        <w:tc>
          <w:tcPr>
            <w:tcW w:w="2282" w:type="pct"/>
            <w:tcBorders>
              <w:top w:val="single" w:sz="4" w:space="0" w:color="auto"/>
              <w:bottom w:val="single" w:sz="4" w:space="0" w:color="auto"/>
            </w:tcBorders>
          </w:tcPr>
          <w:p w14:paraId="05664036" w14:textId="6CCBB510" w:rsidR="00426C3A" w:rsidRPr="0065245B" w:rsidRDefault="00426C3A" w:rsidP="00426C3A">
            <w:pPr>
              <w:pStyle w:val="TableText"/>
            </w:pPr>
            <w:r w:rsidRPr="0065245B">
              <w:t xml:space="preserve">Conquest </w:t>
            </w:r>
            <w:proofErr w:type="spellStart"/>
            <w:r w:rsidRPr="0065245B">
              <w:t>Concydone</w:t>
            </w:r>
            <w:proofErr w:type="spellEnd"/>
            <w:r w:rsidRPr="0065245B">
              <w:t xml:space="preserve"> 500 SC Fungicide# </w:t>
            </w:r>
          </w:p>
        </w:tc>
      </w:tr>
      <w:tr w:rsidR="00426C3A" w14:paraId="0E6B396E" w14:textId="77777777" w:rsidTr="00426C3A">
        <w:trPr>
          <w:cantSplit/>
        </w:trPr>
        <w:tc>
          <w:tcPr>
            <w:tcW w:w="1102" w:type="pct"/>
            <w:tcBorders>
              <w:top w:val="single" w:sz="4" w:space="0" w:color="auto"/>
              <w:bottom w:val="single" w:sz="4" w:space="0" w:color="auto"/>
            </w:tcBorders>
          </w:tcPr>
          <w:p w14:paraId="5BD4DF34" w14:textId="4286D6BA" w:rsidR="00426C3A" w:rsidRPr="0065245B" w:rsidRDefault="00426C3A" w:rsidP="00426C3A">
            <w:pPr>
              <w:pStyle w:val="TableText"/>
            </w:pPr>
            <w:r w:rsidRPr="0065245B">
              <w:t>84896</w:t>
            </w:r>
          </w:p>
        </w:tc>
        <w:tc>
          <w:tcPr>
            <w:tcW w:w="1616" w:type="pct"/>
            <w:tcBorders>
              <w:top w:val="single" w:sz="4" w:space="0" w:color="auto"/>
              <w:bottom w:val="single" w:sz="4" w:space="0" w:color="auto"/>
            </w:tcBorders>
          </w:tcPr>
          <w:p w14:paraId="1083B5F8" w14:textId="49E86607" w:rsidR="00426C3A" w:rsidRPr="0065245B" w:rsidRDefault="00426C3A" w:rsidP="00426C3A">
            <w:pPr>
              <w:pStyle w:val="TableText"/>
            </w:pPr>
            <w:r w:rsidRPr="0065245B">
              <w:t>Oz Crop Pty Ltd</w:t>
            </w:r>
          </w:p>
        </w:tc>
        <w:tc>
          <w:tcPr>
            <w:tcW w:w="2282" w:type="pct"/>
            <w:tcBorders>
              <w:top w:val="single" w:sz="4" w:space="0" w:color="auto"/>
              <w:bottom w:val="single" w:sz="4" w:space="0" w:color="auto"/>
            </w:tcBorders>
          </w:tcPr>
          <w:p w14:paraId="27E8AA09" w14:textId="739EE6D1" w:rsidR="00426C3A" w:rsidRPr="0065245B" w:rsidRDefault="00426C3A" w:rsidP="00426C3A">
            <w:pPr>
              <w:pStyle w:val="TableText"/>
            </w:pPr>
            <w:proofErr w:type="spellStart"/>
            <w:r w:rsidRPr="0065245B">
              <w:t>Ozcrop</w:t>
            </w:r>
            <w:proofErr w:type="spellEnd"/>
            <w:r w:rsidRPr="0065245B">
              <w:t xml:space="preserve"> Procymidone 500 SC Fungicide#</w:t>
            </w:r>
          </w:p>
        </w:tc>
      </w:tr>
      <w:tr w:rsidR="00426C3A" w14:paraId="6DF75D4A" w14:textId="77777777" w:rsidTr="00426C3A">
        <w:trPr>
          <w:cantSplit/>
        </w:trPr>
        <w:tc>
          <w:tcPr>
            <w:tcW w:w="1102" w:type="pct"/>
            <w:tcBorders>
              <w:top w:val="single" w:sz="4" w:space="0" w:color="auto"/>
              <w:bottom w:val="single" w:sz="4" w:space="0" w:color="auto"/>
            </w:tcBorders>
          </w:tcPr>
          <w:p w14:paraId="6AFBE14F" w14:textId="45C2D898" w:rsidR="00426C3A" w:rsidRPr="0065245B" w:rsidRDefault="00426C3A" w:rsidP="00426C3A">
            <w:pPr>
              <w:pStyle w:val="TableText"/>
            </w:pPr>
            <w:r w:rsidRPr="0065245B">
              <w:t>85344</w:t>
            </w:r>
          </w:p>
        </w:tc>
        <w:tc>
          <w:tcPr>
            <w:tcW w:w="1616" w:type="pct"/>
            <w:tcBorders>
              <w:top w:val="single" w:sz="4" w:space="0" w:color="auto"/>
              <w:bottom w:val="single" w:sz="4" w:space="0" w:color="auto"/>
            </w:tcBorders>
          </w:tcPr>
          <w:p w14:paraId="5BFF7CBF" w14:textId="5EFC0AAC" w:rsidR="00426C3A" w:rsidRPr="0065245B" w:rsidRDefault="00426C3A" w:rsidP="00426C3A">
            <w:pPr>
              <w:pStyle w:val="TableText"/>
            </w:pPr>
            <w:r w:rsidRPr="0065245B">
              <w:t>Axichem Pty Ltd</w:t>
            </w:r>
          </w:p>
        </w:tc>
        <w:tc>
          <w:tcPr>
            <w:tcW w:w="2282" w:type="pct"/>
            <w:tcBorders>
              <w:top w:val="single" w:sz="4" w:space="0" w:color="auto"/>
              <w:bottom w:val="single" w:sz="4" w:space="0" w:color="auto"/>
            </w:tcBorders>
          </w:tcPr>
          <w:p w14:paraId="73619EB3" w14:textId="06323EF5" w:rsidR="00426C3A" w:rsidRPr="0065245B" w:rsidRDefault="00426C3A" w:rsidP="00426C3A">
            <w:pPr>
              <w:pStyle w:val="TableText"/>
            </w:pPr>
            <w:r w:rsidRPr="0065245B">
              <w:t>AC Palatial 500 Fungicide#</w:t>
            </w:r>
          </w:p>
        </w:tc>
      </w:tr>
      <w:tr w:rsidR="00426C3A" w14:paraId="0802AD69" w14:textId="77777777" w:rsidTr="00426C3A">
        <w:trPr>
          <w:cantSplit/>
        </w:trPr>
        <w:tc>
          <w:tcPr>
            <w:tcW w:w="1102" w:type="pct"/>
            <w:tcBorders>
              <w:top w:val="single" w:sz="4" w:space="0" w:color="auto"/>
              <w:bottom w:val="single" w:sz="4" w:space="0" w:color="auto"/>
            </w:tcBorders>
          </w:tcPr>
          <w:p w14:paraId="2148B59F" w14:textId="69C351C2" w:rsidR="00426C3A" w:rsidRPr="0065245B" w:rsidRDefault="00426C3A" w:rsidP="00426C3A">
            <w:pPr>
              <w:pStyle w:val="TableText"/>
            </w:pPr>
            <w:r w:rsidRPr="0065245B">
              <w:t>85546</w:t>
            </w:r>
          </w:p>
        </w:tc>
        <w:tc>
          <w:tcPr>
            <w:tcW w:w="1616" w:type="pct"/>
            <w:tcBorders>
              <w:top w:val="single" w:sz="4" w:space="0" w:color="auto"/>
              <w:bottom w:val="single" w:sz="4" w:space="0" w:color="auto"/>
            </w:tcBorders>
          </w:tcPr>
          <w:p w14:paraId="7D6C677B" w14:textId="05247DA9" w:rsidR="00426C3A" w:rsidRPr="0065245B" w:rsidRDefault="00426C3A" w:rsidP="00426C3A">
            <w:pPr>
              <w:pStyle w:val="TableText"/>
            </w:pPr>
            <w:r w:rsidRPr="0065245B">
              <w:t>Sumitomo Chemical Australia Pty L</w:t>
            </w:r>
            <w:r>
              <w:t>td</w:t>
            </w:r>
          </w:p>
        </w:tc>
        <w:tc>
          <w:tcPr>
            <w:tcW w:w="2282" w:type="pct"/>
            <w:tcBorders>
              <w:top w:val="single" w:sz="4" w:space="0" w:color="auto"/>
              <w:bottom w:val="single" w:sz="4" w:space="0" w:color="auto"/>
            </w:tcBorders>
          </w:tcPr>
          <w:p w14:paraId="42CAC7E7" w14:textId="63F56B5F" w:rsidR="00426C3A" w:rsidRPr="0065245B" w:rsidRDefault="00426C3A" w:rsidP="00426C3A">
            <w:pPr>
              <w:pStyle w:val="TableText"/>
            </w:pPr>
            <w:proofErr w:type="spellStart"/>
            <w:r w:rsidRPr="0065245B">
              <w:t>Sporex</w:t>
            </w:r>
            <w:proofErr w:type="spellEnd"/>
            <w:r w:rsidRPr="0065245B">
              <w:t xml:space="preserve"> Fungicide#</w:t>
            </w:r>
          </w:p>
        </w:tc>
      </w:tr>
      <w:tr w:rsidR="00426C3A" w14:paraId="4B199989" w14:textId="77777777" w:rsidTr="00426C3A">
        <w:trPr>
          <w:cantSplit/>
        </w:trPr>
        <w:tc>
          <w:tcPr>
            <w:tcW w:w="5000" w:type="pct"/>
            <w:gridSpan w:val="3"/>
            <w:tcBorders>
              <w:top w:val="single" w:sz="4" w:space="0" w:color="auto"/>
              <w:bottom w:val="single" w:sz="4" w:space="0" w:color="auto"/>
            </w:tcBorders>
          </w:tcPr>
          <w:p w14:paraId="33544768" w14:textId="206B71D3" w:rsidR="00426C3A" w:rsidRPr="0065245B" w:rsidRDefault="00426C3A" w:rsidP="00426C3A">
            <w:pPr>
              <w:pStyle w:val="TableSubHead"/>
            </w:pPr>
            <w:r w:rsidRPr="001C423A">
              <w:t xml:space="preserve">Flowable </w:t>
            </w:r>
            <w:r>
              <w:t>concentrate</w:t>
            </w:r>
            <w:r w:rsidRPr="001C423A">
              <w:t xml:space="preserve"> for seed treatment (FS) formulation containing 500 g/L procymidone</w:t>
            </w:r>
          </w:p>
        </w:tc>
      </w:tr>
      <w:tr w:rsidR="00426C3A" w14:paraId="2159D441" w14:textId="77777777" w:rsidTr="00426C3A">
        <w:trPr>
          <w:cantSplit/>
        </w:trPr>
        <w:tc>
          <w:tcPr>
            <w:tcW w:w="1102" w:type="pct"/>
            <w:tcBorders>
              <w:top w:val="single" w:sz="4" w:space="0" w:color="auto"/>
              <w:bottom w:val="single" w:sz="4" w:space="0" w:color="auto"/>
            </w:tcBorders>
          </w:tcPr>
          <w:p w14:paraId="3D6B46AA" w14:textId="0E308773" w:rsidR="00426C3A" w:rsidRPr="001C423A" w:rsidRDefault="00426C3A" w:rsidP="00426C3A">
            <w:pPr>
              <w:pStyle w:val="TableText"/>
            </w:pPr>
            <w:r w:rsidRPr="0065245B">
              <w:t>67183</w:t>
            </w:r>
          </w:p>
        </w:tc>
        <w:tc>
          <w:tcPr>
            <w:tcW w:w="1616" w:type="pct"/>
            <w:tcBorders>
              <w:top w:val="single" w:sz="4" w:space="0" w:color="auto"/>
              <w:bottom w:val="single" w:sz="4" w:space="0" w:color="auto"/>
            </w:tcBorders>
          </w:tcPr>
          <w:p w14:paraId="5782C51E" w14:textId="76C90557" w:rsidR="00426C3A" w:rsidRPr="0065245B" w:rsidRDefault="00426C3A" w:rsidP="00426C3A">
            <w:pPr>
              <w:pStyle w:val="TableText"/>
            </w:pPr>
            <w:r w:rsidRPr="0065245B">
              <w:t>4Farmers Australia Pty Ltd</w:t>
            </w:r>
          </w:p>
        </w:tc>
        <w:tc>
          <w:tcPr>
            <w:tcW w:w="2282" w:type="pct"/>
            <w:tcBorders>
              <w:top w:val="single" w:sz="4" w:space="0" w:color="auto"/>
              <w:bottom w:val="single" w:sz="4" w:space="0" w:color="auto"/>
            </w:tcBorders>
          </w:tcPr>
          <w:p w14:paraId="4ED0F62D" w14:textId="18DECE26" w:rsidR="00426C3A" w:rsidRPr="0065245B" w:rsidRDefault="00426C3A" w:rsidP="00426C3A">
            <w:pPr>
              <w:pStyle w:val="TableText"/>
            </w:pPr>
            <w:r w:rsidRPr="0065245B">
              <w:t>4Farmers Procymidone 500 FS Seed Dressing#</w:t>
            </w:r>
          </w:p>
        </w:tc>
      </w:tr>
      <w:tr w:rsidR="00426C3A" w14:paraId="6CD85A78" w14:textId="77777777" w:rsidTr="00426C3A">
        <w:trPr>
          <w:cantSplit/>
        </w:trPr>
        <w:tc>
          <w:tcPr>
            <w:tcW w:w="5000" w:type="pct"/>
            <w:gridSpan w:val="3"/>
            <w:tcBorders>
              <w:top w:val="single" w:sz="4" w:space="0" w:color="auto"/>
              <w:bottom w:val="single" w:sz="4" w:space="0" w:color="auto"/>
            </w:tcBorders>
          </w:tcPr>
          <w:p w14:paraId="429EE300" w14:textId="4E331305" w:rsidR="00426C3A" w:rsidRPr="0065245B" w:rsidRDefault="00426C3A" w:rsidP="00426C3A">
            <w:pPr>
              <w:pStyle w:val="TableSubHead"/>
            </w:pPr>
            <w:r w:rsidRPr="0065245B">
              <w:lastRenderedPageBreak/>
              <w:t>Water dispersible granule (WG) formulation containing 800 g/kg procymidone</w:t>
            </w:r>
          </w:p>
        </w:tc>
      </w:tr>
      <w:tr w:rsidR="00426C3A" w14:paraId="1F267703" w14:textId="77777777" w:rsidTr="00426C3A">
        <w:trPr>
          <w:cantSplit/>
        </w:trPr>
        <w:tc>
          <w:tcPr>
            <w:tcW w:w="1102" w:type="pct"/>
            <w:tcBorders>
              <w:top w:val="single" w:sz="4" w:space="0" w:color="auto"/>
              <w:bottom w:val="single" w:sz="4" w:space="0" w:color="auto"/>
            </w:tcBorders>
          </w:tcPr>
          <w:p w14:paraId="184E85C2" w14:textId="21B073A0" w:rsidR="00426C3A" w:rsidRPr="0065245B" w:rsidRDefault="00426C3A" w:rsidP="00426C3A">
            <w:pPr>
              <w:pStyle w:val="TableText"/>
            </w:pPr>
            <w:r w:rsidRPr="0065245B">
              <w:t>70284</w:t>
            </w:r>
          </w:p>
        </w:tc>
        <w:tc>
          <w:tcPr>
            <w:tcW w:w="1616" w:type="pct"/>
            <w:tcBorders>
              <w:top w:val="single" w:sz="4" w:space="0" w:color="auto"/>
              <w:bottom w:val="single" w:sz="4" w:space="0" w:color="auto"/>
            </w:tcBorders>
          </w:tcPr>
          <w:p w14:paraId="176E2531" w14:textId="09508A2F" w:rsidR="00426C3A" w:rsidRPr="0065245B" w:rsidRDefault="00426C3A" w:rsidP="00426C3A">
            <w:pPr>
              <w:pStyle w:val="TableText"/>
            </w:pPr>
            <w:proofErr w:type="spellStart"/>
            <w:r w:rsidRPr="0065245B">
              <w:t>Imtrade</w:t>
            </w:r>
            <w:proofErr w:type="spellEnd"/>
            <w:r w:rsidRPr="0065245B">
              <w:t xml:space="preserve"> Australia Pty Ltd</w:t>
            </w:r>
          </w:p>
        </w:tc>
        <w:tc>
          <w:tcPr>
            <w:tcW w:w="2282" w:type="pct"/>
            <w:tcBorders>
              <w:top w:val="single" w:sz="4" w:space="0" w:color="auto"/>
              <w:bottom w:val="single" w:sz="4" w:space="0" w:color="auto"/>
            </w:tcBorders>
          </w:tcPr>
          <w:p w14:paraId="779587BD" w14:textId="71D1E45E" w:rsidR="00426C3A" w:rsidRPr="0065245B" w:rsidRDefault="00426C3A" w:rsidP="00426C3A">
            <w:pPr>
              <w:pStyle w:val="TableText"/>
            </w:pPr>
            <w:proofErr w:type="spellStart"/>
            <w:r w:rsidRPr="0065245B">
              <w:t>Imtrade</w:t>
            </w:r>
            <w:proofErr w:type="spellEnd"/>
            <w:r w:rsidRPr="0065245B">
              <w:t xml:space="preserve"> </w:t>
            </w:r>
            <w:proofErr w:type="spellStart"/>
            <w:r w:rsidRPr="0065245B">
              <w:t>Nosclex</w:t>
            </w:r>
            <w:proofErr w:type="spellEnd"/>
            <w:r w:rsidRPr="0065245B">
              <w:t xml:space="preserve"> 800 WG Fungicide</w:t>
            </w:r>
          </w:p>
        </w:tc>
      </w:tr>
      <w:tr w:rsidR="00426C3A" w14:paraId="4D3EF318" w14:textId="77777777" w:rsidTr="00426C3A">
        <w:trPr>
          <w:cantSplit/>
        </w:trPr>
        <w:tc>
          <w:tcPr>
            <w:tcW w:w="1102" w:type="pct"/>
            <w:tcBorders>
              <w:top w:val="single" w:sz="4" w:space="0" w:color="auto"/>
              <w:bottom w:val="single" w:sz="4" w:space="0" w:color="auto"/>
            </w:tcBorders>
          </w:tcPr>
          <w:p w14:paraId="0C78D1F6" w14:textId="0300D07D" w:rsidR="00426C3A" w:rsidRPr="0065245B" w:rsidRDefault="00426C3A" w:rsidP="00426C3A">
            <w:pPr>
              <w:pStyle w:val="TableText"/>
            </w:pPr>
            <w:r w:rsidRPr="0065245B">
              <w:t>84695</w:t>
            </w:r>
          </w:p>
        </w:tc>
        <w:tc>
          <w:tcPr>
            <w:tcW w:w="1616" w:type="pct"/>
            <w:tcBorders>
              <w:top w:val="single" w:sz="4" w:space="0" w:color="auto"/>
              <w:bottom w:val="single" w:sz="4" w:space="0" w:color="auto"/>
            </w:tcBorders>
          </w:tcPr>
          <w:p w14:paraId="121B7CF2" w14:textId="514B0D0C" w:rsidR="00426C3A" w:rsidRPr="0065245B" w:rsidRDefault="00426C3A" w:rsidP="00426C3A">
            <w:pPr>
              <w:pStyle w:val="TableText"/>
            </w:pPr>
            <w:proofErr w:type="spellStart"/>
            <w:r w:rsidRPr="0065245B">
              <w:t>Imtrade</w:t>
            </w:r>
            <w:proofErr w:type="spellEnd"/>
            <w:r w:rsidRPr="0065245B">
              <w:t xml:space="preserve"> Australia Pty Ltd</w:t>
            </w:r>
          </w:p>
        </w:tc>
        <w:tc>
          <w:tcPr>
            <w:tcW w:w="2282" w:type="pct"/>
            <w:tcBorders>
              <w:top w:val="single" w:sz="4" w:space="0" w:color="auto"/>
              <w:bottom w:val="single" w:sz="4" w:space="0" w:color="auto"/>
            </w:tcBorders>
          </w:tcPr>
          <w:p w14:paraId="43951AB1" w14:textId="474063B2" w:rsidR="00426C3A" w:rsidRPr="0065245B" w:rsidRDefault="00426C3A" w:rsidP="00426C3A">
            <w:pPr>
              <w:pStyle w:val="TableText"/>
            </w:pPr>
            <w:proofErr w:type="spellStart"/>
            <w:r w:rsidRPr="0065245B">
              <w:t>Imtrade</w:t>
            </w:r>
            <w:proofErr w:type="spellEnd"/>
            <w:r w:rsidRPr="0065245B">
              <w:t xml:space="preserve"> Procymidone 800 WG Fungicide</w:t>
            </w:r>
          </w:p>
        </w:tc>
      </w:tr>
      <w:tr w:rsidR="00426C3A" w14:paraId="776EFC71" w14:textId="77777777" w:rsidTr="00426C3A">
        <w:trPr>
          <w:cantSplit/>
        </w:trPr>
        <w:tc>
          <w:tcPr>
            <w:tcW w:w="1102" w:type="pct"/>
            <w:tcBorders>
              <w:top w:val="single" w:sz="4" w:space="0" w:color="auto"/>
              <w:bottom w:val="single" w:sz="4" w:space="0" w:color="auto"/>
            </w:tcBorders>
          </w:tcPr>
          <w:p w14:paraId="05AA9045" w14:textId="77D76A2B" w:rsidR="00426C3A" w:rsidRPr="0065245B" w:rsidRDefault="00426C3A" w:rsidP="00426C3A">
            <w:pPr>
              <w:pStyle w:val="TableText"/>
            </w:pPr>
            <w:r w:rsidRPr="0065245B">
              <w:t>87227</w:t>
            </w:r>
          </w:p>
        </w:tc>
        <w:tc>
          <w:tcPr>
            <w:tcW w:w="1616" w:type="pct"/>
            <w:tcBorders>
              <w:top w:val="single" w:sz="4" w:space="0" w:color="auto"/>
              <w:bottom w:val="single" w:sz="4" w:space="0" w:color="auto"/>
            </w:tcBorders>
          </w:tcPr>
          <w:p w14:paraId="7B6D50A6" w14:textId="1E10DBD9" w:rsidR="00426C3A" w:rsidRPr="0065245B" w:rsidRDefault="00426C3A" w:rsidP="00426C3A">
            <w:pPr>
              <w:pStyle w:val="TableText"/>
            </w:pPr>
            <w:proofErr w:type="spellStart"/>
            <w:r w:rsidRPr="0065245B">
              <w:t>Imtrade</w:t>
            </w:r>
            <w:proofErr w:type="spellEnd"/>
            <w:r w:rsidRPr="0065245B">
              <w:t xml:space="preserve"> Australia Pty Ltd</w:t>
            </w:r>
          </w:p>
        </w:tc>
        <w:tc>
          <w:tcPr>
            <w:tcW w:w="2282" w:type="pct"/>
            <w:tcBorders>
              <w:top w:val="single" w:sz="4" w:space="0" w:color="auto"/>
              <w:bottom w:val="single" w:sz="4" w:space="0" w:color="auto"/>
            </w:tcBorders>
          </w:tcPr>
          <w:p w14:paraId="2BBBE93E" w14:textId="3B2DF0D3" w:rsidR="00426C3A" w:rsidRPr="0065245B" w:rsidRDefault="008278AA" w:rsidP="00426C3A">
            <w:pPr>
              <w:pStyle w:val="TableText"/>
            </w:pPr>
            <w:r w:rsidRPr="008302A5">
              <w:rPr>
                <w:color w:val="auto"/>
              </w:rPr>
              <w:t xml:space="preserve">IA </w:t>
            </w:r>
            <w:proofErr w:type="spellStart"/>
            <w:r w:rsidRPr="008302A5">
              <w:rPr>
                <w:color w:val="auto"/>
              </w:rPr>
              <w:t>N</w:t>
            </w:r>
            <w:r>
              <w:rPr>
                <w:color w:val="auto"/>
              </w:rPr>
              <w:t>osclex</w:t>
            </w:r>
            <w:proofErr w:type="spellEnd"/>
            <w:r w:rsidRPr="008302A5">
              <w:rPr>
                <w:color w:val="auto"/>
              </w:rPr>
              <w:t xml:space="preserve"> 800 WG F</w:t>
            </w:r>
            <w:r>
              <w:rPr>
                <w:color w:val="auto"/>
              </w:rPr>
              <w:t xml:space="preserve">ungicide (previously </w:t>
            </w:r>
            <w:r w:rsidRPr="000D0813">
              <w:rPr>
                <w:color w:val="auto"/>
              </w:rPr>
              <w:t xml:space="preserve">Kelpie </w:t>
            </w:r>
            <w:proofErr w:type="spellStart"/>
            <w:r w:rsidRPr="000D0813">
              <w:rPr>
                <w:color w:val="auto"/>
              </w:rPr>
              <w:t>Procym</w:t>
            </w:r>
            <w:proofErr w:type="spellEnd"/>
            <w:r w:rsidRPr="000D0813">
              <w:rPr>
                <w:color w:val="auto"/>
              </w:rPr>
              <w:t xml:space="preserve"> 800 WG Fungicide</w:t>
            </w:r>
            <w:r>
              <w:rPr>
                <w:color w:val="auto"/>
              </w:rPr>
              <w:t>)</w:t>
            </w:r>
          </w:p>
        </w:tc>
      </w:tr>
    </w:tbl>
    <w:p w14:paraId="38F270CD" w14:textId="77777777" w:rsidR="00426C3A" w:rsidRDefault="00426C3A" w:rsidP="00426C3A">
      <w:pPr>
        <w:pStyle w:val="SourceTableNote"/>
      </w:pPr>
      <w:r w:rsidRPr="001C441F">
        <w:rPr>
          <w:vertAlign w:val="superscript"/>
        </w:rPr>
        <w:t>#</w:t>
      </w:r>
      <w:r>
        <w:t>Products that include directions for use as a seed treatment</w:t>
      </w:r>
    </w:p>
    <w:p w14:paraId="254AE6E1" w14:textId="0D5C5A87" w:rsidR="00426C3A" w:rsidRPr="00D05130" w:rsidRDefault="00426C3A" w:rsidP="00D05130">
      <w:pPr>
        <w:pStyle w:val="APVMAText"/>
      </w:pPr>
      <w:r w:rsidRPr="00D05130">
        <w:t>The APVMA does not currently have any standards for procymidone formulated products. It is noted that the FAO specification</w:t>
      </w:r>
      <w:bookmarkStart w:id="25" w:name="_Ref100154172"/>
      <w:r w:rsidRPr="00D05130">
        <w:rPr>
          <w:rStyle w:val="APVMASuperscript"/>
        </w:rPr>
        <w:footnoteReference w:id="7"/>
      </w:r>
      <w:bookmarkEnd w:id="25"/>
      <w:r w:rsidRPr="00D05130">
        <w:rPr>
          <w:rStyle w:val="APVMASuperscript"/>
          <w:vertAlign w:val="baseline"/>
        </w:rPr>
        <w:t xml:space="preserve"> </w:t>
      </w:r>
      <w:r w:rsidRPr="00D05130">
        <w:t xml:space="preserve">includes specifications for procymidone wettable powder (WP), suspension concentrate (SC) and water dispersible granules (WG) formulations. The APVMA considers that the active constituent standard, including the proposed modification to include a limit for 3,5-dichloroaniline will by itself provide sufficient control of the safety, </w:t>
      </w:r>
      <w:proofErr w:type="gramStart"/>
      <w:r w:rsidRPr="00D05130">
        <w:t>efficacy</w:t>
      </w:r>
      <w:proofErr w:type="gramEnd"/>
      <w:r w:rsidRPr="00D05130">
        <w:t xml:space="preserve"> and trade criteria for both the active and the product, noting that toxicologically significant impurities including 3,5-dichloroaniline are unlikely to increase in concentration during storage of the products. Therefore, the only source of 3,5-dichloroaniline in formulated products is expected to be the technical active constituents and adoption of specifications for procymidone products as an APVMA standard under section 6E is not required </w:t>
      </w:r>
      <w:proofErr w:type="gramStart"/>
      <w:r w:rsidRPr="00D05130">
        <w:t>in order to</w:t>
      </w:r>
      <w:proofErr w:type="gramEnd"/>
      <w:r w:rsidRPr="00D05130">
        <w:t xml:space="preserve"> ensure continued satisfaction with respect to the safety, efficacy and trade criteria of product registrations for procymidone.</w:t>
      </w:r>
    </w:p>
    <w:p w14:paraId="2448B83C" w14:textId="5FF588A9" w:rsidR="00426C3A" w:rsidRPr="00D05130" w:rsidRDefault="00426C3A" w:rsidP="00D05130">
      <w:pPr>
        <w:pStyle w:val="Heading2"/>
      </w:pPr>
      <w:bookmarkStart w:id="26" w:name="_Toc116301514"/>
      <w:r w:rsidRPr="00D05130">
        <w:t>Recommendations</w:t>
      </w:r>
      <w:bookmarkEnd w:id="26"/>
    </w:p>
    <w:p w14:paraId="4F495C6F" w14:textId="2EEC197F" w:rsidR="00426C3A" w:rsidRDefault="00426C3A" w:rsidP="00D05130">
      <w:pPr>
        <w:pStyle w:val="APVMAText"/>
      </w:pPr>
      <w:r>
        <w:t>After assessment of the chemistry of procymidone and products containing procymidone, the APVMA has concluded:</w:t>
      </w:r>
    </w:p>
    <w:p w14:paraId="4C6BDD86" w14:textId="65FFFA5B" w:rsidR="00426C3A" w:rsidRPr="00D05130" w:rsidRDefault="00426C3A" w:rsidP="00D05130">
      <w:pPr>
        <w:pStyle w:val="Bullet1"/>
      </w:pPr>
      <w:r w:rsidRPr="00D05130">
        <w:t>the current minimum purity of the technical procymidone 985</w:t>
      </w:r>
      <w:r w:rsidR="00295DF8" w:rsidRPr="00D05130">
        <w:t> </w:t>
      </w:r>
      <w:r w:rsidRPr="00D05130">
        <w:t>g/kg remains appropriate</w:t>
      </w:r>
    </w:p>
    <w:p w14:paraId="611E374B" w14:textId="6C7C960E" w:rsidR="00426C3A" w:rsidRPr="00D05130" w:rsidRDefault="00426C3A" w:rsidP="00D05130">
      <w:pPr>
        <w:pStyle w:val="Bullet1"/>
      </w:pPr>
      <w:r w:rsidRPr="00D05130">
        <w:t>the APVMA standard for procymidone active constituent should be amended to include a maximum limit of 1 g/kg for 3, 5-dichloroaniline</w:t>
      </w:r>
    </w:p>
    <w:p w14:paraId="5F3C1B60" w14:textId="13E76605" w:rsidR="00426C3A" w:rsidRPr="00D05130" w:rsidRDefault="00426C3A" w:rsidP="00D05130">
      <w:pPr>
        <w:pStyle w:val="Bullet1"/>
      </w:pPr>
      <w:r w:rsidRPr="00D05130">
        <w:t>a new standard for procymidone active constituent is to be established under section 6E of the Agvet Code</w:t>
      </w:r>
    </w:p>
    <w:p w14:paraId="73027744" w14:textId="40721CB3" w:rsidR="00426C3A" w:rsidRPr="00D05130" w:rsidRDefault="00426C3A" w:rsidP="00D05130">
      <w:pPr>
        <w:pStyle w:val="Bullet1"/>
        <w:sectPr w:rsidR="00426C3A" w:rsidRPr="00D05130">
          <w:headerReference w:type="default" r:id="rId27"/>
          <w:pgSz w:w="11906" w:h="16838" w:code="9"/>
          <w:pgMar w:top="2835" w:right="1134" w:bottom="1134" w:left="1134" w:header="1701" w:footer="680" w:gutter="0"/>
          <w:cols w:space="708"/>
          <w:docGrid w:linePitch="360"/>
        </w:sectPr>
      </w:pPr>
      <w:r w:rsidRPr="00D05130">
        <w:t>the current APVMA active approval complies with the proposed standard.</w:t>
      </w:r>
    </w:p>
    <w:p w14:paraId="1FF317A1" w14:textId="73AE5D3E" w:rsidR="00426C3A" w:rsidRPr="00D05130" w:rsidRDefault="00426C3A" w:rsidP="00D05130">
      <w:pPr>
        <w:pStyle w:val="Heading1"/>
      </w:pPr>
      <w:bookmarkStart w:id="27" w:name="_Toc116301515"/>
      <w:r w:rsidRPr="00D05130">
        <w:lastRenderedPageBreak/>
        <w:t>Toxicology</w:t>
      </w:r>
      <w:bookmarkEnd w:id="27"/>
    </w:p>
    <w:p w14:paraId="6988B646" w14:textId="35899E94" w:rsidR="00426C3A" w:rsidRPr="00D05130" w:rsidRDefault="00426C3A" w:rsidP="00D05130">
      <w:pPr>
        <w:pStyle w:val="Heading2"/>
      </w:pPr>
      <w:bookmarkStart w:id="28" w:name="_Toc116301516"/>
      <w:r w:rsidRPr="00D05130">
        <w:t>Toxicological properties</w:t>
      </w:r>
      <w:bookmarkEnd w:id="28"/>
    </w:p>
    <w:p w14:paraId="5457FBAD" w14:textId="10A00401" w:rsidR="00426C3A" w:rsidRPr="00D05130" w:rsidRDefault="00426C3A" w:rsidP="00D05130">
      <w:pPr>
        <w:pStyle w:val="APVMAText"/>
      </w:pPr>
      <w:bookmarkStart w:id="29" w:name="_Toc22819517"/>
      <w:r w:rsidRPr="00D05130">
        <w:t xml:space="preserve">In October 2017, the APVMA finalised and published the </w:t>
      </w:r>
      <w:hyperlink r:id="rId28" w:history="1">
        <w:r w:rsidRPr="00D05130">
          <w:rPr>
            <w:rStyle w:val="Hyperlink"/>
          </w:rPr>
          <w:t>procymidone human health risk (including toxicology and work health safety) assessment report</w:t>
        </w:r>
      </w:hyperlink>
      <w:r w:rsidRPr="00D05130">
        <w:t xml:space="preserve"> focusing on the toxicological potential for birth defects or impairment of human fertility, and work health and safety risks arising from exposure during handling, application and re-entry for recommending appropriate safety directions.</w:t>
      </w:r>
    </w:p>
    <w:p w14:paraId="4E5EFA1B" w14:textId="04E4146D" w:rsidR="00426C3A" w:rsidRPr="00D05130" w:rsidRDefault="00426C3A" w:rsidP="00D05130">
      <w:pPr>
        <w:pStyle w:val="APVMAText"/>
      </w:pPr>
      <w:r w:rsidRPr="00D05130">
        <w:t>Following completion of this report, further consideration has been given to the relevance to humans of the anti-androgenic effects in rats, which had previously been identified as the critical endpoint in establishing the acceptable daily intake (ADI) and the acute reference dose (</w:t>
      </w:r>
      <w:proofErr w:type="spellStart"/>
      <w:r w:rsidRPr="00D05130">
        <w:t>ARfD</w:t>
      </w:r>
      <w:proofErr w:type="spellEnd"/>
      <w:r w:rsidRPr="00D05130">
        <w:t>). Additional data on the acute toxicity of procymidone, including acute neurotoxicity, has recently been submitted and assessed.</w:t>
      </w:r>
    </w:p>
    <w:p w14:paraId="63B93CA2" w14:textId="11855A29" w:rsidR="00426C3A" w:rsidRPr="00D05130" w:rsidRDefault="00426C3A" w:rsidP="00D05130">
      <w:pPr>
        <w:pStyle w:val="Heading2"/>
      </w:pPr>
      <w:bookmarkStart w:id="30" w:name="_Toc116301517"/>
      <w:bookmarkEnd w:id="29"/>
      <w:r w:rsidRPr="00D05130">
        <w:t>Anti-androgenic effects</w:t>
      </w:r>
      <w:bookmarkEnd w:id="30"/>
    </w:p>
    <w:p w14:paraId="37342D3C" w14:textId="5D49F2D1" w:rsidR="00426C3A" w:rsidRPr="00D05130" w:rsidRDefault="00426C3A" w:rsidP="00D05130">
      <w:pPr>
        <w:pStyle w:val="APVMAText"/>
      </w:pPr>
      <w:r w:rsidRPr="00D05130">
        <w:t xml:space="preserve">Recent studies have indicated that while the toxicodynamic sensitivity of the androgen-sensitive tissues of different laboratory species is approximately the same, the rat is more sensitive to the anti-androgenic effects of </w:t>
      </w:r>
      <w:proofErr w:type="gramStart"/>
      <w:r w:rsidRPr="00D05130">
        <w:t>procymidone</w:t>
      </w:r>
      <w:proofErr w:type="gramEnd"/>
      <w:r w:rsidRPr="00D05130">
        <w:t xml:space="preserve"> and its mammalian metabolites compared with primates (including humans) and other laboratory species due to interspecies dispositional differences. The key anti-androgenic metabolite of procymidone is </w:t>
      </w:r>
      <w:proofErr w:type="spellStart"/>
      <w:r w:rsidRPr="00D05130">
        <w:t>hydroxyprocymidone</w:t>
      </w:r>
      <w:proofErr w:type="spellEnd"/>
      <w:r w:rsidRPr="00D05130">
        <w:t xml:space="preserve">. In rats, </w:t>
      </w:r>
      <w:proofErr w:type="spellStart"/>
      <w:r w:rsidRPr="00D05130">
        <w:t>hydroxyprocymidone</w:t>
      </w:r>
      <w:proofErr w:type="spellEnd"/>
      <w:r w:rsidRPr="00D05130">
        <w:t xml:space="preserve"> is </w:t>
      </w:r>
      <w:proofErr w:type="spellStart"/>
      <w:r w:rsidRPr="00D05130">
        <w:t>glucuronidated</w:t>
      </w:r>
      <w:proofErr w:type="spellEnd"/>
      <w:r w:rsidRPr="00D05130">
        <w:t xml:space="preserve"> and excreted predominantly in bile. This results in a higher degree of enterohepatic circulation of </w:t>
      </w:r>
      <w:proofErr w:type="spellStart"/>
      <w:r w:rsidRPr="00D05130">
        <w:t>hydroxyprocymidone</w:t>
      </w:r>
      <w:proofErr w:type="spellEnd"/>
      <w:r w:rsidRPr="00D05130">
        <w:t xml:space="preserve"> and a resulting higher systemic exposure to this metabolite in rats compared with other species. In other species </w:t>
      </w:r>
      <w:proofErr w:type="spellStart"/>
      <w:r w:rsidRPr="00D05130">
        <w:t>hydroxyprocymidone</w:t>
      </w:r>
      <w:proofErr w:type="spellEnd"/>
      <w:r w:rsidRPr="00D05130">
        <w:t xml:space="preserve"> is predominantly, and rapidly, excreted in urine, resulting in a lower systemic exposure compared with the rat</w:t>
      </w:r>
      <w:r w:rsidR="00D05130">
        <w:t xml:space="preserve"> </w:t>
      </w:r>
      <w:r w:rsidRPr="00D05130">
        <w:t xml:space="preserve">(Abe </w:t>
      </w:r>
      <w:r w:rsidRPr="007C119E">
        <w:rPr>
          <w:i/>
          <w:iCs/>
        </w:rPr>
        <w:t>et al</w:t>
      </w:r>
      <w:r w:rsidRPr="00D05130">
        <w:t>, 2018). Because of this interspecies difference, the rat is no longer considered the most appropriate model for the assessment of the hazard and risk of anti-androgenic effects in humans. Supporting this conclusion are the findings that neither monkeys nor rabbits showed developmental effects associated with anti-androgenic activity following dosing at up to 1000</w:t>
      </w:r>
      <w:r w:rsidR="00295DF8" w:rsidRPr="00D05130">
        <w:t> </w:t>
      </w:r>
      <w:r w:rsidRPr="00D05130">
        <w:t>mg/kg</w:t>
      </w:r>
      <w:r w:rsidR="00295DF8" w:rsidRPr="00D05130">
        <w:t> </w:t>
      </w:r>
      <w:proofErr w:type="spellStart"/>
      <w:r w:rsidRPr="00D05130">
        <w:t>bw</w:t>
      </w:r>
      <w:proofErr w:type="spellEnd"/>
      <w:r w:rsidRPr="00D05130">
        <w:t xml:space="preserve">/day in rabbits and 125 mg/kg </w:t>
      </w:r>
      <w:proofErr w:type="spellStart"/>
      <w:r w:rsidRPr="00D05130">
        <w:t>bw</w:t>
      </w:r>
      <w:proofErr w:type="spellEnd"/>
      <w:r w:rsidRPr="00D05130">
        <w:t>/day in monkeys (studies previously reported).</w:t>
      </w:r>
    </w:p>
    <w:p w14:paraId="67B820F9" w14:textId="77777777" w:rsidR="00426C3A" w:rsidRPr="00D05130" w:rsidRDefault="00426C3A" w:rsidP="00D05130">
      <w:pPr>
        <w:pStyle w:val="APVMAText"/>
      </w:pPr>
      <w:r w:rsidRPr="00D05130">
        <w:t xml:space="preserve">Based on this conclusion, the full procymidone toxicology database, as published in the previous toxicology assessment report, was re-examined </w:t>
      </w:r>
      <w:proofErr w:type="gramStart"/>
      <w:r w:rsidRPr="00D05130">
        <w:t>in order to</w:t>
      </w:r>
      <w:proofErr w:type="gramEnd"/>
      <w:r w:rsidRPr="00D05130">
        <w:t xml:space="preserve"> determine the appropriate end points for the establishment of health-based guidance values, as shown in in Table 5.</w:t>
      </w:r>
    </w:p>
    <w:p w14:paraId="70EDCCA0" w14:textId="3A907E30" w:rsidR="00426C3A" w:rsidRDefault="00426C3A" w:rsidP="00426C3A">
      <w:pPr>
        <w:pStyle w:val="Caption"/>
      </w:pPr>
      <w:bookmarkStart w:id="31" w:name="_Toc101968001"/>
      <w:bookmarkStart w:id="32" w:name="_Toc116301696"/>
      <w:r>
        <w:t xml:space="preserve">Table </w:t>
      </w:r>
      <w:r>
        <w:rPr>
          <w:noProof/>
        </w:rPr>
        <w:fldChar w:fldCharType="begin"/>
      </w:r>
      <w:r>
        <w:rPr>
          <w:noProof/>
        </w:rPr>
        <w:instrText xml:space="preserve"> SEQ Table \* ARABIC </w:instrText>
      </w:r>
      <w:r>
        <w:rPr>
          <w:noProof/>
        </w:rPr>
        <w:fldChar w:fldCharType="separate"/>
      </w:r>
      <w:r w:rsidR="00ED7319">
        <w:rPr>
          <w:noProof/>
        </w:rPr>
        <w:t>5</w:t>
      </w:r>
      <w:r>
        <w:rPr>
          <w:noProof/>
        </w:rPr>
        <w:fldChar w:fldCharType="end"/>
      </w:r>
      <w:r>
        <w:t>:</w:t>
      </w:r>
      <w:r>
        <w:tab/>
        <w:t>Toxicology summary</w:t>
      </w:r>
      <w:bookmarkEnd w:id="31"/>
      <w:bookmarkEnd w:id="32"/>
    </w:p>
    <w:tbl>
      <w:tblPr>
        <w:tblW w:w="5000" w:type="pct"/>
        <w:tblBorders>
          <w:bottom w:val="dotted" w:sz="2" w:space="0" w:color="auto"/>
          <w:insideH w:val="dotted" w:sz="2" w:space="0" w:color="auto"/>
        </w:tblBorders>
        <w:tblLook w:val="01E0" w:firstRow="1" w:lastRow="1" w:firstColumn="1" w:lastColumn="1" w:noHBand="0" w:noVBand="0"/>
      </w:tblPr>
      <w:tblGrid>
        <w:gridCol w:w="2409"/>
        <w:gridCol w:w="2695"/>
        <w:gridCol w:w="2269"/>
        <w:gridCol w:w="2265"/>
      </w:tblGrid>
      <w:tr w:rsidR="00426C3A" w14:paraId="6C97169F" w14:textId="77777777" w:rsidTr="00426C3A">
        <w:trPr>
          <w:cantSplit/>
          <w:tblHeader/>
        </w:trPr>
        <w:tc>
          <w:tcPr>
            <w:tcW w:w="1250" w:type="pct"/>
            <w:tcBorders>
              <w:top w:val="single" w:sz="4" w:space="0" w:color="auto"/>
              <w:bottom w:val="single" w:sz="4" w:space="0" w:color="auto"/>
            </w:tcBorders>
            <w:shd w:val="clear" w:color="auto" w:fill="5C2946"/>
            <w:vAlign w:val="bottom"/>
          </w:tcPr>
          <w:p w14:paraId="68548EFA" w14:textId="3BBB59FF" w:rsidR="00426C3A" w:rsidRPr="00FB0015" w:rsidRDefault="00426C3A" w:rsidP="00426C3A">
            <w:pPr>
              <w:pStyle w:val="TableHead"/>
            </w:pPr>
            <w:r>
              <w:t>Study</w:t>
            </w:r>
          </w:p>
        </w:tc>
        <w:tc>
          <w:tcPr>
            <w:tcW w:w="1398" w:type="pct"/>
            <w:tcBorders>
              <w:top w:val="single" w:sz="4" w:space="0" w:color="auto"/>
              <w:bottom w:val="single" w:sz="4" w:space="0" w:color="auto"/>
            </w:tcBorders>
            <w:shd w:val="clear" w:color="auto" w:fill="5C2946"/>
            <w:vAlign w:val="bottom"/>
          </w:tcPr>
          <w:p w14:paraId="0EFDFE31" w14:textId="610875FA" w:rsidR="00426C3A" w:rsidRPr="00FB0015" w:rsidRDefault="00426C3A" w:rsidP="00426C3A">
            <w:pPr>
              <w:pStyle w:val="TableHead"/>
            </w:pPr>
            <w:r>
              <w:t>Key effects</w:t>
            </w:r>
          </w:p>
        </w:tc>
        <w:tc>
          <w:tcPr>
            <w:tcW w:w="1177" w:type="pct"/>
            <w:tcBorders>
              <w:top w:val="single" w:sz="4" w:space="0" w:color="auto"/>
              <w:bottom w:val="single" w:sz="4" w:space="0" w:color="auto"/>
            </w:tcBorders>
            <w:shd w:val="clear" w:color="auto" w:fill="5C2946"/>
          </w:tcPr>
          <w:p w14:paraId="410D4A75" w14:textId="18BC1336" w:rsidR="00426C3A" w:rsidRPr="00FB0015" w:rsidRDefault="00426C3A" w:rsidP="00426C3A">
            <w:pPr>
              <w:pStyle w:val="TableHead"/>
            </w:pPr>
            <w:r>
              <w:t>Points of departure</w:t>
            </w:r>
          </w:p>
        </w:tc>
        <w:tc>
          <w:tcPr>
            <w:tcW w:w="1175" w:type="pct"/>
            <w:tcBorders>
              <w:top w:val="single" w:sz="4" w:space="0" w:color="auto"/>
              <w:bottom w:val="single" w:sz="4" w:space="0" w:color="auto"/>
            </w:tcBorders>
            <w:shd w:val="clear" w:color="auto" w:fill="5C2946"/>
          </w:tcPr>
          <w:p w14:paraId="35EE4E3C" w14:textId="2B80762E" w:rsidR="00426C3A" w:rsidRPr="00FB0015" w:rsidRDefault="00426C3A" w:rsidP="00426C3A">
            <w:pPr>
              <w:pStyle w:val="TableHead"/>
            </w:pPr>
            <w:r>
              <w:t>Reference</w:t>
            </w:r>
          </w:p>
        </w:tc>
      </w:tr>
      <w:tr w:rsidR="00426C3A" w14:paraId="25A34F69" w14:textId="77777777" w:rsidTr="00426C3A">
        <w:trPr>
          <w:cantSplit/>
        </w:trPr>
        <w:tc>
          <w:tcPr>
            <w:tcW w:w="5000" w:type="pct"/>
            <w:gridSpan w:val="4"/>
            <w:tcBorders>
              <w:top w:val="single" w:sz="4" w:space="0" w:color="auto"/>
              <w:bottom w:val="single" w:sz="4" w:space="0" w:color="auto"/>
            </w:tcBorders>
          </w:tcPr>
          <w:p w14:paraId="2853C789" w14:textId="3584EE95" w:rsidR="00426C3A" w:rsidRDefault="00426C3A" w:rsidP="00426C3A">
            <w:pPr>
              <w:pStyle w:val="TableSubHead"/>
            </w:pPr>
            <w:r>
              <w:t>Repeat dose toxicology studies</w:t>
            </w:r>
          </w:p>
        </w:tc>
      </w:tr>
      <w:tr w:rsidR="00426C3A" w14:paraId="5F9BBF99" w14:textId="77777777" w:rsidTr="00426C3A">
        <w:trPr>
          <w:cantSplit/>
        </w:trPr>
        <w:tc>
          <w:tcPr>
            <w:tcW w:w="1250" w:type="pct"/>
            <w:tcBorders>
              <w:top w:val="single" w:sz="4" w:space="0" w:color="auto"/>
              <w:bottom w:val="single" w:sz="4" w:space="0" w:color="auto"/>
            </w:tcBorders>
          </w:tcPr>
          <w:p w14:paraId="45A81A79" w14:textId="7C4B2735" w:rsidR="00426C3A" w:rsidRPr="0065245B" w:rsidRDefault="00426C3A" w:rsidP="00426C3A">
            <w:pPr>
              <w:pStyle w:val="TableText"/>
            </w:pPr>
            <w:r>
              <w:t>5-week dietary rat</w:t>
            </w:r>
          </w:p>
        </w:tc>
        <w:tc>
          <w:tcPr>
            <w:tcW w:w="1398" w:type="pct"/>
            <w:tcBorders>
              <w:top w:val="single" w:sz="4" w:space="0" w:color="auto"/>
              <w:bottom w:val="single" w:sz="4" w:space="0" w:color="auto"/>
            </w:tcBorders>
          </w:tcPr>
          <w:p w14:paraId="5D0C7D14" w14:textId="52D1DAD0" w:rsidR="00426C3A" w:rsidRPr="0065245B" w:rsidRDefault="00426C3A" w:rsidP="00426C3A">
            <w:pPr>
              <w:pStyle w:val="TableText"/>
            </w:pPr>
            <w:r>
              <w:t>Hepatic enlargement at 471</w:t>
            </w:r>
            <w:r w:rsidR="00295DF8">
              <w:rPr>
                <w:szCs w:val="17"/>
              </w:rPr>
              <w:t> </w:t>
            </w:r>
            <w:r>
              <w:t xml:space="preserve">mg/kg </w:t>
            </w:r>
            <w:proofErr w:type="spellStart"/>
            <w:r>
              <w:t>bw</w:t>
            </w:r>
            <w:proofErr w:type="spellEnd"/>
            <w:r>
              <w:t>/day</w:t>
            </w:r>
          </w:p>
        </w:tc>
        <w:tc>
          <w:tcPr>
            <w:tcW w:w="1177" w:type="pct"/>
            <w:tcBorders>
              <w:top w:val="single" w:sz="4" w:space="0" w:color="auto"/>
              <w:bottom w:val="single" w:sz="4" w:space="0" w:color="auto"/>
            </w:tcBorders>
          </w:tcPr>
          <w:p w14:paraId="43276266" w14:textId="1CB6A5CB" w:rsidR="00426C3A" w:rsidRPr="0065245B" w:rsidRDefault="00426C3A" w:rsidP="00426C3A">
            <w:pPr>
              <w:pStyle w:val="TableText"/>
            </w:pPr>
            <w:r>
              <w:t>NOEL*132</w:t>
            </w:r>
            <w:r>
              <w:rPr>
                <w:szCs w:val="17"/>
              </w:rPr>
              <w:t> </w:t>
            </w:r>
            <w:r>
              <w:t>mg/kg</w:t>
            </w:r>
            <w:r w:rsidR="00295DF8">
              <w:rPr>
                <w:szCs w:val="17"/>
              </w:rPr>
              <w:t> </w:t>
            </w:r>
            <w:proofErr w:type="spellStart"/>
            <w:r>
              <w:t>bw</w:t>
            </w:r>
            <w:proofErr w:type="spellEnd"/>
            <w:r>
              <w:t>/d</w:t>
            </w:r>
          </w:p>
        </w:tc>
        <w:tc>
          <w:tcPr>
            <w:tcW w:w="1175" w:type="pct"/>
            <w:tcBorders>
              <w:top w:val="single" w:sz="4" w:space="0" w:color="auto"/>
              <w:bottom w:val="single" w:sz="4" w:space="0" w:color="auto"/>
            </w:tcBorders>
          </w:tcPr>
          <w:p w14:paraId="58F6BFBD" w14:textId="541E48F9" w:rsidR="00426C3A" w:rsidRPr="0065245B" w:rsidRDefault="00426C3A" w:rsidP="00426C3A">
            <w:pPr>
              <w:pStyle w:val="TableText"/>
            </w:pPr>
            <w:r>
              <w:t xml:space="preserve">Singh </w:t>
            </w:r>
            <w:r w:rsidRPr="00E456D9">
              <w:rPr>
                <w:i/>
                <w:iCs/>
              </w:rPr>
              <w:t>et al</w:t>
            </w:r>
            <w:r>
              <w:t>, 1981</w:t>
            </w:r>
          </w:p>
        </w:tc>
      </w:tr>
      <w:tr w:rsidR="00426C3A" w14:paraId="4641F534" w14:textId="77777777" w:rsidTr="00426C3A">
        <w:trPr>
          <w:cantSplit/>
        </w:trPr>
        <w:tc>
          <w:tcPr>
            <w:tcW w:w="1250" w:type="pct"/>
            <w:tcBorders>
              <w:top w:val="single" w:sz="4" w:space="0" w:color="auto"/>
              <w:bottom w:val="single" w:sz="4" w:space="0" w:color="auto"/>
            </w:tcBorders>
          </w:tcPr>
          <w:p w14:paraId="1F52A586" w14:textId="38161438" w:rsidR="00426C3A" w:rsidRPr="0065245B" w:rsidRDefault="00426C3A" w:rsidP="00426C3A">
            <w:pPr>
              <w:pStyle w:val="TableText"/>
            </w:pPr>
            <w:r>
              <w:t>13-week dietary mouse</w:t>
            </w:r>
          </w:p>
        </w:tc>
        <w:tc>
          <w:tcPr>
            <w:tcW w:w="1398" w:type="pct"/>
            <w:tcBorders>
              <w:top w:val="single" w:sz="4" w:space="0" w:color="auto"/>
              <w:bottom w:val="single" w:sz="4" w:space="0" w:color="auto"/>
            </w:tcBorders>
          </w:tcPr>
          <w:p w14:paraId="40A4BBC7" w14:textId="4FBF4960" w:rsidR="00426C3A" w:rsidRPr="0065245B" w:rsidRDefault="00426C3A" w:rsidP="00426C3A">
            <w:pPr>
              <w:pStyle w:val="TableText"/>
            </w:pPr>
            <w:r>
              <w:t>Hepatotoxicity at 100</w:t>
            </w:r>
            <w:r w:rsidR="00295DF8">
              <w:rPr>
                <w:szCs w:val="17"/>
              </w:rPr>
              <w:t> </w:t>
            </w:r>
            <w:r>
              <w:t>mg/kg</w:t>
            </w:r>
            <w:r w:rsidR="00295DF8">
              <w:rPr>
                <w:szCs w:val="17"/>
              </w:rPr>
              <w:t> </w:t>
            </w:r>
            <w:proofErr w:type="spellStart"/>
            <w:r>
              <w:t>bw</w:t>
            </w:r>
            <w:proofErr w:type="spellEnd"/>
            <w:r>
              <w:t>/day</w:t>
            </w:r>
          </w:p>
        </w:tc>
        <w:tc>
          <w:tcPr>
            <w:tcW w:w="1177" w:type="pct"/>
            <w:tcBorders>
              <w:top w:val="single" w:sz="4" w:space="0" w:color="auto"/>
              <w:bottom w:val="single" w:sz="4" w:space="0" w:color="auto"/>
            </w:tcBorders>
          </w:tcPr>
          <w:p w14:paraId="0AC4A0AE" w14:textId="4F09D89F" w:rsidR="00426C3A" w:rsidRPr="0065245B" w:rsidRDefault="00426C3A" w:rsidP="00426C3A">
            <w:pPr>
              <w:pStyle w:val="TableText"/>
            </w:pPr>
            <w:r>
              <w:t>NOEL 20</w:t>
            </w:r>
            <w:r>
              <w:rPr>
                <w:szCs w:val="17"/>
              </w:rPr>
              <w:t> </w:t>
            </w:r>
            <w:r>
              <w:t>mg/kg</w:t>
            </w:r>
            <w:r w:rsidR="00295DF8">
              <w:rPr>
                <w:szCs w:val="17"/>
              </w:rPr>
              <w:t> </w:t>
            </w:r>
            <w:proofErr w:type="spellStart"/>
            <w:r>
              <w:t>bw</w:t>
            </w:r>
            <w:proofErr w:type="spellEnd"/>
            <w:r>
              <w:t>/d</w:t>
            </w:r>
          </w:p>
        </w:tc>
        <w:tc>
          <w:tcPr>
            <w:tcW w:w="1175" w:type="pct"/>
            <w:tcBorders>
              <w:top w:val="single" w:sz="4" w:space="0" w:color="auto"/>
              <w:bottom w:val="single" w:sz="4" w:space="0" w:color="auto"/>
            </w:tcBorders>
          </w:tcPr>
          <w:p w14:paraId="3454EF74" w14:textId="14264A8E" w:rsidR="00426C3A" w:rsidRPr="0065245B" w:rsidRDefault="00426C3A" w:rsidP="00426C3A">
            <w:pPr>
              <w:pStyle w:val="TableText"/>
            </w:pPr>
            <w:r>
              <w:t>Weir and Keller, 1984</w:t>
            </w:r>
          </w:p>
        </w:tc>
      </w:tr>
      <w:tr w:rsidR="00426C3A" w14:paraId="7FBBD2CD" w14:textId="77777777" w:rsidTr="00426C3A">
        <w:trPr>
          <w:cantSplit/>
        </w:trPr>
        <w:tc>
          <w:tcPr>
            <w:tcW w:w="1250" w:type="pct"/>
            <w:tcBorders>
              <w:top w:val="single" w:sz="4" w:space="0" w:color="auto"/>
              <w:bottom w:val="single" w:sz="4" w:space="0" w:color="auto"/>
            </w:tcBorders>
          </w:tcPr>
          <w:p w14:paraId="63161ACA" w14:textId="6393043F" w:rsidR="00426C3A" w:rsidRDefault="00426C3A" w:rsidP="00426C3A">
            <w:pPr>
              <w:pStyle w:val="TableText"/>
            </w:pPr>
            <w:r>
              <w:lastRenderedPageBreak/>
              <w:t>6-month dietary dog</w:t>
            </w:r>
          </w:p>
        </w:tc>
        <w:tc>
          <w:tcPr>
            <w:tcW w:w="1398" w:type="pct"/>
            <w:tcBorders>
              <w:top w:val="single" w:sz="4" w:space="0" w:color="auto"/>
              <w:bottom w:val="single" w:sz="4" w:space="0" w:color="auto"/>
            </w:tcBorders>
          </w:tcPr>
          <w:p w14:paraId="620EB616" w14:textId="661D822F" w:rsidR="00426C3A" w:rsidRDefault="00426C3A" w:rsidP="00426C3A">
            <w:pPr>
              <w:pStyle w:val="TableText"/>
            </w:pPr>
            <w:r>
              <w:t>Clinical pathology evidence of hepatorenal toxicity at 500</w:t>
            </w:r>
            <w:r w:rsidR="00295DF8">
              <w:rPr>
                <w:szCs w:val="17"/>
              </w:rPr>
              <w:t> </w:t>
            </w:r>
            <w:r>
              <w:t xml:space="preserve">mg/kg </w:t>
            </w:r>
            <w:proofErr w:type="spellStart"/>
            <w:r>
              <w:t>bw</w:t>
            </w:r>
            <w:proofErr w:type="spellEnd"/>
            <w:r>
              <w:t>/d</w:t>
            </w:r>
          </w:p>
        </w:tc>
        <w:tc>
          <w:tcPr>
            <w:tcW w:w="1177" w:type="pct"/>
            <w:tcBorders>
              <w:top w:val="single" w:sz="4" w:space="0" w:color="auto"/>
              <w:bottom w:val="single" w:sz="4" w:space="0" w:color="auto"/>
            </w:tcBorders>
          </w:tcPr>
          <w:p w14:paraId="696C49C0" w14:textId="597DC7A5" w:rsidR="00426C3A" w:rsidRDefault="00426C3A" w:rsidP="00426C3A">
            <w:pPr>
              <w:pStyle w:val="TableText"/>
            </w:pPr>
            <w:r>
              <w:t>NOAEL** 100</w:t>
            </w:r>
            <w:r>
              <w:rPr>
                <w:szCs w:val="17"/>
              </w:rPr>
              <w:t> </w:t>
            </w:r>
            <w:r>
              <w:t>mg/kg</w:t>
            </w:r>
            <w:r w:rsidR="00295DF8">
              <w:rPr>
                <w:szCs w:val="17"/>
              </w:rPr>
              <w:t> </w:t>
            </w:r>
            <w:proofErr w:type="spellStart"/>
            <w:r>
              <w:t>bw</w:t>
            </w:r>
            <w:proofErr w:type="spellEnd"/>
            <w:r>
              <w:t>/d</w:t>
            </w:r>
          </w:p>
        </w:tc>
        <w:tc>
          <w:tcPr>
            <w:tcW w:w="1175" w:type="pct"/>
            <w:tcBorders>
              <w:top w:val="single" w:sz="4" w:space="0" w:color="auto"/>
              <w:bottom w:val="single" w:sz="4" w:space="0" w:color="auto"/>
            </w:tcBorders>
          </w:tcPr>
          <w:p w14:paraId="7A5629D5" w14:textId="37FD053D" w:rsidR="00426C3A" w:rsidRDefault="00426C3A" w:rsidP="00426C3A">
            <w:pPr>
              <w:pStyle w:val="TableText"/>
            </w:pPr>
            <w:r>
              <w:t xml:space="preserve">Nakashima </w:t>
            </w:r>
            <w:r w:rsidRPr="00E456D9">
              <w:rPr>
                <w:i/>
                <w:iCs/>
              </w:rPr>
              <w:t>et al</w:t>
            </w:r>
            <w:r>
              <w:t>, 1984</w:t>
            </w:r>
          </w:p>
        </w:tc>
      </w:tr>
      <w:tr w:rsidR="00426C3A" w14:paraId="42D6ECEF" w14:textId="77777777" w:rsidTr="00426C3A">
        <w:trPr>
          <w:cantSplit/>
        </w:trPr>
        <w:tc>
          <w:tcPr>
            <w:tcW w:w="1250" w:type="pct"/>
            <w:tcBorders>
              <w:top w:val="single" w:sz="4" w:space="0" w:color="auto"/>
              <w:bottom w:val="single" w:sz="4" w:space="0" w:color="auto"/>
            </w:tcBorders>
          </w:tcPr>
          <w:p w14:paraId="49BA0495" w14:textId="4A4C532E" w:rsidR="00426C3A" w:rsidRDefault="00426C3A" w:rsidP="00426C3A">
            <w:pPr>
              <w:pStyle w:val="TableText"/>
            </w:pPr>
            <w:r>
              <w:t>18-month dietary mouse</w:t>
            </w:r>
          </w:p>
        </w:tc>
        <w:tc>
          <w:tcPr>
            <w:tcW w:w="1398" w:type="pct"/>
            <w:tcBorders>
              <w:top w:val="single" w:sz="4" w:space="0" w:color="auto"/>
              <w:bottom w:val="single" w:sz="4" w:space="0" w:color="auto"/>
            </w:tcBorders>
          </w:tcPr>
          <w:p w14:paraId="004EA81E" w14:textId="250D27CB" w:rsidR="00426C3A" w:rsidRDefault="00426C3A" w:rsidP="00426C3A">
            <w:pPr>
              <w:pStyle w:val="TableText"/>
            </w:pPr>
            <w:r>
              <w:t>Hepatotoxicity and atrophy of the testicular seminiferous tubules at 15</w:t>
            </w:r>
            <w:r w:rsidR="00295DF8">
              <w:rPr>
                <w:szCs w:val="17"/>
              </w:rPr>
              <w:t> </w:t>
            </w:r>
            <w:r>
              <w:t xml:space="preserve">mg/kg </w:t>
            </w:r>
            <w:proofErr w:type="spellStart"/>
            <w:r>
              <w:t>bw</w:t>
            </w:r>
            <w:proofErr w:type="spellEnd"/>
            <w:r>
              <w:t>/d</w:t>
            </w:r>
          </w:p>
        </w:tc>
        <w:tc>
          <w:tcPr>
            <w:tcW w:w="1177" w:type="pct"/>
            <w:tcBorders>
              <w:top w:val="single" w:sz="4" w:space="0" w:color="auto"/>
              <w:bottom w:val="single" w:sz="4" w:space="0" w:color="auto"/>
            </w:tcBorders>
          </w:tcPr>
          <w:p w14:paraId="64942E29" w14:textId="7EEF1EC6" w:rsidR="00426C3A" w:rsidRDefault="00426C3A" w:rsidP="00426C3A">
            <w:pPr>
              <w:pStyle w:val="TableText"/>
            </w:pPr>
            <w:r>
              <w:t>NOAEL 4.5</w:t>
            </w:r>
            <w:r>
              <w:rPr>
                <w:szCs w:val="17"/>
              </w:rPr>
              <w:t> </w:t>
            </w:r>
            <w:r>
              <w:t xml:space="preserve">mg/kg </w:t>
            </w:r>
            <w:proofErr w:type="spellStart"/>
            <w:r>
              <w:t>bw</w:t>
            </w:r>
            <w:proofErr w:type="spellEnd"/>
            <w:r>
              <w:t>/d</w:t>
            </w:r>
          </w:p>
        </w:tc>
        <w:tc>
          <w:tcPr>
            <w:tcW w:w="1175" w:type="pct"/>
            <w:tcBorders>
              <w:top w:val="single" w:sz="4" w:space="0" w:color="auto"/>
              <w:bottom w:val="single" w:sz="4" w:space="0" w:color="auto"/>
            </w:tcBorders>
          </w:tcPr>
          <w:p w14:paraId="23BBBBA1" w14:textId="367C9847" w:rsidR="00426C3A" w:rsidRDefault="00426C3A" w:rsidP="00426C3A">
            <w:pPr>
              <w:pStyle w:val="TableText"/>
            </w:pPr>
            <w:r>
              <w:t xml:space="preserve">Hagiwara </w:t>
            </w:r>
            <w:r w:rsidRPr="00E456D9">
              <w:rPr>
                <w:i/>
                <w:iCs/>
              </w:rPr>
              <w:t>et al</w:t>
            </w:r>
            <w:r>
              <w:t>, 1981</w:t>
            </w:r>
          </w:p>
        </w:tc>
      </w:tr>
      <w:tr w:rsidR="00426C3A" w14:paraId="20AF6717" w14:textId="77777777" w:rsidTr="00426C3A">
        <w:trPr>
          <w:cantSplit/>
        </w:trPr>
        <w:tc>
          <w:tcPr>
            <w:tcW w:w="1250" w:type="pct"/>
            <w:tcBorders>
              <w:top w:val="single" w:sz="4" w:space="0" w:color="auto"/>
              <w:bottom w:val="single" w:sz="4" w:space="0" w:color="auto"/>
            </w:tcBorders>
          </w:tcPr>
          <w:p w14:paraId="5252A43A" w14:textId="0412B327" w:rsidR="00426C3A" w:rsidRDefault="00426C3A" w:rsidP="00426C3A">
            <w:pPr>
              <w:pStyle w:val="TableText"/>
            </w:pPr>
            <w:r>
              <w:t>2-year dietary mouse</w:t>
            </w:r>
          </w:p>
        </w:tc>
        <w:tc>
          <w:tcPr>
            <w:tcW w:w="1398" w:type="pct"/>
            <w:tcBorders>
              <w:top w:val="single" w:sz="4" w:space="0" w:color="auto"/>
              <w:bottom w:val="single" w:sz="4" w:space="0" w:color="auto"/>
            </w:tcBorders>
          </w:tcPr>
          <w:p w14:paraId="477323EE" w14:textId="5C6F91D1" w:rsidR="00426C3A" w:rsidRDefault="00426C3A" w:rsidP="00426C3A">
            <w:pPr>
              <w:pStyle w:val="TableText"/>
            </w:pPr>
            <w:r>
              <w:t>Hepatotoxicity at the next highest dose</w:t>
            </w:r>
          </w:p>
        </w:tc>
        <w:tc>
          <w:tcPr>
            <w:tcW w:w="1177" w:type="pct"/>
            <w:tcBorders>
              <w:top w:val="single" w:sz="4" w:space="0" w:color="auto"/>
              <w:bottom w:val="single" w:sz="4" w:space="0" w:color="auto"/>
            </w:tcBorders>
          </w:tcPr>
          <w:p w14:paraId="273639A7" w14:textId="4BA282E3" w:rsidR="00426C3A" w:rsidRDefault="00426C3A" w:rsidP="00426C3A">
            <w:pPr>
              <w:pStyle w:val="TableText"/>
            </w:pPr>
            <w:r>
              <w:t>NOAEL 15</w:t>
            </w:r>
            <w:r>
              <w:rPr>
                <w:szCs w:val="17"/>
              </w:rPr>
              <w:t> </w:t>
            </w:r>
            <w:r>
              <w:t>mg/kg</w:t>
            </w:r>
            <w:r w:rsidR="00295DF8">
              <w:rPr>
                <w:szCs w:val="17"/>
              </w:rPr>
              <w:t> </w:t>
            </w:r>
            <w:proofErr w:type="spellStart"/>
            <w:r>
              <w:t>bw</w:t>
            </w:r>
            <w:proofErr w:type="spellEnd"/>
            <w:r>
              <w:t>/d</w:t>
            </w:r>
          </w:p>
        </w:tc>
        <w:tc>
          <w:tcPr>
            <w:tcW w:w="1175" w:type="pct"/>
            <w:tcBorders>
              <w:top w:val="single" w:sz="4" w:space="0" w:color="auto"/>
              <w:bottom w:val="single" w:sz="4" w:space="0" w:color="auto"/>
            </w:tcBorders>
          </w:tcPr>
          <w:p w14:paraId="664E8D7D" w14:textId="2DC6F4A1" w:rsidR="00426C3A" w:rsidRDefault="00426C3A" w:rsidP="00426C3A">
            <w:pPr>
              <w:pStyle w:val="TableText"/>
            </w:pPr>
            <w:r>
              <w:t>Filler and Parker, 1988</w:t>
            </w:r>
          </w:p>
        </w:tc>
      </w:tr>
      <w:tr w:rsidR="00426C3A" w14:paraId="7AFE9629" w14:textId="77777777" w:rsidTr="00426C3A">
        <w:trPr>
          <w:cantSplit/>
        </w:trPr>
        <w:tc>
          <w:tcPr>
            <w:tcW w:w="1250" w:type="pct"/>
            <w:tcBorders>
              <w:top w:val="single" w:sz="4" w:space="0" w:color="auto"/>
              <w:bottom w:val="single" w:sz="4" w:space="0" w:color="auto"/>
            </w:tcBorders>
          </w:tcPr>
          <w:p w14:paraId="045C3C73" w14:textId="13D39C6E" w:rsidR="00426C3A" w:rsidRDefault="00426C3A" w:rsidP="00426C3A">
            <w:pPr>
              <w:pStyle w:val="TableText"/>
            </w:pPr>
            <w:r>
              <w:t>2-year dietary rat</w:t>
            </w:r>
          </w:p>
        </w:tc>
        <w:tc>
          <w:tcPr>
            <w:tcW w:w="1398" w:type="pct"/>
            <w:tcBorders>
              <w:top w:val="single" w:sz="4" w:space="0" w:color="auto"/>
              <w:bottom w:val="single" w:sz="4" w:space="0" w:color="auto"/>
            </w:tcBorders>
          </w:tcPr>
          <w:p w14:paraId="6187B5B5" w14:textId="3824F36A" w:rsidR="00426C3A" w:rsidRDefault="00426C3A" w:rsidP="00426C3A">
            <w:pPr>
              <w:pStyle w:val="TableText"/>
            </w:pPr>
            <w:r>
              <w:t>Hepatoxicity and testicular toxicity at the next highest dose</w:t>
            </w:r>
          </w:p>
        </w:tc>
        <w:tc>
          <w:tcPr>
            <w:tcW w:w="1177" w:type="pct"/>
            <w:tcBorders>
              <w:top w:val="single" w:sz="4" w:space="0" w:color="auto"/>
              <w:bottom w:val="single" w:sz="4" w:space="0" w:color="auto"/>
            </w:tcBorders>
          </w:tcPr>
          <w:p w14:paraId="2E52C7DB" w14:textId="4DF253FC" w:rsidR="00426C3A" w:rsidRDefault="00426C3A" w:rsidP="00426C3A">
            <w:pPr>
              <w:pStyle w:val="TableText"/>
            </w:pPr>
            <w:r>
              <w:t>NOAEL 15</w:t>
            </w:r>
            <w:r>
              <w:rPr>
                <w:szCs w:val="17"/>
              </w:rPr>
              <w:t> </w:t>
            </w:r>
            <w:r>
              <w:t>mg/kg</w:t>
            </w:r>
            <w:r w:rsidR="00295DF8">
              <w:rPr>
                <w:szCs w:val="17"/>
              </w:rPr>
              <w:t> </w:t>
            </w:r>
            <w:r>
              <w:t>b/d</w:t>
            </w:r>
          </w:p>
        </w:tc>
        <w:tc>
          <w:tcPr>
            <w:tcW w:w="1175" w:type="pct"/>
            <w:tcBorders>
              <w:top w:val="single" w:sz="4" w:space="0" w:color="auto"/>
              <w:bottom w:val="single" w:sz="4" w:space="0" w:color="auto"/>
            </w:tcBorders>
          </w:tcPr>
          <w:p w14:paraId="38C9F400" w14:textId="615AE4D2" w:rsidR="00426C3A" w:rsidRDefault="00426C3A" w:rsidP="00426C3A">
            <w:pPr>
              <w:pStyle w:val="TableText"/>
            </w:pPr>
            <w:r>
              <w:t>Keller and Cardy, 1986</w:t>
            </w:r>
          </w:p>
        </w:tc>
      </w:tr>
      <w:tr w:rsidR="00426C3A" w14:paraId="46A0BA42" w14:textId="77777777" w:rsidTr="00426C3A">
        <w:trPr>
          <w:cantSplit/>
        </w:trPr>
        <w:tc>
          <w:tcPr>
            <w:tcW w:w="1250" w:type="pct"/>
            <w:tcBorders>
              <w:top w:val="single" w:sz="4" w:space="0" w:color="auto"/>
              <w:bottom w:val="single" w:sz="4" w:space="0" w:color="auto"/>
            </w:tcBorders>
          </w:tcPr>
          <w:p w14:paraId="0C642B25" w14:textId="1F1652D1" w:rsidR="00426C3A" w:rsidRDefault="00426C3A" w:rsidP="00426C3A">
            <w:pPr>
              <w:pStyle w:val="TableText"/>
            </w:pPr>
            <w:r>
              <w:t>52-week oral capsule study dog</w:t>
            </w:r>
          </w:p>
        </w:tc>
        <w:tc>
          <w:tcPr>
            <w:tcW w:w="1398" w:type="pct"/>
            <w:tcBorders>
              <w:top w:val="single" w:sz="4" w:space="0" w:color="auto"/>
              <w:bottom w:val="single" w:sz="4" w:space="0" w:color="auto"/>
            </w:tcBorders>
          </w:tcPr>
          <w:p w14:paraId="79D7F478" w14:textId="75F493B5" w:rsidR="00426C3A" w:rsidRDefault="00426C3A" w:rsidP="00426C3A">
            <w:pPr>
              <w:pStyle w:val="TableText"/>
            </w:pPr>
            <w:r>
              <w:t>Lower absolute lymphocyte counts and higher total and β-globulin levels at 500</w:t>
            </w:r>
            <w:r w:rsidR="00295DF8">
              <w:rPr>
                <w:szCs w:val="17"/>
              </w:rPr>
              <w:t> </w:t>
            </w:r>
            <w:r>
              <w:t>mg/kg</w:t>
            </w:r>
            <w:r w:rsidR="00295DF8">
              <w:rPr>
                <w:szCs w:val="17"/>
              </w:rPr>
              <w:t> </w:t>
            </w:r>
            <w:proofErr w:type="spellStart"/>
            <w:r>
              <w:t>bw</w:t>
            </w:r>
            <w:proofErr w:type="spellEnd"/>
            <w:r>
              <w:t>/d</w:t>
            </w:r>
          </w:p>
        </w:tc>
        <w:tc>
          <w:tcPr>
            <w:tcW w:w="1177" w:type="pct"/>
            <w:tcBorders>
              <w:top w:val="single" w:sz="4" w:space="0" w:color="auto"/>
              <w:bottom w:val="single" w:sz="4" w:space="0" w:color="auto"/>
            </w:tcBorders>
          </w:tcPr>
          <w:p w14:paraId="6CCA8B1D" w14:textId="1436109A" w:rsidR="00426C3A" w:rsidRDefault="00426C3A" w:rsidP="00426C3A">
            <w:pPr>
              <w:pStyle w:val="TableText"/>
            </w:pPr>
            <w:r>
              <w:t>NOEL 100</w:t>
            </w:r>
            <w:r>
              <w:rPr>
                <w:szCs w:val="17"/>
              </w:rPr>
              <w:t> </w:t>
            </w:r>
            <w:r>
              <w:t xml:space="preserve">mg/kg </w:t>
            </w:r>
            <w:proofErr w:type="spellStart"/>
            <w:r>
              <w:t>bw</w:t>
            </w:r>
            <w:proofErr w:type="spellEnd"/>
            <w:r>
              <w:t>/d</w:t>
            </w:r>
          </w:p>
        </w:tc>
        <w:tc>
          <w:tcPr>
            <w:tcW w:w="1175" w:type="pct"/>
            <w:tcBorders>
              <w:top w:val="single" w:sz="4" w:space="0" w:color="auto"/>
              <w:bottom w:val="single" w:sz="4" w:space="0" w:color="auto"/>
            </w:tcBorders>
          </w:tcPr>
          <w:p w14:paraId="3147CA8D" w14:textId="79279ACA" w:rsidR="00426C3A" w:rsidRDefault="00426C3A" w:rsidP="00426C3A">
            <w:pPr>
              <w:pStyle w:val="TableText"/>
            </w:pPr>
            <w:proofErr w:type="spellStart"/>
            <w:r>
              <w:t>Dalgard</w:t>
            </w:r>
            <w:proofErr w:type="spellEnd"/>
            <w:r>
              <w:t xml:space="preserve"> and </w:t>
            </w:r>
            <w:proofErr w:type="spellStart"/>
            <w:r>
              <w:t>Machotka</w:t>
            </w:r>
            <w:proofErr w:type="spellEnd"/>
            <w:r>
              <w:t>, 1992</w:t>
            </w:r>
          </w:p>
        </w:tc>
      </w:tr>
      <w:tr w:rsidR="00426C3A" w14:paraId="363F07DC" w14:textId="77777777" w:rsidTr="00426C3A">
        <w:trPr>
          <w:cantSplit/>
        </w:trPr>
        <w:tc>
          <w:tcPr>
            <w:tcW w:w="1250" w:type="pct"/>
            <w:tcBorders>
              <w:top w:val="single" w:sz="4" w:space="0" w:color="auto"/>
              <w:bottom w:val="single" w:sz="4" w:space="0" w:color="auto"/>
            </w:tcBorders>
          </w:tcPr>
          <w:p w14:paraId="4C0F874F" w14:textId="2B1D5832" w:rsidR="00426C3A" w:rsidRDefault="00426C3A" w:rsidP="00426C3A">
            <w:pPr>
              <w:pStyle w:val="TableText"/>
            </w:pPr>
            <w:r>
              <w:t>2-year dietary dog</w:t>
            </w:r>
          </w:p>
        </w:tc>
        <w:tc>
          <w:tcPr>
            <w:tcW w:w="1398" w:type="pct"/>
            <w:tcBorders>
              <w:top w:val="single" w:sz="4" w:space="0" w:color="auto"/>
              <w:bottom w:val="single" w:sz="4" w:space="0" w:color="auto"/>
            </w:tcBorders>
          </w:tcPr>
          <w:p w14:paraId="0AC6C2E3" w14:textId="1FCD3568" w:rsidR="00426C3A" w:rsidRDefault="00426C3A" w:rsidP="00426C3A">
            <w:pPr>
              <w:pStyle w:val="TableText"/>
            </w:pPr>
            <w:r>
              <w:t>No adverse effects noted</w:t>
            </w:r>
          </w:p>
        </w:tc>
        <w:tc>
          <w:tcPr>
            <w:tcW w:w="1177" w:type="pct"/>
            <w:tcBorders>
              <w:top w:val="single" w:sz="4" w:space="0" w:color="auto"/>
              <w:bottom w:val="single" w:sz="4" w:space="0" w:color="auto"/>
            </w:tcBorders>
          </w:tcPr>
          <w:p w14:paraId="062F2222" w14:textId="0199C06D" w:rsidR="00426C3A" w:rsidRDefault="00426C3A" w:rsidP="00426C3A">
            <w:pPr>
              <w:pStyle w:val="TableText"/>
            </w:pPr>
            <w:r>
              <w:t>NOEL ≥130</w:t>
            </w:r>
            <w:r w:rsidR="00295DF8">
              <w:rPr>
                <w:szCs w:val="17"/>
              </w:rPr>
              <w:t> </w:t>
            </w:r>
            <w:r>
              <w:t>mg/kg</w:t>
            </w:r>
            <w:r w:rsidR="00295DF8">
              <w:rPr>
                <w:szCs w:val="17"/>
              </w:rPr>
              <w:t> </w:t>
            </w:r>
            <w:proofErr w:type="spellStart"/>
            <w:r>
              <w:t>bw</w:t>
            </w:r>
            <w:proofErr w:type="spellEnd"/>
            <w:r>
              <w:t>/d</w:t>
            </w:r>
          </w:p>
        </w:tc>
        <w:tc>
          <w:tcPr>
            <w:tcW w:w="1175" w:type="pct"/>
            <w:tcBorders>
              <w:top w:val="single" w:sz="4" w:space="0" w:color="auto"/>
              <w:bottom w:val="single" w:sz="4" w:space="0" w:color="auto"/>
            </w:tcBorders>
          </w:tcPr>
          <w:p w14:paraId="593D3782" w14:textId="2C33437A" w:rsidR="00426C3A" w:rsidRDefault="00426C3A" w:rsidP="00426C3A">
            <w:pPr>
              <w:pStyle w:val="TableText"/>
            </w:pPr>
            <w:proofErr w:type="spellStart"/>
            <w:r>
              <w:t>Kadota</w:t>
            </w:r>
            <w:proofErr w:type="spellEnd"/>
            <w:r>
              <w:t xml:space="preserve"> 1981a, </w:t>
            </w:r>
            <w:proofErr w:type="spellStart"/>
            <w:r>
              <w:t>Tatematsu</w:t>
            </w:r>
            <w:proofErr w:type="spellEnd"/>
            <w:r>
              <w:t xml:space="preserve"> </w:t>
            </w:r>
            <w:r w:rsidRPr="00E456D9">
              <w:rPr>
                <w:i/>
                <w:iCs/>
              </w:rPr>
              <w:t>et al</w:t>
            </w:r>
            <w:r>
              <w:t>, 1979</w:t>
            </w:r>
          </w:p>
        </w:tc>
      </w:tr>
      <w:tr w:rsidR="00426C3A" w14:paraId="2BA43C9A" w14:textId="77777777" w:rsidTr="00426C3A">
        <w:trPr>
          <w:cantSplit/>
        </w:trPr>
        <w:tc>
          <w:tcPr>
            <w:tcW w:w="5000" w:type="pct"/>
            <w:gridSpan w:val="4"/>
            <w:tcBorders>
              <w:top w:val="single" w:sz="4" w:space="0" w:color="auto"/>
              <w:bottom w:val="single" w:sz="4" w:space="0" w:color="auto"/>
            </w:tcBorders>
          </w:tcPr>
          <w:p w14:paraId="5F57EB3B" w14:textId="0DA8B39F" w:rsidR="00426C3A" w:rsidRDefault="00426C3A" w:rsidP="00426C3A">
            <w:pPr>
              <w:pStyle w:val="TableSubHead"/>
            </w:pPr>
            <w:r w:rsidRPr="00DA4731">
              <w:t>Reproductive toxicology studies</w:t>
            </w:r>
          </w:p>
        </w:tc>
      </w:tr>
      <w:tr w:rsidR="00426C3A" w14:paraId="2368D0D2" w14:textId="77777777" w:rsidTr="00426C3A">
        <w:trPr>
          <w:cantSplit/>
        </w:trPr>
        <w:tc>
          <w:tcPr>
            <w:tcW w:w="1250" w:type="pct"/>
            <w:tcBorders>
              <w:top w:val="single" w:sz="4" w:space="0" w:color="auto"/>
              <w:bottom w:val="single" w:sz="4" w:space="0" w:color="auto"/>
            </w:tcBorders>
          </w:tcPr>
          <w:p w14:paraId="51F9470B" w14:textId="371A3F29" w:rsidR="00426C3A" w:rsidRPr="00DA4731" w:rsidRDefault="00426C3A" w:rsidP="00426C3A">
            <w:pPr>
              <w:pStyle w:val="TableText"/>
            </w:pPr>
            <w:r>
              <w:t>One generation reproduction study dietary – rat</w:t>
            </w:r>
          </w:p>
        </w:tc>
        <w:tc>
          <w:tcPr>
            <w:tcW w:w="1398" w:type="pct"/>
            <w:tcBorders>
              <w:top w:val="single" w:sz="4" w:space="0" w:color="auto"/>
              <w:bottom w:val="single" w:sz="4" w:space="0" w:color="auto"/>
            </w:tcBorders>
          </w:tcPr>
          <w:p w14:paraId="632742F7" w14:textId="1BACD970" w:rsidR="00426C3A" w:rsidRDefault="00426C3A" w:rsidP="00426C3A">
            <w:pPr>
              <w:pStyle w:val="TableText"/>
            </w:pPr>
            <w:r>
              <w:t>Evidence of developmental anti-androgen effects at 37</w:t>
            </w:r>
            <w:r w:rsidR="00295DF8">
              <w:rPr>
                <w:szCs w:val="17"/>
              </w:rPr>
              <w:t> </w:t>
            </w:r>
            <w:r>
              <w:t>mg/kg</w:t>
            </w:r>
            <w:r w:rsidR="00295DF8">
              <w:rPr>
                <w:szCs w:val="17"/>
              </w:rPr>
              <w:t> </w:t>
            </w:r>
            <w:proofErr w:type="spellStart"/>
            <w:r>
              <w:t>bw</w:t>
            </w:r>
            <w:proofErr w:type="spellEnd"/>
            <w:r>
              <w:t>/d</w:t>
            </w:r>
          </w:p>
        </w:tc>
        <w:tc>
          <w:tcPr>
            <w:tcW w:w="1177" w:type="pct"/>
            <w:tcBorders>
              <w:top w:val="single" w:sz="4" w:space="0" w:color="auto"/>
              <w:bottom w:val="single" w:sz="4" w:space="0" w:color="auto"/>
            </w:tcBorders>
          </w:tcPr>
          <w:p w14:paraId="1DD05D52" w14:textId="4A2CFB45" w:rsidR="00426C3A" w:rsidRDefault="00426C3A" w:rsidP="00426C3A">
            <w:pPr>
              <w:pStyle w:val="APVMATableText"/>
            </w:pPr>
            <w:r>
              <w:t>Parental NOAEL 37</w:t>
            </w:r>
            <w:r>
              <w:rPr>
                <w:szCs w:val="17"/>
              </w:rPr>
              <w:t> </w:t>
            </w:r>
            <w:r>
              <w:t>mg/kg</w:t>
            </w:r>
            <w:r w:rsidR="00295DF8">
              <w:rPr>
                <w:szCs w:val="17"/>
              </w:rPr>
              <w:t> </w:t>
            </w:r>
            <w:proofErr w:type="spellStart"/>
            <w:r>
              <w:t>bw</w:t>
            </w:r>
            <w:proofErr w:type="spellEnd"/>
            <w:r>
              <w:t>/d</w:t>
            </w:r>
          </w:p>
          <w:p w14:paraId="7440F2FE" w14:textId="1DCA55FE" w:rsidR="00426C3A" w:rsidRDefault="00426C3A" w:rsidP="00426C3A">
            <w:pPr>
              <w:pStyle w:val="TableText"/>
            </w:pPr>
            <w:r>
              <w:t>Developmental NOAEL 12</w:t>
            </w:r>
            <w:r>
              <w:rPr>
                <w:szCs w:val="17"/>
              </w:rPr>
              <w:t> </w:t>
            </w:r>
            <w:r>
              <w:t>mg/kg</w:t>
            </w:r>
            <w:r w:rsidR="00295DF8">
              <w:rPr>
                <w:szCs w:val="17"/>
              </w:rPr>
              <w:t> </w:t>
            </w:r>
            <w:proofErr w:type="spellStart"/>
            <w:r>
              <w:t>bw</w:t>
            </w:r>
            <w:proofErr w:type="spellEnd"/>
            <w:r>
              <w:t>/d</w:t>
            </w:r>
          </w:p>
        </w:tc>
        <w:tc>
          <w:tcPr>
            <w:tcW w:w="1175" w:type="pct"/>
            <w:tcBorders>
              <w:top w:val="single" w:sz="4" w:space="0" w:color="auto"/>
              <w:bottom w:val="single" w:sz="4" w:space="0" w:color="auto"/>
            </w:tcBorders>
          </w:tcPr>
          <w:p w14:paraId="7AB6DE60" w14:textId="4A344247" w:rsidR="00426C3A" w:rsidRDefault="00426C3A" w:rsidP="00426C3A">
            <w:pPr>
              <w:pStyle w:val="TableText"/>
            </w:pPr>
            <w:r>
              <w:t>Hodge, 1991</w:t>
            </w:r>
          </w:p>
        </w:tc>
      </w:tr>
      <w:tr w:rsidR="00426C3A" w14:paraId="50C08DA6" w14:textId="77777777" w:rsidTr="00426C3A">
        <w:trPr>
          <w:cantSplit/>
        </w:trPr>
        <w:tc>
          <w:tcPr>
            <w:tcW w:w="1250" w:type="pct"/>
            <w:tcBorders>
              <w:top w:val="single" w:sz="4" w:space="0" w:color="auto"/>
              <w:bottom w:val="single" w:sz="4" w:space="0" w:color="auto"/>
            </w:tcBorders>
          </w:tcPr>
          <w:p w14:paraId="37F193B3" w14:textId="64C85EA9" w:rsidR="00426C3A" w:rsidRDefault="00426C3A" w:rsidP="00426C3A">
            <w:pPr>
              <w:pStyle w:val="TableText"/>
            </w:pPr>
            <w:r>
              <w:t>2 generation reproduction study dietary – rat</w:t>
            </w:r>
          </w:p>
        </w:tc>
        <w:tc>
          <w:tcPr>
            <w:tcW w:w="1398" w:type="pct"/>
            <w:tcBorders>
              <w:top w:val="single" w:sz="4" w:space="0" w:color="auto"/>
              <w:bottom w:val="single" w:sz="4" w:space="0" w:color="auto"/>
            </w:tcBorders>
          </w:tcPr>
          <w:p w14:paraId="49BC0E65" w14:textId="2FA42483" w:rsidR="00426C3A" w:rsidRDefault="00426C3A" w:rsidP="00426C3A">
            <w:pPr>
              <w:pStyle w:val="TableText"/>
            </w:pPr>
            <w:r>
              <w:t xml:space="preserve">Parental seminal </w:t>
            </w:r>
            <w:proofErr w:type="spellStart"/>
            <w:r>
              <w:t>vesiculitis</w:t>
            </w:r>
            <w:proofErr w:type="spellEnd"/>
            <w:r>
              <w:t xml:space="preserve"> (</w:t>
            </w:r>
            <w:proofErr w:type="spellStart"/>
            <w:r>
              <w:t>spermatocystitis</w:t>
            </w:r>
            <w:proofErr w:type="spellEnd"/>
            <w:r>
              <w:t>) at 12.5</w:t>
            </w:r>
            <w:r w:rsidR="00295DF8">
              <w:rPr>
                <w:szCs w:val="17"/>
              </w:rPr>
              <w:t> </w:t>
            </w:r>
            <w:r>
              <w:t>mg/kg</w:t>
            </w:r>
            <w:r w:rsidR="00295DF8">
              <w:rPr>
                <w:szCs w:val="17"/>
              </w:rPr>
              <w:t> </w:t>
            </w:r>
            <w:proofErr w:type="spellStart"/>
            <w:r>
              <w:t>bw</w:t>
            </w:r>
            <w:proofErr w:type="spellEnd"/>
            <w:r>
              <w:t>/d. Evidence of developmental anti-androgenic effects and effects on body weight at 25</w:t>
            </w:r>
            <w:r w:rsidR="00295DF8">
              <w:rPr>
                <w:szCs w:val="17"/>
              </w:rPr>
              <w:t> </w:t>
            </w:r>
            <w:r>
              <w:t>mg/kg</w:t>
            </w:r>
            <w:r w:rsidR="00295DF8">
              <w:rPr>
                <w:szCs w:val="17"/>
              </w:rPr>
              <w:t> </w:t>
            </w:r>
            <w:proofErr w:type="spellStart"/>
            <w:r>
              <w:t>bw</w:t>
            </w:r>
            <w:proofErr w:type="spellEnd"/>
            <w:r>
              <w:t>/d</w:t>
            </w:r>
            <w:r>
              <w:rPr>
                <w:rStyle w:val="FootnoteReference"/>
              </w:rPr>
              <w:footnoteReference w:id="8"/>
            </w:r>
          </w:p>
        </w:tc>
        <w:tc>
          <w:tcPr>
            <w:tcW w:w="1177" w:type="pct"/>
            <w:tcBorders>
              <w:top w:val="single" w:sz="4" w:space="0" w:color="auto"/>
              <w:bottom w:val="single" w:sz="4" w:space="0" w:color="auto"/>
            </w:tcBorders>
          </w:tcPr>
          <w:p w14:paraId="0D6F6114" w14:textId="05CFBCB1" w:rsidR="00426C3A" w:rsidRDefault="00426C3A" w:rsidP="00426C3A">
            <w:pPr>
              <w:pStyle w:val="APVMATableText"/>
            </w:pPr>
            <w:r>
              <w:t>Parental NOAEL 2.5</w:t>
            </w:r>
            <w:r>
              <w:rPr>
                <w:szCs w:val="17"/>
              </w:rPr>
              <w:t> </w:t>
            </w:r>
            <w:r>
              <w:t>mg/kg</w:t>
            </w:r>
            <w:r w:rsidR="00295DF8">
              <w:rPr>
                <w:szCs w:val="17"/>
              </w:rPr>
              <w:t> </w:t>
            </w:r>
            <w:proofErr w:type="spellStart"/>
            <w:r>
              <w:t>bw</w:t>
            </w:r>
            <w:proofErr w:type="spellEnd"/>
            <w:r>
              <w:t>/d</w:t>
            </w:r>
          </w:p>
          <w:p w14:paraId="4E8126C3" w14:textId="7DACEA9E" w:rsidR="00426C3A" w:rsidRDefault="00426C3A" w:rsidP="00426C3A">
            <w:pPr>
              <w:pStyle w:val="TableText"/>
            </w:pPr>
            <w:r>
              <w:t>Developmental NOAEL 12.5</w:t>
            </w:r>
            <w:r>
              <w:rPr>
                <w:szCs w:val="17"/>
              </w:rPr>
              <w:t> </w:t>
            </w:r>
            <w:r>
              <w:t>mg/kg</w:t>
            </w:r>
            <w:r w:rsidR="00295DF8">
              <w:rPr>
                <w:szCs w:val="17"/>
              </w:rPr>
              <w:t> </w:t>
            </w:r>
            <w:proofErr w:type="spellStart"/>
            <w:r>
              <w:t>bw</w:t>
            </w:r>
            <w:proofErr w:type="spellEnd"/>
            <w:r>
              <w:t>/d</w:t>
            </w:r>
          </w:p>
        </w:tc>
        <w:tc>
          <w:tcPr>
            <w:tcW w:w="1175" w:type="pct"/>
            <w:tcBorders>
              <w:top w:val="single" w:sz="4" w:space="0" w:color="auto"/>
              <w:bottom w:val="single" w:sz="4" w:space="0" w:color="auto"/>
            </w:tcBorders>
          </w:tcPr>
          <w:p w14:paraId="4BB8DA29" w14:textId="6D8F38B5" w:rsidR="00426C3A" w:rsidRDefault="00426C3A" w:rsidP="00426C3A">
            <w:pPr>
              <w:pStyle w:val="TableText"/>
            </w:pPr>
            <w:r>
              <w:t xml:space="preserve">Milburn, 1991, </w:t>
            </w:r>
            <w:proofErr w:type="spellStart"/>
            <w:r>
              <w:t>Wickramaratne</w:t>
            </w:r>
            <w:proofErr w:type="spellEnd"/>
            <w:r>
              <w:t>, unspecified data</w:t>
            </w:r>
          </w:p>
        </w:tc>
      </w:tr>
      <w:tr w:rsidR="00426C3A" w14:paraId="772EFE9B" w14:textId="77777777" w:rsidTr="00426C3A">
        <w:trPr>
          <w:cantSplit/>
        </w:trPr>
        <w:tc>
          <w:tcPr>
            <w:tcW w:w="5000" w:type="pct"/>
            <w:gridSpan w:val="4"/>
            <w:tcBorders>
              <w:top w:val="single" w:sz="4" w:space="0" w:color="auto"/>
              <w:bottom w:val="single" w:sz="4" w:space="0" w:color="auto"/>
            </w:tcBorders>
          </w:tcPr>
          <w:p w14:paraId="3B17E33A" w14:textId="7D589B74" w:rsidR="00426C3A" w:rsidRDefault="00426C3A" w:rsidP="00426C3A">
            <w:pPr>
              <w:pStyle w:val="TableSubHead"/>
            </w:pPr>
            <w:r w:rsidRPr="00E87F5C">
              <w:t>Developmental toxicology studies</w:t>
            </w:r>
          </w:p>
        </w:tc>
      </w:tr>
      <w:tr w:rsidR="00426C3A" w14:paraId="7AB413B1" w14:textId="77777777" w:rsidTr="00426C3A">
        <w:trPr>
          <w:cantSplit/>
        </w:trPr>
        <w:tc>
          <w:tcPr>
            <w:tcW w:w="1250" w:type="pct"/>
            <w:tcBorders>
              <w:top w:val="single" w:sz="4" w:space="0" w:color="auto"/>
              <w:bottom w:val="single" w:sz="4" w:space="0" w:color="auto"/>
            </w:tcBorders>
          </w:tcPr>
          <w:p w14:paraId="410F09FB" w14:textId="696479B7" w:rsidR="00426C3A" w:rsidRPr="00E87F5C" w:rsidRDefault="00426C3A" w:rsidP="00426C3A">
            <w:pPr>
              <w:pStyle w:val="TableText"/>
            </w:pPr>
            <w:r>
              <w:t>Gavage – rat</w:t>
            </w:r>
          </w:p>
        </w:tc>
        <w:tc>
          <w:tcPr>
            <w:tcW w:w="1398" w:type="pct"/>
            <w:tcBorders>
              <w:top w:val="single" w:sz="4" w:space="0" w:color="auto"/>
              <w:bottom w:val="single" w:sz="4" w:space="0" w:color="auto"/>
            </w:tcBorders>
          </w:tcPr>
          <w:p w14:paraId="4E9E4A9B" w14:textId="73065F66" w:rsidR="00426C3A" w:rsidRDefault="00426C3A" w:rsidP="00426C3A">
            <w:pPr>
              <w:pStyle w:val="APVMATableText"/>
            </w:pPr>
            <w:r>
              <w:t>Maternal – reduced maternal bodyweight gain at the next highest dose</w:t>
            </w:r>
          </w:p>
          <w:p w14:paraId="78FECB9B" w14:textId="29A0F015" w:rsidR="00426C3A" w:rsidRDefault="00426C3A" w:rsidP="00426C3A">
            <w:pPr>
              <w:pStyle w:val="TableText"/>
            </w:pPr>
            <w:r>
              <w:t>Foetal – anti-androgenic effects at the next highest dose</w:t>
            </w:r>
          </w:p>
        </w:tc>
        <w:tc>
          <w:tcPr>
            <w:tcW w:w="1177" w:type="pct"/>
            <w:tcBorders>
              <w:top w:val="single" w:sz="4" w:space="0" w:color="auto"/>
              <w:bottom w:val="single" w:sz="4" w:space="0" w:color="auto"/>
            </w:tcBorders>
          </w:tcPr>
          <w:p w14:paraId="1E270BF4" w14:textId="3A94C127" w:rsidR="00426C3A" w:rsidRDefault="00426C3A" w:rsidP="00426C3A">
            <w:pPr>
              <w:pStyle w:val="APVMATableText"/>
            </w:pPr>
            <w:r>
              <w:t>Maternal NOAEL – 12.5</w:t>
            </w:r>
            <w:r>
              <w:rPr>
                <w:szCs w:val="17"/>
              </w:rPr>
              <w:t> </w:t>
            </w:r>
            <w:r>
              <w:t>mg/kg</w:t>
            </w:r>
            <w:r w:rsidR="00295DF8">
              <w:rPr>
                <w:szCs w:val="17"/>
              </w:rPr>
              <w:t> </w:t>
            </w:r>
            <w:proofErr w:type="spellStart"/>
            <w:r>
              <w:t>bw</w:t>
            </w:r>
            <w:proofErr w:type="spellEnd"/>
            <w:r>
              <w:t>/d</w:t>
            </w:r>
          </w:p>
          <w:p w14:paraId="61D5E8F3" w14:textId="0433B7F1" w:rsidR="00426C3A" w:rsidRDefault="00426C3A" w:rsidP="00426C3A">
            <w:pPr>
              <w:pStyle w:val="TableText"/>
            </w:pPr>
            <w:r>
              <w:t>Foetal NOAEL – 3.5</w:t>
            </w:r>
            <w:r>
              <w:rPr>
                <w:szCs w:val="17"/>
              </w:rPr>
              <w:t> </w:t>
            </w:r>
            <w:r>
              <w:t>mg/kg</w:t>
            </w:r>
            <w:r w:rsidR="00295DF8">
              <w:rPr>
                <w:szCs w:val="17"/>
              </w:rPr>
              <w:t> </w:t>
            </w:r>
            <w:proofErr w:type="spellStart"/>
            <w:r>
              <w:t>bw</w:t>
            </w:r>
            <w:proofErr w:type="spellEnd"/>
            <w:r>
              <w:t>/d</w:t>
            </w:r>
          </w:p>
        </w:tc>
        <w:tc>
          <w:tcPr>
            <w:tcW w:w="1175" w:type="pct"/>
            <w:tcBorders>
              <w:top w:val="single" w:sz="4" w:space="0" w:color="auto"/>
              <w:bottom w:val="single" w:sz="4" w:space="0" w:color="auto"/>
            </w:tcBorders>
          </w:tcPr>
          <w:p w14:paraId="6656A4FE" w14:textId="04CC59EC" w:rsidR="00426C3A" w:rsidRDefault="00426C3A" w:rsidP="00426C3A">
            <w:pPr>
              <w:pStyle w:val="TableText"/>
            </w:pPr>
            <w:r>
              <w:t>Hoberman, 1992</w:t>
            </w:r>
          </w:p>
        </w:tc>
      </w:tr>
      <w:tr w:rsidR="00426C3A" w14:paraId="636499D5" w14:textId="77777777" w:rsidTr="00426C3A">
        <w:trPr>
          <w:cantSplit/>
        </w:trPr>
        <w:tc>
          <w:tcPr>
            <w:tcW w:w="1250" w:type="pct"/>
            <w:tcBorders>
              <w:top w:val="single" w:sz="4" w:space="0" w:color="auto"/>
              <w:bottom w:val="single" w:sz="4" w:space="0" w:color="auto"/>
            </w:tcBorders>
          </w:tcPr>
          <w:p w14:paraId="4EF1DE25" w14:textId="256E592C" w:rsidR="00426C3A" w:rsidRDefault="00426C3A" w:rsidP="00426C3A">
            <w:pPr>
              <w:pStyle w:val="TableText"/>
            </w:pPr>
            <w:r>
              <w:t>Gavage – rat</w:t>
            </w:r>
          </w:p>
        </w:tc>
        <w:tc>
          <w:tcPr>
            <w:tcW w:w="1398" w:type="pct"/>
            <w:tcBorders>
              <w:top w:val="single" w:sz="4" w:space="0" w:color="auto"/>
              <w:bottom w:val="single" w:sz="4" w:space="0" w:color="auto"/>
            </w:tcBorders>
          </w:tcPr>
          <w:p w14:paraId="155FA9D4" w14:textId="77777777" w:rsidR="00426C3A" w:rsidRDefault="00426C3A" w:rsidP="00426C3A">
            <w:pPr>
              <w:pStyle w:val="APVMATableText"/>
            </w:pPr>
            <w:r>
              <w:t>Maternal – no adverse effects at high dose</w:t>
            </w:r>
          </w:p>
          <w:p w14:paraId="2FE4074F" w14:textId="1202F060" w:rsidR="00426C3A" w:rsidRDefault="00426C3A" w:rsidP="00426C3A">
            <w:pPr>
              <w:pStyle w:val="TableText"/>
            </w:pPr>
            <w:r>
              <w:t>Foetal – anti-androgenic effects at high dose</w:t>
            </w:r>
          </w:p>
        </w:tc>
        <w:tc>
          <w:tcPr>
            <w:tcW w:w="1177" w:type="pct"/>
            <w:tcBorders>
              <w:top w:val="single" w:sz="4" w:space="0" w:color="auto"/>
              <w:bottom w:val="single" w:sz="4" w:space="0" w:color="auto"/>
            </w:tcBorders>
          </w:tcPr>
          <w:p w14:paraId="15CC5BDC" w14:textId="77777777" w:rsidR="00426C3A" w:rsidRDefault="00426C3A" w:rsidP="00426C3A">
            <w:pPr>
              <w:pStyle w:val="APVMATableText"/>
            </w:pPr>
            <w:r>
              <w:t>Maternal NOEL ≥200</w:t>
            </w:r>
            <w:r>
              <w:rPr>
                <w:szCs w:val="17"/>
              </w:rPr>
              <w:t> </w:t>
            </w:r>
            <w:r>
              <w:t>mg/kg</w:t>
            </w:r>
            <w:r>
              <w:rPr>
                <w:szCs w:val="17"/>
              </w:rPr>
              <w:t> </w:t>
            </w:r>
            <w:proofErr w:type="spellStart"/>
            <w:r>
              <w:t>bw</w:t>
            </w:r>
            <w:proofErr w:type="spellEnd"/>
            <w:r>
              <w:t>/d</w:t>
            </w:r>
          </w:p>
          <w:p w14:paraId="59F941AE" w14:textId="5BECB740" w:rsidR="00426C3A" w:rsidRDefault="00426C3A" w:rsidP="00426C3A">
            <w:pPr>
              <w:pStyle w:val="TableText"/>
            </w:pPr>
            <w:r>
              <w:t>Foetal LOAEL 25</w:t>
            </w:r>
            <w:r>
              <w:rPr>
                <w:szCs w:val="17"/>
              </w:rPr>
              <w:t> </w:t>
            </w:r>
            <w:r>
              <w:t>mg/kg</w:t>
            </w:r>
            <w:r>
              <w:rPr>
                <w:szCs w:val="17"/>
              </w:rPr>
              <w:t> </w:t>
            </w:r>
            <w:proofErr w:type="spellStart"/>
            <w:r>
              <w:t>bw</w:t>
            </w:r>
            <w:proofErr w:type="spellEnd"/>
            <w:r>
              <w:t>/d</w:t>
            </w:r>
          </w:p>
        </w:tc>
        <w:tc>
          <w:tcPr>
            <w:tcW w:w="1175" w:type="pct"/>
            <w:tcBorders>
              <w:top w:val="single" w:sz="4" w:space="0" w:color="auto"/>
              <w:bottom w:val="single" w:sz="4" w:space="0" w:color="auto"/>
            </w:tcBorders>
          </w:tcPr>
          <w:p w14:paraId="4A59A433" w14:textId="233EF229" w:rsidR="00426C3A" w:rsidRDefault="00426C3A" w:rsidP="00426C3A">
            <w:pPr>
              <w:pStyle w:val="TableText"/>
            </w:pPr>
            <w:proofErr w:type="spellStart"/>
            <w:r>
              <w:t>Ostby</w:t>
            </w:r>
            <w:proofErr w:type="spellEnd"/>
            <w:r>
              <w:t xml:space="preserve"> </w:t>
            </w:r>
            <w:r w:rsidRPr="00E456D9">
              <w:rPr>
                <w:i/>
                <w:iCs/>
              </w:rPr>
              <w:t>et al</w:t>
            </w:r>
            <w:r>
              <w:t>, 1999</w:t>
            </w:r>
          </w:p>
        </w:tc>
      </w:tr>
      <w:tr w:rsidR="00426C3A" w14:paraId="328E97FF" w14:textId="77777777" w:rsidTr="00426C3A">
        <w:trPr>
          <w:cantSplit/>
        </w:trPr>
        <w:tc>
          <w:tcPr>
            <w:tcW w:w="1250" w:type="pct"/>
            <w:tcBorders>
              <w:top w:val="single" w:sz="4" w:space="0" w:color="auto"/>
              <w:bottom w:val="single" w:sz="4" w:space="0" w:color="auto"/>
            </w:tcBorders>
          </w:tcPr>
          <w:p w14:paraId="48D813C1" w14:textId="2369D97F" w:rsidR="00426C3A" w:rsidRDefault="00426C3A" w:rsidP="00426C3A">
            <w:pPr>
              <w:pStyle w:val="TableText"/>
            </w:pPr>
            <w:r>
              <w:lastRenderedPageBreak/>
              <w:t>Gavage – rabbit</w:t>
            </w:r>
          </w:p>
        </w:tc>
        <w:tc>
          <w:tcPr>
            <w:tcW w:w="1398" w:type="pct"/>
            <w:tcBorders>
              <w:top w:val="single" w:sz="4" w:space="0" w:color="auto"/>
              <w:bottom w:val="single" w:sz="4" w:space="0" w:color="auto"/>
            </w:tcBorders>
          </w:tcPr>
          <w:p w14:paraId="247AA337" w14:textId="2EC99808" w:rsidR="00426C3A" w:rsidRDefault="00426C3A" w:rsidP="00426C3A">
            <w:pPr>
              <w:pStyle w:val="TableText"/>
            </w:pPr>
            <w:r>
              <w:t>No adverse effects at the highest dose</w:t>
            </w:r>
            <w:r>
              <w:rPr>
                <w:rStyle w:val="FootnoteReference"/>
              </w:rPr>
              <w:footnoteReference w:id="9"/>
            </w:r>
          </w:p>
        </w:tc>
        <w:tc>
          <w:tcPr>
            <w:tcW w:w="1177" w:type="pct"/>
            <w:tcBorders>
              <w:top w:val="single" w:sz="4" w:space="0" w:color="auto"/>
              <w:bottom w:val="single" w:sz="4" w:space="0" w:color="auto"/>
            </w:tcBorders>
          </w:tcPr>
          <w:p w14:paraId="7D38F451" w14:textId="77777777" w:rsidR="00426C3A" w:rsidRDefault="00426C3A" w:rsidP="00426C3A">
            <w:pPr>
              <w:pStyle w:val="APVMATableText"/>
            </w:pPr>
            <w:r>
              <w:t>Maternal NOEL ≥100</w:t>
            </w:r>
            <w:r>
              <w:rPr>
                <w:szCs w:val="17"/>
              </w:rPr>
              <w:t> </w:t>
            </w:r>
            <w:r>
              <w:t>mg/kg</w:t>
            </w:r>
            <w:r>
              <w:rPr>
                <w:szCs w:val="17"/>
              </w:rPr>
              <w:t> </w:t>
            </w:r>
            <w:proofErr w:type="spellStart"/>
            <w:r>
              <w:t>bw</w:t>
            </w:r>
            <w:proofErr w:type="spellEnd"/>
            <w:r>
              <w:t>/d</w:t>
            </w:r>
          </w:p>
          <w:p w14:paraId="0FD42F21" w14:textId="0D01BABE" w:rsidR="00426C3A" w:rsidRDefault="00426C3A" w:rsidP="00426C3A">
            <w:pPr>
              <w:pStyle w:val="TableText"/>
            </w:pPr>
            <w:r>
              <w:t>Foetal NOEL ≥100</w:t>
            </w:r>
            <w:r>
              <w:rPr>
                <w:szCs w:val="17"/>
              </w:rPr>
              <w:t> </w:t>
            </w:r>
            <w:r>
              <w:t>mg/kg</w:t>
            </w:r>
            <w:r>
              <w:rPr>
                <w:szCs w:val="17"/>
              </w:rPr>
              <w:t> </w:t>
            </w:r>
            <w:proofErr w:type="spellStart"/>
            <w:r>
              <w:t>bw</w:t>
            </w:r>
            <w:proofErr w:type="spellEnd"/>
            <w:r>
              <w:t>/d</w:t>
            </w:r>
          </w:p>
        </w:tc>
        <w:tc>
          <w:tcPr>
            <w:tcW w:w="1175" w:type="pct"/>
            <w:tcBorders>
              <w:top w:val="single" w:sz="4" w:space="0" w:color="auto"/>
              <w:bottom w:val="single" w:sz="4" w:space="0" w:color="auto"/>
            </w:tcBorders>
          </w:tcPr>
          <w:p w14:paraId="5A20B6AA" w14:textId="1665D37B" w:rsidR="00426C3A" w:rsidRDefault="00426C3A" w:rsidP="00426C3A">
            <w:pPr>
              <w:pStyle w:val="TableText"/>
            </w:pPr>
            <w:r>
              <w:t>IBT – Sumitomo, 1975</w:t>
            </w:r>
          </w:p>
        </w:tc>
      </w:tr>
      <w:tr w:rsidR="00426C3A" w14:paraId="042D59AE" w14:textId="77777777" w:rsidTr="00426C3A">
        <w:trPr>
          <w:cantSplit/>
        </w:trPr>
        <w:tc>
          <w:tcPr>
            <w:tcW w:w="1250" w:type="pct"/>
            <w:tcBorders>
              <w:top w:val="single" w:sz="4" w:space="0" w:color="auto"/>
              <w:bottom w:val="single" w:sz="4" w:space="0" w:color="auto"/>
            </w:tcBorders>
          </w:tcPr>
          <w:p w14:paraId="3CE1CA30" w14:textId="5AD61E88" w:rsidR="00426C3A" w:rsidRDefault="00426C3A" w:rsidP="00426C3A">
            <w:pPr>
              <w:pStyle w:val="TableText"/>
            </w:pPr>
            <w:r>
              <w:t>Gavage – rabbit</w:t>
            </w:r>
          </w:p>
        </w:tc>
        <w:tc>
          <w:tcPr>
            <w:tcW w:w="1398" w:type="pct"/>
            <w:tcBorders>
              <w:top w:val="single" w:sz="4" w:space="0" w:color="auto"/>
              <w:bottom w:val="single" w:sz="4" w:space="0" w:color="auto"/>
            </w:tcBorders>
          </w:tcPr>
          <w:p w14:paraId="3D16682F" w14:textId="635E3BB1" w:rsidR="00426C3A" w:rsidRDefault="00426C3A" w:rsidP="00426C3A">
            <w:pPr>
              <w:pStyle w:val="TableText"/>
            </w:pPr>
            <w:r>
              <w:t>No adverse effects at the highest dose</w:t>
            </w:r>
            <w:r>
              <w:rPr>
                <w:rStyle w:val="FootnoteReference"/>
              </w:rPr>
              <w:footnoteReference w:id="10"/>
            </w:r>
          </w:p>
        </w:tc>
        <w:tc>
          <w:tcPr>
            <w:tcW w:w="1177" w:type="pct"/>
            <w:tcBorders>
              <w:top w:val="single" w:sz="4" w:space="0" w:color="auto"/>
              <w:bottom w:val="single" w:sz="4" w:space="0" w:color="auto"/>
            </w:tcBorders>
          </w:tcPr>
          <w:p w14:paraId="71612DBD" w14:textId="3E857A37" w:rsidR="00426C3A" w:rsidRDefault="00426C3A" w:rsidP="00426C3A">
            <w:pPr>
              <w:pStyle w:val="APVMATableText"/>
            </w:pPr>
            <w:r>
              <w:t>Maternal NOEL ≥1000</w:t>
            </w:r>
            <w:r>
              <w:rPr>
                <w:szCs w:val="17"/>
              </w:rPr>
              <w:t> </w:t>
            </w:r>
            <w:r>
              <w:t>mg/kg</w:t>
            </w:r>
            <w:r w:rsidR="00295DF8">
              <w:rPr>
                <w:szCs w:val="17"/>
              </w:rPr>
              <w:t> </w:t>
            </w:r>
            <w:proofErr w:type="spellStart"/>
            <w:r>
              <w:t>bw</w:t>
            </w:r>
            <w:proofErr w:type="spellEnd"/>
            <w:r>
              <w:t>/d</w:t>
            </w:r>
          </w:p>
          <w:p w14:paraId="1FA79743" w14:textId="3B0D2FBD" w:rsidR="00426C3A" w:rsidRDefault="00426C3A" w:rsidP="00426C3A">
            <w:pPr>
              <w:pStyle w:val="TableText"/>
            </w:pPr>
            <w:r>
              <w:t>Foetal NOEL ≥1000</w:t>
            </w:r>
            <w:r>
              <w:rPr>
                <w:szCs w:val="17"/>
              </w:rPr>
              <w:t> </w:t>
            </w:r>
            <w:r>
              <w:t>mg/kg</w:t>
            </w:r>
            <w:r w:rsidR="00295DF8">
              <w:rPr>
                <w:szCs w:val="17"/>
              </w:rPr>
              <w:t> </w:t>
            </w:r>
            <w:proofErr w:type="spellStart"/>
            <w:r>
              <w:t>bw</w:t>
            </w:r>
            <w:proofErr w:type="spellEnd"/>
            <w:r>
              <w:t>/d</w:t>
            </w:r>
          </w:p>
        </w:tc>
        <w:tc>
          <w:tcPr>
            <w:tcW w:w="1175" w:type="pct"/>
            <w:tcBorders>
              <w:top w:val="single" w:sz="4" w:space="0" w:color="auto"/>
              <w:bottom w:val="single" w:sz="4" w:space="0" w:color="auto"/>
            </w:tcBorders>
          </w:tcPr>
          <w:p w14:paraId="7B62A40D" w14:textId="72B6C576" w:rsidR="00426C3A" w:rsidRDefault="00426C3A" w:rsidP="00426C3A">
            <w:pPr>
              <w:pStyle w:val="TableText"/>
            </w:pPr>
            <w:proofErr w:type="spellStart"/>
            <w:r>
              <w:t>Wickramaratne</w:t>
            </w:r>
            <w:proofErr w:type="spellEnd"/>
            <w:r>
              <w:t>, 1988</w:t>
            </w:r>
          </w:p>
        </w:tc>
      </w:tr>
      <w:tr w:rsidR="00426C3A" w14:paraId="20C45635" w14:textId="77777777" w:rsidTr="00426C3A">
        <w:trPr>
          <w:cantSplit/>
        </w:trPr>
        <w:tc>
          <w:tcPr>
            <w:tcW w:w="1250" w:type="pct"/>
            <w:tcBorders>
              <w:top w:val="single" w:sz="4" w:space="0" w:color="auto"/>
              <w:bottom w:val="single" w:sz="4" w:space="0" w:color="auto"/>
            </w:tcBorders>
          </w:tcPr>
          <w:p w14:paraId="5E78274D" w14:textId="272BFDB5" w:rsidR="00426C3A" w:rsidRDefault="00426C3A" w:rsidP="00426C3A">
            <w:pPr>
              <w:pStyle w:val="TableText"/>
            </w:pPr>
            <w:r>
              <w:t>Gavage – primate</w:t>
            </w:r>
          </w:p>
        </w:tc>
        <w:tc>
          <w:tcPr>
            <w:tcW w:w="1398" w:type="pct"/>
            <w:tcBorders>
              <w:top w:val="single" w:sz="4" w:space="0" w:color="auto"/>
              <w:bottom w:val="single" w:sz="4" w:space="0" w:color="auto"/>
            </w:tcBorders>
          </w:tcPr>
          <w:p w14:paraId="42889C39" w14:textId="5DB0C30C" w:rsidR="00426C3A" w:rsidRDefault="00426C3A" w:rsidP="00426C3A">
            <w:pPr>
              <w:pStyle w:val="TableText"/>
            </w:pPr>
            <w:r>
              <w:t>No adverse effects at highest dose</w:t>
            </w:r>
          </w:p>
        </w:tc>
        <w:tc>
          <w:tcPr>
            <w:tcW w:w="1177" w:type="pct"/>
            <w:tcBorders>
              <w:top w:val="single" w:sz="4" w:space="0" w:color="auto"/>
              <w:bottom w:val="single" w:sz="4" w:space="0" w:color="auto"/>
            </w:tcBorders>
          </w:tcPr>
          <w:p w14:paraId="61378956" w14:textId="3D8D7B7C" w:rsidR="00426C3A" w:rsidRDefault="00426C3A" w:rsidP="00426C3A">
            <w:pPr>
              <w:pStyle w:val="APVMATableText"/>
            </w:pPr>
            <w:r>
              <w:t>Maternal NOAEL ≥125</w:t>
            </w:r>
            <w:r>
              <w:rPr>
                <w:szCs w:val="17"/>
              </w:rPr>
              <w:t> </w:t>
            </w:r>
            <w:r>
              <w:t>mg/kg</w:t>
            </w:r>
            <w:r w:rsidR="00295DF8">
              <w:rPr>
                <w:szCs w:val="17"/>
              </w:rPr>
              <w:t> </w:t>
            </w:r>
            <w:proofErr w:type="spellStart"/>
            <w:r>
              <w:t>bw</w:t>
            </w:r>
            <w:proofErr w:type="spellEnd"/>
            <w:r>
              <w:t>/d</w:t>
            </w:r>
          </w:p>
          <w:p w14:paraId="0DDE1C17" w14:textId="2A9C8A40" w:rsidR="00426C3A" w:rsidRDefault="00426C3A" w:rsidP="00426C3A">
            <w:pPr>
              <w:pStyle w:val="TableText"/>
            </w:pPr>
            <w:r>
              <w:t>Foetal NOAEL ≥125</w:t>
            </w:r>
            <w:r>
              <w:rPr>
                <w:szCs w:val="17"/>
              </w:rPr>
              <w:t> </w:t>
            </w:r>
            <w:r>
              <w:t>mg/kg</w:t>
            </w:r>
            <w:r>
              <w:rPr>
                <w:szCs w:val="17"/>
              </w:rPr>
              <w:t> </w:t>
            </w:r>
            <w:proofErr w:type="spellStart"/>
            <w:r>
              <w:t>bw</w:t>
            </w:r>
            <w:proofErr w:type="spellEnd"/>
            <w:r>
              <w:t>/d</w:t>
            </w:r>
          </w:p>
        </w:tc>
        <w:tc>
          <w:tcPr>
            <w:tcW w:w="1175" w:type="pct"/>
            <w:tcBorders>
              <w:top w:val="single" w:sz="4" w:space="0" w:color="auto"/>
              <w:bottom w:val="single" w:sz="4" w:space="0" w:color="auto"/>
            </w:tcBorders>
          </w:tcPr>
          <w:p w14:paraId="1CE8489E" w14:textId="52708334" w:rsidR="00426C3A" w:rsidRDefault="00426C3A" w:rsidP="00426C3A">
            <w:pPr>
              <w:pStyle w:val="TableText"/>
            </w:pPr>
            <w:proofErr w:type="spellStart"/>
            <w:r>
              <w:t>Fukunishi</w:t>
            </w:r>
            <w:proofErr w:type="spellEnd"/>
            <w:r>
              <w:t>, 2003b</w:t>
            </w:r>
          </w:p>
        </w:tc>
      </w:tr>
    </w:tbl>
    <w:p w14:paraId="2A0960A1" w14:textId="77777777" w:rsidR="00426C3A" w:rsidRDefault="00426C3A" w:rsidP="00426C3A">
      <w:pPr>
        <w:pStyle w:val="SourceTableNote"/>
      </w:pPr>
      <w:r>
        <w:t>* NOEL = no observed effect level</w:t>
      </w:r>
    </w:p>
    <w:p w14:paraId="43E082E1" w14:textId="4AF4BD27" w:rsidR="00426C3A" w:rsidRPr="00426C3A" w:rsidRDefault="00426C3A" w:rsidP="00426C3A">
      <w:pPr>
        <w:pStyle w:val="SourceTableNote"/>
      </w:pPr>
      <w:r>
        <w:t>** NOAEL = no observed adverse effect level</w:t>
      </w:r>
    </w:p>
    <w:p w14:paraId="586D3546" w14:textId="755A4ECE" w:rsidR="00426C3A" w:rsidRPr="00D05130" w:rsidRDefault="00426C3A" w:rsidP="00D05130">
      <w:pPr>
        <w:pStyle w:val="Heading2"/>
      </w:pPr>
      <w:bookmarkStart w:id="33" w:name="_Toc116301518"/>
      <w:r w:rsidRPr="00D05130">
        <w:t>Acute toxicity</w:t>
      </w:r>
      <w:bookmarkEnd w:id="33"/>
    </w:p>
    <w:p w14:paraId="00E6912C" w14:textId="652BC533" w:rsidR="00426C3A" w:rsidRPr="00D05130" w:rsidRDefault="00426C3A" w:rsidP="00D05130">
      <w:pPr>
        <w:pStyle w:val="APVMAText"/>
      </w:pPr>
      <w:r w:rsidRPr="00D05130">
        <w:t xml:space="preserve">Additional acute toxicity studies were submitted by holders following the publication of the APVMA toxicology assessment in 2017. These studies indicate that procymidone was of low acute oral, dermal and inhalation toxicity and was not a skin irritant; however, was a slight eye irritant. Acute neurotoxicity studies indicated treatment-related effects on neurofunction were observed at 200 mg/kg </w:t>
      </w:r>
      <w:proofErr w:type="spellStart"/>
      <w:r w:rsidRPr="00D05130">
        <w:t>bw</w:t>
      </w:r>
      <w:proofErr w:type="spellEnd"/>
      <w:r w:rsidRPr="00D05130">
        <w:t xml:space="preserve">, however were not associated with neurostructural changes. A NOAEL was established for acute neurotoxicity at 30 mg/kg </w:t>
      </w:r>
      <w:proofErr w:type="spellStart"/>
      <w:r w:rsidRPr="00D05130">
        <w:t>bw</w:t>
      </w:r>
      <w:proofErr w:type="spellEnd"/>
      <w:r w:rsidRPr="00D05130">
        <w:t>/day (</w:t>
      </w:r>
      <w:proofErr w:type="spellStart"/>
      <w:r w:rsidRPr="00D05130">
        <w:t>Motomura</w:t>
      </w:r>
      <w:proofErr w:type="spellEnd"/>
      <w:r w:rsidRPr="00D05130">
        <w:t>, 2015).</w:t>
      </w:r>
    </w:p>
    <w:p w14:paraId="5E3DB8C7" w14:textId="1891D8AC" w:rsidR="00426C3A" w:rsidRPr="00D05130" w:rsidRDefault="00426C3A" w:rsidP="00D05130">
      <w:pPr>
        <w:pStyle w:val="Heading2"/>
      </w:pPr>
      <w:bookmarkStart w:id="34" w:name="_Toc116301519"/>
      <w:r w:rsidRPr="00D05130">
        <w:t>Impurities of toxicological concern</w:t>
      </w:r>
      <w:bookmarkEnd w:id="34"/>
    </w:p>
    <w:p w14:paraId="0D380A32" w14:textId="2DE092FB" w:rsidR="00426C3A" w:rsidRPr="00D05130" w:rsidRDefault="00426C3A" w:rsidP="00D05130">
      <w:pPr>
        <w:pStyle w:val="APVMAText"/>
      </w:pPr>
      <w:r w:rsidRPr="00D05130">
        <w:t xml:space="preserve">3,5-dichloroaniline has been identified as an impurity in procymidone active constituents. The toxicological effects of this impurity have been previously considered during approval of sources of the technical grade active constituent. An additional study on 3,5-dichloroaniline has been provided (Katsumata, 2013). Key identified effects were </w:t>
      </w:r>
      <w:proofErr w:type="spellStart"/>
      <w:r w:rsidRPr="00D05130">
        <w:t>methaemoglobinaemia</w:t>
      </w:r>
      <w:proofErr w:type="spellEnd"/>
      <w:r w:rsidRPr="00D05130">
        <w:t xml:space="preserve"> at low doses, with effects on the spleen and bone marrow at the next higher dose. A NOAEL was established in this study at 1</w:t>
      </w:r>
      <w:r w:rsidR="00295DF8" w:rsidRPr="00D05130">
        <w:t> </w:t>
      </w:r>
      <w:r w:rsidRPr="00D05130">
        <w:t xml:space="preserve">mg/kg </w:t>
      </w:r>
      <w:proofErr w:type="spellStart"/>
      <w:r w:rsidRPr="00D05130">
        <w:t>bw</w:t>
      </w:r>
      <w:proofErr w:type="spellEnd"/>
      <w:r w:rsidRPr="00D05130">
        <w:t xml:space="preserve">/day. A maximum level of 1 g/kg, </w:t>
      </w:r>
      <w:r w:rsidR="008278AA" w:rsidRPr="00D05130">
        <w:t>which has been included</w:t>
      </w:r>
      <w:r w:rsidRPr="00D05130">
        <w:t xml:space="preserve"> in the APVMA standard for procymidone, is considered adequately protective taking into consideration the requirement for protection of sensitive sub-populations from these effects.</w:t>
      </w:r>
    </w:p>
    <w:p w14:paraId="041F7DBF" w14:textId="6AF8E9CD" w:rsidR="00426C3A" w:rsidRPr="00D05130" w:rsidRDefault="00426C3A" w:rsidP="00D05130">
      <w:pPr>
        <w:pStyle w:val="Heading2"/>
      </w:pPr>
      <w:bookmarkStart w:id="35" w:name="_Toc116301520"/>
      <w:r w:rsidRPr="00D05130">
        <w:lastRenderedPageBreak/>
        <w:t>Health-based guidance values and poisons scheduling</w:t>
      </w:r>
      <w:bookmarkEnd w:id="35"/>
    </w:p>
    <w:p w14:paraId="6A2E3C41" w14:textId="1EE0EEE7" w:rsidR="00426C3A" w:rsidRPr="00D05130" w:rsidRDefault="00426C3A" w:rsidP="00D05130">
      <w:pPr>
        <w:pStyle w:val="Heading3"/>
      </w:pPr>
      <w:bookmarkStart w:id="36" w:name="_Toc116301521"/>
      <w:r w:rsidRPr="00D05130">
        <w:t>Acceptable daily intake</w:t>
      </w:r>
      <w:bookmarkEnd w:id="36"/>
    </w:p>
    <w:p w14:paraId="15D06117" w14:textId="62387C22" w:rsidR="00426C3A" w:rsidRPr="00D05130" w:rsidRDefault="00426C3A" w:rsidP="00D05130">
      <w:pPr>
        <w:pStyle w:val="APVMAText"/>
      </w:pPr>
      <w:r w:rsidRPr="00D05130">
        <w:t xml:space="preserve">The acceptable daily intake (ADI) for procymidone will be revised from 0.03 mg/kg </w:t>
      </w:r>
      <w:proofErr w:type="spellStart"/>
      <w:r w:rsidRPr="00D05130">
        <w:t>bw</w:t>
      </w:r>
      <w:proofErr w:type="spellEnd"/>
      <w:r w:rsidRPr="00D05130">
        <w:t xml:space="preserve">/day to 0.05 mg/kg </w:t>
      </w:r>
      <w:proofErr w:type="spellStart"/>
      <w:r w:rsidRPr="00D05130">
        <w:t>bw</w:t>
      </w:r>
      <w:proofErr w:type="spellEnd"/>
      <w:r w:rsidRPr="00D05130">
        <w:t xml:space="preserve">/day. The ADI was previously based on a no observed adverse effect level (NOAEL) of 2.5 mg/kg </w:t>
      </w:r>
      <w:proofErr w:type="spellStart"/>
      <w:r w:rsidRPr="00D05130">
        <w:t>bw</w:t>
      </w:r>
      <w:proofErr w:type="spellEnd"/>
      <w:r w:rsidRPr="00D05130">
        <w:t xml:space="preserve">/day in a one generation rat reproduction study based on increased parental testes weight and reduced </w:t>
      </w:r>
      <w:proofErr w:type="spellStart"/>
      <w:r w:rsidRPr="00D05130">
        <w:t>epididymides</w:t>
      </w:r>
      <w:proofErr w:type="spellEnd"/>
      <w:r w:rsidRPr="00D05130">
        <w:t xml:space="preserve"> and prostate weights at the next higher dose with an uncertainty factor of 10 for intra-species and 10 for interspecies differences applied. The establishment of the ADI at 0.05 mg/kg </w:t>
      </w:r>
      <w:proofErr w:type="spellStart"/>
      <w:r w:rsidRPr="00D05130">
        <w:t>bw</w:t>
      </w:r>
      <w:proofErr w:type="spellEnd"/>
      <w:r w:rsidRPr="00D05130">
        <w:t xml:space="preserve">/day is based on a NOAEL of 4.5 mg/kg </w:t>
      </w:r>
      <w:proofErr w:type="spellStart"/>
      <w:r w:rsidRPr="00D05130">
        <w:t>bw</w:t>
      </w:r>
      <w:proofErr w:type="spellEnd"/>
      <w:r w:rsidRPr="00D05130">
        <w:t>/day in an 18-month repeat dose dietary study in mice where hepatoxicity and atrophy of testicular seminiferous tubules were observed at the next higher dose and applying an uncertainty factor of 10 for intra-species and 10 for interspecies differences.</w:t>
      </w:r>
    </w:p>
    <w:p w14:paraId="3639DEFF" w14:textId="5EFF9724" w:rsidR="00426C3A" w:rsidRPr="00D05130" w:rsidRDefault="00426C3A" w:rsidP="00D05130">
      <w:pPr>
        <w:pStyle w:val="Heading3"/>
      </w:pPr>
      <w:bookmarkStart w:id="37" w:name="_Toc116301522"/>
      <w:r w:rsidRPr="00D05130">
        <w:t>Acute reference dose</w:t>
      </w:r>
      <w:bookmarkEnd w:id="37"/>
    </w:p>
    <w:p w14:paraId="14D369C4" w14:textId="61CBDF1A" w:rsidR="00426C3A" w:rsidRPr="00D05130" w:rsidRDefault="00426C3A" w:rsidP="00D05130">
      <w:pPr>
        <w:pStyle w:val="APVMAText"/>
      </w:pPr>
      <w:r w:rsidRPr="00D05130">
        <w:t>The acute reference dose (</w:t>
      </w:r>
      <w:proofErr w:type="spellStart"/>
      <w:r w:rsidRPr="00D05130">
        <w:t>ARfD</w:t>
      </w:r>
      <w:proofErr w:type="spellEnd"/>
      <w:r w:rsidRPr="00D05130">
        <w:t xml:space="preserve">) for procymidone will be revised. The </w:t>
      </w:r>
      <w:proofErr w:type="spellStart"/>
      <w:r w:rsidRPr="00D05130">
        <w:t>ARfD</w:t>
      </w:r>
      <w:proofErr w:type="spellEnd"/>
      <w:r w:rsidRPr="00D05130">
        <w:t xml:space="preserve">, for women of childbearing age, was 0.1 mg/kg </w:t>
      </w:r>
      <w:proofErr w:type="spellStart"/>
      <w:r w:rsidRPr="00D05130">
        <w:t>bw</w:t>
      </w:r>
      <w:proofErr w:type="spellEnd"/>
      <w:r w:rsidRPr="00D05130">
        <w:t xml:space="preserve"> based on a NOAEL of 12.5 mg/kg </w:t>
      </w:r>
      <w:proofErr w:type="spellStart"/>
      <w:r w:rsidRPr="00D05130">
        <w:t>bw</w:t>
      </w:r>
      <w:proofErr w:type="spellEnd"/>
      <w:r w:rsidRPr="00D05130">
        <w:t xml:space="preserve"> in a rat developmental toxicity study, based on an increased incidence of hypospadias at the next higher dose. An uncertainty factor of 10 for intra-species and 10 for interspecies variation has been applied previously.</w:t>
      </w:r>
    </w:p>
    <w:p w14:paraId="0D8D4EC3" w14:textId="77777777" w:rsidR="00426C3A" w:rsidRPr="00D05130" w:rsidRDefault="00426C3A" w:rsidP="00D05130">
      <w:pPr>
        <w:pStyle w:val="APVMAText"/>
      </w:pPr>
      <w:r w:rsidRPr="00D05130">
        <w:t xml:space="preserve">It has now been determined that no </w:t>
      </w:r>
      <w:proofErr w:type="spellStart"/>
      <w:r w:rsidRPr="00D05130">
        <w:t>ARfD</w:t>
      </w:r>
      <w:proofErr w:type="spellEnd"/>
      <w:r w:rsidRPr="00D05130">
        <w:t xml:space="preserve"> is required for procymidone, on the basis that anti-androgenic effects on development are unlikely to occur following a single exposure incident, and the observed effects in the acute neurotoxicity study do not require the establishment of an </w:t>
      </w:r>
      <w:proofErr w:type="spellStart"/>
      <w:r w:rsidRPr="00D05130">
        <w:t>ARfD</w:t>
      </w:r>
      <w:proofErr w:type="spellEnd"/>
      <w:r w:rsidRPr="00D05130">
        <w:t>.</w:t>
      </w:r>
    </w:p>
    <w:p w14:paraId="0E563BB7" w14:textId="56FFE547" w:rsidR="00426C3A" w:rsidRPr="00D05130" w:rsidRDefault="00426C3A" w:rsidP="00D05130">
      <w:pPr>
        <w:pStyle w:val="Heading3"/>
      </w:pPr>
      <w:bookmarkStart w:id="38" w:name="_Toc116301523"/>
      <w:r w:rsidRPr="00D05130">
        <w:t>Poisons scheduling</w:t>
      </w:r>
      <w:bookmarkEnd w:id="38"/>
    </w:p>
    <w:p w14:paraId="174BBED5" w14:textId="77777777" w:rsidR="00426C3A" w:rsidRPr="00D05130" w:rsidRDefault="00426C3A" w:rsidP="00D05130">
      <w:pPr>
        <w:pStyle w:val="APVMAText"/>
      </w:pPr>
      <w:r w:rsidRPr="00D05130">
        <w:t>Procymidone is included in Schedule 7 of the Standard for the Uniform Scheduling of Medicines and Poisons. In 2004, reassessment of scheduling concluded that inclusion of procymidone in Schedule 7 remained appropriate, based on the evidence that procymidone promoted anti-androgenic effects in vitro in human cell lines. The Schedule 7 listing of procymidone remains appropriate.</w:t>
      </w:r>
    </w:p>
    <w:p w14:paraId="320BA81D" w14:textId="5F2E1426" w:rsidR="00426C3A" w:rsidRPr="00D05130" w:rsidRDefault="00426C3A" w:rsidP="00D05130">
      <w:pPr>
        <w:pStyle w:val="Heading2"/>
      </w:pPr>
      <w:bookmarkStart w:id="39" w:name="_Toc116301524"/>
      <w:r w:rsidRPr="00D05130">
        <w:t>Recommendations</w:t>
      </w:r>
      <w:bookmarkEnd w:id="39"/>
    </w:p>
    <w:p w14:paraId="6D2D1583" w14:textId="75933FF9" w:rsidR="00426C3A" w:rsidRPr="00D05130" w:rsidRDefault="00426C3A" w:rsidP="00D05130">
      <w:pPr>
        <w:pStyle w:val="APVMAText"/>
      </w:pPr>
      <w:r w:rsidRPr="00D05130">
        <w:t>The APVMA has assessed the toxicological hazards of procymidone, particularly related to anti-androgenic effects, and concludes that the active constituents and registration of products containing procymidone would not be:</w:t>
      </w:r>
    </w:p>
    <w:p w14:paraId="759F2F9C" w14:textId="2D0A268C" w:rsidR="00426C3A" w:rsidRPr="00D05130" w:rsidRDefault="00426C3A" w:rsidP="00D05130">
      <w:pPr>
        <w:pStyle w:val="Bullet1"/>
      </w:pPr>
      <w:r w:rsidRPr="00D05130">
        <w:t>an undue health hazard to the safety of people exposed to it during its handling or people using anything containing its residues</w:t>
      </w:r>
    </w:p>
    <w:p w14:paraId="76F25899" w14:textId="7975A2B2" w:rsidR="00426C3A" w:rsidRPr="00D05130" w:rsidRDefault="00426C3A" w:rsidP="00D05130">
      <w:pPr>
        <w:pStyle w:val="Bullet1"/>
      </w:pPr>
      <w:r w:rsidRPr="00D05130">
        <w:t>likely to have an effect that is harmful to human beings, and considered the following to be appropriate:</w:t>
      </w:r>
    </w:p>
    <w:p w14:paraId="4A3DD932" w14:textId="2FE13FE6" w:rsidR="00426C3A" w:rsidRPr="00D05130" w:rsidRDefault="00426C3A" w:rsidP="00D05130">
      <w:pPr>
        <w:pStyle w:val="Bullet2"/>
      </w:pPr>
      <w:r w:rsidRPr="00D05130">
        <w:t xml:space="preserve">The ADI for procymidone should be revised to 0.05 milligrams of procymidone per kilogram body weight per day based on a no observed adverse effect level of 4.5 mg of procymidone per kilogram body weight per day for hepatotoxicity and atrophy of the testicular seminiferous tubules occurring at higher doses in </w:t>
      </w:r>
      <w:r w:rsidRPr="00D05130">
        <w:lastRenderedPageBreak/>
        <w:t>an 18-month dietary exposure study in mice toxicity/carcinogenicity study. The ADI incorporates a 100-fold uncertainty factor to account for inter- and intra-species differences</w:t>
      </w:r>
    </w:p>
    <w:p w14:paraId="41C2377E" w14:textId="37F73122" w:rsidR="00426C3A" w:rsidRPr="00D05130" w:rsidRDefault="00426C3A" w:rsidP="00D05130">
      <w:pPr>
        <w:pStyle w:val="Bullet2"/>
      </w:pPr>
      <w:r w:rsidRPr="00D05130">
        <w:t xml:space="preserve">The </w:t>
      </w:r>
      <w:proofErr w:type="spellStart"/>
      <w:r w:rsidRPr="00D05130">
        <w:t>ARfD</w:t>
      </w:r>
      <w:proofErr w:type="spellEnd"/>
      <w:r w:rsidRPr="00D05130">
        <w:t xml:space="preserve"> for procymidone should be considered unnecessary because anti-androgenic effects on development are unlikely to occur following a single exposure incident</w:t>
      </w:r>
    </w:p>
    <w:p w14:paraId="343CB035" w14:textId="77777777" w:rsidR="00426C3A" w:rsidRPr="00D05130" w:rsidRDefault="00426C3A" w:rsidP="00D05130">
      <w:pPr>
        <w:pStyle w:val="Bullet2"/>
        <w:sectPr w:rsidR="00426C3A" w:rsidRPr="00D05130">
          <w:headerReference w:type="default" r:id="rId29"/>
          <w:pgSz w:w="11906" w:h="16838" w:code="9"/>
          <w:pgMar w:top="2835" w:right="1134" w:bottom="1134" w:left="1134" w:header="1701" w:footer="680" w:gutter="0"/>
          <w:cols w:space="708"/>
          <w:docGrid w:linePitch="360"/>
        </w:sectPr>
      </w:pPr>
      <w:r w:rsidRPr="00D05130">
        <w:t>Procymidone should remain in Schedule 7 of the Standard for the Uniform Scheduling of Medicines and Poisons.</w:t>
      </w:r>
    </w:p>
    <w:p w14:paraId="52D7BEEE" w14:textId="44ADB7EA" w:rsidR="00426C3A" w:rsidRPr="00D05130" w:rsidRDefault="00426C3A" w:rsidP="00D05130">
      <w:pPr>
        <w:pStyle w:val="Heading1"/>
      </w:pPr>
      <w:bookmarkStart w:id="40" w:name="_Toc116301525"/>
      <w:r w:rsidRPr="00D05130">
        <w:lastRenderedPageBreak/>
        <w:t>Occupational health and safety</w:t>
      </w:r>
      <w:bookmarkEnd w:id="40"/>
    </w:p>
    <w:p w14:paraId="57755237" w14:textId="15D5F44E" w:rsidR="00426C3A" w:rsidRPr="00D05130" w:rsidRDefault="00426C3A" w:rsidP="00D05130">
      <w:pPr>
        <w:pStyle w:val="Heading2"/>
      </w:pPr>
      <w:bookmarkStart w:id="41" w:name="_Toc116301526"/>
      <w:r w:rsidRPr="00D05130">
        <w:t>Consideration of occupational health and safety risks</w:t>
      </w:r>
      <w:bookmarkEnd w:id="41"/>
    </w:p>
    <w:p w14:paraId="201B1FFC" w14:textId="68004B21" w:rsidR="00426C3A" w:rsidRPr="00D05130" w:rsidRDefault="00426C3A" w:rsidP="00D05130">
      <w:pPr>
        <w:pStyle w:val="APVMAText"/>
      </w:pPr>
      <w:r w:rsidRPr="00D05130">
        <w:t xml:space="preserve">In October 2017, the APVMA finalised the </w:t>
      </w:r>
      <w:hyperlink r:id="rId30" w:history="1">
        <w:r w:rsidRPr="00D05130">
          <w:rPr>
            <w:rStyle w:val="Hyperlink"/>
          </w:rPr>
          <w:t>procymidone human health risk (including toxicology and work health safety) assessment report</w:t>
        </w:r>
      </w:hyperlink>
      <w:r w:rsidRPr="00D05130">
        <w:t xml:space="preserve">. The 2017 human health report focused on the toxicological potential for birth defects or impairment of human fertility, and work health and safety risks arising from exposure during handling, </w:t>
      </w:r>
      <w:proofErr w:type="gramStart"/>
      <w:r w:rsidRPr="00D05130">
        <w:t>application</w:t>
      </w:r>
      <w:proofErr w:type="gramEnd"/>
      <w:r w:rsidRPr="00D05130">
        <w:t xml:space="preserve"> and re-entry in order to ensure label safety directions are appropriate.</w:t>
      </w:r>
      <w:hyperlink w:history="1"/>
    </w:p>
    <w:p w14:paraId="4BA6C290" w14:textId="77777777" w:rsidR="00426C3A" w:rsidRPr="00D05130" w:rsidRDefault="00426C3A" w:rsidP="00D05130">
      <w:pPr>
        <w:pStyle w:val="APVMAText"/>
      </w:pPr>
      <w:r w:rsidRPr="00D05130">
        <w:t>In this further review, the full range of uses of procymidone have been reconsidered utilising revised endpoints based on the reconsideration of the toxicology of procymidone. Updated methodologies for exposure monitoring have been used where appropriate.</w:t>
      </w:r>
    </w:p>
    <w:p w14:paraId="4C0A1B4B" w14:textId="7F6F6DD0" w:rsidR="00426C3A" w:rsidRPr="00D05130" w:rsidRDefault="00426C3A" w:rsidP="00D05130">
      <w:pPr>
        <w:pStyle w:val="Heading2"/>
      </w:pPr>
      <w:bookmarkStart w:id="42" w:name="_Toc116301527"/>
      <w:r w:rsidRPr="00D05130">
        <w:t>Application methods</w:t>
      </w:r>
      <w:bookmarkEnd w:id="42"/>
    </w:p>
    <w:p w14:paraId="06C8419C" w14:textId="77777777" w:rsidR="00426C3A" w:rsidRDefault="00426C3A" w:rsidP="00D05130">
      <w:pPr>
        <w:pStyle w:val="APVMAText"/>
      </w:pPr>
      <w:r>
        <w:t>Procymidone products are applied to a range of crops using the application methods and use rates listed in Table 6 below.</w:t>
      </w:r>
    </w:p>
    <w:p w14:paraId="2C696EB8" w14:textId="24388A3E" w:rsidR="00426C3A" w:rsidRDefault="00426C3A" w:rsidP="00426C3A">
      <w:pPr>
        <w:pStyle w:val="Caption"/>
      </w:pPr>
      <w:bookmarkStart w:id="43" w:name="_Toc101968002"/>
      <w:bookmarkStart w:id="44" w:name="_Toc116301697"/>
      <w:r>
        <w:t xml:space="preserve">Table </w:t>
      </w:r>
      <w:r>
        <w:rPr>
          <w:noProof/>
        </w:rPr>
        <w:fldChar w:fldCharType="begin"/>
      </w:r>
      <w:r>
        <w:rPr>
          <w:noProof/>
        </w:rPr>
        <w:instrText xml:space="preserve"> SEQ Table \* ARABIC </w:instrText>
      </w:r>
      <w:r>
        <w:rPr>
          <w:noProof/>
        </w:rPr>
        <w:fldChar w:fldCharType="separate"/>
      </w:r>
      <w:r w:rsidR="00ED7319">
        <w:rPr>
          <w:noProof/>
        </w:rPr>
        <w:t>6</w:t>
      </w:r>
      <w:r>
        <w:rPr>
          <w:noProof/>
        </w:rPr>
        <w:fldChar w:fldCharType="end"/>
      </w:r>
      <w:r>
        <w:t>:</w:t>
      </w:r>
      <w:r>
        <w:tab/>
        <w:t>Maximum use rates and standard work rates for procymidone application</w:t>
      </w:r>
      <w:bookmarkEnd w:id="43"/>
      <w:bookmarkEnd w:id="44"/>
    </w:p>
    <w:tbl>
      <w:tblPr>
        <w:tblW w:w="5000" w:type="pct"/>
        <w:tblBorders>
          <w:bottom w:val="dotted" w:sz="2" w:space="0" w:color="auto"/>
          <w:insideH w:val="dotted" w:sz="2" w:space="0" w:color="auto"/>
        </w:tblBorders>
        <w:tblLook w:val="01E0" w:firstRow="1" w:lastRow="1" w:firstColumn="1" w:lastColumn="1" w:noHBand="0" w:noVBand="0"/>
      </w:tblPr>
      <w:tblGrid>
        <w:gridCol w:w="2409"/>
        <w:gridCol w:w="2409"/>
        <w:gridCol w:w="2410"/>
        <w:gridCol w:w="2410"/>
      </w:tblGrid>
      <w:tr w:rsidR="00426C3A" w14:paraId="1C8D5C45" w14:textId="77777777" w:rsidTr="00426C3A">
        <w:trPr>
          <w:cantSplit/>
          <w:tblHeader/>
        </w:trPr>
        <w:tc>
          <w:tcPr>
            <w:tcW w:w="1250" w:type="pct"/>
            <w:tcBorders>
              <w:top w:val="single" w:sz="4" w:space="0" w:color="auto"/>
              <w:bottom w:val="single" w:sz="4" w:space="0" w:color="auto"/>
            </w:tcBorders>
            <w:shd w:val="clear" w:color="auto" w:fill="5C2946"/>
            <w:vAlign w:val="center"/>
          </w:tcPr>
          <w:p w14:paraId="47C38EBC" w14:textId="45108C8A" w:rsidR="00426C3A" w:rsidRPr="00FB0015" w:rsidRDefault="00426C3A" w:rsidP="00426C3A">
            <w:pPr>
              <w:pStyle w:val="TableHead"/>
            </w:pPr>
            <w:r>
              <w:t>Application method</w:t>
            </w:r>
          </w:p>
        </w:tc>
        <w:tc>
          <w:tcPr>
            <w:tcW w:w="1250" w:type="pct"/>
            <w:tcBorders>
              <w:top w:val="single" w:sz="4" w:space="0" w:color="auto"/>
              <w:bottom w:val="single" w:sz="4" w:space="0" w:color="auto"/>
            </w:tcBorders>
            <w:shd w:val="clear" w:color="auto" w:fill="5C2946"/>
            <w:vAlign w:val="center"/>
          </w:tcPr>
          <w:p w14:paraId="3447ABF0" w14:textId="26EC6AA4" w:rsidR="00426C3A" w:rsidRPr="00FB0015" w:rsidRDefault="00426C3A" w:rsidP="00D05130">
            <w:pPr>
              <w:pStyle w:val="TableHead"/>
              <w:jc w:val="right"/>
            </w:pPr>
            <w:r>
              <w:t>Rate per hectare (kg ac/hectare) or concentration (g/L)</w:t>
            </w:r>
          </w:p>
        </w:tc>
        <w:tc>
          <w:tcPr>
            <w:tcW w:w="1250" w:type="pct"/>
            <w:tcBorders>
              <w:top w:val="single" w:sz="4" w:space="0" w:color="auto"/>
              <w:bottom w:val="single" w:sz="4" w:space="0" w:color="auto"/>
            </w:tcBorders>
            <w:shd w:val="clear" w:color="auto" w:fill="5C2946"/>
            <w:vAlign w:val="center"/>
          </w:tcPr>
          <w:p w14:paraId="3C9BE516" w14:textId="56C3ED9E" w:rsidR="00426C3A" w:rsidRPr="00FB0015" w:rsidRDefault="00426C3A" w:rsidP="00D05130">
            <w:pPr>
              <w:pStyle w:val="TableHead"/>
              <w:jc w:val="right"/>
            </w:pPr>
            <w:r>
              <w:t>Hectares treated or volume used per day</w:t>
            </w:r>
          </w:p>
        </w:tc>
        <w:tc>
          <w:tcPr>
            <w:tcW w:w="1250" w:type="pct"/>
            <w:tcBorders>
              <w:top w:val="single" w:sz="4" w:space="0" w:color="auto"/>
              <w:bottom w:val="single" w:sz="4" w:space="0" w:color="auto"/>
            </w:tcBorders>
            <w:shd w:val="clear" w:color="auto" w:fill="5C2946"/>
            <w:vAlign w:val="center"/>
          </w:tcPr>
          <w:p w14:paraId="357FB0A6" w14:textId="77777777" w:rsidR="00426C3A" w:rsidRDefault="00426C3A" w:rsidP="00D05130">
            <w:pPr>
              <w:pStyle w:val="APVMATableHead"/>
              <w:jc w:val="right"/>
            </w:pPr>
            <w:r>
              <w:t xml:space="preserve">Estimated quantity per day </w:t>
            </w:r>
          </w:p>
          <w:p w14:paraId="43B06119" w14:textId="7EA89982" w:rsidR="00426C3A" w:rsidRPr="00FB0015" w:rsidRDefault="00426C3A" w:rsidP="00D05130">
            <w:pPr>
              <w:pStyle w:val="TableHead"/>
              <w:jc w:val="right"/>
            </w:pPr>
            <w:r>
              <w:t>(</w:t>
            </w:r>
            <w:proofErr w:type="gramStart"/>
            <w:r>
              <w:t>kg</w:t>
            </w:r>
            <w:proofErr w:type="gramEnd"/>
            <w:r>
              <w:t xml:space="preserve"> procymidone)</w:t>
            </w:r>
          </w:p>
        </w:tc>
      </w:tr>
      <w:tr w:rsidR="00426C3A" w14:paraId="554D4AE2" w14:textId="77777777" w:rsidTr="00426C3A">
        <w:trPr>
          <w:cantSplit/>
        </w:trPr>
        <w:tc>
          <w:tcPr>
            <w:tcW w:w="1250" w:type="pct"/>
            <w:tcBorders>
              <w:top w:val="single" w:sz="4" w:space="0" w:color="auto"/>
              <w:bottom w:val="single" w:sz="4" w:space="0" w:color="auto"/>
            </w:tcBorders>
            <w:vAlign w:val="center"/>
          </w:tcPr>
          <w:p w14:paraId="20FDA623" w14:textId="2515FBD3" w:rsidR="00426C3A" w:rsidRPr="0065245B" w:rsidRDefault="00426C3A" w:rsidP="00426C3A">
            <w:pPr>
              <w:pStyle w:val="TableText"/>
            </w:pPr>
            <w:r>
              <w:t>Aerial</w:t>
            </w:r>
          </w:p>
        </w:tc>
        <w:tc>
          <w:tcPr>
            <w:tcW w:w="1250" w:type="pct"/>
            <w:tcBorders>
              <w:top w:val="single" w:sz="4" w:space="0" w:color="auto"/>
              <w:bottom w:val="single" w:sz="4" w:space="0" w:color="auto"/>
            </w:tcBorders>
            <w:vAlign w:val="center"/>
          </w:tcPr>
          <w:p w14:paraId="3DDB418A" w14:textId="576AA132" w:rsidR="00426C3A" w:rsidRPr="0065245B" w:rsidRDefault="00426C3A" w:rsidP="00D05130">
            <w:pPr>
              <w:pStyle w:val="TableText"/>
              <w:jc w:val="right"/>
            </w:pPr>
            <w:r>
              <w:t>0.5</w:t>
            </w:r>
          </w:p>
        </w:tc>
        <w:tc>
          <w:tcPr>
            <w:tcW w:w="1250" w:type="pct"/>
            <w:tcBorders>
              <w:top w:val="single" w:sz="4" w:space="0" w:color="auto"/>
              <w:bottom w:val="single" w:sz="4" w:space="0" w:color="auto"/>
            </w:tcBorders>
            <w:vAlign w:val="center"/>
          </w:tcPr>
          <w:p w14:paraId="1F6E2726" w14:textId="0C363870" w:rsidR="00426C3A" w:rsidRPr="0065245B" w:rsidRDefault="00426C3A" w:rsidP="00D05130">
            <w:pPr>
              <w:pStyle w:val="TableText"/>
              <w:jc w:val="right"/>
            </w:pPr>
            <w:r>
              <w:t>1 200</w:t>
            </w:r>
          </w:p>
        </w:tc>
        <w:tc>
          <w:tcPr>
            <w:tcW w:w="1250" w:type="pct"/>
            <w:tcBorders>
              <w:top w:val="single" w:sz="4" w:space="0" w:color="auto"/>
              <w:bottom w:val="single" w:sz="4" w:space="0" w:color="auto"/>
            </w:tcBorders>
            <w:vAlign w:val="center"/>
          </w:tcPr>
          <w:p w14:paraId="5FE09260" w14:textId="742155FC" w:rsidR="00426C3A" w:rsidRPr="0065245B" w:rsidRDefault="00426C3A" w:rsidP="00D05130">
            <w:pPr>
              <w:pStyle w:val="TableText"/>
              <w:jc w:val="right"/>
            </w:pPr>
            <w:r>
              <w:t>600</w:t>
            </w:r>
          </w:p>
        </w:tc>
      </w:tr>
      <w:tr w:rsidR="00426C3A" w14:paraId="111E1CD3" w14:textId="77777777" w:rsidTr="00426C3A">
        <w:trPr>
          <w:cantSplit/>
        </w:trPr>
        <w:tc>
          <w:tcPr>
            <w:tcW w:w="1250" w:type="pct"/>
            <w:tcBorders>
              <w:top w:val="single" w:sz="4" w:space="0" w:color="auto"/>
              <w:bottom w:val="single" w:sz="4" w:space="0" w:color="auto"/>
            </w:tcBorders>
            <w:vAlign w:val="center"/>
          </w:tcPr>
          <w:p w14:paraId="05169259" w14:textId="3DECA007" w:rsidR="00426C3A" w:rsidRPr="0065245B" w:rsidRDefault="00426C3A" w:rsidP="00426C3A">
            <w:pPr>
              <w:pStyle w:val="TableText"/>
            </w:pPr>
            <w:r>
              <w:t>Groundboom (turfgrass)</w:t>
            </w:r>
          </w:p>
        </w:tc>
        <w:tc>
          <w:tcPr>
            <w:tcW w:w="1250" w:type="pct"/>
            <w:tcBorders>
              <w:top w:val="single" w:sz="4" w:space="0" w:color="auto"/>
              <w:bottom w:val="single" w:sz="4" w:space="0" w:color="auto"/>
            </w:tcBorders>
            <w:vAlign w:val="center"/>
          </w:tcPr>
          <w:p w14:paraId="4DF912AF" w14:textId="39C41392" w:rsidR="00426C3A" w:rsidRPr="0065245B" w:rsidRDefault="00426C3A" w:rsidP="00D05130">
            <w:pPr>
              <w:pStyle w:val="TableText"/>
              <w:jc w:val="right"/>
            </w:pPr>
            <w:r>
              <w:t>5</w:t>
            </w:r>
          </w:p>
        </w:tc>
        <w:tc>
          <w:tcPr>
            <w:tcW w:w="1250" w:type="pct"/>
            <w:tcBorders>
              <w:top w:val="single" w:sz="4" w:space="0" w:color="auto"/>
              <w:bottom w:val="single" w:sz="4" w:space="0" w:color="auto"/>
            </w:tcBorders>
            <w:vAlign w:val="center"/>
          </w:tcPr>
          <w:p w14:paraId="674E9FCF" w14:textId="322F9883" w:rsidR="00426C3A" w:rsidRPr="0065245B" w:rsidRDefault="00426C3A" w:rsidP="00D05130">
            <w:pPr>
              <w:pStyle w:val="TableText"/>
              <w:jc w:val="right"/>
            </w:pPr>
            <w:r>
              <w:t>20</w:t>
            </w:r>
          </w:p>
        </w:tc>
        <w:tc>
          <w:tcPr>
            <w:tcW w:w="1250" w:type="pct"/>
            <w:tcBorders>
              <w:top w:val="single" w:sz="4" w:space="0" w:color="auto"/>
              <w:bottom w:val="single" w:sz="4" w:space="0" w:color="auto"/>
            </w:tcBorders>
            <w:vAlign w:val="center"/>
          </w:tcPr>
          <w:p w14:paraId="4E55B90A" w14:textId="66FAB693" w:rsidR="00426C3A" w:rsidRPr="0065245B" w:rsidRDefault="00426C3A" w:rsidP="00D05130">
            <w:pPr>
              <w:pStyle w:val="TableText"/>
              <w:jc w:val="right"/>
            </w:pPr>
            <w:r>
              <w:t>100</w:t>
            </w:r>
          </w:p>
        </w:tc>
      </w:tr>
      <w:tr w:rsidR="00426C3A" w14:paraId="1DA5A14C" w14:textId="77777777" w:rsidTr="00426C3A">
        <w:trPr>
          <w:cantSplit/>
        </w:trPr>
        <w:tc>
          <w:tcPr>
            <w:tcW w:w="1250" w:type="pct"/>
            <w:tcBorders>
              <w:top w:val="single" w:sz="4" w:space="0" w:color="auto"/>
              <w:bottom w:val="single" w:sz="4" w:space="0" w:color="auto"/>
            </w:tcBorders>
            <w:vAlign w:val="center"/>
          </w:tcPr>
          <w:p w14:paraId="79608D18" w14:textId="7629B43A" w:rsidR="00426C3A" w:rsidRDefault="00426C3A" w:rsidP="00426C3A">
            <w:pPr>
              <w:pStyle w:val="TableText"/>
            </w:pPr>
            <w:proofErr w:type="spellStart"/>
            <w:r>
              <w:t>Airblast</w:t>
            </w:r>
            <w:proofErr w:type="spellEnd"/>
          </w:p>
        </w:tc>
        <w:tc>
          <w:tcPr>
            <w:tcW w:w="1250" w:type="pct"/>
            <w:tcBorders>
              <w:top w:val="single" w:sz="4" w:space="0" w:color="auto"/>
              <w:bottom w:val="single" w:sz="4" w:space="0" w:color="auto"/>
            </w:tcBorders>
            <w:vAlign w:val="center"/>
          </w:tcPr>
          <w:p w14:paraId="0811BB26" w14:textId="38F40A2F" w:rsidR="00426C3A" w:rsidRDefault="00426C3A" w:rsidP="00D05130">
            <w:pPr>
              <w:pStyle w:val="TableText"/>
              <w:jc w:val="right"/>
            </w:pPr>
            <w:r>
              <w:t>0.75</w:t>
            </w:r>
          </w:p>
        </w:tc>
        <w:tc>
          <w:tcPr>
            <w:tcW w:w="1250" w:type="pct"/>
            <w:tcBorders>
              <w:top w:val="single" w:sz="4" w:space="0" w:color="auto"/>
              <w:bottom w:val="single" w:sz="4" w:space="0" w:color="auto"/>
            </w:tcBorders>
            <w:vAlign w:val="center"/>
          </w:tcPr>
          <w:p w14:paraId="2B4543CC" w14:textId="05378352" w:rsidR="00426C3A" w:rsidRDefault="00426C3A" w:rsidP="00D05130">
            <w:pPr>
              <w:pStyle w:val="TableText"/>
              <w:jc w:val="right"/>
            </w:pPr>
            <w:r>
              <w:t>30</w:t>
            </w:r>
          </w:p>
        </w:tc>
        <w:tc>
          <w:tcPr>
            <w:tcW w:w="1250" w:type="pct"/>
            <w:tcBorders>
              <w:top w:val="single" w:sz="4" w:space="0" w:color="auto"/>
              <w:bottom w:val="single" w:sz="4" w:space="0" w:color="auto"/>
            </w:tcBorders>
            <w:vAlign w:val="center"/>
          </w:tcPr>
          <w:p w14:paraId="1B46BC48" w14:textId="3DB596E3" w:rsidR="00426C3A" w:rsidRDefault="00426C3A" w:rsidP="00D05130">
            <w:pPr>
              <w:pStyle w:val="TableText"/>
              <w:jc w:val="right"/>
            </w:pPr>
            <w:r>
              <w:t>25</w:t>
            </w:r>
          </w:p>
        </w:tc>
      </w:tr>
      <w:tr w:rsidR="00426C3A" w14:paraId="64BA643E" w14:textId="77777777" w:rsidTr="00426C3A">
        <w:trPr>
          <w:cantSplit/>
        </w:trPr>
        <w:tc>
          <w:tcPr>
            <w:tcW w:w="1250" w:type="pct"/>
            <w:tcBorders>
              <w:top w:val="single" w:sz="4" w:space="0" w:color="auto"/>
              <w:bottom w:val="single" w:sz="4" w:space="0" w:color="auto"/>
            </w:tcBorders>
            <w:vAlign w:val="center"/>
          </w:tcPr>
          <w:p w14:paraId="7B3A0AF3" w14:textId="5DA47BE2" w:rsidR="00426C3A" w:rsidRDefault="00426C3A" w:rsidP="00426C3A">
            <w:pPr>
              <w:pStyle w:val="TableText"/>
            </w:pPr>
            <w:r>
              <w:t xml:space="preserve">Low pressure </w:t>
            </w:r>
            <w:proofErr w:type="spellStart"/>
            <w:r>
              <w:t>handwand</w:t>
            </w:r>
            <w:proofErr w:type="spellEnd"/>
          </w:p>
        </w:tc>
        <w:tc>
          <w:tcPr>
            <w:tcW w:w="1250" w:type="pct"/>
            <w:tcBorders>
              <w:top w:val="single" w:sz="4" w:space="0" w:color="auto"/>
              <w:bottom w:val="single" w:sz="4" w:space="0" w:color="auto"/>
            </w:tcBorders>
            <w:vAlign w:val="center"/>
          </w:tcPr>
          <w:p w14:paraId="7CC30030" w14:textId="0A317362" w:rsidR="00426C3A" w:rsidRDefault="00426C3A" w:rsidP="00D05130">
            <w:pPr>
              <w:pStyle w:val="TableText"/>
              <w:jc w:val="right"/>
            </w:pPr>
            <w:r>
              <w:t>5 g/L</w:t>
            </w:r>
          </w:p>
        </w:tc>
        <w:tc>
          <w:tcPr>
            <w:tcW w:w="1250" w:type="pct"/>
            <w:tcBorders>
              <w:top w:val="single" w:sz="4" w:space="0" w:color="auto"/>
              <w:bottom w:val="single" w:sz="4" w:space="0" w:color="auto"/>
            </w:tcBorders>
            <w:vAlign w:val="center"/>
          </w:tcPr>
          <w:p w14:paraId="5FEB31A3" w14:textId="262427C2" w:rsidR="00426C3A" w:rsidRDefault="00426C3A" w:rsidP="00D05130">
            <w:pPr>
              <w:pStyle w:val="TableText"/>
              <w:jc w:val="right"/>
            </w:pPr>
            <w:r>
              <w:t>151 L</w:t>
            </w:r>
          </w:p>
        </w:tc>
        <w:tc>
          <w:tcPr>
            <w:tcW w:w="1250" w:type="pct"/>
            <w:tcBorders>
              <w:top w:val="single" w:sz="4" w:space="0" w:color="auto"/>
              <w:bottom w:val="single" w:sz="4" w:space="0" w:color="auto"/>
            </w:tcBorders>
            <w:vAlign w:val="center"/>
          </w:tcPr>
          <w:p w14:paraId="5CDC3253" w14:textId="5415F6F2" w:rsidR="00426C3A" w:rsidRDefault="00426C3A" w:rsidP="00D05130">
            <w:pPr>
              <w:pStyle w:val="TableText"/>
              <w:jc w:val="right"/>
            </w:pPr>
            <w:r>
              <w:t>0.755</w:t>
            </w:r>
          </w:p>
        </w:tc>
      </w:tr>
      <w:tr w:rsidR="00426C3A" w14:paraId="46BE405E" w14:textId="77777777" w:rsidTr="00426C3A">
        <w:trPr>
          <w:cantSplit/>
        </w:trPr>
        <w:tc>
          <w:tcPr>
            <w:tcW w:w="1250" w:type="pct"/>
            <w:tcBorders>
              <w:top w:val="single" w:sz="4" w:space="0" w:color="auto"/>
              <w:bottom w:val="single" w:sz="4" w:space="0" w:color="auto"/>
            </w:tcBorders>
            <w:vAlign w:val="center"/>
          </w:tcPr>
          <w:p w14:paraId="5E11C1D9" w14:textId="0BB82D25" w:rsidR="00426C3A" w:rsidRDefault="00426C3A" w:rsidP="00426C3A">
            <w:pPr>
              <w:pStyle w:val="TableText"/>
            </w:pPr>
            <w:r>
              <w:t xml:space="preserve">High pressure </w:t>
            </w:r>
            <w:proofErr w:type="spellStart"/>
            <w:r>
              <w:t>handwand</w:t>
            </w:r>
            <w:proofErr w:type="spellEnd"/>
          </w:p>
        </w:tc>
        <w:tc>
          <w:tcPr>
            <w:tcW w:w="1250" w:type="pct"/>
            <w:tcBorders>
              <w:top w:val="single" w:sz="4" w:space="0" w:color="auto"/>
              <w:bottom w:val="single" w:sz="4" w:space="0" w:color="auto"/>
            </w:tcBorders>
            <w:vAlign w:val="center"/>
          </w:tcPr>
          <w:p w14:paraId="6A468B67" w14:textId="33A8937F" w:rsidR="00426C3A" w:rsidRDefault="00426C3A" w:rsidP="00D05130">
            <w:pPr>
              <w:pStyle w:val="TableText"/>
              <w:jc w:val="right"/>
            </w:pPr>
            <w:r>
              <w:t>5 g/L</w:t>
            </w:r>
          </w:p>
        </w:tc>
        <w:tc>
          <w:tcPr>
            <w:tcW w:w="1250" w:type="pct"/>
            <w:tcBorders>
              <w:top w:val="single" w:sz="4" w:space="0" w:color="auto"/>
              <w:bottom w:val="single" w:sz="4" w:space="0" w:color="auto"/>
            </w:tcBorders>
            <w:vAlign w:val="center"/>
          </w:tcPr>
          <w:p w14:paraId="2F5EEC00" w14:textId="171FE7CC" w:rsidR="00426C3A" w:rsidRDefault="00426C3A" w:rsidP="00D05130">
            <w:pPr>
              <w:pStyle w:val="TableText"/>
              <w:jc w:val="right"/>
            </w:pPr>
            <w:r>
              <w:t>3 785 L</w:t>
            </w:r>
          </w:p>
        </w:tc>
        <w:tc>
          <w:tcPr>
            <w:tcW w:w="1250" w:type="pct"/>
            <w:tcBorders>
              <w:top w:val="single" w:sz="4" w:space="0" w:color="auto"/>
              <w:bottom w:val="single" w:sz="4" w:space="0" w:color="auto"/>
            </w:tcBorders>
            <w:vAlign w:val="center"/>
          </w:tcPr>
          <w:p w14:paraId="67907FF5" w14:textId="6276EBD6" w:rsidR="00426C3A" w:rsidRDefault="00426C3A" w:rsidP="00D05130">
            <w:pPr>
              <w:pStyle w:val="TableText"/>
              <w:jc w:val="right"/>
            </w:pPr>
            <w:r>
              <w:t>3.79</w:t>
            </w:r>
          </w:p>
        </w:tc>
      </w:tr>
      <w:tr w:rsidR="00426C3A" w14:paraId="36A7FF2F" w14:textId="77777777" w:rsidTr="00426C3A">
        <w:trPr>
          <w:cantSplit/>
        </w:trPr>
        <w:tc>
          <w:tcPr>
            <w:tcW w:w="1250" w:type="pct"/>
            <w:tcBorders>
              <w:top w:val="single" w:sz="4" w:space="0" w:color="auto"/>
              <w:bottom w:val="single" w:sz="4" w:space="0" w:color="auto"/>
            </w:tcBorders>
            <w:vAlign w:val="center"/>
          </w:tcPr>
          <w:p w14:paraId="4CF60B99" w14:textId="65F56DC3" w:rsidR="00426C3A" w:rsidRDefault="00426C3A" w:rsidP="00426C3A">
            <w:pPr>
              <w:pStyle w:val="TableText"/>
            </w:pPr>
            <w:r>
              <w:t>Backpack</w:t>
            </w:r>
          </w:p>
        </w:tc>
        <w:tc>
          <w:tcPr>
            <w:tcW w:w="1250" w:type="pct"/>
            <w:tcBorders>
              <w:top w:val="single" w:sz="4" w:space="0" w:color="auto"/>
              <w:bottom w:val="single" w:sz="4" w:space="0" w:color="auto"/>
            </w:tcBorders>
            <w:vAlign w:val="center"/>
          </w:tcPr>
          <w:p w14:paraId="1627BCE8" w14:textId="1380BAD1" w:rsidR="00426C3A" w:rsidRDefault="00426C3A" w:rsidP="00D05130">
            <w:pPr>
              <w:pStyle w:val="TableText"/>
              <w:jc w:val="right"/>
            </w:pPr>
            <w:r>
              <w:t>5 g/L</w:t>
            </w:r>
          </w:p>
        </w:tc>
        <w:tc>
          <w:tcPr>
            <w:tcW w:w="1250" w:type="pct"/>
            <w:tcBorders>
              <w:top w:val="single" w:sz="4" w:space="0" w:color="auto"/>
              <w:bottom w:val="single" w:sz="4" w:space="0" w:color="auto"/>
            </w:tcBorders>
            <w:vAlign w:val="center"/>
          </w:tcPr>
          <w:p w14:paraId="0D86DF56" w14:textId="4C8BA9C2" w:rsidR="00426C3A" w:rsidRDefault="00426C3A" w:rsidP="00D05130">
            <w:pPr>
              <w:pStyle w:val="TableText"/>
              <w:jc w:val="right"/>
            </w:pPr>
            <w:r>
              <w:t>151 L</w:t>
            </w:r>
          </w:p>
        </w:tc>
        <w:tc>
          <w:tcPr>
            <w:tcW w:w="1250" w:type="pct"/>
            <w:tcBorders>
              <w:top w:val="single" w:sz="4" w:space="0" w:color="auto"/>
              <w:bottom w:val="single" w:sz="4" w:space="0" w:color="auto"/>
            </w:tcBorders>
            <w:vAlign w:val="center"/>
          </w:tcPr>
          <w:p w14:paraId="0A328B8F" w14:textId="24FC5C68" w:rsidR="00426C3A" w:rsidRDefault="00426C3A" w:rsidP="00D05130">
            <w:pPr>
              <w:pStyle w:val="TableText"/>
              <w:jc w:val="right"/>
            </w:pPr>
            <w:r>
              <w:t>0.755</w:t>
            </w:r>
          </w:p>
        </w:tc>
      </w:tr>
    </w:tbl>
    <w:p w14:paraId="70D4CAFB" w14:textId="341C5FC5" w:rsidR="00426C3A" w:rsidRPr="00D05130" w:rsidRDefault="00426C3A" w:rsidP="00D05130">
      <w:pPr>
        <w:pStyle w:val="Heading2"/>
      </w:pPr>
      <w:bookmarkStart w:id="45" w:name="_Toc116301528"/>
      <w:r w:rsidRPr="00D05130">
        <w:t>Exposure during use</w:t>
      </w:r>
      <w:bookmarkEnd w:id="45"/>
    </w:p>
    <w:p w14:paraId="6C92CB81" w14:textId="63B78440" w:rsidR="00426C3A" w:rsidRPr="00D05130" w:rsidRDefault="00426C3A" w:rsidP="00D05130">
      <w:pPr>
        <w:pStyle w:val="APVMAText"/>
      </w:pPr>
      <w:r w:rsidRPr="00D05130">
        <w:t>For assessment of exposure during use, the current assessment has utilised the US Environmental Protection Agency (EPA) Office of Pesticide Programs Occupational Handler Exposure Calculator (US EPA, 2020). The following assumptions have been used in the modelling of exposure during use (see Table 7).</w:t>
      </w:r>
      <w:r w:rsidRPr="00D05130">
        <w:br w:type="page"/>
      </w:r>
    </w:p>
    <w:p w14:paraId="3C2BA4AA" w14:textId="39FAF02C" w:rsidR="00426C3A" w:rsidRDefault="00426C3A" w:rsidP="00426C3A">
      <w:pPr>
        <w:pStyle w:val="Caption"/>
      </w:pPr>
      <w:bookmarkStart w:id="46" w:name="_Toc101968003"/>
      <w:bookmarkStart w:id="47" w:name="_Toc116301698"/>
      <w:r>
        <w:lastRenderedPageBreak/>
        <w:t xml:space="preserve">Table </w:t>
      </w:r>
      <w:r>
        <w:rPr>
          <w:noProof/>
        </w:rPr>
        <w:fldChar w:fldCharType="begin"/>
      </w:r>
      <w:r>
        <w:rPr>
          <w:noProof/>
        </w:rPr>
        <w:instrText xml:space="preserve"> SEQ Table \* ARABIC </w:instrText>
      </w:r>
      <w:r>
        <w:rPr>
          <w:noProof/>
        </w:rPr>
        <w:fldChar w:fldCharType="separate"/>
      </w:r>
      <w:r w:rsidR="00ED7319">
        <w:rPr>
          <w:noProof/>
        </w:rPr>
        <w:t>7</w:t>
      </w:r>
      <w:r>
        <w:rPr>
          <w:noProof/>
        </w:rPr>
        <w:fldChar w:fldCharType="end"/>
      </w:r>
      <w:r>
        <w:t>:</w:t>
      </w:r>
      <w:r>
        <w:tab/>
        <w:t>Assumptions used in modelling exposure during procymidone application</w:t>
      </w:r>
      <w:bookmarkEnd w:id="46"/>
      <w:bookmarkEnd w:id="47"/>
    </w:p>
    <w:tbl>
      <w:tblPr>
        <w:tblW w:w="5000" w:type="pct"/>
        <w:tblBorders>
          <w:bottom w:val="dotted" w:sz="2" w:space="0" w:color="auto"/>
          <w:insideH w:val="dotted" w:sz="2" w:space="0" w:color="auto"/>
        </w:tblBorders>
        <w:tblLook w:val="01E0" w:firstRow="1" w:lastRow="1" w:firstColumn="1" w:lastColumn="1" w:noHBand="0" w:noVBand="0"/>
      </w:tblPr>
      <w:tblGrid>
        <w:gridCol w:w="4817"/>
        <w:gridCol w:w="4821"/>
      </w:tblGrid>
      <w:tr w:rsidR="00426C3A" w14:paraId="2139F63E" w14:textId="77777777" w:rsidTr="00426C3A">
        <w:trPr>
          <w:cantSplit/>
          <w:tblHeader/>
        </w:trPr>
        <w:tc>
          <w:tcPr>
            <w:tcW w:w="2499" w:type="pct"/>
            <w:tcBorders>
              <w:top w:val="single" w:sz="4" w:space="0" w:color="auto"/>
              <w:bottom w:val="single" w:sz="4" w:space="0" w:color="auto"/>
            </w:tcBorders>
            <w:shd w:val="clear" w:color="auto" w:fill="5C2946"/>
            <w:vAlign w:val="center"/>
          </w:tcPr>
          <w:p w14:paraId="4E1C84B9" w14:textId="45B45BE9" w:rsidR="00426C3A" w:rsidRPr="00FB0015" w:rsidRDefault="00426C3A" w:rsidP="00426C3A">
            <w:pPr>
              <w:pStyle w:val="TableHead"/>
            </w:pPr>
            <w:r w:rsidRPr="0065245B">
              <w:t>Factor</w:t>
            </w:r>
          </w:p>
        </w:tc>
        <w:tc>
          <w:tcPr>
            <w:tcW w:w="2501" w:type="pct"/>
            <w:tcBorders>
              <w:top w:val="single" w:sz="4" w:space="0" w:color="auto"/>
              <w:bottom w:val="single" w:sz="4" w:space="0" w:color="auto"/>
            </w:tcBorders>
            <w:shd w:val="clear" w:color="auto" w:fill="5C2946"/>
            <w:vAlign w:val="center"/>
          </w:tcPr>
          <w:p w14:paraId="371C907D" w14:textId="3336C0B7" w:rsidR="00426C3A" w:rsidRPr="00FB0015" w:rsidRDefault="00426C3A" w:rsidP="00426C3A">
            <w:pPr>
              <w:pStyle w:val="TableHead"/>
              <w:jc w:val="right"/>
            </w:pPr>
            <w:r w:rsidRPr="0065245B">
              <w:t>Value considered</w:t>
            </w:r>
          </w:p>
        </w:tc>
      </w:tr>
      <w:tr w:rsidR="00426C3A" w14:paraId="45ECD1A2" w14:textId="77777777" w:rsidTr="00426C3A">
        <w:trPr>
          <w:cantSplit/>
        </w:trPr>
        <w:tc>
          <w:tcPr>
            <w:tcW w:w="2499" w:type="pct"/>
            <w:tcBorders>
              <w:top w:val="single" w:sz="4" w:space="0" w:color="auto"/>
              <w:bottom w:val="single" w:sz="4" w:space="0" w:color="auto"/>
            </w:tcBorders>
            <w:vAlign w:val="center"/>
          </w:tcPr>
          <w:p w14:paraId="6F8A8F84" w14:textId="568BFE27" w:rsidR="00426C3A" w:rsidRPr="0065245B" w:rsidRDefault="00426C3A" w:rsidP="00426C3A">
            <w:pPr>
              <w:pStyle w:val="TableText"/>
            </w:pPr>
            <w:r>
              <w:t>Average worker bodyweight</w:t>
            </w:r>
          </w:p>
        </w:tc>
        <w:tc>
          <w:tcPr>
            <w:tcW w:w="2501" w:type="pct"/>
            <w:tcBorders>
              <w:top w:val="single" w:sz="4" w:space="0" w:color="auto"/>
              <w:bottom w:val="single" w:sz="4" w:space="0" w:color="auto"/>
            </w:tcBorders>
            <w:vAlign w:val="center"/>
          </w:tcPr>
          <w:p w14:paraId="31B0B862" w14:textId="5896CC06" w:rsidR="00426C3A" w:rsidRPr="0065245B" w:rsidRDefault="00426C3A" w:rsidP="00426C3A">
            <w:pPr>
              <w:pStyle w:val="TableText"/>
              <w:jc w:val="right"/>
            </w:pPr>
            <w:r>
              <w:t>80</w:t>
            </w:r>
            <w:r w:rsidR="00D05130">
              <w:rPr>
                <w:szCs w:val="17"/>
              </w:rPr>
              <w:t> </w:t>
            </w:r>
            <w:r>
              <w:t>kg</w:t>
            </w:r>
          </w:p>
        </w:tc>
      </w:tr>
      <w:tr w:rsidR="00426C3A" w14:paraId="454E0438" w14:textId="77777777" w:rsidTr="00426C3A">
        <w:trPr>
          <w:cantSplit/>
        </w:trPr>
        <w:tc>
          <w:tcPr>
            <w:tcW w:w="2499" w:type="pct"/>
            <w:tcBorders>
              <w:top w:val="single" w:sz="4" w:space="0" w:color="auto"/>
              <w:bottom w:val="single" w:sz="4" w:space="0" w:color="auto"/>
            </w:tcBorders>
            <w:vAlign w:val="center"/>
          </w:tcPr>
          <w:p w14:paraId="4E747911" w14:textId="3322D7EE" w:rsidR="00426C3A" w:rsidRPr="0065245B" w:rsidRDefault="00426C3A" w:rsidP="00426C3A">
            <w:pPr>
              <w:pStyle w:val="TableText"/>
            </w:pPr>
            <w:r>
              <w:t>Point of departure</w:t>
            </w:r>
          </w:p>
        </w:tc>
        <w:tc>
          <w:tcPr>
            <w:tcW w:w="2501" w:type="pct"/>
            <w:tcBorders>
              <w:top w:val="single" w:sz="4" w:space="0" w:color="auto"/>
              <w:bottom w:val="single" w:sz="4" w:space="0" w:color="auto"/>
            </w:tcBorders>
            <w:vAlign w:val="center"/>
          </w:tcPr>
          <w:p w14:paraId="65555FA9" w14:textId="11F1451A" w:rsidR="00426C3A" w:rsidRPr="0065245B" w:rsidRDefault="00426C3A" w:rsidP="00426C3A">
            <w:pPr>
              <w:pStyle w:val="TableText"/>
              <w:jc w:val="right"/>
            </w:pPr>
            <w:r>
              <w:t>20</w:t>
            </w:r>
            <w:r>
              <w:rPr>
                <w:szCs w:val="17"/>
              </w:rPr>
              <w:t> </w:t>
            </w:r>
            <w:r>
              <w:t>mg/kg</w:t>
            </w:r>
            <w:r>
              <w:rPr>
                <w:szCs w:val="17"/>
              </w:rPr>
              <w:t> </w:t>
            </w:r>
            <w:proofErr w:type="spellStart"/>
            <w:r>
              <w:t>bw</w:t>
            </w:r>
            <w:proofErr w:type="spellEnd"/>
            <w:r>
              <w:t>/day (NOEL)</w:t>
            </w:r>
          </w:p>
        </w:tc>
      </w:tr>
      <w:tr w:rsidR="00426C3A" w14:paraId="0A5F5A2C" w14:textId="77777777" w:rsidTr="00426C3A">
        <w:trPr>
          <w:cantSplit/>
        </w:trPr>
        <w:tc>
          <w:tcPr>
            <w:tcW w:w="2499" w:type="pct"/>
            <w:tcBorders>
              <w:top w:val="single" w:sz="4" w:space="0" w:color="auto"/>
              <w:bottom w:val="single" w:sz="4" w:space="0" w:color="auto"/>
            </w:tcBorders>
            <w:vAlign w:val="center"/>
          </w:tcPr>
          <w:p w14:paraId="30AA7FEC" w14:textId="6E09B680" w:rsidR="00426C3A" w:rsidRDefault="00426C3A" w:rsidP="00426C3A">
            <w:pPr>
              <w:pStyle w:val="TableText"/>
            </w:pPr>
            <w:r>
              <w:t>Dermal absorption factor</w:t>
            </w:r>
          </w:p>
        </w:tc>
        <w:tc>
          <w:tcPr>
            <w:tcW w:w="2501" w:type="pct"/>
            <w:tcBorders>
              <w:top w:val="single" w:sz="4" w:space="0" w:color="auto"/>
              <w:bottom w:val="single" w:sz="4" w:space="0" w:color="auto"/>
            </w:tcBorders>
            <w:vAlign w:val="center"/>
          </w:tcPr>
          <w:p w14:paraId="17FA5B2D" w14:textId="7F08443C" w:rsidR="00426C3A" w:rsidRDefault="00426C3A" w:rsidP="00426C3A">
            <w:pPr>
              <w:pStyle w:val="TableText"/>
              <w:jc w:val="right"/>
            </w:pPr>
            <w:r>
              <w:t>0.03 (3%)</w:t>
            </w:r>
          </w:p>
        </w:tc>
      </w:tr>
      <w:tr w:rsidR="00426C3A" w14:paraId="7A81B47D" w14:textId="77777777" w:rsidTr="00426C3A">
        <w:trPr>
          <w:cantSplit/>
        </w:trPr>
        <w:tc>
          <w:tcPr>
            <w:tcW w:w="2499" w:type="pct"/>
            <w:tcBorders>
              <w:top w:val="single" w:sz="4" w:space="0" w:color="auto"/>
              <w:bottom w:val="single" w:sz="4" w:space="0" w:color="auto"/>
            </w:tcBorders>
            <w:vAlign w:val="center"/>
          </w:tcPr>
          <w:p w14:paraId="2C1D7966" w14:textId="15B07DE7" w:rsidR="00426C3A" w:rsidRDefault="00426C3A" w:rsidP="00426C3A">
            <w:pPr>
              <w:pStyle w:val="TableText"/>
            </w:pPr>
            <w:r>
              <w:t>Inhalation absorption factor</w:t>
            </w:r>
          </w:p>
        </w:tc>
        <w:tc>
          <w:tcPr>
            <w:tcW w:w="2501" w:type="pct"/>
            <w:tcBorders>
              <w:top w:val="single" w:sz="4" w:space="0" w:color="auto"/>
              <w:bottom w:val="single" w:sz="4" w:space="0" w:color="auto"/>
            </w:tcBorders>
            <w:vAlign w:val="center"/>
          </w:tcPr>
          <w:p w14:paraId="01C712E1" w14:textId="668CB9C9" w:rsidR="00426C3A" w:rsidRDefault="00426C3A" w:rsidP="00426C3A">
            <w:pPr>
              <w:pStyle w:val="TableText"/>
              <w:jc w:val="right"/>
            </w:pPr>
            <w:r>
              <w:t>1 (100%, default)</w:t>
            </w:r>
          </w:p>
        </w:tc>
      </w:tr>
      <w:tr w:rsidR="00426C3A" w14:paraId="30027694" w14:textId="77777777" w:rsidTr="00426C3A">
        <w:trPr>
          <w:cantSplit/>
        </w:trPr>
        <w:tc>
          <w:tcPr>
            <w:tcW w:w="2499" w:type="pct"/>
            <w:tcBorders>
              <w:top w:val="single" w:sz="4" w:space="0" w:color="auto"/>
              <w:bottom w:val="single" w:sz="4" w:space="0" w:color="auto"/>
            </w:tcBorders>
            <w:vAlign w:val="center"/>
          </w:tcPr>
          <w:p w14:paraId="7FB4CDA5" w14:textId="698BE261" w:rsidR="00426C3A" w:rsidRDefault="00426C3A" w:rsidP="00426C3A">
            <w:pPr>
              <w:pStyle w:val="TableText"/>
            </w:pPr>
            <w:r>
              <w:t>Acceptable margin of exposure (MOE)</w:t>
            </w:r>
          </w:p>
        </w:tc>
        <w:tc>
          <w:tcPr>
            <w:tcW w:w="2501" w:type="pct"/>
            <w:tcBorders>
              <w:top w:val="single" w:sz="4" w:space="0" w:color="auto"/>
              <w:bottom w:val="single" w:sz="4" w:space="0" w:color="auto"/>
            </w:tcBorders>
            <w:vAlign w:val="center"/>
          </w:tcPr>
          <w:p w14:paraId="5642426E" w14:textId="3678A28B" w:rsidR="00426C3A" w:rsidRDefault="00426C3A" w:rsidP="00426C3A">
            <w:pPr>
              <w:pStyle w:val="TableText"/>
              <w:jc w:val="right"/>
            </w:pPr>
            <w:r>
              <w:t>≥100</w:t>
            </w:r>
          </w:p>
        </w:tc>
      </w:tr>
    </w:tbl>
    <w:p w14:paraId="7543FF2E" w14:textId="324494B6" w:rsidR="00426C3A" w:rsidRPr="00D05130" w:rsidRDefault="00426C3A" w:rsidP="00D05130">
      <w:pPr>
        <w:pStyle w:val="APVMAText"/>
      </w:pPr>
      <w:r w:rsidRPr="00D05130">
        <w:t xml:space="preserve">Procymidone products are either suspension concentrate or wettable granule formulations, which are diluted with water and applied as a spray, or flowable suspension used as seed treatments. Workers may be exposed to procymidone during use through dermal contact with the undiluted product or the spray mixture. In addition, exposure may occur via inhalation of spray mist. While procymidone is used on a variety of crop types, there are a limited number of applications per season. </w:t>
      </w:r>
      <w:proofErr w:type="gramStart"/>
      <w:r w:rsidRPr="00D05130">
        <w:t>The majority of</w:t>
      </w:r>
      <w:proofErr w:type="gramEnd"/>
      <w:r w:rsidRPr="00D05130">
        <w:t xml:space="preserve"> workers are likely to be exposed on a short-term basis, although there is some potential for aerial contract workers to be exposed on a longer-term basis.</w:t>
      </w:r>
    </w:p>
    <w:p w14:paraId="4CA1799A" w14:textId="6089A8B5" w:rsidR="00426C3A" w:rsidRPr="00D05130" w:rsidRDefault="00426C3A" w:rsidP="00D05130">
      <w:pPr>
        <w:pStyle w:val="APVMAText"/>
      </w:pPr>
      <w:r w:rsidRPr="00D05130">
        <w:t>In the APVMA’s 2017 human health report, the NOAEL from a rat 3-generation reproduction study was selected as being most health-protective, based on concerns regarding reproductive/developmental effects of procymidone. This is the NOAEL upon which the ADI was previously based. Following a reconsideration of the toxicological database, and the determination that the rat is more sensitive to anti-androgenic effects than other laboratory animals and humans, the ADI has been revised and is now based on a NOAEL of 4.5 mg/kg</w:t>
      </w:r>
      <w:r w:rsidR="00D05130" w:rsidRPr="00D05130">
        <w:t> </w:t>
      </w:r>
      <w:proofErr w:type="spellStart"/>
      <w:r w:rsidRPr="00D05130">
        <w:t>bw</w:t>
      </w:r>
      <w:proofErr w:type="spellEnd"/>
      <w:r w:rsidRPr="00D05130">
        <w:t>/day from an</w:t>
      </w:r>
      <w:r w:rsidR="00D05130">
        <w:t xml:space="preserve"> </w:t>
      </w:r>
      <w:r w:rsidRPr="00D05130">
        <w:t xml:space="preserve">18-month mouse study. The need for an </w:t>
      </w:r>
      <w:proofErr w:type="spellStart"/>
      <w:r w:rsidRPr="00D05130">
        <w:t>ARfD</w:t>
      </w:r>
      <w:proofErr w:type="spellEnd"/>
      <w:r w:rsidRPr="00D05130">
        <w:t xml:space="preserve"> has also been revisited, and it has been determined to be not required, based on the consideration that the developmental effects are unlikely to result from a single exposure.</w:t>
      </w:r>
    </w:p>
    <w:p w14:paraId="69C2E661" w14:textId="3150C120" w:rsidR="00426C3A" w:rsidRPr="00D05130" w:rsidRDefault="00426C3A" w:rsidP="00D05130">
      <w:pPr>
        <w:pStyle w:val="APVMAText"/>
      </w:pPr>
      <w:r w:rsidRPr="00D05130">
        <w:t>Based on the exposure patterns, a 28-day dermal repeat dose toxicity study is considered protective for the majority of uses. However, on a conservative basis, a NOAEL of 20</w:t>
      </w:r>
      <w:r w:rsidR="00295DF8" w:rsidRPr="00D05130">
        <w:t> </w:t>
      </w:r>
      <w:r w:rsidRPr="00D05130">
        <w:t>mg/kg</w:t>
      </w:r>
      <w:r w:rsidR="00D05130" w:rsidRPr="00D05130">
        <w:t> </w:t>
      </w:r>
      <w:proofErr w:type="spellStart"/>
      <w:r w:rsidRPr="00D05130">
        <w:t>bw</w:t>
      </w:r>
      <w:proofErr w:type="spellEnd"/>
      <w:r w:rsidRPr="00D05130">
        <w:t>/day from a 13-week mouse dietary study would be considered more protective for the seasonal use of this product (</w:t>
      </w:r>
      <w:proofErr w:type="gramStart"/>
      <w:r w:rsidRPr="00D05130">
        <w:t>taking into account</w:t>
      </w:r>
      <w:proofErr w:type="gramEnd"/>
      <w:r w:rsidRPr="00D05130">
        <w:t xml:space="preserve"> that some workers may spray in multiple sites or be engaged in contract spraying), and this more conservative value has been utilised.</w:t>
      </w:r>
    </w:p>
    <w:p w14:paraId="750D047B" w14:textId="3D0BB26B" w:rsidR="00426C3A" w:rsidRPr="00D05130" w:rsidRDefault="00426C3A" w:rsidP="00D05130">
      <w:pPr>
        <w:pStyle w:val="APVMAText"/>
      </w:pPr>
      <w:r w:rsidRPr="00D05130">
        <w:t>The conservative dermal absorption factor of 0.03 (3%) used in the APVMA’s 2017 human health report is considered appropriate for mixing/loading and application exposure.</w:t>
      </w:r>
    </w:p>
    <w:p w14:paraId="0F71DC72" w14:textId="0AE5C78F" w:rsidR="00426C3A" w:rsidRPr="00D05130" w:rsidRDefault="00426C3A" w:rsidP="00D05130">
      <w:pPr>
        <w:pStyle w:val="APVMAText"/>
      </w:pPr>
      <w:r w:rsidRPr="00D05130">
        <w:t>Calculations were made on the quantities of procymidone handled daily, based on the maximum label rates and standard work rates set out in Table 6. Utilising these use patterns, exposure to procymidone during mixing, loading and application activities were modelled. Acceptable exposure is determined by calculating a suitable margin of exposure in comparison with the identified NOAEL of 20 mg/kg</w:t>
      </w:r>
      <w:r w:rsidR="00D05130" w:rsidRPr="00D05130">
        <w:t> </w:t>
      </w:r>
      <w:proofErr w:type="spellStart"/>
      <w:r w:rsidRPr="00D05130">
        <w:t>bw</w:t>
      </w:r>
      <w:proofErr w:type="spellEnd"/>
      <w:r w:rsidRPr="00D05130">
        <w:t>/day. As the NOAEL was obtained from an animal study, a margin of exposure of 100 is deemed to be acceptable (including a factor of 10 based on intraspecies variation and 10 based on interspecies variation). Following use of procymidone, the maximum exposures of 0.15 mg/kg</w:t>
      </w:r>
      <w:r w:rsidR="00D05130" w:rsidRPr="00D05130">
        <w:t> </w:t>
      </w:r>
      <w:proofErr w:type="spellStart"/>
      <w:r w:rsidRPr="00D05130">
        <w:t>bw</w:t>
      </w:r>
      <w:proofErr w:type="spellEnd"/>
      <w:r w:rsidRPr="00D05130">
        <w:t xml:space="preserve">/day were calculated for use via backpack spraying while wearing a single layer of clothing, but without gloves, giving a margin of exposure of 133. Exposure </w:t>
      </w:r>
      <w:r w:rsidRPr="00D05130">
        <w:lastRenderedPageBreak/>
        <w:t>during all other mixing, loading and application scenarios were lower, indicating all uses of procymidone are acceptable without the requirement of additional personal protective equipment for systemic exposure.</w:t>
      </w:r>
    </w:p>
    <w:p w14:paraId="1E22BB56" w14:textId="3A768D2A" w:rsidR="00426C3A" w:rsidRPr="00D05130" w:rsidRDefault="00426C3A" w:rsidP="00D05130">
      <w:pPr>
        <w:pStyle w:val="APVMAText"/>
      </w:pPr>
      <w:r w:rsidRPr="00D05130">
        <w:t xml:space="preserve">Safety directions </w:t>
      </w:r>
      <w:proofErr w:type="gramStart"/>
      <w:r w:rsidRPr="00D05130">
        <w:t>take into account</w:t>
      </w:r>
      <w:proofErr w:type="gramEnd"/>
      <w:r w:rsidRPr="00D05130">
        <w:t xml:space="preserve"> both acute hazards and systemic hazards associated with the use of the product. A revised entry will be set out in the FAISD Handbook</w:t>
      </w:r>
      <w:r w:rsidRPr="00D05130">
        <w:rPr>
          <w:vertAlign w:val="superscript"/>
        </w:rPr>
        <w:footnoteReference w:id="11"/>
      </w:r>
      <w:r w:rsidRPr="00D05130">
        <w:t xml:space="preserve"> which </w:t>
      </w:r>
      <w:proofErr w:type="gramStart"/>
      <w:r w:rsidRPr="00D05130">
        <w:t>takes into account</w:t>
      </w:r>
      <w:proofErr w:type="gramEnd"/>
      <w:r w:rsidRPr="00D05130">
        <w:t xml:space="preserve"> revised toxicity endpoints. Procymidone products have been identified as slight skin and eye irritants, with </w:t>
      </w:r>
      <w:proofErr w:type="gramStart"/>
      <w:r w:rsidRPr="00D05130">
        <w:t>a number of</w:t>
      </w:r>
      <w:proofErr w:type="gramEnd"/>
      <w:r w:rsidRPr="00D05130">
        <w:t xml:space="preserve"> products also showing skin sensitisation potential. Based on the acute hazards identified with procymidone products, hazard statements and appropriate personal protective equipment are recommended.</w:t>
      </w:r>
    </w:p>
    <w:p w14:paraId="05C7E920" w14:textId="71F9DD44" w:rsidR="00426C3A" w:rsidRPr="00D05130" w:rsidRDefault="00426C3A" w:rsidP="00D05130">
      <w:pPr>
        <w:pStyle w:val="Heading2"/>
      </w:pPr>
      <w:bookmarkStart w:id="48" w:name="_Toc116301529"/>
      <w:r w:rsidRPr="00D05130">
        <w:t>Exposure during re-entry</w:t>
      </w:r>
      <w:bookmarkEnd w:id="48"/>
    </w:p>
    <w:p w14:paraId="1BF7C696" w14:textId="31FCCBEF" w:rsidR="00426C3A" w:rsidRPr="00D05130" w:rsidRDefault="00426C3A" w:rsidP="00D05130">
      <w:pPr>
        <w:pStyle w:val="APVMAText"/>
      </w:pPr>
      <w:r w:rsidRPr="00D05130">
        <w:t xml:space="preserve">Assessment of exposure during re-entry has been carried out using the US EPA Post-Application Risk Assessment Calculator (US EPA, 2013). In the previous assessment, </w:t>
      </w:r>
      <w:proofErr w:type="gramStart"/>
      <w:r w:rsidRPr="00D05130">
        <w:t>the majority of</w:t>
      </w:r>
      <w:proofErr w:type="gramEnd"/>
      <w:r w:rsidRPr="00D05130">
        <w:t xml:space="preserve"> crop situations had a suitable margin of exposure for entry on the day of treatment, and these uses have not been re-assessed. However, certain activities following treatment of grapes, stone fruit, </w:t>
      </w:r>
      <w:proofErr w:type="gramStart"/>
      <w:r w:rsidRPr="00D05130">
        <w:t>ornamentals</w:t>
      </w:r>
      <w:proofErr w:type="gramEnd"/>
      <w:r w:rsidRPr="00D05130">
        <w:t xml:space="preserve"> and onions required a re-entry period and these have been re-assessed utilising a suitable NOAEL based on the reconsideration of the toxicology. A 28-day dermal study, with a NOAEL of 1,000 mg/kg</w:t>
      </w:r>
      <w:r w:rsidR="00D05130" w:rsidRPr="00D05130">
        <w:t> </w:t>
      </w:r>
      <w:proofErr w:type="spellStart"/>
      <w:r w:rsidRPr="00D05130">
        <w:t>bw</w:t>
      </w:r>
      <w:proofErr w:type="spellEnd"/>
      <w:r w:rsidRPr="00D05130">
        <w:t xml:space="preserve">/day, </w:t>
      </w:r>
      <w:proofErr w:type="gramStart"/>
      <w:r w:rsidRPr="00D05130">
        <w:t>was considered to be</w:t>
      </w:r>
      <w:proofErr w:type="gramEnd"/>
      <w:r w:rsidRPr="00D05130">
        <w:t xml:space="preserve"> suitably protective for exposure resulting from re-entry into treated crops. Following this re-assessment, entry into treated crops was acceptable on day zero.</w:t>
      </w:r>
    </w:p>
    <w:p w14:paraId="0B8A3479" w14:textId="59F4BFA4" w:rsidR="00426C3A" w:rsidRPr="00D05130" w:rsidRDefault="00426C3A" w:rsidP="00D05130">
      <w:pPr>
        <w:pStyle w:val="APVMAText"/>
      </w:pPr>
      <w:r w:rsidRPr="00D05130">
        <w:t xml:space="preserve">Based on the acute hazards of procymidone, </w:t>
      </w:r>
      <w:proofErr w:type="gramStart"/>
      <w:r w:rsidRPr="00D05130">
        <w:t>in particular eye</w:t>
      </w:r>
      <w:proofErr w:type="gramEnd"/>
      <w:r w:rsidRPr="00D05130">
        <w:t xml:space="preserve"> and skin irritation, it is recommended that workers do not enter treated areas until the spray has dried. A restraint should be included on the label as follows:</w:t>
      </w:r>
    </w:p>
    <w:p w14:paraId="500BC07A" w14:textId="77777777" w:rsidR="00426C3A" w:rsidRPr="00D05130" w:rsidRDefault="00426C3A" w:rsidP="00D05130">
      <w:pPr>
        <w:pStyle w:val="Quotes"/>
      </w:pPr>
      <w:r w:rsidRPr="00D05130">
        <w:t>Do not enter treated areas until spray has dried. If prior entry is necessary, wear cotton overalls buttoned to the neck and wrist and elbow-length chemical resistant gloves.</w:t>
      </w:r>
    </w:p>
    <w:p w14:paraId="3FA0EED9" w14:textId="00152970" w:rsidR="00426C3A" w:rsidRPr="00D05130" w:rsidRDefault="00426C3A" w:rsidP="00D05130">
      <w:pPr>
        <w:pStyle w:val="Heading2"/>
      </w:pPr>
      <w:bookmarkStart w:id="49" w:name="_Toc116301530"/>
      <w:r w:rsidRPr="00D05130">
        <w:t>Public exposure</w:t>
      </w:r>
      <w:bookmarkEnd w:id="49"/>
    </w:p>
    <w:p w14:paraId="31212057" w14:textId="77777777" w:rsidR="00426C3A" w:rsidRPr="00D05130" w:rsidRDefault="00426C3A" w:rsidP="00D05130">
      <w:pPr>
        <w:pStyle w:val="APVMAText"/>
      </w:pPr>
      <w:r w:rsidRPr="00D05130">
        <w:t xml:space="preserve">The APVMA’s 2017 human health report used current methodology and a more conservative point of departure compared with that recommended currently. In that assessment, exposures were determined to be acceptable and, accordingly, no recalculation has been undertaken. Exposure to members of the public, including children, resulting from the use of procymidone on turfgrass according to label directions </w:t>
      </w:r>
      <w:proofErr w:type="gramStart"/>
      <w:r w:rsidRPr="00D05130">
        <w:t>is considered to be</w:t>
      </w:r>
      <w:proofErr w:type="gramEnd"/>
      <w:r w:rsidRPr="00D05130">
        <w:t xml:space="preserve"> acceptable.</w:t>
      </w:r>
    </w:p>
    <w:p w14:paraId="5EE27BCD" w14:textId="037BE55E" w:rsidR="00426C3A" w:rsidRPr="00D05130" w:rsidRDefault="00426C3A" w:rsidP="00D05130">
      <w:pPr>
        <w:pStyle w:val="APVMAText"/>
      </w:pPr>
      <w:r w:rsidRPr="00D05130">
        <w:t xml:space="preserve">Spray drift was considered according to the </w:t>
      </w:r>
      <w:hyperlink r:id="rId31" w:history="1">
        <w:r w:rsidRPr="00D05130">
          <w:rPr>
            <w:rStyle w:val="Hyperlink"/>
          </w:rPr>
          <w:t>APVMA’s current spray drift risk assessment manual</w:t>
        </w:r>
      </w:hyperlink>
      <w:r w:rsidRPr="00D05130">
        <w:t xml:space="preserve"> and a Regulatory Acceptable Level (RAL) for one to 2-year-olds of 8,364 g</w:t>
      </w:r>
      <w:r w:rsidR="00295DF8" w:rsidRPr="00D05130">
        <w:t> </w:t>
      </w:r>
      <w:r w:rsidRPr="00D05130">
        <w:t xml:space="preserve">ac/ha was established. On this basis, no buffer zones for bystander exposure are required. Further information on spray drift is available in </w:t>
      </w:r>
      <w:r w:rsidR="00D85656" w:rsidRPr="00D05130">
        <w:t xml:space="preserve">the </w:t>
      </w:r>
      <w:r w:rsidR="001C4729" w:rsidRPr="00D05130">
        <w:t>‘</w:t>
      </w:r>
      <w:hyperlink w:anchor="_Spray_drift" w:history="1">
        <w:r w:rsidR="00C13E09" w:rsidRPr="00D05130">
          <w:rPr>
            <w:rStyle w:val="Hyperlink"/>
            <w:color w:val="auto"/>
            <w:u w:val="none"/>
          </w:rPr>
          <w:t>S</w:t>
        </w:r>
        <w:r w:rsidR="005A67B2" w:rsidRPr="00D05130">
          <w:rPr>
            <w:rStyle w:val="Hyperlink"/>
            <w:color w:val="auto"/>
            <w:u w:val="none"/>
          </w:rPr>
          <w:t>pray drift</w:t>
        </w:r>
      </w:hyperlink>
      <w:r w:rsidR="001C4729" w:rsidRPr="00D05130">
        <w:t>’</w:t>
      </w:r>
      <w:r w:rsidR="00D85656" w:rsidRPr="00D05130">
        <w:t xml:space="preserve"> section below</w:t>
      </w:r>
      <w:r w:rsidR="001C4729" w:rsidRPr="00D05130">
        <w:t>.</w:t>
      </w:r>
    </w:p>
    <w:p w14:paraId="46E3545A" w14:textId="22917139" w:rsidR="00426C3A" w:rsidRPr="00D05130" w:rsidRDefault="00426C3A" w:rsidP="00D05130">
      <w:pPr>
        <w:pStyle w:val="Heading3"/>
      </w:pPr>
      <w:bookmarkStart w:id="50" w:name="_Treated_seed"/>
      <w:bookmarkStart w:id="51" w:name="_Toc116301531"/>
      <w:bookmarkEnd w:id="50"/>
      <w:r w:rsidRPr="00D05130">
        <w:lastRenderedPageBreak/>
        <w:t>Treated seed</w:t>
      </w:r>
      <w:bookmarkEnd w:id="51"/>
    </w:p>
    <w:p w14:paraId="24DC8049" w14:textId="0FDDD42F" w:rsidR="00426C3A" w:rsidRPr="00426C3A" w:rsidRDefault="00426C3A" w:rsidP="00D05130">
      <w:pPr>
        <w:pStyle w:val="APVMAText"/>
      </w:pPr>
      <w:r w:rsidRPr="00426C3A">
        <w:t>The risk posed by exposure to seeds treated with procymidone is considered acceptable. Label instructions for products with approved uses for seed treatment include specific instructions for the storage and use of treated seeds. Products for use on seeds used as food or feed (lupins) contain a pigment which ensures that seeds treated with the product are readily distinguishable from untreated seeds.</w:t>
      </w:r>
    </w:p>
    <w:p w14:paraId="3A324065" w14:textId="4A298F66" w:rsidR="00426C3A" w:rsidRPr="00426C3A" w:rsidRDefault="00426C3A" w:rsidP="00D05130">
      <w:pPr>
        <w:pStyle w:val="APVMAText"/>
      </w:pPr>
      <w:r w:rsidRPr="00426C3A">
        <w:t>The risk posed by products where the only seed treatment is for non-food or feed seeds (onion seed), is considered acceptable without the inclusion of a dye, as the seed is not expected to enter the food chain. The likelihood of treated onion seed entering the food chain is further reduced based on the maximum 14-day storage period for treated onion seed.</w:t>
      </w:r>
    </w:p>
    <w:p w14:paraId="40B1640F" w14:textId="60FBB085" w:rsidR="00426C3A" w:rsidRPr="00D05130" w:rsidRDefault="00426C3A" w:rsidP="00D05130">
      <w:pPr>
        <w:pStyle w:val="Heading2"/>
      </w:pPr>
      <w:bookmarkStart w:id="52" w:name="_Toc116301532"/>
      <w:r w:rsidRPr="00D05130">
        <w:t>Recommendations</w:t>
      </w:r>
      <w:bookmarkEnd w:id="52"/>
    </w:p>
    <w:p w14:paraId="7F9655EB" w14:textId="77777777" w:rsidR="00426C3A" w:rsidRPr="00D05130" w:rsidRDefault="00426C3A" w:rsidP="00D05130">
      <w:pPr>
        <w:pStyle w:val="APVMAText"/>
      </w:pPr>
      <w:r w:rsidRPr="00D05130">
        <w:t>The worker health and safety assessment concluded that the use of procymidone does not pose an unacceptable risk to human health provided the following are ensured:</w:t>
      </w:r>
    </w:p>
    <w:p w14:paraId="456B0CE2" w14:textId="77777777" w:rsidR="00426C3A" w:rsidRPr="00D05130" w:rsidRDefault="00426C3A" w:rsidP="00D05130">
      <w:pPr>
        <w:pStyle w:val="Bullet1"/>
      </w:pPr>
      <w:r w:rsidRPr="00D05130">
        <w:t>The following contemporary precaution statements should be included on the label:</w:t>
      </w:r>
    </w:p>
    <w:p w14:paraId="36DA2553" w14:textId="77777777" w:rsidR="00426C3A" w:rsidRPr="00D05130" w:rsidRDefault="00426C3A" w:rsidP="00D05130">
      <w:pPr>
        <w:pStyle w:val="Quotes"/>
      </w:pPr>
      <w:r w:rsidRPr="00D05130">
        <w:t>Precautions:</w:t>
      </w:r>
    </w:p>
    <w:p w14:paraId="69D6B837" w14:textId="3B80D909" w:rsidR="00426C3A" w:rsidRPr="00D05130" w:rsidRDefault="00426C3A" w:rsidP="00D05130">
      <w:pPr>
        <w:pStyle w:val="Quotes"/>
      </w:pPr>
      <w:r w:rsidRPr="00D05130">
        <w:t>DO NOT use treated seed for human consumption. Do not allow treated seed to contaminate grain or other seed intended for animal or human consumption.</w:t>
      </w:r>
    </w:p>
    <w:p w14:paraId="6D6618BA" w14:textId="77777777" w:rsidR="00426C3A" w:rsidRPr="00D05130" w:rsidRDefault="00426C3A" w:rsidP="00D05130">
      <w:pPr>
        <w:pStyle w:val="Quotes"/>
      </w:pPr>
      <w:r w:rsidRPr="00D05130">
        <w:t>When treated seed is stored it should be kept apart from other grain and the bags or other containers should be clearly marked to indicate that the contents have been treated with this product. Bags or containers which have held treated seed are not to be used for any other purpose.</w:t>
      </w:r>
    </w:p>
    <w:p w14:paraId="00CF965A" w14:textId="48F199F1" w:rsidR="00426C3A" w:rsidRPr="00D05130" w:rsidRDefault="00426C3A" w:rsidP="00D05130">
      <w:pPr>
        <w:pStyle w:val="Bullet1"/>
      </w:pPr>
      <w:r w:rsidRPr="00D05130">
        <w:t>The following first aid instructions should be included on the label:</w:t>
      </w:r>
    </w:p>
    <w:p w14:paraId="36C7BB0F" w14:textId="60257E69" w:rsidR="00426C3A" w:rsidRPr="00D05130" w:rsidRDefault="00426C3A" w:rsidP="00D05130">
      <w:pPr>
        <w:pStyle w:val="Quotes"/>
      </w:pPr>
      <w:r w:rsidRPr="00D05130">
        <w:t>If poisoning occurs, contact a doctor or Poisons Information Centre. Phone Australia 131 126, New Zealand 0800 764 766.</w:t>
      </w:r>
    </w:p>
    <w:p w14:paraId="2760096A" w14:textId="62422C08" w:rsidR="00426C3A" w:rsidRPr="00D05130" w:rsidRDefault="00426C3A" w:rsidP="00D05130">
      <w:pPr>
        <w:pStyle w:val="Bullet1"/>
      </w:pPr>
      <w:r w:rsidRPr="00D05130">
        <w:t>The following safety directions should be included on the label:</w:t>
      </w:r>
    </w:p>
    <w:p w14:paraId="2A55FA15" w14:textId="77777777" w:rsidR="00426C3A" w:rsidRPr="00D05130" w:rsidRDefault="00426C3A" w:rsidP="00D05130">
      <w:pPr>
        <w:pStyle w:val="Quotes"/>
      </w:pPr>
      <w:r w:rsidRPr="00D05130">
        <w:t>May irritate the eyes and skin. Avoid contact with eyes and skin. When opening the container and preparing the product for use, wear cotton overalls buttoned to the neck and wrist (or equivalent clothing) and elbow length chemical resistant gloves. When using the product, wear cotton overalls buttoned to the neck and wrist (or equivalent clothing). Wash hands after use. After each day’s use, wash gloves and contaminated clothing.</w:t>
      </w:r>
    </w:p>
    <w:p w14:paraId="3F67B18D" w14:textId="77777777" w:rsidR="00426C3A" w:rsidRPr="00D05130" w:rsidRDefault="00426C3A" w:rsidP="00D05130">
      <w:pPr>
        <w:pStyle w:val="Bullet1"/>
      </w:pPr>
      <w:r w:rsidRPr="00D05130">
        <w:t>The following re-entry statement should be included on the label:</w:t>
      </w:r>
    </w:p>
    <w:p w14:paraId="0813315D" w14:textId="77777777" w:rsidR="00426C3A" w:rsidRPr="00D05130" w:rsidRDefault="00426C3A" w:rsidP="00D05130">
      <w:pPr>
        <w:pStyle w:val="Quotes"/>
      </w:pPr>
      <w:r w:rsidRPr="00D05130">
        <w:t>Do not enter treated areas until spray has dried. If prior entry is necessary, wear cotton overalls buttoned to the neck and wrist, elbow-length chemical resistant gloves and goggles.</w:t>
      </w:r>
    </w:p>
    <w:p w14:paraId="2D324B6C" w14:textId="77777777" w:rsidR="00426C3A" w:rsidRPr="00D05130" w:rsidRDefault="00426C3A" w:rsidP="00D05130">
      <w:pPr>
        <w:pStyle w:val="Bullet1"/>
        <w:sectPr w:rsidR="00426C3A" w:rsidRPr="00D05130">
          <w:headerReference w:type="default" r:id="rId32"/>
          <w:pgSz w:w="11906" w:h="16838" w:code="9"/>
          <w:pgMar w:top="2835" w:right="1134" w:bottom="1134" w:left="1134" w:header="1701" w:footer="680" w:gutter="0"/>
          <w:cols w:space="708"/>
          <w:docGrid w:linePitch="360"/>
        </w:sectPr>
      </w:pPr>
      <w:r w:rsidRPr="00D05130">
        <w:lastRenderedPageBreak/>
        <w:t xml:space="preserve">The warning statement that was previously included on the label </w:t>
      </w:r>
      <w:r w:rsidRPr="00D05130">
        <w:rPr>
          <w:i/>
          <w:iCs/>
        </w:rPr>
        <w:t>“WARNING – Contains procymidone which causes birth defects in laboratory animals. Women of childbearing age should avoid contact with procymidone”</w:t>
      </w:r>
      <w:r w:rsidRPr="00D05130">
        <w:t xml:space="preserve"> is no longer required.</w:t>
      </w:r>
    </w:p>
    <w:p w14:paraId="635966AB" w14:textId="1BC9F9C4" w:rsidR="00426C3A" w:rsidRPr="00D05130" w:rsidRDefault="00426C3A" w:rsidP="00D05130">
      <w:pPr>
        <w:pStyle w:val="Heading1"/>
      </w:pPr>
      <w:bookmarkStart w:id="53" w:name="_Residues_and_trade"/>
      <w:bookmarkStart w:id="54" w:name="_Toc116301533"/>
      <w:bookmarkEnd w:id="53"/>
      <w:r w:rsidRPr="00D05130">
        <w:lastRenderedPageBreak/>
        <w:t>Residues and trade</w:t>
      </w:r>
      <w:bookmarkEnd w:id="54"/>
    </w:p>
    <w:p w14:paraId="737230F2" w14:textId="41ECF286" w:rsidR="00426C3A" w:rsidRPr="00D05130" w:rsidRDefault="00426C3A" w:rsidP="00D05130">
      <w:pPr>
        <w:pStyle w:val="APVMAText"/>
      </w:pPr>
      <w:r w:rsidRPr="00D05130">
        <w:t xml:space="preserve">Residues studies submitted to the APVMA as part of this chemical review that are relevant to the currently approved use patterns have been considered. A contemporary dietary exposure estimate has been undertaken based on the above ADI and </w:t>
      </w:r>
      <w:proofErr w:type="spellStart"/>
      <w:r w:rsidRPr="00D05130">
        <w:t>ARfD</w:t>
      </w:r>
      <w:proofErr w:type="spellEnd"/>
      <w:r w:rsidRPr="00D05130">
        <w:t xml:space="preserve"> recommendations, contemporary Australian food consumption data, relevant residues data and methodology aligned with World Health Organization (WHO) Guidelines.</w:t>
      </w:r>
    </w:p>
    <w:p w14:paraId="7ECCAEDE" w14:textId="0129BA36" w:rsidR="00426C3A" w:rsidRPr="00D05130" w:rsidRDefault="00426C3A" w:rsidP="00D05130">
      <w:pPr>
        <w:pStyle w:val="APVMAText"/>
      </w:pPr>
      <w:r w:rsidRPr="00D05130">
        <w:t>Use patterns can only be supported where there are sufficient relevant residues data to set a MRL for a commodity and where there are no dietary exposure concerns.</w:t>
      </w:r>
    </w:p>
    <w:p w14:paraId="2E7F879B" w14:textId="7C65AEE6" w:rsidR="00426C3A" w:rsidRPr="00D05130" w:rsidRDefault="00426C3A" w:rsidP="00D05130">
      <w:pPr>
        <w:pStyle w:val="Heading2"/>
      </w:pPr>
      <w:bookmarkStart w:id="55" w:name="_Toc116301534"/>
      <w:r w:rsidRPr="00D05130">
        <w:t>Metabolism in plants</w:t>
      </w:r>
      <w:bookmarkEnd w:id="55"/>
    </w:p>
    <w:p w14:paraId="79C304B3" w14:textId="77777777" w:rsidR="00426C3A" w:rsidRPr="00426C3A" w:rsidRDefault="00426C3A" w:rsidP="00D05130">
      <w:pPr>
        <w:pStyle w:val="APVMAText"/>
      </w:pPr>
      <w:r w:rsidRPr="00426C3A">
        <w:t xml:space="preserve">The metabolism of procymidone (14C-phenyl procymidone and 14C-carbonyl procymidone labels) was investigated in cucumber, kidney bean, lettuce, </w:t>
      </w:r>
      <w:proofErr w:type="gramStart"/>
      <w:r w:rsidRPr="00426C3A">
        <w:t>grapes</w:t>
      </w:r>
      <w:proofErr w:type="gramEnd"/>
      <w:r w:rsidRPr="00426C3A">
        <w:t xml:space="preserve"> and wine.</w:t>
      </w:r>
    </w:p>
    <w:p w14:paraId="4998450E" w14:textId="77777777" w:rsidR="00426C3A" w:rsidRPr="00426C3A" w:rsidRDefault="00426C3A" w:rsidP="00D05130">
      <w:pPr>
        <w:pStyle w:val="APVMAText"/>
      </w:pPr>
      <w:r w:rsidRPr="00426C3A">
        <w:t xml:space="preserve">The metabolism of procymidone in plants is slow with the major component in all studied crops being parent procymidone. Although there were a variety of metabolic products detected at comparatively low levels, not all were characterised. In beans, </w:t>
      </w:r>
      <w:proofErr w:type="gramStart"/>
      <w:r w:rsidRPr="00426C3A">
        <w:t>cucumber</w:t>
      </w:r>
      <w:proofErr w:type="gramEnd"/>
      <w:r w:rsidRPr="00426C3A">
        <w:t xml:space="preserve"> and lettuce each metabolite was present at less than 1% of the applied radioactivity and in grapes less than 4% of the applied radioactivity.</w:t>
      </w:r>
    </w:p>
    <w:p w14:paraId="63F3AA15" w14:textId="2F569304" w:rsidR="00426C3A" w:rsidRPr="00D05130" w:rsidRDefault="00426C3A" w:rsidP="00D05130">
      <w:pPr>
        <w:pStyle w:val="Heading2"/>
      </w:pPr>
      <w:bookmarkStart w:id="56" w:name="_Toc116301535"/>
      <w:r w:rsidRPr="00D05130">
        <w:t>Metabolism in animals</w:t>
      </w:r>
      <w:bookmarkEnd w:id="56"/>
    </w:p>
    <w:p w14:paraId="45C2C467" w14:textId="77777777" w:rsidR="00426C3A" w:rsidRPr="00426C3A" w:rsidRDefault="00426C3A" w:rsidP="00D05130">
      <w:pPr>
        <w:pStyle w:val="APVMAText"/>
      </w:pPr>
      <w:r w:rsidRPr="00426C3A">
        <w:t>The metabolism of procymidone (14C-phenyl procymidone label) was investigated in lactating goats, laying hens and laboratory animals (rats).</w:t>
      </w:r>
    </w:p>
    <w:p w14:paraId="5BF56F78" w14:textId="77777777" w:rsidR="00426C3A" w:rsidRPr="00426C3A" w:rsidRDefault="00426C3A" w:rsidP="00D05130">
      <w:pPr>
        <w:pStyle w:val="APVMAText"/>
      </w:pPr>
      <w:r w:rsidRPr="00426C3A">
        <w:t xml:space="preserve">The metabolism of procymidone was similar in goats, </w:t>
      </w:r>
      <w:proofErr w:type="gramStart"/>
      <w:r w:rsidRPr="00426C3A">
        <w:t>hens</w:t>
      </w:r>
      <w:proofErr w:type="gramEnd"/>
      <w:r w:rsidRPr="00426C3A">
        <w:t xml:space="preserve"> and rats. Procymidone is metabolised to many compounds with the major derivatives being hydroxymethyl procymidone and procymidone carboxylic acid. Glucuronidation of metabolites was also reported as was cleavage of the amide. The goat and hen studies found parent procymidone to be the predominant component in goat fat, muscle, </w:t>
      </w:r>
      <w:proofErr w:type="gramStart"/>
      <w:r w:rsidRPr="00426C3A">
        <w:t>milk</w:t>
      </w:r>
      <w:proofErr w:type="gramEnd"/>
      <w:r w:rsidRPr="00426C3A">
        <w:t xml:space="preserve"> and liver as well as in hen fat.</w:t>
      </w:r>
    </w:p>
    <w:p w14:paraId="2752D0B4" w14:textId="4E158A2B" w:rsidR="00426C3A" w:rsidRPr="00D05130" w:rsidRDefault="00426C3A" w:rsidP="00D05130">
      <w:pPr>
        <w:pStyle w:val="Heading2"/>
      </w:pPr>
      <w:bookmarkStart w:id="57" w:name="_Toc116301536"/>
      <w:r w:rsidRPr="00D05130">
        <w:t>Analytical methods</w:t>
      </w:r>
      <w:bookmarkEnd w:id="57"/>
    </w:p>
    <w:p w14:paraId="626FBF30" w14:textId="77777777" w:rsidR="00426C3A" w:rsidRPr="00426C3A" w:rsidRDefault="00426C3A" w:rsidP="00D05130">
      <w:pPr>
        <w:pStyle w:val="APVMAText"/>
      </w:pPr>
      <w:r w:rsidRPr="00426C3A">
        <w:t>The general process for the determination of procymidone in plants in the submitted studies involved blending in a water-miscible solvent followed by partitioning into hexane. Extracts were purified further using silica gel column chromatography. Quantification was achieved with gas chromatography (GC) equipped with a flame thermionic detector (FTD). The limit of quantification (LOQ) was reported to be 0.01 to 0.05 mg/kg.</w:t>
      </w:r>
    </w:p>
    <w:p w14:paraId="7406898C" w14:textId="77777777" w:rsidR="00426C3A" w:rsidRPr="00426C3A" w:rsidRDefault="00426C3A" w:rsidP="00D05130">
      <w:pPr>
        <w:pStyle w:val="APVMAText"/>
      </w:pPr>
      <w:r w:rsidRPr="00426C3A">
        <w:t xml:space="preserve">The process for the determination of procymidone in animal tissues and milk involved macerating or homogenising with acetone. Procymidone was cleaned up by </w:t>
      </w:r>
      <w:proofErr w:type="spellStart"/>
      <w:r w:rsidRPr="00426C3A">
        <w:t>Florisil</w:t>
      </w:r>
      <w:proofErr w:type="spellEnd"/>
      <w:r w:rsidRPr="00426C3A">
        <w:t xml:space="preserve"> column chromatography. Quantification was achieved with GC equipped with an FTD. The LOQ was reported to be 0.01 mg/kg for milk and animal tissues.</w:t>
      </w:r>
    </w:p>
    <w:p w14:paraId="2B625F9A" w14:textId="32EA0C3F" w:rsidR="00426C3A" w:rsidRPr="00D05130" w:rsidRDefault="00426C3A" w:rsidP="00D05130">
      <w:pPr>
        <w:pStyle w:val="Heading2"/>
      </w:pPr>
      <w:bookmarkStart w:id="58" w:name="_Toc116301537"/>
      <w:r w:rsidRPr="00D05130">
        <w:lastRenderedPageBreak/>
        <w:t>Storage stability</w:t>
      </w:r>
      <w:bookmarkEnd w:id="58"/>
    </w:p>
    <w:p w14:paraId="794200FE" w14:textId="7BC02CCC" w:rsidR="00426C3A" w:rsidRPr="00426C3A" w:rsidRDefault="00426C3A" w:rsidP="00D05130">
      <w:pPr>
        <w:pStyle w:val="APVMAText"/>
      </w:pPr>
      <w:r w:rsidRPr="00426C3A">
        <w:t xml:space="preserve">Data were presented for stability of procymidone residues in grapes, wine, strawberries, tomato, cucumber, lettuce, shallots, beans, sunflower seed, sour </w:t>
      </w:r>
      <w:proofErr w:type="gramStart"/>
      <w:r w:rsidRPr="00426C3A">
        <w:t>cherry</w:t>
      </w:r>
      <w:proofErr w:type="gramEnd"/>
      <w:r w:rsidRPr="00426C3A">
        <w:t xml:space="preserve"> and eggplant. In each commodity, procymidone was demonstrated to be stable when stored at </w:t>
      </w:r>
      <w:r w:rsidR="00295DF8">
        <w:t>-</w:t>
      </w:r>
      <w:r w:rsidRPr="00426C3A">
        <w:t>20</w:t>
      </w:r>
      <w:r w:rsidRPr="00426C3A">
        <w:rPr>
          <w:vertAlign w:val="superscript"/>
        </w:rPr>
        <w:t>o</w:t>
      </w:r>
      <w:r w:rsidRPr="00426C3A">
        <w:t>C for up to 12 months.</w:t>
      </w:r>
    </w:p>
    <w:p w14:paraId="57E49C76" w14:textId="73932F6E" w:rsidR="00426C3A" w:rsidRPr="00D05130" w:rsidRDefault="00426C3A" w:rsidP="00D05130">
      <w:pPr>
        <w:pStyle w:val="Heading2"/>
      </w:pPr>
      <w:bookmarkStart w:id="59" w:name="_Toc116301538"/>
      <w:r w:rsidRPr="00D05130">
        <w:t>Residue definition</w:t>
      </w:r>
      <w:bookmarkEnd w:id="59"/>
    </w:p>
    <w:p w14:paraId="4A677A3D" w14:textId="77777777" w:rsidR="00426C3A" w:rsidRPr="00426C3A" w:rsidRDefault="00426C3A" w:rsidP="00D05130">
      <w:pPr>
        <w:pStyle w:val="APVMAText"/>
      </w:pPr>
      <w:r w:rsidRPr="00426C3A">
        <w:t xml:space="preserve">The data presented support the current residue definition as procymidone </w:t>
      </w:r>
      <w:r w:rsidRPr="00426C3A">
        <w:rPr>
          <w:i/>
        </w:rPr>
        <w:t>per se</w:t>
      </w:r>
      <w:r w:rsidRPr="00426C3A">
        <w:t>.</w:t>
      </w:r>
    </w:p>
    <w:p w14:paraId="708F8293" w14:textId="07301F21" w:rsidR="00426C3A" w:rsidRPr="00D05130" w:rsidRDefault="00426C3A" w:rsidP="00D05130">
      <w:pPr>
        <w:pStyle w:val="Heading2"/>
      </w:pPr>
      <w:bookmarkStart w:id="60" w:name="_Toc116301539"/>
      <w:r w:rsidRPr="00D05130">
        <w:t>Residues in food and animal feeds</w:t>
      </w:r>
      <w:bookmarkEnd w:id="60"/>
    </w:p>
    <w:p w14:paraId="3C21D46F" w14:textId="29D9E7BD" w:rsidR="00426C3A" w:rsidRPr="00426C3A" w:rsidRDefault="00426C3A" w:rsidP="00D05130">
      <w:pPr>
        <w:pStyle w:val="APVMAText"/>
      </w:pPr>
      <w:r w:rsidRPr="00426C3A">
        <w:t>For each crop with a currently registered procymidone use, the submitted residue trials that are relevant to the current Australian GAP and have been considered in the APVMA risk assessment will be discussed below.</w:t>
      </w:r>
    </w:p>
    <w:p w14:paraId="5C26F6B3" w14:textId="7D7F56FF" w:rsidR="00426C3A" w:rsidRPr="00D05130" w:rsidRDefault="00426C3A" w:rsidP="00D05130">
      <w:pPr>
        <w:pStyle w:val="Heading3"/>
      </w:pPr>
      <w:bookmarkStart w:id="61" w:name="_Toc116301540"/>
      <w:r w:rsidRPr="00D05130">
        <w:t>Canola</w:t>
      </w:r>
      <w:bookmarkEnd w:id="61"/>
    </w:p>
    <w:p w14:paraId="664B4CD7" w14:textId="423D827C" w:rsidR="00426C3A" w:rsidRPr="00D05130" w:rsidRDefault="00426C3A" w:rsidP="00D05130">
      <w:pPr>
        <w:pStyle w:val="APVMAText"/>
      </w:pPr>
      <w:r w:rsidRPr="00D05130">
        <w:t>Four Australian residue trials that addressed the Australian GAP found procymidone residues of &lt;0.01, &lt;0.02, 0.21 and 0.30 mg/kg in seed. Six relevant European (France and the Netherlands) trials involved one application at 500 g ac/ha at BBCH 65 (50% flowering). Residues in canola seed were &lt;0.02 mg/kg (n=6). The combined relevant dataset for canola seed including 4 Australian and 6 European trials found procymidone residues of &lt;0.01, &lt;0.02 (7), 0.21 and 0.30 mg/kg. The OECD MRL calculator</w:t>
      </w:r>
      <w:bookmarkStart w:id="62" w:name="_Ref102037901"/>
      <w:r w:rsidR="004E2737" w:rsidRPr="00D05130">
        <w:rPr>
          <w:rStyle w:val="FootnoteReference"/>
        </w:rPr>
        <w:footnoteReference w:id="12"/>
      </w:r>
      <w:bookmarkEnd w:id="62"/>
      <w:r w:rsidRPr="00D05130">
        <w:t xml:space="preserve"> recommends an MRL of 0.5 mg/kg. Based on the available data, it is concluded that the MRL for SO 0495 Rape seed should be established at 0.5 mg/kg.</w:t>
      </w:r>
    </w:p>
    <w:p w14:paraId="71CFC8EA" w14:textId="1876F938" w:rsidR="00426C3A" w:rsidRPr="00D05130" w:rsidRDefault="00426C3A" w:rsidP="00D05130">
      <w:pPr>
        <w:pStyle w:val="APVMAText"/>
      </w:pPr>
      <w:r w:rsidRPr="00D05130">
        <w:t>A processing factor of 4× was observed in crude oil in the Australian trials. Twelve European processing studies found a processing factor of 2.22 to 4.63× (mean= 3×) for procymidone residues following processing from canola seed to oil. Given the highest processing factor of 4.63× and a Highest Residue (HR) of 0.30 mg/kg in rape seed (RAC), the Highest Residue in a Processed commodity (HR-P) is calculated to be 1.39 mg/kg. Given the HR-P of 1.39 mg/kg, it is concluded that a rape seed oil, crude at 2 mg/kg is appropriate.</w:t>
      </w:r>
    </w:p>
    <w:p w14:paraId="4B5BC007" w14:textId="67CE4B51" w:rsidR="00426C3A" w:rsidRPr="00D05130" w:rsidRDefault="00426C3A" w:rsidP="00D05130">
      <w:pPr>
        <w:pStyle w:val="APVMAText"/>
      </w:pPr>
      <w:r w:rsidRPr="00D05130">
        <w:t>The Australian rape seed straw data found residue levels of &lt;0.02, 0.34, 2.6 and 3.1 mg/kg in straw at harvest (PHI 61 to 81 days). An MRL for rape seed forage and fodder at 5 mg/kg is appropriate based on the available information.</w:t>
      </w:r>
    </w:p>
    <w:p w14:paraId="19E2B2AC" w14:textId="587233D4" w:rsidR="00426C3A" w:rsidRPr="00D05130" w:rsidRDefault="00426C3A" w:rsidP="00D05130">
      <w:pPr>
        <w:pStyle w:val="APVMAText"/>
      </w:pPr>
      <w:r w:rsidRPr="00D05130">
        <w:t>The continued use of procymidone on canola is supported based on analysis of available residues data. The current harvest and grazing withholding periods of “Not required when used as directed” and “Do not graze or cut for stock feed for 9 weeks after application” are supported.</w:t>
      </w:r>
    </w:p>
    <w:p w14:paraId="19397D89" w14:textId="19902174" w:rsidR="00426C3A" w:rsidRPr="00D05130" w:rsidRDefault="00426C3A" w:rsidP="00D05130">
      <w:pPr>
        <w:pStyle w:val="Heading3"/>
      </w:pPr>
      <w:bookmarkStart w:id="63" w:name="_Toc116301541"/>
      <w:proofErr w:type="spellStart"/>
      <w:r w:rsidRPr="00D05130">
        <w:lastRenderedPageBreak/>
        <w:t>Faba</w:t>
      </w:r>
      <w:proofErr w:type="spellEnd"/>
      <w:r w:rsidRPr="00D05130">
        <w:t xml:space="preserve"> beans</w:t>
      </w:r>
      <w:bookmarkEnd w:id="63"/>
    </w:p>
    <w:p w14:paraId="5792A738" w14:textId="77777777" w:rsidR="00426C3A" w:rsidRPr="00D05130" w:rsidRDefault="00426C3A" w:rsidP="00D05130">
      <w:pPr>
        <w:pStyle w:val="APVMAText"/>
      </w:pPr>
      <w:r w:rsidRPr="00D05130">
        <w:t xml:space="preserve">No procymidone residues data for </w:t>
      </w:r>
      <w:proofErr w:type="spellStart"/>
      <w:r w:rsidRPr="00D05130">
        <w:t>faba</w:t>
      </w:r>
      <w:proofErr w:type="spellEnd"/>
      <w:r w:rsidRPr="00D05130">
        <w:t xml:space="preserve"> beans were submitted. While residues data is available for other pulse crops such as dry bean and peas, lentils, navy beans and soybeans, the registered use pattern for </w:t>
      </w:r>
      <w:proofErr w:type="spellStart"/>
      <w:r w:rsidRPr="00D05130">
        <w:t>faba</w:t>
      </w:r>
      <w:proofErr w:type="spellEnd"/>
      <w:r w:rsidRPr="00D05130">
        <w:t xml:space="preserve"> beans differs significantly from the treatment regime employed in the trials. It is also noted that while there is a registered use for the pulse crop of lentils, </w:t>
      </w:r>
      <w:proofErr w:type="spellStart"/>
      <w:r w:rsidRPr="00D05130">
        <w:t>faba</w:t>
      </w:r>
      <w:proofErr w:type="spellEnd"/>
      <w:r w:rsidRPr="00D05130">
        <w:t xml:space="preserve"> beans and lentils are in different crop sub-groups</w:t>
      </w:r>
      <w:r w:rsidRPr="00D05130">
        <w:rPr>
          <w:vertAlign w:val="superscript"/>
        </w:rPr>
        <w:footnoteReference w:id="13"/>
      </w:r>
      <w:r w:rsidRPr="00D05130">
        <w:t>.</w:t>
      </w:r>
    </w:p>
    <w:p w14:paraId="302600DD" w14:textId="121F34C6" w:rsidR="00426C3A" w:rsidRPr="00D05130" w:rsidRDefault="00426C3A" w:rsidP="00D05130">
      <w:pPr>
        <w:pStyle w:val="APVMAText"/>
      </w:pPr>
      <w:r w:rsidRPr="00D05130">
        <w:t xml:space="preserve">There is insufficient relevant residues data to determine an appropriate MRL for the currently registered use of procymidone on </w:t>
      </w:r>
      <w:proofErr w:type="spellStart"/>
      <w:r w:rsidRPr="00D05130">
        <w:t>faba</w:t>
      </w:r>
      <w:proofErr w:type="spellEnd"/>
      <w:r w:rsidRPr="00D05130">
        <w:t xml:space="preserve"> beans and its forage and fodder. The continued use of procymidone on </w:t>
      </w:r>
      <w:proofErr w:type="spellStart"/>
      <w:r w:rsidRPr="00D05130">
        <w:t>faba</w:t>
      </w:r>
      <w:proofErr w:type="spellEnd"/>
      <w:r w:rsidRPr="00D05130">
        <w:t xml:space="preserve"> beans cannot be supported due to insufficient residues data. The current MRL for VD 0523 Broad bean (dry) [</w:t>
      </w:r>
      <w:proofErr w:type="spellStart"/>
      <w:r w:rsidRPr="00D05130">
        <w:t>faba</w:t>
      </w:r>
      <w:proofErr w:type="spellEnd"/>
      <w:r w:rsidRPr="00D05130">
        <w:t xml:space="preserve"> bean (dry)] at T10 mg/kg should be deleted.</w:t>
      </w:r>
    </w:p>
    <w:p w14:paraId="496031B6" w14:textId="54C0C615" w:rsidR="00426C3A" w:rsidRPr="00D05130" w:rsidRDefault="00426C3A" w:rsidP="00D05130">
      <w:pPr>
        <w:pStyle w:val="Heading3"/>
      </w:pPr>
      <w:bookmarkStart w:id="64" w:name="_Toc116301542"/>
      <w:r w:rsidRPr="00D05130">
        <w:t>Garlic</w:t>
      </w:r>
      <w:bookmarkEnd w:id="64"/>
    </w:p>
    <w:p w14:paraId="6666934E" w14:textId="77777777" w:rsidR="00426C3A" w:rsidRPr="00D05130" w:rsidRDefault="00426C3A" w:rsidP="00D05130">
      <w:pPr>
        <w:pStyle w:val="APVMAText"/>
      </w:pPr>
      <w:r w:rsidRPr="00D05130">
        <w:t>Submitted residues data found a pre-plant clove treatment at 5 g ac/kg garlic resulted in a residue level of 1.80 mg/kg in garlic bulbs, while the application rate of 10 g ac/kg garlic (2× the Australian rate) resulted in residues of 2.90 and 4.75 mg/kg at harvest (210 to 236 days after planting). A MRL for garlic at 5 mg/kg is appropriate based on the available information.</w:t>
      </w:r>
    </w:p>
    <w:p w14:paraId="082E0329" w14:textId="6CF9715C" w:rsidR="00426C3A" w:rsidRPr="00D05130" w:rsidRDefault="00426C3A" w:rsidP="00D05130">
      <w:pPr>
        <w:pStyle w:val="APVMAText"/>
      </w:pPr>
      <w:r w:rsidRPr="00D05130">
        <w:t>The continued use of procymidone on garlic is supported based on assessment of available residues data. The harvest withholding period for garlic of “Not required when used as directed” is recommended for all relevant labels.</w:t>
      </w:r>
    </w:p>
    <w:p w14:paraId="027BEF32" w14:textId="3C189ABB" w:rsidR="00426C3A" w:rsidRPr="00D05130" w:rsidRDefault="00426C3A" w:rsidP="00D05130">
      <w:pPr>
        <w:pStyle w:val="Heading3"/>
      </w:pPr>
      <w:bookmarkStart w:id="65" w:name="_Toc116301543"/>
      <w:r w:rsidRPr="00D05130">
        <w:t>Grapes (wine grapes only)</w:t>
      </w:r>
      <w:bookmarkEnd w:id="65"/>
    </w:p>
    <w:p w14:paraId="2F1C405A" w14:textId="77777777" w:rsidR="00426C3A" w:rsidRPr="00D05130" w:rsidRDefault="00426C3A" w:rsidP="00D05130">
      <w:pPr>
        <w:pStyle w:val="APVMAText"/>
      </w:pPr>
      <w:r w:rsidRPr="00D05130">
        <w:t xml:space="preserve">A plethora of grape data (predominantly non-GLP and from overseas) has been submitted for consideration, however few trials involved the application concentration of 37.5 g ac/100L or sampling at the current withholding period of 9 days. The available relevant data indicates that residues in grapes may peak later than 9 days following treatment. </w:t>
      </w:r>
    </w:p>
    <w:p w14:paraId="69DD7B8F" w14:textId="77777777" w:rsidR="00426C3A" w:rsidRPr="00D05130" w:rsidRDefault="00426C3A" w:rsidP="00D05130">
      <w:pPr>
        <w:pStyle w:val="APVMAText"/>
      </w:pPr>
      <w:r w:rsidRPr="00D05130">
        <w:t>The highest residue from a relevant trial was observed from a trial in which 4 applications at a concentration of 67 g ac/100L (1.8× the Australian rate) resulted in HRs of 4.8, 7.3 and 6.6 mg/kg at 8, 15 and 22 days after last application (DALA) respectively. The residue level of 7.3 mg/kg observed at 15 DALA represents the highest residue observed at or after the current withholding period of 9 days and when scaled for the proposed concentration of 37.5 g ac/100L is calculated to be 4.1 mg/kg. An MRL for wine-grapes at 5 mg/kg is appropriate based on the available information.</w:t>
      </w:r>
    </w:p>
    <w:p w14:paraId="70DA05FF" w14:textId="77777777" w:rsidR="00426C3A" w:rsidRPr="00D05130" w:rsidRDefault="00426C3A" w:rsidP="00D05130">
      <w:pPr>
        <w:pStyle w:val="APVMAText"/>
      </w:pPr>
      <w:r w:rsidRPr="00D05130">
        <w:t xml:space="preserve">Numerous grape studies investigated processing to wine, </w:t>
      </w:r>
      <w:proofErr w:type="gramStart"/>
      <w:r w:rsidRPr="00D05130">
        <w:t>juice</w:t>
      </w:r>
      <w:proofErr w:type="gramEnd"/>
      <w:r w:rsidRPr="00D05130">
        <w:t xml:space="preserve"> and wet pomace. In wine, processing factors were 0.04 to 0.65× (n= 100), with a mean of 0.20×. In juice, processing factors were 0.06 to 1.18× (n= 24), with a mean of 0.39×. In wet pomace, processing factors were 0.4 to 4.6× (n= 36), with a mean of 1.6×. Considering the mean PF observed in wine of 0.20, the HR-P for wine made from grapes treated with the Australian use pattern is calculated to be 0.82 mg/kg. Given a grape HR of 4.1 mg/kg and the mean </w:t>
      </w:r>
      <w:r w:rsidRPr="00D05130">
        <w:lastRenderedPageBreak/>
        <w:t>processing factor for wet grape pomace is 1.6×, the HR-P for grape pomace (wet) is 6.6 mg/kg. Noting an average moisture content of 15% in wet pomace</w:t>
      </w:r>
      <w:r w:rsidRPr="00D05130">
        <w:rPr>
          <w:vertAlign w:val="superscript"/>
        </w:rPr>
        <w:footnoteReference w:id="14"/>
      </w:r>
      <w:r w:rsidRPr="00D05130">
        <w:t>, a MRL of 50 mg/kg is considered acceptable for grape pomace (dry), which is an animal feed commodity.</w:t>
      </w:r>
    </w:p>
    <w:p w14:paraId="7724FACC" w14:textId="20DA01EA" w:rsidR="00426C3A" w:rsidRPr="00D05130" w:rsidRDefault="00426C3A" w:rsidP="00D05130">
      <w:pPr>
        <w:pStyle w:val="APVMAText"/>
      </w:pPr>
      <w:r w:rsidRPr="00D05130">
        <w:t>The continued use of procymidone on grapes (wine grapes only) is supported based on assessment of the available residue data. The current harvest withholding period of 9 days is supported.</w:t>
      </w:r>
    </w:p>
    <w:p w14:paraId="32AFD24E" w14:textId="33A96004" w:rsidR="00426C3A" w:rsidRPr="00D05130" w:rsidRDefault="00426C3A" w:rsidP="00D05130">
      <w:pPr>
        <w:pStyle w:val="Heading3"/>
      </w:pPr>
      <w:bookmarkStart w:id="66" w:name="_Toc116301544"/>
      <w:r w:rsidRPr="00D05130">
        <w:t>Lentils</w:t>
      </w:r>
      <w:bookmarkEnd w:id="66"/>
    </w:p>
    <w:p w14:paraId="1A6D5D45" w14:textId="220498D2" w:rsidR="00426C3A" w:rsidRPr="00D05130" w:rsidRDefault="00426C3A" w:rsidP="00D05130">
      <w:pPr>
        <w:pStyle w:val="APVMAText"/>
      </w:pPr>
      <w:r w:rsidRPr="00D05130">
        <w:t>Four Australian residue trials that addressed the Australian GAP found procymidone residues of 0.08, 0.10, 0.11 and 0.13 mg/kg in lentil seed and 1.81, 2.18, 2.71 and 3.22 mg/kg in straw (dry weight basis) at 21 days after the second application. The current MRLs for Lentil (dry) at 0.5 mg/kg, Lentil forage at 5</w:t>
      </w:r>
      <w:r w:rsidR="00295DF8" w:rsidRPr="00D05130">
        <w:t> </w:t>
      </w:r>
      <w:r w:rsidRPr="00D05130">
        <w:t>mg/kg and Lentil straw and fodder, dry at 5 mg/kg remain appropriate.</w:t>
      </w:r>
    </w:p>
    <w:p w14:paraId="709FD424" w14:textId="5B1E5A01" w:rsidR="00426C3A" w:rsidRPr="00D05130" w:rsidRDefault="00426C3A" w:rsidP="00D05130">
      <w:pPr>
        <w:pStyle w:val="APVMAText"/>
      </w:pPr>
      <w:r w:rsidRPr="00D05130">
        <w:t>The continued use of procymidone on lentil is supported based on analysis of available residue data. The current harvest and grazing withholding periods of 21 days are supported.</w:t>
      </w:r>
    </w:p>
    <w:p w14:paraId="3C66FCC8" w14:textId="746D8D95" w:rsidR="00426C3A" w:rsidRPr="00D05130" w:rsidRDefault="00426C3A" w:rsidP="00D05130">
      <w:pPr>
        <w:pStyle w:val="Heading3"/>
      </w:pPr>
      <w:bookmarkStart w:id="67" w:name="_Toc116301545"/>
      <w:r w:rsidRPr="00D05130">
        <w:t>Lupin (seed dressing use)</w:t>
      </w:r>
      <w:bookmarkEnd w:id="67"/>
    </w:p>
    <w:p w14:paraId="33597BA3" w14:textId="2EEE9A3A" w:rsidR="00426C3A" w:rsidRPr="00D05130" w:rsidRDefault="00426C3A" w:rsidP="00D05130">
      <w:pPr>
        <w:pStyle w:val="APVMAText"/>
      </w:pPr>
      <w:r w:rsidRPr="00D05130">
        <w:t>Residues data was not submitted for this seed treatment use pattern on lupins as part of this chemical review. The 2004 procymidone review scope report stated that “Seed dressing products are not considered in this report, as the likely impact on dietary exposure is minimal”.</w:t>
      </w:r>
    </w:p>
    <w:p w14:paraId="0AE8EF9D" w14:textId="77777777" w:rsidR="00426C3A" w:rsidRPr="00D05130" w:rsidRDefault="00426C3A" w:rsidP="00D05130">
      <w:pPr>
        <w:pStyle w:val="APVMAText"/>
      </w:pPr>
      <w:r w:rsidRPr="00D05130">
        <w:t>The current use of procymidone on lupins as a seed dressing was first considered by the Pesticides and Agricultural and Chemicals Committee (PACC) in February 1989. A MRL of *0.01 mg/kg for lupin seed was established based on residues data that demonstrated that residues were not expected in grain at harvest. A MRL was also established for lupin forage at 0.1 mg/kg for this use with a 13-week grazing withholding period.</w:t>
      </w:r>
    </w:p>
    <w:p w14:paraId="253D13E2" w14:textId="129F611D" w:rsidR="00426C3A" w:rsidRPr="00D05130" w:rsidRDefault="00426C3A" w:rsidP="00D05130">
      <w:pPr>
        <w:pStyle w:val="APVMAText"/>
      </w:pPr>
      <w:r w:rsidRPr="00D05130">
        <w:t xml:space="preserve">Considering the previous MRL recommendations made by the PACC and that the minimum time between germination and commercial harvest in Australia is approximately 6 months, residues above the LOQ of 0.01 mg/kg should not occur in lupin grain </w:t>
      </w:r>
      <w:proofErr w:type="gramStart"/>
      <w:r w:rsidRPr="00D05130">
        <w:t>as a result of</w:t>
      </w:r>
      <w:proofErr w:type="gramEnd"/>
      <w:r w:rsidRPr="00D05130">
        <w:t xml:space="preserve"> this approved seed dressing use pattern. This is supported by monitoring data, which has not observed procymidone residues above 0.01 mg/kg in lupin grain over the last 5 years (to 2020–21)</w:t>
      </w:r>
      <w:r w:rsidRPr="00D05130">
        <w:rPr>
          <w:vertAlign w:val="superscript"/>
        </w:rPr>
        <w:footnoteReference w:id="15"/>
      </w:r>
      <w:r w:rsidRPr="00D05130">
        <w:t>.</w:t>
      </w:r>
    </w:p>
    <w:p w14:paraId="33308145" w14:textId="3EC54E0B" w:rsidR="00426C3A" w:rsidRPr="00D05130" w:rsidRDefault="00426C3A" w:rsidP="00D05130">
      <w:pPr>
        <w:pStyle w:val="APVMAText"/>
      </w:pPr>
      <w:r w:rsidRPr="00D05130">
        <w:t>The current labels do not state a harvest withholding periods for lupins. A harvest withholding period of “Not Required when used as directed” is supported for this seed dressing use.</w:t>
      </w:r>
    </w:p>
    <w:p w14:paraId="66DC086F" w14:textId="4D8CB420" w:rsidR="00426C3A" w:rsidRPr="00D05130" w:rsidRDefault="00426C3A" w:rsidP="00D05130">
      <w:pPr>
        <w:pStyle w:val="APVMAText"/>
      </w:pPr>
      <w:r w:rsidRPr="00D05130">
        <w:lastRenderedPageBreak/>
        <w:t>The available information indicates that the current lupin forage MRL of 0.1 mg/kg and 13-week grazing withholding period remain appropriate. The expression of the MRL should be amended from ‘Lupin forage’ to ‘Lupin forage and fodder’ to provide coverage to fodder including stubble that may be grazed.</w:t>
      </w:r>
    </w:p>
    <w:p w14:paraId="223C7865" w14:textId="6D918A7C" w:rsidR="00426C3A" w:rsidRPr="00D05130" w:rsidRDefault="00426C3A" w:rsidP="00D05130">
      <w:pPr>
        <w:pStyle w:val="APVMAText"/>
      </w:pPr>
      <w:r w:rsidRPr="00D05130">
        <w:t>A harvest withholding period of “Not required when used as directed” should be associated with this use (labels are currently silent on a harvest withholding period for lupin).</w:t>
      </w:r>
    </w:p>
    <w:p w14:paraId="29DD943A" w14:textId="5959BCD3" w:rsidR="00426C3A" w:rsidRPr="00D05130" w:rsidRDefault="00426C3A" w:rsidP="00D05130">
      <w:pPr>
        <w:pStyle w:val="Heading3"/>
      </w:pPr>
      <w:bookmarkStart w:id="68" w:name="_Toc116301546"/>
      <w:r w:rsidRPr="00D05130">
        <w:t>Navy beans</w:t>
      </w:r>
      <w:bookmarkEnd w:id="68"/>
    </w:p>
    <w:p w14:paraId="0C920A62" w14:textId="77777777" w:rsidR="00426C3A" w:rsidRPr="00D05130" w:rsidRDefault="00426C3A" w:rsidP="00D05130">
      <w:pPr>
        <w:pStyle w:val="APVMAText"/>
      </w:pPr>
      <w:r w:rsidRPr="00D05130">
        <w:t>Insufficient residues data relevant to the current Australian GAP is available for navy bean noting that the registered navy bean rate of 750 g ac/ha is significantly higher than the registered rate for lentils for which there is a registered use. Critically, no relevant trials address residues in forage and fodder. Navy bean forage and fodder is considered a significant animal feed and any use on navy beans should be accompanied with a grazing withholding period and a Table 4 MRL, which cannot be established without residues data.</w:t>
      </w:r>
    </w:p>
    <w:p w14:paraId="59A4F6B1" w14:textId="77777777" w:rsidR="00426C3A" w:rsidRPr="00D05130" w:rsidRDefault="00426C3A" w:rsidP="00D05130">
      <w:pPr>
        <w:pStyle w:val="APVMAText"/>
      </w:pPr>
      <w:r w:rsidRPr="00D05130">
        <w:t>The continued use of procymidone on navy beans cannot be supported due to insufficient residues data. The current MRL for VD 0526 Common bean (dry) [navy bean (dry)] at T10 mg/kg should be deleted.</w:t>
      </w:r>
    </w:p>
    <w:p w14:paraId="4D22DCDF" w14:textId="69458674" w:rsidR="00426C3A" w:rsidRPr="00D05130" w:rsidRDefault="00426C3A" w:rsidP="00D05130">
      <w:pPr>
        <w:pStyle w:val="Heading3"/>
      </w:pPr>
      <w:bookmarkStart w:id="69" w:name="_Toc116301547"/>
      <w:r w:rsidRPr="00D05130">
        <w:t>Non-food uses</w:t>
      </w:r>
      <w:bookmarkEnd w:id="69"/>
    </w:p>
    <w:p w14:paraId="0C4B4F6A" w14:textId="77777777" w:rsidR="00426C3A" w:rsidRPr="00D05130" w:rsidRDefault="00426C3A" w:rsidP="00D05130">
      <w:pPr>
        <w:pStyle w:val="APVMAText"/>
      </w:pPr>
      <w:r w:rsidRPr="00D05130">
        <w:t>Uses on ornamental crops and turf are currently approved on product labels. A residues assessment for these crops is not required as ornamentals and turf are non-food producing.</w:t>
      </w:r>
    </w:p>
    <w:p w14:paraId="40324A2F" w14:textId="4F071AA3" w:rsidR="00426C3A" w:rsidRPr="00D05130" w:rsidRDefault="00426C3A" w:rsidP="00D05130">
      <w:pPr>
        <w:pStyle w:val="APVMAText"/>
      </w:pPr>
      <w:r w:rsidRPr="00D05130">
        <w:t>The grazing withholding period statement “DO NOT graze treated turf or lawn; or feed turf or lawn clippings from any treated area to poultry or livestock” is required to be included on product labels that include the use on turf to prevent potential exposure to livestock from treated turf.</w:t>
      </w:r>
    </w:p>
    <w:p w14:paraId="2B43FD8A" w14:textId="46BF6925" w:rsidR="00426C3A" w:rsidRPr="00D05130" w:rsidRDefault="00426C3A" w:rsidP="00D05130">
      <w:pPr>
        <w:pStyle w:val="Heading3"/>
      </w:pPr>
      <w:bookmarkStart w:id="70" w:name="_Toc116301548"/>
      <w:r w:rsidRPr="00D05130">
        <w:t>Onions</w:t>
      </w:r>
      <w:bookmarkEnd w:id="70"/>
    </w:p>
    <w:p w14:paraId="3573309C" w14:textId="3D629C11" w:rsidR="00426C3A" w:rsidRPr="00D05130" w:rsidRDefault="00426C3A" w:rsidP="00D05130">
      <w:pPr>
        <w:pStyle w:val="APVMAText"/>
      </w:pPr>
      <w:r w:rsidRPr="00D05130">
        <w:t>The submitted onion data found that the application of procymidone as a soil spray at the rate of 2 kg ac/ha at planting, which is equivalent to 2× the Australian soil spray rate or 1× the Australian in-furrow application rate, resulted in a residue level &lt;0.07 mg/kg (n=1). The soil spray treatment at the rate of 2 kg ac/ha together with a seed treatment at the rate of 25 g ac/kg seed (2.5× the Australian rate) resulted in a residue level of 0.13 mg/kg. A MRL for onions at 0.2 mg/kg is appropriate based on the available information.</w:t>
      </w:r>
    </w:p>
    <w:p w14:paraId="1F1C8E57" w14:textId="249CD942" w:rsidR="00426C3A" w:rsidRPr="00D05130" w:rsidRDefault="00426C3A" w:rsidP="00D05130">
      <w:pPr>
        <w:pStyle w:val="APVMAText"/>
      </w:pPr>
      <w:r w:rsidRPr="00D05130">
        <w:t>The continued use of procymidone on onions is supported based on assessment of available residue data. The current 4-week harvest withholding period is supported.</w:t>
      </w:r>
    </w:p>
    <w:p w14:paraId="38318B68" w14:textId="3E6EAF25" w:rsidR="00426C3A" w:rsidRPr="00D05130" w:rsidRDefault="00426C3A" w:rsidP="00D05130">
      <w:pPr>
        <w:pStyle w:val="Heading3"/>
      </w:pPr>
      <w:bookmarkStart w:id="71" w:name="_Toc116301549"/>
      <w:r w:rsidRPr="00D05130">
        <w:t>Potato</w:t>
      </w:r>
      <w:bookmarkEnd w:id="71"/>
    </w:p>
    <w:p w14:paraId="5D055C71" w14:textId="77777777" w:rsidR="00426C3A" w:rsidRPr="00D05130" w:rsidRDefault="00426C3A" w:rsidP="00D05130">
      <w:pPr>
        <w:pStyle w:val="APVMAText"/>
      </w:pPr>
      <w:r w:rsidRPr="00D05130">
        <w:t>Four Japanese procymidone trials that involved 4 applications to potatoes resulted in residues of 0.02, 0.02, 0.05 and 0.08 mg/kg in potato tubers at 20±1 DALA. An MRL for potato at 0.2 mg/kg is appropriate based on the available information.</w:t>
      </w:r>
    </w:p>
    <w:p w14:paraId="31B85350" w14:textId="77777777" w:rsidR="00426C3A" w:rsidRPr="00D05130" w:rsidRDefault="00426C3A" w:rsidP="00D05130">
      <w:pPr>
        <w:pStyle w:val="APVMAText"/>
      </w:pPr>
      <w:r w:rsidRPr="00D05130">
        <w:lastRenderedPageBreak/>
        <w:t>Continued use of procymidone on potatoes is supported provided the following amendments are made to relevant product labels:</w:t>
      </w:r>
    </w:p>
    <w:p w14:paraId="0760EBFF" w14:textId="0E5A2842" w:rsidR="00426C3A" w:rsidRPr="00D05130" w:rsidRDefault="00426C3A" w:rsidP="00D05130">
      <w:pPr>
        <w:pStyle w:val="Bullet1"/>
      </w:pPr>
      <w:r w:rsidRPr="00D05130">
        <w:t>The harvest withholding period should be increased from 9 days to 21 days</w:t>
      </w:r>
    </w:p>
    <w:p w14:paraId="2C4A5780" w14:textId="1A07AC93" w:rsidR="00426C3A" w:rsidRPr="00D05130" w:rsidRDefault="00426C3A" w:rsidP="00D05130">
      <w:pPr>
        <w:pStyle w:val="Bullet1"/>
      </w:pPr>
      <w:r w:rsidRPr="00D05130">
        <w:t>The restraint “DO NOT apply more than 4 applications per crop” should be added</w:t>
      </w:r>
    </w:p>
    <w:p w14:paraId="3741F369" w14:textId="74EBF199" w:rsidR="00426C3A" w:rsidRPr="00D05130" w:rsidRDefault="00426C3A" w:rsidP="00D05130">
      <w:pPr>
        <w:pStyle w:val="Heading3"/>
      </w:pPr>
      <w:bookmarkStart w:id="72" w:name="_Toc116301550"/>
      <w:r w:rsidRPr="00D05130">
        <w:t>Stone fruit</w:t>
      </w:r>
      <w:bookmarkEnd w:id="72"/>
    </w:p>
    <w:p w14:paraId="67121F72" w14:textId="6B2654C5" w:rsidR="00426C3A" w:rsidRPr="00D05130" w:rsidRDefault="00426C3A" w:rsidP="00D05130">
      <w:pPr>
        <w:pStyle w:val="APVMAText"/>
      </w:pPr>
      <w:r w:rsidRPr="00D05130">
        <w:t>Relevant residues data were submitted for stone fruit that involved application concentrations of 30 to 50 g ac/100L (0.8 to 1.3× the approved concentration) and sampling at 7 or 9 days after the last application (see Table 8).</w:t>
      </w:r>
    </w:p>
    <w:p w14:paraId="39029471" w14:textId="618D4C05" w:rsidR="00426C3A" w:rsidRDefault="00426C3A" w:rsidP="00426C3A">
      <w:pPr>
        <w:pStyle w:val="Caption"/>
      </w:pPr>
      <w:bookmarkStart w:id="73" w:name="_Toc101968004"/>
      <w:bookmarkStart w:id="74" w:name="_Toc116301699"/>
      <w:r>
        <w:t xml:space="preserve">Table </w:t>
      </w:r>
      <w:r>
        <w:rPr>
          <w:noProof/>
        </w:rPr>
        <w:fldChar w:fldCharType="begin"/>
      </w:r>
      <w:r>
        <w:rPr>
          <w:noProof/>
        </w:rPr>
        <w:instrText xml:space="preserve"> SEQ Table \* ARABIC </w:instrText>
      </w:r>
      <w:r>
        <w:rPr>
          <w:noProof/>
        </w:rPr>
        <w:fldChar w:fldCharType="separate"/>
      </w:r>
      <w:r w:rsidR="00ED7319">
        <w:rPr>
          <w:noProof/>
        </w:rPr>
        <w:t>8</w:t>
      </w:r>
      <w:r>
        <w:rPr>
          <w:noProof/>
        </w:rPr>
        <w:fldChar w:fldCharType="end"/>
      </w:r>
      <w:r>
        <w:t>:</w:t>
      </w:r>
      <w:r>
        <w:tab/>
        <w:t>Details of procymidone stone fruit residue data</w:t>
      </w:r>
      <w:bookmarkEnd w:id="73"/>
      <w:bookmarkEnd w:id="74"/>
    </w:p>
    <w:tbl>
      <w:tblPr>
        <w:tblW w:w="5000" w:type="pct"/>
        <w:tblBorders>
          <w:bottom w:val="dotted" w:sz="2" w:space="0" w:color="auto"/>
          <w:insideH w:val="dotted" w:sz="2" w:space="0" w:color="auto"/>
        </w:tblBorders>
        <w:tblLook w:val="01E0" w:firstRow="1" w:lastRow="1" w:firstColumn="1" w:lastColumn="1" w:noHBand="0" w:noVBand="0"/>
      </w:tblPr>
      <w:tblGrid>
        <w:gridCol w:w="2411"/>
        <w:gridCol w:w="2976"/>
        <w:gridCol w:w="1417"/>
        <w:gridCol w:w="2834"/>
      </w:tblGrid>
      <w:tr w:rsidR="00426C3A" w14:paraId="14692DF0" w14:textId="01A713CC" w:rsidTr="00426C3A">
        <w:trPr>
          <w:cantSplit/>
          <w:tblHeader/>
        </w:trPr>
        <w:tc>
          <w:tcPr>
            <w:tcW w:w="1251" w:type="pct"/>
            <w:tcBorders>
              <w:top w:val="single" w:sz="4" w:space="0" w:color="auto"/>
              <w:bottom w:val="single" w:sz="4" w:space="0" w:color="auto"/>
            </w:tcBorders>
            <w:shd w:val="clear" w:color="auto" w:fill="5C2946"/>
            <w:vAlign w:val="center"/>
          </w:tcPr>
          <w:p w14:paraId="30BF6826" w14:textId="481ADAD1" w:rsidR="00426C3A" w:rsidRPr="00FB0015" w:rsidRDefault="00426C3A" w:rsidP="00426C3A">
            <w:pPr>
              <w:pStyle w:val="TableHead"/>
            </w:pPr>
            <w:r w:rsidRPr="0065245B">
              <w:t>Crop</w:t>
            </w:r>
          </w:p>
        </w:tc>
        <w:tc>
          <w:tcPr>
            <w:tcW w:w="1544" w:type="pct"/>
            <w:tcBorders>
              <w:top w:val="single" w:sz="4" w:space="0" w:color="auto"/>
              <w:bottom w:val="single" w:sz="4" w:space="0" w:color="auto"/>
            </w:tcBorders>
            <w:shd w:val="clear" w:color="auto" w:fill="5C2946"/>
            <w:vAlign w:val="center"/>
          </w:tcPr>
          <w:p w14:paraId="3A0B4FD3" w14:textId="49496003" w:rsidR="00426C3A" w:rsidRPr="00FB0015" w:rsidRDefault="00426C3A" w:rsidP="00426C3A">
            <w:pPr>
              <w:pStyle w:val="TableHead"/>
            </w:pPr>
            <w:r w:rsidRPr="0065245B">
              <w:t>Application Rate (g ac/100L)</w:t>
            </w:r>
          </w:p>
        </w:tc>
        <w:tc>
          <w:tcPr>
            <w:tcW w:w="735" w:type="pct"/>
            <w:tcBorders>
              <w:top w:val="single" w:sz="4" w:space="0" w:color="auto"/>
              <w:bottom w:val="single" w:sz="4" w:space="0" w:color="auto"/>
            </w:tcBorders>
            <w:shd w:val="clear" w:color="auto" w:fill="5C2946"/>
            <w:vAlign w:val="center"/>
          </w:tcPr>
          <w:p w14:paraId="5F021935" w14:textId="1EF535FF" w:rsidR="00426C3A" w:rsidRPr="00FB0015" w:rsidRDefault="00426C3A" w:rsidP="00426C3A">
            <w:pPr>
              <w:pStyle w:val="TableHead"/>
              <w:jc w:val="right"/>
            </w:pPr>
            <w:r w:rsidRPr="0065245B">
              <w:t>DALA</w:t>
            </w:r>
          </w:p>
        </w:tc>
        <w:tc>
          <w:tcPr>
            <w:tcW w:w="1470" w:type="pct"/>
            <w:tcBorders>
              <w:top w:val="single" w:sz="4" w:space="0" w:color="auto"/>
              <w:bottom w:val="single" w:sz="4" w:space="0" w:color="auto"/>
            </w:tcBorders>
            <w:shd w:val="clear" w:color="auto" w:fill="5C2946"/>
            <w:vAlign w:val="center"/>
          </w:tcPr>
          <w:p w14:paraId="6E8DF200" w14:textId="4025487C" w:rsidR="00426C3A" w:rsidRPr="00FB0015" w:rsidRDefault="00426C3A" w:rsidP="00426C3A">
            <w:pPr>
              <w:pStyle w:val="TableHead"/>
              <w:jc w:val="right"/>
            </w:pPr>
            <w:r w:rsidRPr="0065245B">
              <w:t>Procymidone residue (mg/kg)</w:t>
            </w:r>
          </w:p>
        </w:tc>
      </w:tr>
      <w:tr w:rsidR="00426C3A" w14:paraId="3636A6DD" w14:textId="3ABE0C1A" w:rsidTr="00426C3A">
        <w:trPr>
          <w:cantSplit/>
        </w:trPr>
        <w:tc>
          <w:tcPr>
            <w:tcW w:w="1251" w:type="pct"/>
            <w:tcBorders>
              <w:top w:val="single" w:sz="4" w:space="0" w:color="auto"/>
              <w:bottom w:val="single" w:sz="4" w:space="0" w:color="auto"/>
            </w:tcBorders>
          </w:tcPr>
          <w:p w14:paraId="7F5013A8" w14:textId="715A9682" w:rsidR="00426C3A" w:rsidRPr="00426C3A" w:rsidRDefault="00426C3A" w:rsidP="00426C3A">
            <w:pPr>
              <w:pStyle w:val="TableText"/>
            </w:pPr>
            <w:r w:rsidRPr="00426C3A">
              <w:t>Cherries</w:t>
            </w:r>
          </w:p>
        </w:tc>
        <w:tc>
          <w:tcPr>
            <w:tcW w:w="1544" w:type="pct"/>
            <w:tcBorders>
              <w:top w:val="single" w:sz="4" w:space="0" w:color="auto"/>
              <w:bottom w:val="single" w:sz="4" w:space="0" w:color="auto"/>
            </w:tcBorders>
          </w:tcPr>
          <w:p w14:paraId="3E0F1C67" w14:textId="3B4CF4C9" w:rsidR="00426C3A" w:rsidRPr="00426C3A" w:rsidRDefault="00426C3A" w:rsidP="00426C3A">
            <w:pPr>
              <w:pStyle w:val="TableText"/>
            </w:pPr>
            <w:r w:rsidRPr="00426C3A">
              <w:t>50 (3 to 5 applications</w:t>
            </w:r>
          </w:p>
        </w:tc>
        <w:tc>
          <w:tcPr>
            <w:tcW w:w="735" w:type="pct"/>
            <w:tcBorders>
              <w:top w:val="single" w:sz="4" w:space="0" w:color="auto"/>
              <w:bottom w:val="single" w:sz="4" w:space="0" w:color="auto"/>
            </w:tcBorders>
            <w:vAlign w:val="center"/>
          </w:tcPr>
          <w:p w14:paraId="64C1655F" w14:textId="12578ABB" w:rsidR="00426C3A" w:rsidRPr="00426C3A" w:rsidRDefault="00426C3A" w:rsidP="00426C3A">
            <w:pPr>
              <w:pStyle w:val="TableText"/>
              <w:jc w:val="right"/>
            </w:pPr>
            <w:r w:rsidRPr="00426C3A">
              <w:t>7</w:t>
            </w:r>
          </w:p>
        </w:tc>
        <w:tc>
          <w:tcPr>
            <w:tcW w:w="1470" w:type="pct"/>
            <w:tcBorders>
              <w:top w:val="single" w:sz="4" w:space="0" w:color="auto"/>
              <w:bottom w:val="single" w:sz="4" w:space="0" w:color="auto"/>
            </w:tcBorders>
            <w:vAlign w:val="center"/>
          </w:tcPr>
          <w:p w14:paraId="6A5AD210" w14:textId="4371D4E4" w:rsidR="00426C3A" w:rsidRPr="00426C3A" w:rsidRDefault="00426C3A" w:rsidP="00426C3A">
            <w:pPr>
              <w:pStyle w:val="TableText"/>
              <w:jc w:val="right"/>
            </w:pPr>
            <w:r w:rsidRPr="00426C3A">
              <w:t>1.1, 1.3, 1.3, 1.9, 3.3, 3.6</w:t>
            </w:r>
          </w:p>
        </w:tc>
      </w:tr>
      <w:tr w:rsidR="00426C3A" w14:paraId="1DAA03FF" w14:textId="77777777" w:rsidTr="00426C3A">
        <w:trPr>
          <w:cantSplit/>
        </w:trPr>
        <w:tc>
          <w:tcPr>
            <w:tcW w:w="1251" w:type="pct"/>
            <w:tcBorders>
              <w:top w:val="single" w:sz="4" w:space="0" w:color="auto"/>
              <w:bottom w:val="single" w:sz="4" w:space="0" w:color="auto"/>
            </w:tcBorders>
          </w:tcPr>
          <w:p w14:paraId="4A8E040A" w14:textId="1E68186B" w:rsidR="00426C3A" w:rsidRPr="00426C3A" w:rsidRDefault="00426C3A" w:rsidP="00426C3A">
            <w:pPr>
              <w:pStyle w:val="TableText"/>
            </w:pPr>
            <w:r w:rsidRPr="00426C3A">
              <w:t>Nectarines</w:t>
            </w:r>
          </w:p>
        </w:tc>
        <w:tc>
          <w:tcPr>
            <w:tcW w:w="1544" w:type="pct"/>
            <w:tcBorders>
              <w:top w:val="single" w:sz="4" w:space="0" w:color="auto"/>
              <w:bottom w:val="single" w:sz="4" w:space="0" w:color="auto"/>
            </w:tcBorders>
          </w:tcPr>
          <w:p w14:paraId="453DCAA0" w14:textId="1A7D7EFD" w:rsidR="00426C3A" w:rsidRPr="00426C3A" w:rsidRDefault="00426C3A" w:rsidP="00426C3A">
            <w:pPr>
              <w:pStyle w:val="TableText"/>
            </w:pPr>
            <w:r w:rsidRPr="00426C3A">
              <w:t>37.5 (3 applications)</w:t>
            </w:r>
          </w:p>
        </w:tc>
        <w:tc>
          <w:tcPr>
            <w:tcW w:w="735" w:type="pct"/>
            <w:tcBorders>
              <w:top w:val="single" w:sz="4" w:space="0" w:color="auto"/>
              <w:bottom w:val="single" w:sz="4" w:space="0" w:color="auto"/>
            </w:tcBorders>
            <w:vAlign w:val="center"/>
          </w:tcPr>
          <w:p w14:paraId="6E93318A" w14:textId="5B7D79A3" w:rsidR="00426C3A" w:rsidRPr="00426C3A" w:rsidRDefault="00426C3A" w:rsidP="00426C3A">
            <w:pPr>
              <w:pStyle w:val="TableText"/>
              <w:jc w:val="right"/>
            </w:pPr>
            <w:r w:rsidRPr="00426C3A">
              <w:t>9</w:t>
            </w:r>
          </w:p>
        </w:tc>
        <w:tc>
          <w:tcPr>
            <w:tcW w:w="1470" w:type="pct"/>
            <w:tcBorders>
              <w:top w:val="single" w:sz="4" w:space="0" w:color="auto"/>
              <w:bottom w:val="single" w:sz="4" w:space="0" w:color="auto"/>
            </w:tcBorders>
            <w:vAlign w:val="center"/>
          </w:tcPr>
          <w:p w14:paraId="1FE07E09" w14:textId="77B05839" w:rsidR="00426C3A" w:rsidRPr="00426C3A" w:rsidRDefault="00426C3A" w:rsidP="00426C3A">
            <w:pPr>
              <w:pStyle w:val="TableText"/>
              <w:jc w:val="right"/>
            </w:pPr>
            <w:r w:rsidRPr="00426C3A">
              <w:t>0.14</w:t>
            </w:r>
          </w:p>
        </w:tc>
      </w:tr>
      <w:tr w:rsidR="00426C3A" w14:paraId="77A02EC4" w14:textId="77777777" w:rsidTr="00426C3A">
        <w:trPr>
          <w:cantSplit/>
        </w:trPr>
        <w:tc>
          <w:tcPr>
            <w:tcW w:w="1251" w:type="pct"/>
            <w:tcBorders>
              <w:top w:val="single" w:sz="4" w:space="0" w:color="auto"/>
              <w:bottom w:val="single" w:sz="4" w:space="0" w:color="auto"/>
            </w:tcBorders>
          </w:tcPr>
          <w:p w14:paraId="51AE29ED" w14:textId="572F04D8" w:rsidR="00426C3A" w:rsidRPr="00426C3A" w:rsidRDefault="00426C3A" w:rsidP="00426C3A">
            <w:pPr>
              <w:pStyle w:val="TableText"/>
            </w:pPr>
            <w:r w:rsidRPr="00426C3A">
              <w:t>Plums</w:t>
            </w:r>
          </w:p>
        </w:tc>
        <w:tc>
          <w:tcPr>
            <w:tcW w:w="1544" w:type="pct"/>
            <w:tcBorders>
              <w:top w:val="single" w:sz="4" w:space="0" w:color="auto"/>
              <w:bottom w:val="single" w:sz="4" w:space="0" w:color="auto"/>
            </w:tcBorders>
          </w:tcPr>
          <w:p w14:paraId="218B3CCB" w14:textId="41D9C52F" w:rsidR="00426C3A" w:rsidRPr="00426C3A" w:rsidRDefault="00426C3A" w:rsidP="00426C3A">
            <w:pPr>
              <w:pStyle w:val="TableText"/>
            </w:pPr>
            <w:r w:rsidRPr="00426C3A">
              <w:t>50 (2 applications)</w:t>
            </w:r>
          </w:p>
        </w:tc>
        <w:tc>
          <w:tcPr>
            <w:tcW w:w="735" w:type="pct"/>
            <w:tcBorders>
              <w:top w:val="single" w:sz="4" w:space="0" w:color="auto"/>
              <w:bottom w:val="single" w:sz="4" w:space="0" w:color="auto"/>
            </w:tcBorders>
            <w:vAlign w:val="center"/>
          </w:tcPr>
          <w:p w14:paraId="75A80D76" w14:textId="5A6E796F" w:rsidR="00426C3A" w:rsidRPr="00426C3A" w:rsidRDefault="00426C3A" w:rsidP="00426C3A">
            <w:pPr>
              <w:pStyle w:val="TableText"/>
              <w:jc w:val="right"/>
            </w:pPr>
            <w:r w:rsidRPr="00426C3A">
              <w:t>7</w:t>
            </w:r>
          </w:p>
        </w:tc>
        <w:tc>
          <w:tcPr>
            <w:tcW w:w="1470" w:type="pct"/>
            <w:tcBorders>
              <w:top w:val="single" w:sz="4" w:space="0" w:color="auto"/>
              <w:bottom w:val="single" w:sz="4" w:space="0" w:color="auto"/>
            </w:tcBorders>
            <w:vAlign w:val="center"/>
          </w:tcPr>
          <w:p w14:paraId="4B196047" w14:textId="5B357D9A" w:rsidR="00426C3A" w:rsidRPr="00426C3A" w:rsidRDefault="00426C3A" w:rsidP="00426C3A">
            <w:pPr>
              <w:pStyle w:val="TableText"/>
              <w:jc w:val="right"/>
            </w:pPr>
            <w:r w:rsidRPr="00426C3A">
              <w:t>0.32, 0.37</w:t>
            </w:r>
          </w:p>
        </w:tc>
      </w:tr>
      <w:tr w:rsidR="00426C3A" w14:paraId="7F36AFEA" w14:textId="77777777" w:rsidTr="00426C3A">
        <w:trPr>
          <w:cantSplit/>
        </w:trPr>
        <w:tc>
          <w:tcPr>
            <w:tcW w:w="1251" w:type="pct"/>
            <w:tcBorders>
              <w:top w:val="single" w:sz="4" w:space="0" w:color="auto"/>
              <w:bottom w:val="single" w:sz="4" w:space="0" w:color="auto"/>
            </w:tcBorders>
          </w:tcPr>
          <w:p w14:paraId="493C1D1A" w14:textId="7007A063" w:rsidR="00426C3A" w:rsidRPr="00426C3A" w:rsidRDefault="00426C3A" w:rsidP="00426C3A">
            <w:pPr>
              <w:pStyle w:val="TableText"/>
            </w:pPr>
            <w:r w:rsidRPr="00426C3A">
              <w:t>Peaches</w:t>
            </w:r>
          </w:p>
        </w:tc>
        <w:tc>
          <w:tcPr>
            <w:tcW w:w="1544" w:type="pct"/>
            <w:tcBorders>
              <w:top w:val="single" w:sz="4" w:space="0" w:color="auto"/>
              <w:bottom w:val="single" w:sz="4" w:space="0" w:color="auto"/>
            </w:tcBorders>
          </w:tcPr>
          <w:p w14:paraId="22354A16" w14:textId="6FA0E3E2" w:rsidR="00426C3A" w:rsidRPr="00426C3A" w:rsidRDefault="00426C3A" w:rsidP="00426C3A">
            <w:pPr>
              <w:pStyle w:val="TableText"/>
            </w:pPr>
            <w:r w:rsidRPr="00426C3A">
              <w:t>30 to 50 (2 to 7 applications)</w:t>
            </w:r>
          </w:p>
        </w:tc>
        <w:tc>
          <w:tcPr>
            <w:tcW w:w="735" w:type="pct"/>
            <w:tcBorders>
              <w:top w:val="single" w:sz="4" w:space="0" w:color="auto"/>
              <w:bottom w:val="single" w:sz="4" w:space="0" w:color="auto"/>
            </w:tcBorders>
            <w:vAlign w:val="center"/>
          </w:tcPr>
          <w:p w14:paraId="7167E716" w14:textId="0A5340ED" w:rsidR="00426C3A" w:rsidRPr="00426C3A" w:rsidRDefault="00426C3A" w:rsidP="00426C3A">
            <w:pPr>
              <w:pStyle w:val="TableText"/>
              <w:jc w:val="right"/>
            </w:pPr>
            <w:r w:rsidRPr="00426C3A">
              <w:t>9</w:t>
            </w:r>
          </w:p>
        </w:tc>
        <w:tc>
          <w:tcPr>
            <w:tcW w:w="1470" w:type="pct"/>
            <w:tcBorders>
              <w:top w:val="single" w:sz="4" w:space="0" w:color="auto"/>
              <w:bottom w:val="single" w:sz="4" w:space="0" w:color="auto"/>
            </w:tcBorders>
            <w:vAlign w:val="center"/>
          </w:tcPr>
          <w:p w14:paraId="3A192091" w14:textId="36EE8643" w:rsidR="00426C3A" w:rsidRPr="00426C3A" w:rsidRDefault="00426C3A" w:rsidP="00426C3A">
            <w:pPr>
              <w:pStyle w:val="TableText"/>
              <w:jc w:val="right"/>
            </w:pPr>
            <w:r w:rsidRPr="00426C3A">
              <w:t>0.39, 0.42, 0.57, 1.2</w:t>
            </w:r>
          </w:p>
        </w:tc>
      </w:tr>
    </w:tbl>
    <w:p w14:paraId="1C3689AA" w14:textId="47F3436E" w:rsidR="00426C3A" w:rsidRPr="00D05130" w:rsidRDefault="00426C3A" w:rsidP="00D05130">
      <w:pPr>
        <w:pStyle w:val="APVMAText"/>
      </w:pPr>
      <w:r w:rsidRPr="00D05130">
        <w:t>Residues in cherries are significantly higher than in the other stone fruits, and cherries are in a separate subgroup from the other stone fruits</w:t>
      </w:r>
      <w:r w:rsidRPr="00D05130">
        <w:rPr>
          <w:vertAlign w:val="superscript"/>
        </w:rPr>
        <w:footnoteReference w:id="16"/>
      </w:r>
      <w:r w:rsidRPr="00D05130">
        <w:t>. It is therefore appropriate to estimate a separate MRL for cherries. The OECD MRL calculator</w:t>
      </w:r>
      <w:r w:rsidR="004E2737" w:rsidRPr="00D05130">
        <w:fldChar w:fldCharType="begin"/>
      </w:r>
      <w:r w:rsidR="004E2737" w:rsidRPr="00D05130">
        <w:instrText xml:space="preserve"> NOTEREF _Ref102037901 \p \h  \* MERGEFORMAT </w:instrText>
      </w:r>
      <w:r w:rsidR="004E2737" w:rsidRPr="00D05130">
        <w:fldChar w:fldCharType="separate"/>
      </w:r>
      <w:r w:rsidR="00ED7319" w:rsidRPr="00D05130">
        <w:rPr>
          <w:vertAlign w:val="superscript"/>
        </w:rPr>
        <w:t>11</w:t>
      </w:r>
      <w:r w:rsidR="00ED7319" w:rsidRPr="00D05130">
        <w:t xml:space="preserve"> above</w:t>
      </w:r>
      <w:r w:rsidR="004E2737" w:rsidRPr="00D05130">
        <w:fldChar w:fldCharType="end"/>
      </w:r>
      <w:r w:rsidRPr="00D05130">
        <w:t xml:space="preserve"> recommends an MRL of 7</w:t>
      </w:r>
      <w:r w:rsidR="00295DF8" w:rsidRPr="00D05130">
        <w:t> </w:t>
      </w:r>
      <w:r w:rsidRPr="00D05130">
        <w:t>mg/kg for cherries.</w:t>
      </w:r>
    </w:p>
    <w:p w14:paraId="734C0F61" w14:textId="7041AA15" w:rsidR="00426C3A" w:rsidRPr="00D05130" w:rsidRDefault="00426C3A" w:rsidP="00D05130">
      <w:pPr>
        <w:pStyle w:val="APVMAText"/>
      </w:pPr>
      <w:r w:rsidRPr="00D05130">
        <w:t>The combined relevant dataset for stone fruit (except cherries) is 0.14, 0.32, 0.37, 0.39, 0.42, 0.57 and 1.2 mg/kg (n=7). The OECD MRL calculator</w:t>
      </w:r>
      <w:r w:rsidR="004E2737" w:rsidRPr="00D05130">
        <w:rPr>
          <w:rStyle w:val="APVMATextChar"/>
        </w:rPr>
        <w:fldChar w:fldCharType="begin"/>
      </w:r>
      <w:r w:rsidR="004E2737" w:rsidRPr="00D05130">
        <w:rPr>
          <w:rStyle w:val="APVMATextChar"/>
        </w:rPr>
        <w:instrText xml:space="preserve"> NOTEREF _Ref102037901 \p \h  \* MERGEFORMAT </w:instrText>
      </w:r>
      <w:r w:rsidR="004E2737" w:rsidRPr="00D05130">
        <w:rPr>
          <w:rStyle w:val="APVMATextChar"/>
        </w:rPr>
      </w:r>
      <w:r w:rsidR="004E2737" w:rsidRPr="00D05130">
        <w:rPr>
          <w:rStyle w:val="APVMATextChar"/>
        </w:rPr>
        <w:fldChar w:fldCharType="separate"/>
      </w:r>
      <w:r w:rsidR="00ED7319" w:rsidRPr="00D05130">
        <w:rPr>
          <w:rStyle w:val="Superscript"/>
        </w:rPr>
        <w:t>11</w:t>
      </w:r>
      <w:r w:rsidR="00ED7319" w:rsidRPr="00D05130">
        <w:rPr>
          <w:rStyle w:val="APVMATextChar"/>
        </w:rPr>
        <w:t xml:space="preserve"> above</w:t>
      </w:r>
      <w:r w:rsidR="004E2737" w:rsidRPr="00D05130">
        <w:rPr>
          <w:rStyle w:val="APVMATextChar"/>
        </w:rPr>
        <w:fldChar w:fldCharType="end"/>
      </w:r>
      <w:r w:rsidRPr="00D05130">
        <w:t xml:space="preserve"> recommends an MRL of 2</w:t>
      </w:r>
      <w:r w:rsidR="00295DF8" w:rsidRPr="00D05130">
        <w:t> </w:t>
      </w:r>
      <w:r w:rsidRPr="00D05130">
        <w:t>mg/kg. A MRL of 2</w:t>
      </w:r>
      <w:r w:rsidR="00295DF8" w:rsidRPr="00D05130">
        <w:t> </w:t>
      </w:r>
      <w:r w:rsidRPr="00D05130">
        <w:t>mg/kg is considered appropriate for the use of procymidone on stone fruit (except cherries) with a 9-day withholding period.</w:t>
      </w:r>
    </w:p>
    <w:p w14:paraId="47F6E729" w14:textId="0B0027D7" w:rsidR="00426C3A" w:rsidRPr="00D05130" w:rsidRDefault="00426C3A" w:rsidP="00D05130">
      <w:pPr>
        <w:pStyle w:val="Heading4"/>
      </w:pPr>
      <w:r w:rsidRPr="00D05130">
        <w:t>Recommendations for stone fruit</w:t>
      </w:r>
    </w:p>
    <w:p w14:paraId="660EF186" w14:textId="20051C81" w:rsidR="00426C3A" w:rsidRPr="00426C3A" w:rsidRDefault="00426C3A" w:rsidP="00D05130">
      <w:pPr>
        <w:pStyle w:val="APVMAText"/>
      </w:pPr>
      <w:r w:rsidRPr="00426C3A">
        <w:t xml:space="preserve">It is recommended that the continued use of procymidone on stone fruit be supported from a </w:t>
      </w:r>
      <w:proofErr w:type="gramStart"/>
      <w:r w:rsidRPr="00426C3A">
        <w:t>residues</w:t>
      </w:r>
      <w:proofErr w:type="gramEnd"/>
      <w:r w:rsidRPr="00426C3A">
        <w:t xml:space="preserve"> perspective. The current harvest withholding period of 9 days is supported.</w:t>
      </w:r>
    </w:p>
    <w:p w14:paraId="66549584" w14:textId="77777777" w:rsidR="00426C3A" w:rsidRPr="00426C3A" w:rsidRDefault="00426C3A" w:rsidP="00D05130">
      <w:pPr>
        <w:pStyle w:val="APVMAText"/>
      </w:pPr>
      <w:r w:rsidRPr="00426C3A">
        <w:t>The MRL for FS 0012 Stone fruits at T10 mg/kg should be changed to 2 mg/kg for Stone fruits {except Cherries}.</w:t>
      </w:r>
    </w:p>
    <w:p w14:paraId="55F8E21C" w14:textId="77777777" w:rsidR="00426C3A" w:rsidRPr="00426C3A" w:rsidRDefault="00426C3A" w:rsidP="00D05130">
      <w:pPr>
        <w:pStyle w:val="APVMAText"/>
      </w:pPr>
      <w:r w:rsidRPr="00426C3A">
        <w:t>An MRL for FS 0013 Cherries should be established at 7 mg/kg.</w:t>
      </w:r>
    </w:p>
    <w:p w14:paraId="1AA05E8A" w14:textId="6FD2D818" w:rsidR="00426C3A" w:rsidRPr="00D05130" w:rsidRDefault="00426C3A" w:rsidP="00D05130">
      <w:pPr>
        <w:pStyle w:val="Heading2"/>
      </w:pPr>
      <w:bookmarkStart w:id="75" w:name="_Toc116301551"/>
      <w:r w:rsidRPr="00D05130">
        <w:lastRenderedPageBreak/>
        <w:t>Animal transfer studies and animal commodity MRLs</w:t>
      </w:r>
      <w:bookmarkEnd w:id="75"/>
    </w:p>
    <w:p w14:paraId="48828F64" w14:textId="459C56D1" w:rsidR="00426C3A" w:rsidRPr="00D05130" w:rsidRDefault="00426C3A" w:rsidP="00D05130">
      <w:pPr>
        <w:pStyle w:val="APVMAText"/>
      </w:pPr>
      <w:r w:rsidRPr="00D05130">
        <w:t>Forage and fodder of canola and lentils are significant animal feed commodities for grazing livestock. Canola seed and meal, lentil and lupin grain, grape pomace and cull potatoes can also be fed to livestock and poultry.</w:t>
      </w:r>
    </w:p>
    <w:p w14:paraId="53C3C45F" w14:textId="46B86BA8" w:rsidR="00426C3A" w:rsidRPr="00D05130" w:rsidRDefault="00426C3A" w:rsidP="00D05130">
      <w:pPr>
        <w:pStyle w:val="APVMAText"/>
      </w:pPr>
      <w:r w:rsidRPr="00D05130">
        <w:t>The estimated maximum feeding burden for procymidone to cattle and poultry based on the residues expected in animal feed commodities following treatment with the supported use patterns were calculated using the OECD feed calculator to be 11.4 mg/kg for beef cattle (driven by grape pomace, lentil forage and canola forage) and 0.1 mg/kg for poultry (driven by lentil seed).</w:t>
      </w:r>
    </w:p>
    <w:p w14:paraId="18515093" w14:textId="11D069B1" w:rsidR="00426C3A" w:rsidRPr="00D05130" w:rsidRDefault="00426C3A" w:rsidP="00D05130">
      <w:pPr>
        <w:pStyle w:val="APVMAText"/>
      </w:pPr>
      <w:r w:rsidRPr="00D05130">
        <w:t>Animal transfer studies with a depuration phase were not available for procymidone. A lactating goat metabolism study and a laying hen metabolism study were available for consideration. In the available lactating goat metabolism study, 2 ~50 kg lactating goats were administered 14C-procymidone for 5 consecutive days at dose levels of 61 and 124</w:t>
      </w:r>
      <w:r w:rsidR="00295DF8" w:rsidRPr="00D05130">
        <w:t> </w:t>
      </w:r>
      <w:r w:rsidRPr="00D05130">
        <w:t>mg/kg in the feed. For the feeding level of 61</w:t>
      </w:r>
      <w:r w:rsidR="00295DF8" w:rsidRPr="00D05130">
        <w:t> </w:t>
      </w:r>
      <w:r w:rsidRPr="00D05130">
        <w:t>mg/kg, parent procymidone residues were 0.111 mg/kg in liver, 0.041 mg/kg in kidney, 0.046</w:t>
      </w:r>
      <w:r w:rsidR="00295DF8" w:rsidRPr="00D05130">
        <w:t> </w:t>
      </w:r>
      <w:r w:rsidRPr="00D05130">
        <w:t>mg/kg in muscle (forequarter), 0.526</w:t>
      </w:r>
      <w:r w:rsidR="00295DF8" w:rsidRPr="00D05130">
        <w:t> </w:t>
      </w:r>
      <w:r w:rsidRPr="00D05130">
        <w:t>mg/kg in fat (renal) and 0.09</w:t>
      </w:r>
      <w:r w:rsidR="00295DF8" w:rsidRPr="00D05130">
        <w:t> </w:t>
      </w:r>
      <w:r w:rsidRPr="00D05130">
        <w:t>mg/kg in milk.</w:t>
      </w:r>
    </w:p>
    <w:p w14:paraId="028CC5A3" w14:textId="65D83752" w:rsidR="00426C3A" w:rsidRPr="00D05130" w:rsidRDefault="00426C3A" w:rsidP="00D05130">
      <w:pPr>
        <w:pStyle w:val="APVMAText"/>
      </w:pPr>
      <w:r w:rsidRPr="00D05130">
        <w:t>Based on the calculated maximum mammalian dietary burden, the established MRLs for mammalian edible offal at 0.05</w:t>
      </w:r>
      <w:r w:rsidR="00295DF8" w:rsidRPr="00D05130">
        <w:t> </w:t>
      </w:r>
      <w:r w:rsidRPr="00D05130">
        <w:t>mg/kg, meat [in the fat] at 0.2</w:t>
      </w:r>
      <w:r w:rsidR="00295DF8" w:rsidRPr="00D05130">
        <w:t> </w:t>
      </w:r>
      <w:r w:rsidRPr="00D05130">
        <w:t>mg/kg and milk at 0.02</w:t>
      </w:r>
      <w:r w:rsidR="00295DF8" w:rsidRPr="00D05130">
        <w:t> </w:t>
      </w:r>
      <w:r w:rsidRPr="00D05130">
        <w:t>mg/kg are considered appropriate to cover residues that may occur following feeding of animal feeds treated with the supported uses of procymidone; however, those MRLs which are currently temporary should be made permanent at the same levels.</w:t>
      </w:r>
    </w:p>
    <w:p w14:paraId="6D86B476" w14:textId="52211244" w:rsidR="00426C3A" w:rsidRPr="00D05130" w:rsidRDefault="00426C3A" w:rsidP="00D05130">
      <w:pPr>
        <w:pStyle w:val="APVMAText"/>
      </w:pPr>
      <w:r w:rsidRPr="00D05130">
        <w:t>Based on the poultry feeding burden associated with poultry feed commodities treated with the supported uses of procymidone and the results of the available laying hen metabolism study, finite levels of procymidone residues are not expected in poultry eggs or edible tissues. Permanent MRLs at *0.01</w:t>
      </w:r>
      <w:r w:rsidR="00295DF8" w:rsidRPr="00D05130">
        <w:t> </w:t>
      </w:r>
      <w:r w:rsidRPr="00D05130">
        <w:t>mg/kg are recommended.</w:t>
      </w:r>
    </w:p>
    <w:p w14:paraId="15ADD2F4" w14:textId="54E61FAF" w:rsidR="00426C3A" w:rsidRPr="00D05130" w:rsidRDefault="00426C3A" w:rsidP="00D05130">
      <w:pPr>
        <w:pStyle w:val="Heading2"/>
      </w:pPr>
      <w:bookmarkStart w:id="76" w:name="_Toc116301552"/>
      <w:r w:rsidRPr="00D05130">
        <w:t>Spray drift</w:t>
      </w:r>
      <w:bookmarkEnd w:id="76"/>
    </w:p>
    <w:p w14:paraId="754E4D5B" w14:textId="432EB2FE" w:rsidR="00426C3A" w:rsidRPr="00D05130" w:rsidRDefault="00426C3A" w:rsidP="00D05130">
      <w:pPr>
        <w:pStyle w:val="APVMAText"/>
      </w:pPr>
      <w:r w:rsidRPr="00D05130">
        <w:t xml:space="preserve">An MRL of 0.01 mg/kg in mammalian fat (the target tissue) </w:t>
      </w:r>
      <w:proofErr w:type="gramStart"/>
      <w:r w:rsidRPr="00D05130">
        <w:t>is considered to be</w:t>
      </w:r>
      <w:proofErr w:type="gramEnd"/>
      <w:r w:rsidRPr="00D05130">
        <w:t xml:space="preserve"> the appropriate target MRL for the assessment of exposure to procymidone due to spray drift for livestock areas. The RAL for livestock areas was calculated to be </w:t>
      </w:r>
      <w:bookmarkStart w:id="77" w:name="_Hlk112249534"/>
      <w:r w:rsidRPr="00D05130">
        <w:t>1.2</w:t>
      </w:r>
      <w:r w:rsidR="00295DF8" w:rsidRPr="00D05130">
        <w:t> </w:t>
      </w:r>
      <w:r w:rsidRPr="00D05130">
        <w:t>mg</w:t>
      </w:r>
      <w:r w:rsidR="00295DF8" w:rsidRPr="00D05130">
        <w:t> </w:t>
      </w:r>
      <w:r w:rsidRPr="00D05130">
        <w:t xml:space="preserve">ac/kg, </w:t>
      </w:r>
      <w:bookmarkEnd w:id="77"/>
      <w:r w:rsidRPr="00D05130">
        <w:t>based on a residue of 0.53</w:t>
      </w:r>
      <w:r w:rsidR="00295DF8" w:rsidRPr="00D05130">
        <w:t> </w:t>
      </w:r>
      <w:r w:rsidRPr="00D05130">
        <w:t>mg/kg in fat after feeding at 61</w:t>
      </w:r>
      <w:r w:rsidR="00295DF8" w:rsidRPr="00D05130">
        <w:t> </w:t>
      </w:r>
      <w:r w:rsidRPr="00D05130">
        <w:t xml:space="preserve">mg/kg in dry feed (goat metabolism study with no depuration phase). For more information relating to spray drift, see </w:t>
      </w:r>
      <w:r w:rsidR="00B90717" w:rsidRPr="00D05130">
        <w:t xml:space="preserve">the </w:t>
      </w:r>
      <w:r w:rsidR="001C4729" w:rsidRPr="00D05130">
        <w:rPr>
          <w:rStyle w:val="Hyperlink"/>
        </w:rPr>
        <w:t>‘</w:t>
      </w:r>
      <w:hyperlink w:anchor="_Spray_drift" w:history="1">
        <w:r w:rsidR="00C13E09" w:rsidRPr="00D05130">
          <w:rPr>
            <w:rStyle w:val="Hyperlink"/>
          </w:rPr>
          <w:t>S</w:t>
        </w:r>
        <w:r w:rsidR="00B90717" w:rsidRPr="00D05130">
          <w:rPr>
            <w:rStyle w:val="Hyperlink"/>
          </w:rPr>
          <w:t xml:space="preserve">pray </w:t>
        </w:r>
        <w:r w:rsidR="005A67B2" w:rsidRPr="00D05130">
          <w:rPr>
            <w:rStyle w:val="Hyperlink"/>
          </w:rPr>
          <w:t>d</w:t>
        </w:r>
        <w:r w:rsidR="00B90717" w:rsidRPr="00D05130">
          <w:rPr>
            <w:rStyle w:val="Hyperlink"/>
          </w:rPr>
          <w:t>rift</w:t>
        </w:r>
      </w:hyperlink>
      <w:r w:rsidR="001C4729" w:rsidRPr="00D05130">
        <w:rPr>
          <w:rStyle w:val="Hyperlink"/>
        </w:rPr>
        <w:t>’</w:t>
      </w:r>
      <w:r w:rsidR="00B90717" w:rsidRPr="00D05130">
        <w:t xml:space="preserve"> section below</w:t>
      </w:r>
      <w:r w:rsidRPr="00D05130">
        <w:t>.</w:t>
      </w:r>
    </w:p>
    <w:p w14:paraId="701F2153" w14:textId="4D91907D" w:rsidR="00426C3A" w:rsidRPr="00D05130" w:rsidRDefault="00426C3A" w:rsidP="00D05130">
      <w:pPr>
        <w:pStyle w:val="Heading2"/>
      </w:pPr>
      <w:bookmarkStart w:id="78" w:name="_Toc116301553"/>
      <w:r w:rsidRPr="00D05130">
        <w:t>Dietary exposure</w:t>
      </w:r>
      <w:bookmarkEnd w:id="78"/>
    </w:p>
    <w:p w14:paraId="6460F176" w14:textId="642A8810" w:rsidR="00426C3A" w:rsidRPr="00D05130" w:rsidRDefault="00426C3A" w:rsidP="00D05130">
      <w:pPr>
        <w:pStyle w:val="Heading3"/>
      </w:pPr>
      <w:bookmarkStart w:id="79" w:name="_Toc116301554"/>
      <w:r w:rsidRPr="00D05130">
        <w:t>Chronic dietary exposure assessment</w:t>
      </w:r>
      <w:bookmarkEnd w:id="79"/>
    </w:p>
    <w:p w14:paraId="754D1450" w14:textId="2EC5A9E8" w:rsidR="00426C3A" w:rsidRPr="00D05130" w:rsidRDefault="00426C3A" w:rsidP="00D05130">
      <w:pPr>
        <w:pStyle w:val="APVMAText"/>
      </w:pPr>
      <w:r w:rsidRPr="00D05130">
        <w:t>The chronic dietary exposure to procymidone is estimated by the National Estimated Daily Intake (NEDI) calculation, encompassing all approved label and permit uses of procymidone and the mean daily dietary consumption data derived primarily from the 2011–12 National Nutritional and Physical Activity Survey. The NEDI calculation is made in accordance with WHO Guidelines and is a conservative estimate of dietary exposure to chemical residues in food.</w:t>
      </w:r>
    </w:p>
    <w:p w14:paraId="29114084" w14:textId="1524EEBB" w:rsidR="00426C3A" w:rsidRPr="00D05130" w:rsidRDefault="00426C3A" w:rsidP="00D05130">
      <w:pPr>
        <w:pStyle w:val="APVMAText"/>
      </w:pPr>
      <w:r w:rsidRPr="00D05130">
        <w:lastRenderedPageBreak/>
        <w:t>The NEDI for procymidone associated with supported use patterns is equivalent to &lt;15% of the revised ADI of 0.05</w:t>
      </w:r>
      <w:r w:rsidR="00295DF8" w:rsidRPr="00D05130">
        <w:t> </w:t>
      </w:r>
      <w:r w:rsidRPr="00D05130">
        <w:t>mg/kg</w:t>
      </w:r>
      <w:r w:rsidR="00295DF8" w:rsidRPr="00D05130">
        <w:t> </w:t>
      </w:r>
      <w:proofErr w:type="spellStart"/>
      <w:r w:rsidRPr="00D05130">
        <w:t>bw</w:t>
      </w:r>
      <w:proofErr w:type="spellEnd"/>
      <w:r w:rsidRPr="00D05130">
        <w:t xml:space="preserve">/day. The chronic dietary exposure to procymidone, based on use according </w:t>
      </w:r>
      <w:r w:rsidR="00F93778" w:rsidRPr="00D05130">
        <w:t xml:space="preserve">to </w:t>
      </w:r>
      <w:r w:rsidRPr="00D05130">
        <w:t xml:space="preserve">directions for use </w:t>
      </w:r>
      <w:r w:rsidR="00D85656" w:rsidRPr="00D05130">
        <w:t xml:space="preserve">varied as </w:t>
      </w:r>
      <w:r w:rsidR="00B90717" w:rsidRPr="00D05130">
        <w:t xml:space="preserve">recommended </w:t>
      </w:r>
      <w:r w:rsidR="00D85656" w:rsidRPr="00D05130">
        <w:t xml:space="preserve">in this document </w:t>
      </w:r>
      <w:r w:rsidRPr="00D05130">
        <w:t>is acceptable.</w:t>
      </w:r>
    </w:p>
    <w:p w14:paraId="6D8B0B0B" w14:textId="5496FACC" w:rsidR="00426C3A" w:rsidRPr="00D05130" w:rsidRDefault="00426C3A" w:rsidP="00D05130">
      <w:pPr>
        <w:pStyle w:val="Heading3"/>
      </w:pPr>
      <w:bookmarkStart w:id="80" w:name="_Toc116301555"/>
      <w:r w:rsidRPr="00D05130">
        <w:t>Acute dietary exposure assessment</w:t>
      </w:r>
      <w:bookmarkEnd w:id="80"/>
    </w:p>
    <w:p w14:paraId="4AC99958" w14:textId="6DDD156D" w:rsidR="00426C3A" w:rsidRPr="00426C3A" w:rsidRDefault="00426C3A" w:rsidP="00D05130">
      <w:pPr>
        <w:pStyle w:val="APVMAText"/>
      </w:pPr>
      <w:r w:rsidRPr="00426C3A">
        <w:t xml:space="preserve">An acute dietary exposure assessment for procymidone is no longer required as the contemporary APVMA toxicology assessment concluded that an </w:t>
      </w:r>
      <w:proofErr w:type="spellStart"/>
      <w:r w:rsidRPr="00426C3A">
        <w:t>ARfD</w:t>
      </w:r>
      <w:proofErr w:type="spellEnd"/>
      <w:r w:rsidRPr="00426C3A">
        <w:t xml:space="preserve"> for procymidone was unnecessary.</w:t>
      </w:r>
    </w:p>
    <w:p w14:paraId="3F203D0D" w14:textId="106BD004" w:rsidR="00426C3A" w:rsidRPr="00D05130" w:rsidRDefault="00426C3A" w:rsidP="00D05130">
      <w:pPr>
        <w:pStyle w:val="Heading2"/>
      </w:pPr>
      <w:bookmarkStart w:id="81" w:name="_Toc116301556"/>
      <w:r w:rsidRPr="00D05130">
        <w:t>Residue-related aspects of trade</w:t>
      </w:r>
      <w:bookmarkEnd w:id="81"/>
    </w:p>
    <w:p w14:paraId="4F9AB006" w14:textId="77777777" w:rsidR="00426C3A" w:rsidRPr="00D05130" w:rsidRDefault="00426C3A" w:rsidP="00D05130">
      <w:pPr>
        <w:pStyle w:val="APVMAText"/>
      </w:pPr>
      <w:r w:rsidRPr="00D05130">
        <w:t xml:space="preserve">Canola, lentils, lupins, wine grapes (including wine) and stone fruit </w:t>
      </w:r>
      <w:proofErr w:type="gramStart"/>
      <w:r w:rsidRPr="00D05130">
        <w:t>are considered to be</w:t>
      </w:r>
      <w:proofErr w:type="gramEnd"/>
      <w:r w:rsidRPr="00D05130">
        <w:t xml:space="preserve"> major export commodities</w:t>
      </w:r>
      <w:r w:rsidRPr="00D05130">
        <w:footnoteReference w:id="17"/>
      </w:r>
      <w:r w:rsidRPr="00D05130">
        <w:t>, as are commodities of animal origin, such as meat, offal and dairy products, which may be derived from livestock fed feeds produced from crops treated with uses of procymidone supported in this residues assessment.</w:t>
      </w:r>
    </w:p>
    <w:p w14:paraId="7C5FC898" w14:textId="014FF6A6" w:rsidR="00426C3A" w:rsidRPr="00D05130" w:rsidRDefault="00426C3A" w:rsidP="00D05130">
      <w:pPr>
        <w:pStyle w:val="APVMAText"/>
      </w:pPr>
      <w:r w:rsidRPr="00D05130">
        <w:t>For lupins, and all poultry commodities, finite residues are not expected from the current uses and MRLs at *0.01 g/kg are supported and therefore the risk to trade is considered low.</w:t>
      </w:r>
    </w:p>
    <w:p w14:paraId="1317F116" w14:textId="23D76B05" w:rsidR="00426C3A" w:rsidRPr="00D05130" w:rsidRDefault="00426C3A" w:rsidP="00D05130">
      <w:pPr>
        <w:pStyle w:val="APVMAText"/>
      </w:pPr>
      <w:r w:rsidRPr="00D05130">
        <w:t>For canola, lentils, wine grapes (including wine) stone fruit and mammalian meat, offal and milk, a comparison with the supported Australian MRL with international MRLs is detailed below in Table 9.</w:t>
      </w:r>
    </w:p>
    <w:p w14:paraId="69CBB07A" w14:textId="060584A0" w:rsidR="002E20AC" w:rsidRDefault="002E20AC" w:rsidP="008B550C">
      <w:pPr>
        <w:pStyle w:val="Caption"/>
      </w:pPr>
      <w:bookmarkStart w:id="82" w:name="_Ref89174852"/>
      <w:bookmarkStart w:id="83" w:name="_Toc89173138"/>
      <w:bookmarkStart w:id="84" w:name="_Toc89174618"/>
      <w:bookmarkStart w:id="85" w:name="_Toc101968005"/>
      <w:bookmarkStart w:id="86" w:name="_Toc116301700"/>
      <w:r>
        <w:t xml:space="preserve">Table </w:t>
      </w:r>
      <w:r w:rsidR="00734103">
        <w:rPr>
          <w:noProof/>
        </w:rPr>
        <w:fldChar w:fldCharType="begin"/>
      </w:r>
      <w:r w:rsidR="00734103">
        <w:rPr>
          <w:noProof/>
        </w:rPr>
        <w:instrText xml:space="preserve"> SEQ Table \* ARABIC </w:instrText>
      </w:r>
      <w:r w:rsidR="00734103">
        <w:rPr>
          <w:noProof/>
        </w:rPr>
        <w:fldChar w:fldCharType="separate"/>
      </w:r>
      <w:r w:rsidR="00ED7319">
        <w:rPr>
          <w:noProof/>
        </w:rPr>
        <w:t>9</w:t>
      </w:r>
      <w:r w:rsidR="00734103">
        <w:rPr>
          <w:noProof/>
        </w:rPr>
        <w:fldChar w:fldCharType="end"/>
      </w:r>
      <w:bookmarkEnd w:id="82"/>
      <w:r>
        <w:t>:</w:t>
      </w:r>
      <w:r>
        <w:tab/>
        <w:t>C</w:t>
      </w:r>
      <w:bookmarkEnd w:id="83"/>
      <w:bookmarkEnd w:id="84"/>
      <w:r w:rsidR="00426C3A">
        <w:t>omparison of recommended Australian and current international procymidone MRLs</w:t>
      </w:r>
      <w:bookmarkEnd w:id="85"/>
      <w:bookmarkEnd w:id="86"/>
    </w:p>
    <w:tbl>
      <w:tblPr>
        <w:tblW w:w="5000" w:type="pct"/>
        <w:tblBorders>
          <w:bottom w:val="dotted" w:sz="2" w:space="0" w:color="auto"/>
          <w:insideH w:val="dotted" w:sz="2" w:space="0" w:color="auto"/>
        </w:tblBorders>
        <w:tblLook w:val="01E0" w:firstRow="1" w:lastRow="1" w:firstColumn="1" w:lastColumn="1" w:noHBand="0" w:noVBand="0"/>
      </w:tblPr>
      <w:tblGrid>
        <w:gridCol w:w="1246"/>
        <w:gridCol w:w="1289"/>
        <w:gridCol w:w="1183"/>
        <w:gridCol w:w="1185"/>
        <w:gridCol w:w="1182"/>
        <w:gridCol w:w="1184"/>
        <w:gridCol w:w="1184"/>
        <w:gridCol w:w="1185"/>
      </w:tblGrid>
      <w:tr w:rsidR="00426C3A" w14:paraId="60D78159" w14:textId="059E4C8F" w:rsidTr="00426C3A">
        <w:trPr>
          <w:cantSplit/>
          <w:tblHeader/>
        </w:trPr>
        <w:tc>
          <w:tcPr>
            <w:tcW w:w="646" w:type="pct"/>
            <w:vMerge w:val="restart"/>
            <w:tcBorders>
              <w:top w:val="single" w:sz="4" w:space="0" w:color="auto"/>
            </w:tcBorders>
            <w:shd w:val="clear" w:color="auto" w:fill="5C2946"/>
            <w:vAlign w:val="center"/>
          </w:tcPr>
          <w:p w14:paraId="463E36B9" w14:textId="0722AA07" w:rsidR="00426C3A" w:rsidRPr="00FB0015" w:rsidRDefault="00426C3A" w:rsidP="00426C3A">
            <w:pPr>
              <w:pStyle w:val="TableHead"/>
            </w:pPr>
            <w:r w:rsidRPr="00051BA2">
              <w:t>Commodity</w:t>
            </w:r>
          </w:p>
        </w:tc>
        <w:tc>
          <w:tcPr>
            <w:tcW w:w="4354" w:type="pct"/>
            <w:gridSpan w:val="7"/>
            <w:tcBorders>
              <w:top w:val="single" w:sz="4" w:space="0" w:color="auto"/>
              <w:bottom w:val="single" w:sz="4" w:space="0" w:color="auto"/>
            </w:tcBorders>
            <w:shd w:val="clear" w:color="auto" w:fill="5C2946"/>
            <w:vAlign w:val="center"/>
          </w:tcPr>
          <w:p w14:paraId="24EBB170" w14:textId="63F3D988" w:rsidR="00426C3A" w:rsidRPr="00FB0015" w:rsidRDefault="00426C3A" w:rsidP="00426C3A">
            <w:pPr>
              <w:pStyle w:val="TableHead"/>
              <w:jc w:val="center"/>
            </w:pPr>
            <w:r w:rsidRPr="00051BA2">
              <w:t xml:space="preserve">Procymidone </w:t>
            </w:r>
            <w:r>
              <w:t>MRL</w:t>
            </w:r>
            <w:r w:rsidRPr="00051BA2">
              <w:t>s (mg/kg)</w:t>
            </w:r>
          </w:p>
        </w:tc>
      </w:tr>
      <w:tr w:rsidR="00426C3A" w14:paraId="0DD197DF" w14:textId="77777777" w:rsidTr="00426C3A">
        <w:trPr>
          <w:cantSplit/>
          <w:tblHeader/>
        </w:trPr>
        <w:tc>
          <w:tcPr>
            <w:tcW w:w="646" w:type="pct"/>
            <w:vMerge/>
            <w:tcBorders>
              <w:bottom w:val="single" w:sz="4" w:space="0" w:color="auto"/>
            </w:tcBorders>
            <w:shd w:val="clear" w:color="auto" w:fill="5C2946"/>
          </w:tcPr>
          <w:p w14:paraId="0E730194" w14:textId="77777777" w:rsidR="00426C3A" w:rsidRPr="00FB0015" w:rsidRDefault="00426C3A" w:rsidP="00426C3A">
            <w:pPr>
              <w:pStyle w:val="TableHead"/>
            </w:pPr>
          </w:p>
        </w:tc>
        <w:tc>
          <w:tcPr>
            <w:tcW w:w="669" w:type="pct"/>
            <w:tcBorders>
              <w:bottom w:val="single" w:sz="4" w:space="0" w:color="auto"/>
            </w:tcBorders>
            <w:shd w:val="clear" w:color="auto" w:fill="5C2946"/>
            <w:vAlign w:val="center"/>
          </w:tcPr>
          <w:p w14:paraId="6D105431" w14:textId="3BAA2F52" w:rsidR="00426C3A" w:rsidRPr="00FB0015" w:rsidRDefault="00426C3A" w:rsidP="00426C3A">
            <w:pPr>
              <w:pStyle w:val="TableHead"/>
              <w:jc w:val="right"/>
            </w:pPr>
            <w:r w:rsidRPr="00051BA2">
              <w:t>Australia (proposed)</w:t>
            </w:r>
          </w:p>
        </w:tc>
        <w:tc>
          <w:tcPr>
            <w:tcW w:w="614" w:type="pct"/>
            <w:tcBorders>
              <w:bottom w:val="single" w:sz="4" w:space="0" w:color="auto"/>
            </w:tcBorders>
            <w:shd w:val="clear" w:color="auto" w:fill="5C2946"/>
            <w:vAlign w:val="center"/>
          </w:tcPr>
          <w:p w14:paraId="267ADC4E" w14:textId="3DECE319" w:rsidR="00426C3A" w:rsidRPr="00FB0015" w:rsidRDefault="00426C3A" w:rsidP="00426C3A">
            <w:pPr>
              <w:pStyle w:val="TableHead"/>
              <w:jc w:val="right"/>
            </w:pPr>
            <w:r w:rsidRPr="00051BA2">
              <w:t>Codex</w:t>
            </w:r>
          </w:p>
        </w:tc>
        <w:tc>
          <w:tcPr>
            <w:tcW w:w="615" w:type="pct"/>
            <w:tcBorders>
              <w:bottom w:val="single" w:sz="4" w:space="0" w:color="auto"/>
            </w:tcBorders>
            <w:shd w:val="clear" w:color="auto" w:fill="5C2946"/>
            <w:vAlign w:val="center"/>
          </w:tcPr>
          <w:p w14:paraId="52626398" w14:textId="702F4A13" w:rsidR="00426C3A" w:rsidRPr="00FB0015" w:rsidRDefault="00426C3A" w:rsidP="00426C3A">
            <w:pPr>
              <w:pStyle w:val="TableHead"/>
              <w:jc w:val="right"/>
            </w:pPr>
            <w:r w:rsidRPr="00051BA2">
              <w:t>U</w:t>
            </w:r>
            <w:r>
              <w:t>SA</w:t>
            </w:r>
          </w:p>
        </w:tc>
        <w:tc>
          <w:tcPr>
            <w:tcW w:w="613" w:type="pct"/>
            <w:tcBorders>
              <w:bottom w:val="single" w:sz="4" w:space="0" w:color="auto"/>
            </w:tcBorders>
            <w:shd w:val="clear" w:color="auto" w:fill="5C2946"/>
            <w:vAlign w:val="center"/>
          </w:tcPr>
          <w:p w14:paraId="23938E18" w14:textId="7DB7D8F8" w:rsidR="00426C3A" w:rsidRPr="00FB0015" w:rsidRDefault="00426C3A" w:rsidP="00426C3A">
            <w:pPr>
              <w:pStyle w:val="TableHead"/>
              <w:jc w:val="right"/>
            </w:pPr>
            <w:r w:rsidRPr="00051BA2">
              <w:t>E</w:t>
            </w:r>
            <w:r>
              <w:t>U</w:t>
            </w:r>
          </w:p>
        </w:tc>
        <w:tc>
          <w:tcPr>
            <w:tcW w:w="614" w:type="pct"/>
            <w:tcBorders>
              <w:bottom w:val="single" w:sz="4" w:space="0" w:color="auto"/>
            </w:tcBorders>
            <w:shd w:val="clear" w:color="auto" w:fill="5C2946"/>
            <w:vAlign w:val="center"/>
          </w:tcPr>
          <w:p w14:paraId="6EBEFA52" w14:textId="005D9F38" w:rsidR="00426C3A" w:rsidRPr="00FB0015" w:rsidRDefault="00426C3A" w:rsidP="00426C3A">
            <w:pPr>
              <w:pStyle w:val="TableHead"/>
              <w:jc w:val="right"/>
            </w:pPr>
            <w:r w:rsidRPr="00051BA2">
              <w:t>Japan</w:t>
            </w:r>
          </w:p>
        </w:tc>
        <w:tc>
          <w:tcPr>
            <w:tcW w:w="614" w:type="pct"/>
            <w:tcBorders>
              <w:bottom w:val="single" w:sz="4" w:space="0" w:color="auto"/>
            </w:tcBorders>
            <w:shd w:val="clear" w:color="auto" w:fill="5C2946"/>
            <w:vAlign w:val="center"/>
          </w:tcPr>
          <w:p w14:paraId="2F960032" w14:textId="1A9715D8" w:rsidR="00426C3A" w:rsidRPr="00FB0015" w:rsidRDefault="00426C3A" w:rsidP="00426C3A">
            <w:pPr>
              <w:pStyle w:val="TableHead"/>
              <w:jc w:val="right"/>
            </w:pPr>
            <w:r w:rsidRPr="00051BA2">
              <w:t>Korea</w:t>
            </w:r>
          </w:p>
        </w:tc>
        <w:tc>
          <w:tcPr>
            <w:tcW w:w="615" w:type="pct"/>
            <w:tcBorders>
              <w:bottom w:val="single" w:sz="4" w:space="0" w:color="auto"/>
            </w:tcBorders>
            <w:shd w:val="clear" w:color="auto" w:fill="5C2946"/>
            <w:vAlign w:val="center"/>
          </w:tcPr>
          <w:p w14:paraId="289240ED" w14:textId="43E170DF" w:rsidR="00426C3A" w:rsidRPr="00FB0015" w:rsidRDefault="00426C3A" w:rsidP="00426C3A">
            <w:pPr>
              <w:pStyle w:val="TableHead"/>
              <w:jc w:val="right"/>
            </w:pPr>
            <w:r w:rsidRPr="00051BA2">
              <w:t>Taiwan</w:t>
            </w:r>
          </w:p>
        </w:tc>
      </w:tr>
      <w:tr w:rsidR="00426C3A" w14:paraId="3726F20D" w14:textId="0102E4F7" w:rsidTr="00426C3A">
        <w:trPr>
          <w:cantSplit/>
        </w:trPr>
        <w:tc>
          <w:tcPr>
            <w:tcW w:w="646" w:type="pct"/>
            <w:tcBorders>
              <w:top w:val="single" w:sz="4" w:space="0" w:color="auto"/>
              <w:bottom w:val="single" w:sz="4" w:space="0" w:color="auto"/>
            </w:tcBorders>
          </w:tcPr>
          <w:p w14:paraId="3F409C56" w14:textId="45C2A4CA" w:rsidR="00426C3A" w:rsidRDefault="00426C3A" w:rsidP="00426C3A">
            <w:pPr>
              <w:pStyle w:val="TableText"/>
            </w:pPr>
            <w:r w:rsidRPr="00051BA2">
              <w:t>Grapes (wine grapes)</w:t>
            </w:r>
          </w:p>
        </w:tc>
        <w:tc>
          <w:tcPr>
            <w:tcW w:w="669" w:type="pct"/>
            <w:tcBorders>
              <w:top w:val="single" w:sz="4" w:space="0" w:color="auto"/>
              <w:bottom w:val="single" w:sz="4" w:space="0" w:color="auto"/>
            </w:tcBorders>
            <w:vAlign w:val="center"/>
          </w:tcPr>
          <w:p w14:paraId="0B3B6A8B" w14:textId="5738B76B" w:rsidR="00426C3A" w:rsidRDefault="00426C3A" w:rsidP="00426C3A">
            <w:pPr>
              <w:pStyle w:val="TableText"/>
              <w:jc w:val="right"/>
            </w:pPr>
            <w:r w:rsidRPr="00051BA2">
              <w:t>5</w:t>
            </w:r>
          </w:p>
        </w:tc>
        <w:tc>
          <w:tcPr>
            <w:tcW w:w="614" w:type="pct"/>
            <w:tcBorders>
              <w:top w:val="single" w:sz="4" w:space="0" w:color="auto"/>
              <w:bottom w:val="single" w:sz="4" w:space="0" w:color="auto"/>
            </w:tcBorders>
            <w:vAlign w:val="center"/>
          </w:tcPr>
          <w:p w14:paraId="01731630" w14:textId="50CB2D92" w:rsidR="00426C3A" w:rsidRDefault="00426C3A" w:rsidP="00426C3A">
            <w:pPr>
              <w:pStyle w:val="TableText"/>
              <w:jc w:val="right"/>
            </w:pPr>
            <w:r>
              <w:t>–</w:t>
            </w:r>
          </w:p>
        </w:tc>
        <w:tc>
          <w:tcPr>
            <w:tcW w:w="615" w:type="pct"/>
            <w:tcBorders>
              <w:top w:val="single" w:sz="4" w:space="0" w:color="auto"/>
              <w:bottom w:val="single" w:sz="4" w:space="0" w:color="auto"/>
            </w:tcBorders>
            <w:vAlign w:val="center"/>
          </w:tcPr>
          <w:p w14:paraId="4586365B" w14:textId="21988382" w:rsidR="00426C3A" w:rsidRDefault="00426C3A" w:rsidP="00426C3A">
            <w:pPr>
              <w:pStyle w:val="TableText"/>
              <w:jc w:val="right"/>
            </w:pPr>
            <w:r w:rsidRPr="00051BA2">
              <w:t>5</w:t>
            </w:r>
          </w:p>
        </w:tc>
        <w:tc>
          <w:tcPr>
            <w:tcW w:w="613" w:type="pct"/>
            <w:tcBorders>
              <w:top w:val="single" w:sz="4" w:space="0" w:color="auto"/>
              <w:bottom w:val="single" w:sz="4" w:space="0" w:color="auto"/>
            </w:tcBorders>
            <w:vAlign w:val="center"/>
          </w:tcPr>
          <w:p w14:paraId="7AA721C0" w14:textId="72F9CF11" w:rsidR="00426C3A" w:rsidRDefault="00426C3A" w:rsidP="00426C3A">
            <w:pPr>
              <w:pStyle w:val="TableText"/>
              <w:jc w:val="right"/>
            </w:pPr>
            <w:r w:rsidRPr="00051BA2">
              <w:t>*0.01</w:t>
            </w:r>
          </w:p>
        </w:tc>
        <w:tc>
          <w:tcPr>
            <w:tcW w:w="614" w:type="pct"/>
            <w:tcBorders>
              <w:top w:val="single" w:sz="4" w:space="0" w:color="auto"/>
              <w:bottom w:val="single" w:sz="4" w:space="0" w:color="auto"/>
            </w:tcBorders>
            <w:vAlign w:val="center"/>
          </w:tcPr>
          <w:p w14:paraId="3EC4BCBE" w14:textId="71559E28" w:rsidR="00426C3A" w:rsidRDefault="00426C3A" w:rsidP="00426C3A">
            <w:pPr>
              <w:pStyle w:val="TableText"/>
              <w:jc w:val="right"/>
            </w:pPr>
            <w:r>
              <w:t>–</w:t>
            </w:r>
          </w:p>
        </w:tc>
        <w:tc>
          <w:tcPr>
            <w:tcW w:w="614" w:type="pct"/>
            <w:tcBorders>
              <w:top w:val="single" w:sz="4" w:space="0" w:color="auto"/>
              <w:bottom w:val="single" w:sz="4" w:space="0" w:color="auto"/>
            </w:tcBorders>
            <w:vAlign w:val="center"/>
          </w:tcPr>
          <w:p w14:paraId="0EFED0AF" w14:textId="60945F9C" w:rsidR="00426C3A" w:rsidRDefault="00426C3A" w:rsidP="00426C3A">
            <w:pPr>
              <w:pStyle w:val="TableText"/>
              <w:jc w:val="right"/>
            </w:pPr>
            <w:r w:rsidRPr="00051BA2">
              <w:t>2</w:t>
            </w:r>
          </w:p>
        </w:tc>
        <w:tc>
          <w:tcPr>
            <w:tcW w:w="615" w:type="pct"/>
            <w:tcBorders>
              <w:top w:val="single" w:sz="4" w:space="0" w:color="auto"/>
              <w:bottom w:val="single" w:sz="4" w:space="0" w:color="auto"/>
            </w:tcBorders>
            <w:vAlign w:val="center"/>
          </w:tcPr>
          <w:p w14:paraId="671691F3" w14:textId="3724C168" w:rsidR="00426C3A" w:rsidRDefault="00426C3A" w:rsidP="00426C3A">
            <w:pPr>
              <w:pStyle w:val="TableText"/>
              <w:jc w:val="right"/>
            </w:pPr>
            <w:r w:rsidRPr="00051BA2">
              <w:t>(Others (vegetables and fruits *0.01)</w:t>
            </w:r>
          </w:p>
        </w:tc>
      </w:tr>
      <w:tr w:rsidR="00426C3A" w14:paraId="395CF1C8" w14:textId="77777777" w:rsidTr="00426C3A">
        <w:trPr>
          <w:cantSplit/>
        </w:trPr>
        <w:tc>
          <w:tcPr>
            <w:tcW w:w="646" w:type="pct"/>
            <w:tcBorders>
              <w:top w:val="single" w:sz="4" w:space="0" w:color="auto"/>
              <w:bottom w:val="single" w:sz="4" w:space="0" w:color="auto"/>
            </w:tcBorders>
          </w:tcPr>
          <w:p w14:paraId="5AEA995E" w14:textId="3DB46B56" w:rsidR="00426C3A" w:rsidRPr="00051BA2" w:rsidRDefault="00426C3A" w:rsidP="00426C3A">
            <w:pPr>
              <w:pStyle w:val="TableText"/>
            </w:pPr>
            <w:r w:rsidRPr="00CA407E">
              <w:t>Stone fruit</w:t>
            </w:r>
            <w:r>
              <w:t xml:space="preserve"> (except cherries)</w:t>
            </w:r>
          </w:p>
        </w:tc>
        <w:tc>
          <w:tcPr>
            <w:tcW w:w="669" w:type="pct"/>
            <w:tcBorders>
              <w:top w:val="single" w:sz="4" w:space="0" w:color="auto"/>
              <w:bottom w:val="single" w:sz="4" w:space="0" w:color="auto"/>
            </w:tcBorders>
            <w:vAlign w:val="center"/>
          </w:tcPr>
          <w:p w14:paraId="750A99D1" w14:textId="4D869F61" w:rsidR="00426C3A" w:rsidRPr="00051BA2" w:rsidRDefault="00426C3A" w:rsidP="00426C3A">
            <w:pPr>
              <w:pStyle w:val="TableText"/>
              <w:jc w:val="right"/>
            </w:pPr>
            <w:r>
              <w:t>2</w:t>
            </w:r>
          </w:p>
        </w:tc>
        <w:tc>
          <w:tcPr>
            <w:tcW w:w="614" w:type="pct"/>
            <w:tcBorders>
              <w:top w:val="single" w:sz="4" w:space="0" w:color="auto"/>
              <w:bottom w:val="single" w:sz="4" w:space="0" w:color="auto"/>
            </w:tcBorders>
            <w:vAlign w:val="center"/>
          </w:tcPr>
          <w:p w14:paraId="32BBCBA1" w14:textId="6A18CA94" w:rsidR="00426C3A" w:rsidRPr="00051BA2" w:rsidRDefault="00426C3A" w:rsidP="00426C3A">
            <w:pPr>
              <w:pStyle w:val="TableText"/>
              <w:jc w:val="right"/>
            </w:pPr>
            <w:r w:rsidRPr="003D61F9">
              <w:t>–</w:t>
            </w:r>
          </w:p>
        </w:tc>
        <w:tc>
          <w:tcPr>
            <w:tcW w:w="615" w:type="pct"/>
            <w:tcBorders>
              <w:top w:val="single" w:sz="4" w:space="0" w:color="auto"/>
              <w:bottom w:val="single" w:sz="4" w:space="0" w:color="auto"/>
            </w:tcBorders>
            <w:vAlign w:val="center"/>
          </w:tcPr>
          <w:p w14:paraId="697FBE1F" w14:textId="7E8B026B" w:rsidR="00426C3A" w:rsidRPr="00051BA2" w:rsidRDefault="00426C3A" w:rsidP="00426C3A">
            <w:pPr>
              <w:pStyle w:val="TableText"/>
              <w:jc w:val="right"/>
            </w:pPr>
            <w:r w:rsidRPr="003D61F9">
              <w:t>–</w:t>
            </w:r>
          </w:p>
        </w:tc>
        <w:tc>
          <w:tcPr>
            <w:tcW w:w="613" w:type="pct"/>
            <w:tcBorders>
              <w:top w:val="single" w:sz="4" w:space="0" w:color="auto"/>
              <w:bottom w:val="single" w:sz="4" w:space="0" w:color="auto"/>
            </w:tcBorders>
            <w:vAlign w:val="center"/>
          </w:tcPr>
          <w:p w14:paraId="64AD94E9" w14:textId="362B78EF" w:rsidR="00426C3A" w:rsidRPr="00051BA2"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72368CD4" w14:textId="5145694C" w:rsidR="00426C3A" w:rsidRPr="00051BA2" w:rsidRDefault="00426C3A" w:rsidP="00426C3A">
            <w:pPr>
              <w:pStyle w:val="TableText"/>
              <w:jc w:val="right"/>
            </w:pPr>
            <w:r w:rsidRPr="00CC765A">
              <w:t>–</w:t>
            </w:r>
          </w:p>
        </w:tc>
        <w:tc>
          <w:tcPr>
            <w:tcW w:w="614" w:type="pct"/>
            <w:tcBorders>
              <w:top w:val="single" w:sz="4" w:space="0" w:color="auto"/>
              <w:bottom w:val="single" w:sz="4" w:space="0" w:color="auto"/>
            </w:tcBorders>
            <w:vAlign w:val="center"/>
          </w:tcPr>
          <w:p w14:paraId="31C58738" w14:textId="74DB7AF5" w:rsidR="00426C3A" w:rsidRPr="00051BA2" w:rsidRDefault="00426C3A" w:rsidP="00426C3A">
            <w:pPr>
              <w:pStyle w:val="TableText"/>
              <w:jc w:val="right"/>
            </w:pPr>
            <w:r w:rsidRPr="00CC765A">
              <w:t>–</w:t>
            </w:r>
          </w:p>
        </w:tc>
        <w:tc>
          <w:tcPr>
            <w:tcW w:w="615" w:type="pct"/>
            <w:tcBorders>
              <w:top w:val="single" w:sz="4" w:space="0" w:color="auto"/>
              <w:bottom w:val="single" w:sz="4" w:space="0" w:color="auto"/>
            </w:tcBorders>
            <w:vAlign w:val="center"/>
          </w:tcPr>
          <w:p w14:paraId="01E13FE5" w14:textId="17435D18" w:rsidR="00426C3A" w:rsidRPr="00051BA2" w:rsidRDefault="00426C3A" w:rsidP="00426C3A">
            <w:pPr>
              <w:pStyle w:val="TableText"/>
              <w:jc w:val="right"/>
            </w:pPr>
            <w:r w:rsidRPr="00051BA2">
              <w:t>(Others (vegetables and fruits *0.01)</w:t>
            </w:r>
          </w:p>
        </w:tc>
      </w:tr>
      <w:tr w:rsidR="00426C3A" w14:paraId="55880486" w14:textId="77777777" w:rsidTr="00426C3A">
        <w:trPr>
          <w:cantSplit/>
        </w:trPr>
        <w:tc>
          <w:tcPr>
            <w:tcW w:w="646" w:type="pct"/>
            <w:tcBorders>
              <w:top w:val="single" w:sz="4" w:space="0" w:color="auto"/>
              <w:bottom w:val="single" w:sz="4" w:space="0" w:color="auto"/>
            </w:tcBorders>
          </w:tcPr>
          <w:p w14:paraId="4CD161EE" w14:textId="5E225DDF" w:rsidR="00426C3A" w:rsidRPr="00CA407E" w:rsidRDefault="00426C3A" w:rsidP="00426C3A">
            <w:pPr>
              <w:pStyle w:val="TableText"/>
            </w:pPr>
            <w:r w:rsidRPr="00CA407E">
              <w:t>Peach</w:t>
            </w:r>
          </w:p>
        </w:tc>
        <w:tc>
          <w:tcPr>
            <w:tcW w:w="669" w:type="pct"/>
            <w:tcBorders>
              <w:top w:val="single" w:sz="4" w:space="0" w:color="auto"/>
              <w:bottom w:val="single" w:sz="4" w:space="0" w:color="auto"/>
            </w:tcBorders>
            <w:vAlign w:val="center"/>
          </w:tcPr>
          <w:p w14:paraId="17A6BC35" w14:textId="77777777" w:rsidR="00426C3A" w:rsidRDefault="00426C3A" w:rsidP="00426C3A">
            <w:pPr>
              <w:pStyle w:val="TableText"/>
              <w:jc w:val="right"/>
            </w:pPr>
          </w:p>
        </w:tc>
        <w:tc>
          <w:tcPr>
            <w:tcW w:w="614" w:type="pct"/>
            <w:tcBorders>
              <w:top w:val="single" w:sz="4" w:space="0" w:color="auto"/>
              <w:bottom w:val="single" w:sz="4" w:space="0" w:color="auto"/>
            </w:tcBorders>
            <w:vAlign w:val="center"/>
          </w:tcPr>
          <w:p w14:paraId="728F0170" w14:textId="5FC26E04" w:rsidR="00426C3A" w:rsidRPr="0063646D" w:rsidRDefault="00426C3A" w:rsidP="00426C3A">
            <w:pPr>
              <w:pStyle w:val="TableText"/>
              <w:jc w:val="right"/>
            </w:pPr>
            <w:r w:rsidRPr="00C65776">
              <w:t>–</w:t>
            </w:r>
          </w:p>
        </w:tc>
        <w:tc>
          <w:tcPr>
            <w:tcW w:w="615" w:type="pct"/>
            <w:tcBorders>
              <w:top w:val="single" w:sz="4" w:space="0" w:color="auto"/>
              <w:bottom w:val="single" w:sz="4" w:space="0" w:color="auto"/>
            </w:tcBorders>
            <w:vAlign w:val="center"/>
          </w:tcPr>
          <w:p w14:paraId="73370AC3" w14:textId="10AE127C" w:rsidR="00426C3A" w:rsidRPr="0063646D" w:rsidRDefault="00426C3A" w:rsidP="00426C3A">
            <w:pPr>
              <w:pStyle w:val="TableText"/>
              <w:jc w:val="right"/>
            </w:pPr>
            <w:r w:rsidRPr="00C65776">
              <w:t>–</w:t>
            </w:r>
          </w:p>
        </w:tc>
        <w:tc>
          <w:tcPr>
            <w:tcW w:w="613" w:type="pct"/>
            <w:tcBorders>
              <w:top w:val="single" w:sz="4" w:space="0" w:color="auto"/>
              <w:bottom w:val="single" w:sz="4" w:space="0" w:color="auto"/>
            </w:tcBorders>
            <w:vAlign w:val="center"/>
          </w:tcPr>
          <w:p w14:paraId="21A4DC65" w14:textId="1509ECE7"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4CA7C46A" w14:textId="38D2066D" w:rsidR="00426C3A" w:rsidRPr="0063646D" w:rsidRDefault="00426C3A" w:rsidP="00426C3A">
            <w:pPr>
              <w:pStyle w:val="TableText"/>
              <w:jc w:val="right"/>
            </w:pPr>
            <w:r w:rsidRPr="0063646D">
              <w:t>0.7</w:t>
            </w:r>
          </w:p>
        </w:tc>
        <w:tc>
          <w:tcPr>
            <w:tcW w:w="614" w:type="pct"/>
            <w:tcBorders>
              <w:top w:val="single" w:sz="4" w:space="0" w:color="auto"/>
              <w:bottom w:val="single" w:sz="4" w:space="0" w:color="auto"/>
            </w:tcBorders>
            <w:vAlign w:val="center"/>
          </w:tcPr>
          <w:p w14:paraId="5B26F969" w14:textId="6C4D5963" w:rsidR="00426C3A" w:rsidRPr="00DA4731" w:rsidRDefault="00426C3A" w:rsidP="00426C3A">
            <w:pPr>
              <w:pStyle w:val="TableText"/>
              <w:jc w:val="right"/>
            </w:pPr>
            <w:r w:rsidRPr="0063646D">
              <w:t>0.5</w:t>
            </w:r>
          </w:p>
        </w:tc>
        <w:tc>
          <w:tcPr>
            <w:tcW w:w="615" w:type="pct"/>
            <w:tcBorders>
              <w:top w:val="single" w:sz="4" w:space="0" w:color="auto"/>
              <w:bottom w:val="single" w:sz="4" w:space="0" w:color="auto"/>
            </w:tcBorders>
            <w:vAlign w:val="center"/>
          </w:tcPr>
          <w:p w14:paraId="013B285C" w14:textId="290B4655" w:rsidR="00426C3A" w:rsidRPr="00051BA2" w:rsidRDefault="00426C3A" w:rsidP="00426C3A">
            <w:pPr>
              <w:pStyle w:val="TableText"/>
              <w:jc w:val="right"/>
            </w:pPr>
            <w:r w:rsidRPr="003D61F9">
              <w:t>–</w:t>
            </w:r>
          </w:p>
        </w:tc>
      </w:tr>
      <w:tr w:rsidR="00426C3A" w14:paraId="37DDD32C" w14:textId="77777777" w:rsidTr="00426C3A">
        <w:trPr>
          <w:cantSplit/>
        </w:trPr>
        <w:tc>
          <w:tcPr>
            <w:tcW w:w="646" w:type="pct"/>
            <w:tcBorders>
              <w:top w:val="single" w:sz="4" w:space="0" w:color="auto"/>
              <w:bottom w:val="single" w:sz="4" w:space="0" w:color="auto"/>
            </w:tcBorders>
          </w:tcPr>
          <w:p w14:paraId="47DDC412" w14:textId="53FB1B98" w:rsidR="00426C3A" w:rsidRPr="00CA407E" w:rsidRDefault="00426C3A" w:rsidP="00426C3A">
            <w:pPr>
              <w:pStyle w:val="TableText"/>
            </w:pPr>
            <w:r w:rsidRPr="00CA407E">
              <w:t>Nectarine</w:t>
            </w:r>
          </w:p>
        </w:tc>
        <w:tc>
          <w:tcPr>
            <w:tcW w:w="669" w:type="pct"/>
            <w:tcBorders>
              <w:top w:val="single" w:sz="4" w:space="0" w:color="auto"/>
              <w:bottom w:val="single" w:sz="4" w:space="0" w:color="auto"/>
            </w:tcBorders>
            <w:vAlign w:val="center"/>
          </w:tcPr>
          <w:p w14:paraId="21B7B3CB" w14:textId="77777777" w:rsidR="00426C3A" w:rsidRDefault="00426C3A" w:rsidP="00426C3A">
            <w:pPr>
              <w:pStyle w:val="TableText"/>
              <w:jc w:val="right"/>
            </w:pPr>
          </w:p>
        </w:tc>
        <w:tc>
          <w:tcPr>
            <w:tcW w:w="614" w:type="pct"/>
            <w:tcBorders>
              <w:top w:val="single" w:sz="4" w:space="0" w:color="auto"/>
              <w:bottom w:val="single" w:sz="4" w:space="0" w:color="auto"/>
            </w:tcBorders>
            <w:vAlign w:val="center"/>
          </w:tcPr>
          <w:p w14:paraId="1F7930A4" w14:textId="3AA35727" w:rsidR="00426C3A" w:rsidRPr="0063646D" w:rsidRDefault="00426C3A" w:rsidP="00426C3A">
            <w:pPr>
              <w:pStyle w:val="TableText"/>
              <w:jc w:val="right"/>
            </w:pPr>
            <w:r w:rsidRPr="00C65776">
              <w:t>–</w:t>
            </w:r>
          </w:p>
        </w:tc>
        <w:tc>
          <w:tcPr>
            <w:tcW w:w="615" w:type="pct"/>
            <w:tcBorders>
              <w:top w:val="single" w:sz="4" w:space="0" w:color="auto"/>
              <w:bottom w:val="single" w:sz="4" w:space="0" w:color="auto"/>
            </w:tcBorders>
            <w:vAlign w:val="center"/>
          </w:tcPr>
          <w:p w14:paraId="074BB868" w14:textId="244F4E6A" w:rsidR="00426C3A" w:rsidRPr="0063646D" w:rsidRDefault="00426C3A" w:rsidP="00426C3A">
            <w:pPr>
              <w:pStyle w:val="TableText"/>
              <w:jc w:val="right"/>
            </w:pPr>
            <w:r w:rsidRPr="00C65776">
              <w:t>–</w:t>
            </w:r>
          </w:p>
        </w:tc>
        <w:tc>
          <w:tcPr>
            <w:tcW w:w="613" w:type="pct"/>
            <w:tcBorders>
              <w:top w:val="single" w:sz="4" w:space="0" w:color="auto"/>
              <w:bottom w:val="single" w:sz="4" w:space="0" w:color="auto"/>
            </w:tcBorders>
            <w:vAlign w:val="center"/>
          </w:tcPr>
          <w:p w14:paraId="7EEE236D" w14:textId="77777777" w:rsidR="00426C3A" w:rsidRPr="0063646D" w:rsidRDefault="00426C3A" w:rsidP="00426C3A">
            <w:pPr>
              <w:pStyle w:val="TableText"/>
              <w:jc w:val="right"/>
            </w:pPr>
          </w:p>
        </w:tc>
        <w:tc>
          <w:tcPr>
            <w:tcW w:w="614" w:type="pct"/>
            <w:tcBorders>
              <w:top w:val="single" w:sz="4" w:space="0" w:color="auto"/>
              <w:bottom w:val="single" w:sz="4" w:space="0" w:color="auto"/>
            </w:tcBorders>
            <w:vAlign w:val="center"/>
          </w:tcPr>
          <w:p w14:paraId="10D20EE7" w14:textId="796A2738" w:rsidR="00426C3A" w:rsidRPr="0063646D" w:rsidRDefault="00426C3A" w:rsidP="00426C3A">
            <w:pPr>
              <w:pStyle w:val="TableText"/>
              <w:jc w:val="right"/>
            </w:pPr>
            <w:r w:rsidRPr="0063646D">
              <w:t>10</w:t>
            </w:r>
          </w:p>
        </w:tc>
        <w:tc>
          <w:tcPr>
            <w:tcW w:w="614" w:type="pct"/>
            <w:tcBorders>
              <w:top w:val="single" w:sz="4" w:space="0" w:color="auto"/>
              <w:bottom w:val="single" w:sz="4" w:space="0" w:color="auto"/>
            </w:tcBorders>
            <w:vAlign w:val="center"/>
          </w:tcPr>
          <w:p w14:paraId="65926299" w14:textId="77B65082" w:rsidR="00426C3A" w:rsidRPr="0063646D" w:rsidRDefault="00426C3A" w:rsidP="00426C3A">
            <w:pPr>
              <w:pStyle w:val="TableText"/>
              <w:jc w:val="right"/>
            </w:pPr>
            <w:r w:rsidRPr="00584C78">
              <w:t>–</w:t>
            </w:r>
          </w:p>
        </w:tc>
        <w:tc>
          <w:tcPr>
            <w:tcW w:w="615" w:type="pct"/>
            <w:tcBorders>
              <w:top w:val="single" w:sz="4" w:space="0" w:color="auto"/>
              <w:bottom w:val="single" w:sz="4" w:space="0" w:color="auto"/>
            </w:tcBorders>
            <w:vAlign w:val="center"/>
          </w:tcPr>
          <w:p w14:paraId="3BDD67A4" w14:textId="7B69E121" w:rsidR="00426C3A" w:rsidRPr="0063646D" w:rsidRDefault="00426C3A" w:rsidP="00426C3A">
            <w:pPr>
              <w:pStyle w:val="TableText"/>
              <w:jc w:val="right"/>
            </w:pPr>
            <w:r w:rsidRPr="00584C78">
              <w:t>–</w:t>
            </w:r>
          </w:p>
        </w:tc>
      </w:tr>
      <w:tr w:rsidR="00426C3A" w14:paraId="14E6A5A7" w14:textId="77777777" w:rsidTr="00426C3A">
        <w:trPr>
          <w:cantSplit/>
        </w:trPr>
        <w:tc>
          <w:tcPr>
            <w:tcW w:w="646" w:type="pct"/>
            <w:tcBorders>
              <w:top w:val="single" w:sz="4" w:space="0" w:color="auto"/>
              <w:bottom w:val="single" w:sz="4" w:space="0" w:color="auto"/>
            </w:tcBorders>
          </w:tcPr>
          <w:p w14:paraId="4FBF1DC3" w14:textId="6F6DAB11" w:rsidR="00426C3A" w:rsidRPr="00CA407E" w:rsidRDefault="00426C3A" w:rsidP="00426C3A">
            <w:pPr>
              <w:pStyle w:val="TableText"/>
            </w:pPr>
            <w:r w:rsidRPr="00CA407E">
              <w:t>Apricot</w:t>
            </w:r>
          </w:p>
        </w:tc>
        <w:tc>
          <w:tcPr>
            <w:tcW w:w="669" w:type="pct"/>
            <w:tcBorders>
              <w:top w:val="single" w:sz="4" w:space="0" w:color="auto"/>
              <w:bottom w:val="single" w:sz="4" w:space="0" w:color="auto"/>
            </w:tcBorders>
            <w:vAlign w:val="center"/>
          </w:tcPr>
          <w:p w14:paraId="71E5A844" w14:textId="77777777" w:rsidR="00426C3A" w:rsidRDefault="00426C3A" w:rsidP="00426C3A">
            <w:pPr>
              <w:pStyle w:val="TableText"/>
              <w:jc w:val="right"/>
            </w:pPr>
          </w:p>
        </w:tc>
        <w:tc>
          <w:tcPr>
            <w:tcW w:w="614" w:type="pct"/>
            <w:tcBorders>
              <w:top w:val="single" w:sz="4" w:space="0" w:color="auto"/>
              <w:bottom w:val="single" w:sz="4" w:space="0" w:color="auto"/>
            </w:tcBorders>
            <w:vAlign w:val="center"/>
          </w:tcPr>
          <w:p w14:paraId="12751E29" w14:textId="3FDE0CFF" w:rsidR="00426C3A" w:rsidRPr="0063646D" w:rsidRDefault="00426C3A" w:rsidP="00426C3A">
            <w:pPr>
              <w:pStyle w:val="TableText"/>
              <w:jc w:val="right"/>
            </w:pPr>
            <w:r w:rsidRPr="00C65776">
              <w:t>–</w:t>
            </w:r>
          </w:p>
        </w:tc>
        <w:tc>
          <w:tcPr>
            <w:tcW w:w="615" w:type="pct"/>
            <w:tcBorders>
              <w:top w:val="single" w:sz="4" w:space="0" w:color="auto"/>
              <w:bottom w:val="single" w:sz="4" w:space="0" w:color="auto"/>
            </w:tcBorders>
            <w:vAlign w:val="center"/>
          </w:tcPr>
          <w:p w14:paraId="3212BC46" w14:textId="75B7C6C2" w:rsidR="00426C3A" w:rsidRPr="0063646D" w:rsidRDefault="00426C3A" w:rsidP="00426C3A">
            <w:pPr>
              <w:pStyle w:val="TableText"/>
              <w:jc w:val="right"/>
            </w:pPr>
            <w:r w:rsidRPr="00C65776">
              <w:t>–</w:t>
            </w:r>
          </w:p>
        </w:tc>
        <w:tc>
          <w:tcPr>
            <w:tcW w:w="613" w:type="pct"/>
            <w:tcBorders>
              <w:top w:val="single" w:sz="4" w:space="0" w:color="auto"/>
              <w:bottom w:val="single" w:sz="4" w:space="0" w:color="auto"/>
            </w:tcBorders>
            <w:vAlign w:val="center"/>
          </w:tcPr>
          <w:p w14:paraId="13CD97CF" w14:textId="793C0AFD"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51459386" w14:textId="0F7E7D6E" w:rsidR="00426C3A" w:rsidRPr="0063646D" w:rsidRDefault="00426C3A" w:rsidP="00426C3A">
            <w:pPr>
              <w:pStyle w:val="TableText"/>
              <w:jc w:val="right"/>
            </w:pPr>
            <w:r w:rsidRPr="0063646D">
              <w:t>5</w:t>
            </w:r>
          </w:p>
        </w:tc>
        <w:tc>
          <w:tcPr>
            <w:tcW w:w="614" w:type="pct"/>
            <w:tcBorders>
              <w:top w:val="single" w:sz="4" w:space="0" w:color="auto"/>
              <w:bottom w:val="single" w:sz="4" w:space="0" w:color="auto"/>
            </w:tcBorders>
            <w:vAlign w:val="center"/>
          </w:tcPr>
          <w:p w14:paraId="753965C6" w14:textId="0D0807D1" w:rsidR="00426C3A" w:rsidRPr="0063646D" w:rsidRDefault="00426C3A" w:rsidP="00426C3A">
            <w:pPr>
              <w:pStyle w:val="TableText"/>
              <w:jc w:val="right"/>
            </w:pPr>
            <w:r w:rsidRPr="00584C78">
              <w:t>–</w:t>
            </w:r>
          </w:p>
        </w:tc>
        <w:tc>
          <w:tcPr>
            <w:tcW w:w="615" w:type="pct"/>
            <w:tcBorders>
              <w:top w:val="single" w:sz="4" w:space="0" w:color="auto"/>
              <w:bottom w:val="single" w:sz="4" w:space="0" w:color="auto"/>
            </w:tcBorders>
            <w:vAlign w:val="center"/>
          </w:tcPr>
          <w:p w14:paraId="360264ED" w14:textId="0A36F09A" w:rsidR="00426C3A" w:rsidRPr="0063646D" w:rsidRDefault="00426C3A" w:rsidP="00426C3A">
            <w:pPr>
              <w:pStyle w:val="TableText"/>
              <w:jc w:val="right"/>
            </w:pPr>
            <w:r w:rsidRPr="00584C78">
              <w:t>–</w:t>
            </w:r>
          </w:p>
        </w:tc>
      </w:tr>
      <w:tr w:rsidR="00426C3A" w14:paraId="72E3DDCA" w14:textId="77777777" w:rsidTr="00426C3A">
        <w:trPr>
          <w:cantSplit/>
        </w:trPr>
        <w:tc>
          <w:tcPr>
            <w:tcW w:w="646" w:type="pct"/>
            <w:tcBorders>
              <w:top w:val="single" w:sz="4" w:space="0" w:color="auto"/>
              <w:bottom w:val="single" w:sz="4" w:space="0" w:color="auto"/>
            </w:tcBorders>
          </w:tcPr>
          <w:p w14:paraId="54BC66A5" w14:textId="2AC09063" w:rsidR="00426C3A" w:rsidRPr="00CA407E" w:rsidRDefault="00426C3A" w:rsidP="00426C3A">
            <w:pPr>
              <w:pStyle w:val="TableText"/>
            </w:pPr>
            <w:r w:rsidRPr="00CA407E">
              <w:t>Plums</w:t>
            </w:r>
          </w:p>
        </w:tc>
        <w:tc>
          <w:tcPr>
            <w:tcW w:w="669" w:type="pct"/>
            <w:tcBorders>
              <w:top w:val="single" w:sz="4" w:space="0" w:color="auto"/>
              <w:bottom w:val="single" w:sz="4" w:space="0" w:color="auto"/>
            </w:tcBorders>
            <w:vAlign w:val="center"/>
          </w:tcPr>
          <w:p w14:paraId="5ABA9E1C" w14:textId="77777777" w:rsidR="00426C3A" w:rsidRDefault="00426C3A" w:rsidP="00426C3A">
            <w:pPr>
              <w:pStyle w:val="TableText"/>
              <w:jc w:val="right"/>
            </w:pPr>
          </w:p>
        </w:tc>
        <w:tc>
          <w:tcPr>
            <w:tcW w:w="614" w:type="pct"/>
            <w:tcBorders>
              <w:top w:val="single" w:sz="4" w:space="0" w:color="auto"/>
              <w:bottom w:val="single" w:sz="4" w:space="0" w:color="auto"/>
            </w:tcBorders>
            <w:vAlign w:val="center"/>
          </w:tcPr>
          <w:p w14:paraId="44506DAA" w14:textId="18D4FAC8" w:rsidR="00426C3A" w:rsidRPr="0063646D" w:rsidRDefault="00426C3A" w:rsidP="00426C3A">
            <w:pPr>
              <w:pStyle w:val="TableText"/>
              <w:jc w:val="right"/>
            </w:pPr>
            <w:r w:rsidRPr="00C65776">
              <w:t>–</w:t>
            </w:r>
          </w:p>
        </w:tc>
        <w:tc>
          <w:tcPr>
            <w:tcW w:w="615" w:type="pct"/>
            <w:tcBorders>
              <w:top w:val="single" w:sz="4" w:space="0" w:color="auto"/>
              <w:bottom w:val="single" w:sz="4" w:space="0" w:color="auto"/>
            </w:tcBorders>
            <w:vAlign w:val="center"/>
          </w:tcPr>
          <w:p w14:paraId="5C8BF643" w14:textId="0A7EACEA" w:rsidR="00426C3A" w:rsidRPr="0063646D" w:rsidRDefault="00426C3A" w:rsidP="00426C3A">
            <w:pPr>
              <w:pStyle w:val="TableText"/>
              <w:jc w:val="right"/>
            </w:pPr>
            <w:r w:rsidRPr="00C65776">
              <w:t>–</w:t>
            </w:r>
          </w:p>
        </w:tc>
        <w:tc>
          <w:tcPr>
            <w:tcW w:w="613" w:type="pct"/>
            <w:tcBorders>
              <w:top w:val="single" w:sz="4" w:space="0" w:color="auto"/>
              <w:bottom w:val="single" w:sz="4" w:space="0" w:color="auto"/>
            </w:tcBorders>
            <w:vAlign w:val="center"/>
          </w:tcPr>
          <w:p w14:paraId="00734A93" w14:textId="66652349"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6200A1E6" w14:textId="77777777" w:rsidR="00426C3A" w:rsidRPr="0063646D" w:rsidRDefault="00426C3A" w:rsidP="00426C3A">
            <w:pPr>
              <w:pStyle w:val="TableText"/>
              <w:jc w:val="right"/>
            </w:pPr>
          </w:p>
        </w:tc>
        <w:tc>
          <w:tcPr>
            <w:tcW w:w="614" w:type="pct"/>
            <w:tcBorders>
              <w:top w:val="single" w:sz="4" w:space="0" w:color="auto"/>
              <w:bottom w:val="single" w:sz="4" w:space="0" w:color="auto"/>
            </w:tcBorders>
            <w:vAlign w:val="center"/>
          </w:tcPr>
          <w:p w14:paraId="4D4FCCBF" w14:textId="632E3E26" w:rsidR="00426C3A" w:rsidRPr="0063646D" w:rsidRDefault="00426C3A" w:rsidP="00426C3A">
            <w:pPr>
              <w:pStyle w:val="TableText"/>
              <w:jc w:val="right"/>
            </w:pPr>
            <w:r w:rsidRPr="00584C78">
              <w:t>–</w:t>
            </w:r>
          </w:p>
        </w:tc>
        <w:tc>
          <w:tcPr>
            <w:tcW w:w="615" w:type="pct"/>
            <w:tcBorders>
              <w:top w:val="single" w:sz="4" w:space="0" w:color="auto"/>
              <w:bottom w:val="single" w:sz="4" w:space="0" w:color="auto"/>
            </w:tcBorders>
            <w:vAlign w:val="center"/>
          </w:tcPr>
          <w:p w14:paraId="096E98AD" w14:textId="6918B180" w:rsidR="00426C3A" w:rsidRPr="0063646D" w:rsidRDefault="00426C3A" w:rsidP="00426C3A">
            <w:pPr>
              <w:pStyle w:val="TableText"/>
              <w:jc w:val="right"/>
            </w:pPr>
            <w:r w:rsidRPr="00584C78">
              <w:t>–</w:t>
            </w:r>
          </w:p>
        </w:tc>
      </w:tr>
      <w:tr w:rsidR="00426C3A" w14:paraId="5384131B" w14:textId="77777777" w:rsidTr="00426C3A">
        <w:trPr>
          <w:cantSplit/>
        </w:trPr>
        <w:tc>
          <w:tcPr>
            <w:tcW w:w="646" w:type="pct"/>
            <w:tcBorders>
              <w:top w:val="single" w:sz="4" w:space="0" w:color="auto"/>
              <w:bottom w:val="single" w:sz="4" w:space="0" w:color="auto"/>
            </w:tcBorders>
          </w:tcPr>
          <w:p w14:paraId="3F42E7F4" w14:textId="0CDDE3F4" w:rsidR="00426C3A" w:rsidRPr="00CA407E" w:rsidRDefault="00426C3A" w:rsidP="00426C3A">
            <w:pPr>
              <w:pStyle w:val="TableText"/>
            </w:pPr>
            <w:r w:rsidRPr="00CA407E">
              <w:lastRenderedPageBreak/>
              <w:t>Japanese plum (including prune)</w:t>
            </w:r>
          </w:p>
        </w:tc>
        <w:tc>
          <w:tcPr>
            <w:tcW w:w="669" w:type="pct"/>
            <w:tcBorders>
              <w:top w:val="single" w:sz="4" w:space="0" w:color="auto"/>
              <w:bottom w:val="single" w:sz="4" w:space="0" w:color="auto"/>
            </w:tcBorders>
            <w:vAlign w:val="center"/>
          </w:tcPr>
          <w:p w14:paraId="04C95209" w14:textId="77777777" w:rsidR="00426C3A" w:rsidRDefault="00426C3A" w:rsidP="00426C3A">
            <w:pPr>
              <w:pStyle w:val="TableText"/>
              <w:jc w:val="right"/>
            </w:pPr>
          </w:p>
        </w:tc>
        <w:tc>
          <w:tcPr>
            <w:tcW w:w="614" w:type="pct"/>
            <w:tcBorders>
              <w:top w:val="single" w:sz="4" w:space="0" w:color="auto"/>
              <w:bottom w:val="single" w:sz="4" w:space="0" w:color="auto"/>
            </w:tcBorders>
            <w:vAlign w:val="center"/>
          </w:tcPr>
          <w:p w14:paraId="3A5CE74E" w14:textId="6CBAF3F5" w:rsidR="00426C3A" w:rsidRPr="0063646D" w:rsidRDefault="00426C3A" w:rsidP="00426C3A">
            <w:pPr>
              <w:pStyle w:val="TableText"/>
              <w:jc w:val="right"/>
            </w:pPr>
            <w:r w:rsidRPr="00BB5650">
              <w:t>–</w:t>
            </w:r>
          </w:p>
        </w:tc>
        <w:tc>
          <w:tcPr>
            <w:tcW w:w="615" w:type="pct"/>
            <w:tcBorders>
              <w:top w:val="single" w:sz="4" w:space="0" w:color="auto"/>
              <w:bottom w:val="single" w:sz="4" w:space="0" w:color="auto"/>
            </w:tcBorders>
            <w:vAlign w:val="center"/>
          </w:tcPr>
          <w:p w14:paraId="1922727B" w14:textId="6A4492FE" w:rsidR="00426C3A" w:rsidRPr="0063646D" w:rsidRDefault="00426C3A" w:rsidP="00426C3A">
            <w:pPr>
              <w:pStyle w:val="TableText"/>
              <w:jc w:val="right"/>
            </w:pPr>
            <w:r w:rsidRPr="00BB5650">
              <w:t>–</w:t>
            </w:r>
          </w:p>
        </w:tc>
        <w:tc>
          <w:tcPr>
            <w:tcW w:w="613" w:type="pct"/>
            <w:tcBorders>
              <w:top w:val="single" w:sz="4" w:space="0" w:color="auto"/>
              <w:bottom w:val="single" w:sz="4" w:space="0" w:color="auto"/>
            </w:tcBorders>
            <w:vAlign w:val="center"/>
          </w:tcPr>
          <w:p w14:paraId="598E95AD" w14:textId="77777777" w:rsidR="00426C3A" w:rsidRPr="0063646D" w:rsidRDefault="00426C3A" w:rsidP="00426C3A">
            <w:pPr>
              <w:pStyle w:val="TableText"/>
              <w:jc w:val="right"/>
            </w:pPr>
          </w:p>
        </w:tc>
        <w:tc>
          <w:tcPr>
            <w:tcW w:w="614" w:type="pct"/>
            <w:tcBorders>
              <w:top w:val="single" w:sz="4" w:space="0" w:color="auto"/>
              <w:bottom w:val="single" w:sz="4" w:space="0" w:color="auto"/>
            </w:tcBorders>
            <w:vAlign w:val="center"/>
          </w:tcPr>
          <w:p w14:paraId="4E10E224" w14:textId="54EB59E7" w:rsidR="00426C3A" w:rsidRPr="0063646D" w:rsidRDefault="00426C3A" w:rsidP="00426C3A">
            <w:pPr>
              <w:pStyle w:val="TableText"/>
              <w:jc w:val="right"/>
            </w:pPr>
            <w:r w:rsidRPr="0063646D">
              <w:t>0.5</w:t>
            </w:r>
          </w:p>
        </w:tc>
        <w:tc>
          <w:tcPr>
            <w:tcW w:w="614" w:type="pct"/>
            <w:tcBorders>
              <w:top w:val="single" w:sz="4" w:space="0" w:color="auto"/>
              <w:bottom w:val="single" w:sz="4" w:space="0" w:color="auto"/>
            </w:tcBorders>
            <w:vAlign w:val="center"/>
          </w:tcPr>
          <w:p w14:paraId="78C0662D" w14:textId="70CC09C5" w:rsidR="00426C3A" w:rsidRPr="0063646D" w:rsidRDefault="00426C3A" w:rsidP="00426C3A">
            <w:pPr>
              <w:pStyle w:val="TableText"/>
              <w:jc w:val="right"/>
            </w:pPr>
            <w:r w:rsidRPr="00966B77">
              <w:t>–</w:t>
            </w:r>
          </w:p>
        </w:tc>
        <w:tc>
          <w:tcPr>
            <w:tcW w:w="615" w:type="pct"/>
            <w:tcBorders>
              <w:top w:val="single" w:sz="4" w:space="0" w:color="auto"/>
              <w:bottom w:val="single" w:sz="4" w:space="0" w:color="auto"/>
            </w:tcBorders>
            <w:vAlign w:val="center"/>
          </w:tcPr>
          <w:p w14:paraId="081CCA28" w14:textId="29FA71F8" w:rsidR="00426C3A" w:rsidRPr="0063646D" w:rsidRDefault="00426C3A" w:rsidP="00426C3A">
            <w:pPr>
              <w:pStyle w:val="TableText"/>
              <w:jc w:val="right"/>
            </w:pPr>
            <w:r w:rsidRPr="00966B77">
              <w:t>–</w:t>
            </w:r>
          </w:p>
        </w:tc>
      </w:tr>
      <w:tr w:rsidR="00426C3A" w14:paraId="3C986A51" w14:textId="77777777" w:rsidTr="00426C3A">
        <w:trPr>
          <w:cantSplit/>
        </w:trPr>
        <w:tc>
          <w:tcPr>
            <w:tcW w:w="646" w:type="pct"/>
            <w:tcBorders>
              <w:top w:val="single" w:sz="4" w:space="0" w:color="auto"/>
              <w:bottom w:val="single" w:sz="4" w:space="0" w:color="auto"/>
            </w:tcBorders>
          </w:tcPr>
          <w:p w14:paraId="518ACDD3" w14:textId="3E3366CD" w:rsidR="00426C3A" w:rsidRPr="00CA407E" w:rsidRDefault="00426C3A" w:rsidP="00426C3A">
            <w:pPr>
              <w:pStyle w:val="TableText"/>
            </w:pPr>
            <w:proofErr w:type="spellStart"/>
            <w:r w:rsidRPr="00CA407E">
              <w:t>Mune</w:t>
            </w:r>
            <w:proofErr w:type="spellEnd"/>
            <w:r w:rsidRPr="00CA407E">
              <w:t xml:space="preserve"> plum</w:t>
            </w:r>
          </w:p>
        </w:tc>
        <w:tc>
          <w:tcPr>
            <w:tcW w:w="669" w:type="pct"/>
            <w:tcBorders>
              <w:top w:val="single" w:sz="4" w:space="0" w:color="auto"/>
              <w:bottom w:val="single" w:sz="4" w:space="0" w:color="auto"/>
            </w:tcBorders>
            <w:vAlign w:val="center"/>
          </w:tcPr>
          <w:p w14:paraId="55070832" w14:textId="77777777" w:rsidR="00426C3A" w:rsidRDefault="00426C3A" w:rsidP="00426C3A">
            <w:pPr>
              <w:pStyle w:val="TableText"/>
              <w:jc w:val="right"/>
            </w:pPr>
          </w:p>
        </w:tc>
        <w:tc>
          <w:tcPr>
            <w:tcW w:w="614" w:type="pct"/>
            <w:tcBorders>
              <w:top w:val="single" w:sz="4" w:space="0" w:color="auto"/>
              <w:bottom w:val="single" w:sz="4" w:space="0" w:color="auto"/>
            </w:tcBorders>
            <w:vAlign w:val="center"/>
          </w:tcPr>
          <w:p w14:paraId="09D23943" w14:textId="0D92539C" w:rsidR="00426C3A" w:rsidRPr="0063646D" w:rsidRDefault="00426C3A" w:rsidP="00426C3A">
            <w:pPr>
              <w:pStyle w:val="TableText"/>
              <w:jc w:val="right"/>
            </w:pPr>
            <w:r w:rsidRPr="00BB5650">
              <w:t>–</w:t>
            </w:r>
          </w:p>
        </w:tc>
        <w:tc>
          <w:tcPr>
            <w:tcW w:w="615" w:type="pct"/>
            <w:tcBorders>
              <w:top w:val="single" w:sz="4" w:space="0" w:color="auto"/>
              <w:bottom w:val="single" w:sz="4" w:space="0" w:color="auto"/>
            </w:tcBorders>
            <w:vAlign w:val="center"/>
          </w:tcPr>
          <w:p w14:paraId="60EB83AC" w14:textId="0CC1021C" w:rsidR="00426C3A" w:rsidRPr="0063646D" w:rsidRDefault="00426C3A" w:rsidP="00426C3A">
            <w:pPr>
              <w:pStyle w:val="TableText"/>
              <w:jc w:val="right"/>
            </w:pPr>
            <w:r w:rsidRPr="00BB5650">
              <w:t>–</w:t>
            </w:r>
          </w:p>
        </w:tc>
        <w:tc>
          <w:tcPr>
            <w:tcW w:w="613" w:type="pct"/>
            <w:tcBorders>
              <w:top w:val="single" w:sz="4" w:space="0" w:color="auto"/>
              <w:bottom w:val="single" w:sz="4" w:space="0" w:color="auto"/>
            </w:tcBorders>
            <w:vAlign w:val="center"/>
          </w:tcPr>
          <w:p w14:paraId="46275080" w14:textId="77777777" w:rsidR="00426C3A" w:rsidRPr="0063646D" w:rsidRDefault="00426C3A" w:rsidP="00426C3A">
            <w:pPr>
              <w:pStyle w:val="TableText"/>
              <w:jc w:val="right"/>
            </w:pPr>
          </w:p>
        </w:tc>
        <w:tc>
          <w:tcPr>
            <w:tcW w:w="614" w:type="pct"/>
            <w:tcBorders>
              <w:top w:val="single" w:sz="4" w:space="0" w:color="auto"/>
              <w:bottom w:val="single" w:sz="4" w:space="0" w:color="auto"/>
            </w:tcBorders>
            <w:vAlign w:val="center"/>
          </w:tcPr>
          <w:p w14:paraId="6D48115E" w14:textId="1FF6C2AC" w:rsidR="00426C3A" w:rsidRPr="0063646D" w:rsidRDefault="00426C3A" w:rsidP="00426C3A">
            <w:pPr>
              <w:pStyle w:val="TableText"/>
              <w:jc w:val="right"/>
            </w:pPr>
            <w:r w:rsidRPr="0063646D">
              <w:t>10</w:t>
            </w:r>
          </w:p>
        </w:tc>
        <w:tc>
          <w:tcPr>
            <w:tcW w:w="614" w:type="pct"/>
            <w:tcBorders>
              <w:top w:val="single" w:sz="4" w:space="0" w:color="auto"/>
              <w:bottom w:val="single" w:sz="4" w:space="0" w:color="auto"/>
            </w:tcBorders>
            <w:vAlign w:val="center"/>
          </w:tcPr>
          <w:p w14:paraId="00CF3F4F" w14:textId="318C4354" w:rsidR="00426C3A" w:rsidRPr="0063646D" w:rsidRDefault="00426C3A" w:rsidP="00426C3A">
            <w:pPr>
              <w:pStyle w:val="TableText"/>
              <w:jc w:val="right"/>
            </w:pPr>
            <w:r w:rsidRPr="00966B77">
              <w:t>–</w:t>
            </w:r>
          </w:p>
        </w:tc>
        <w:tc>
          <w:tcPr>
            <w:tcW w:w="615" w:type="pct"/>
            <w:tcBorders>
              <w:top w:val="single" w:sz="4" w:space="0" w:color="auto"/>
              <w:bottom w:val="single" w:sz="4" w:space="0" w:color="auto"/>
            </w:tcBorders>
            <w:vAlign w:val="center"/>
          </w:tcPr>
          <w:p w14:paraId="29BC6C6D" w14:textId="0DE6EBA9" w:rsidR="00426C3A" w:rsidRPr="0063646D" w:rsidRDefault="00426C3A" w:rsidP="00426C3A">
            <w:pPr>
              <w:pStyle w:val="TableText"/>
              <w:jc w:val="right"/>
            </w:pPr>
            <w:r w:rsidRPr="00966B77">
              <w:t>–</w:t>
            </w:r>
          </w:p>
        </w:tc>
      </w:tr>
      <w:tr w:rsidR="00426C3A" w14:paraId="6B048610" w14:textId="77777777" w:rsidTr="00426C3A">
        <w:trPr>
          <w:cantSplit/>
        </w:trPr>
        <w:tc>
          <w:tcPr>
            <w:tcW w:w="646" w:type="pct"/>
            <w:tcBorders>
              <w:top w:val="single" w:sz="4" w:space="0" w:color="auto"/>
              <w:bottom w:val="single" w:sz="4" w:space="0" w:color="auto"/>
            </w:tcBorders>
          </w:tcPr>
          <w:p w14:paraId="76C456A6" w14:textId="2798143E" w:rsidR="00426C3A" w:rsidRPr="00CA407E" w:rsidRDefault="00426C3A" w:rsidP="00426C3A">
            <w:pPr>
              <w:pStyle w:val="TableText"/>
            </w:pPr>
            <w:r w:rsidRPr="00CA407E">
              <w:t>Cherry</w:t>
            </w:r>
          </w:p>
        </w:tc>
        <w:tc>
          <w:tcPr>
            <w:tcW w:w="669" w:type="pct"/>
            <w:tcBorders>
              <w:top w:val="single" w:sz="4" w:space="0" w:color="auto"/>
              <w:bottom w:val="single" w:sz="4" w:space="0" w:color="auto"/>
            </w:tcBorders>
            <w:vAlign w:val="center"/>
          </w:tcPr>
          <w:p w14:paraId="653D12F7" w14:textId="104D4EE4" w:rsidR="00426C3A" w:rsidRDefault="00426C3A" w:rsidP="00426C3A">
            <w:pPr>
              <w:pStyle w:val="TableText"/>
              <w:jc w:val="right"/>
            </w:pPr>
            <w:r>
              <w:t>7</w:t>
            </w:r>
          </w:p>
        </w:tc>
        <w:tc>
          <w:tcPr>
            <w:tcW w:w="614" w:type="pct"/>
            <w:tcBorders>
              <w:top w:val="single" w:sz="4" w:space="0" w:color="auto"/>
              <w:bottom w:val="single" w:sz="4" w:space="0" w:color="auto"/>
            </w:tcBorders>
            <w:vAlign w:val="center"/>
          </w:tcPr>
          <w:p w14:paraId="730D86E3" w14:textId="6E3053E6" w:rsidR="00426C3A" w:rsidRPr="0063646D" w:rsidRDefault="00426C3A" w:rsidP="00426C3A">
            <w:pPr>
              <w:pStyle w:val="TableText"/>
              <w:jc w:val="right"/>
            </w:pPr>
            <w:r w:rsidRPr="00BB5650">
              <w:t>–</w:t>
            </w:r>
          </w:p>
        </w:tc>
        <w:tc>
          <w:tcPr>
            <w:tcW w:w="615" w:type="pct"/>
            <w:tcBorders>
              <w:top w:val="single" w:sz="4" w:space="0" w:color="auto"/>
              <w:bottom w:val="single" w:sz="4" w:space="0" w:color="auto"/>
            </w:tcBorders>
            <w:vAlign w:val="center"/>
          </w:tcPr>
          <w:p w14:paraId="68FCA7A7" w14:textId="74597D4F" w:rsidR="00426C3A" w:rsidRPr="0063646D" w:rsidRDefault="00426C3A" w:rsidP="00426C3A">
            <w:pPr>
              <w:pStyle w:val="TableText"/>
              <w:jc w:val="right"/>
            </w:pPr>
            <w:r w:rsidRPr="00BB5650">
              <w:t>–</w:t>
            </w:r>
          </w:p>
        </w:tc>
        <w:tc>
          <w:tcPr>
            <w:tcW w:w="613" w:type="pct"/>
            <w:tcBorders>
              <w:top w:val="single" w:sz="4" w:space="0" w:color="auto"/>
              <w:bottom w:val="single" w:sz="4" w:space="0" w:color="auto"/>
            </w:tcBorders>
            <w:vAlign w:val="center"/>
          </w:tcPr>
          <w:p w14:paraId="3FB88ECE" w14:textId="2085687B"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264B4636" w14:textId="3905EFAA" w:rsidR="00426C3A" w:rsidRPr="0063646D" w:rsidRDefault="00426C3A" w:rsidP="00426C3A">
            <w:pPr>
              <w:pStyle w:val="TableText"/>
              <w:jc w:val="right"/>
            </w:pPr>
            <w:r w:rsidRPr="0063646D">
              <w:t>5</w:t>
            </w:r>
          </w:p>
        </w:tc>
        <w:tc>
          <w:tcPr>
            <w:tcW w:w="614" w:type="pct"/>
            <w:tcBorders>
              <w:top w:val="single" w:sz="4" w:space="0" w:color="auto"/>
              <w:bottom w:val="single" w:sz="4" w:space="0" w:color="auto"/>
            </w:tcBorders>
            <w:vAlign w:val="center"/>
          </w:tcPr>
          <w:p w14:paraId="30D14322" w14:textId="33C8280F" w:rsidR="00426C3A" w:rsidRPr="0063646D" w:rsidRDefault="00426C3A" w:rsidP="00426C3A">
            <w:pPr>
              <w:pStyle w:val="TableText"/>
              <w:jc w:val="right"/>
            </w:pPr>
            <w:r w:rsidRPr="0063646D">
              <w:t>5</w:t>
            </w:r>
          </w:p>
        </w:tc>
        <w:tc>
          <w:tcPr>
            <w:tcW w:w="615" w:type="pct"/>
            <w:tcBorders>
              <w:top w:val="single" w:sz="4" w:space="0" w:color="auto"/>
              <w:bottom w:val="single" w:sz="4" w:space="0" w:color="auto"/>
            </w:tcBorders>
            <w:vAlign w:val="center"/>
          </w:tcPr>
          <w:p w14:paraId="67094E0F" w14:textId="5A61CEA5" w:rsidR="00426C3A" w:rsidRPr="0063646D" w:rsidRDefault="00426C3A" w:rsidP="00426C3A">
            <w:pPr>
              <w:pStyle w:val="TableText"/>
              <w:jc w:val="right"/>
            </w:pPr>
            <w:r w:rsidRPr="003D61F9">
              <w:t>–</w:t>
            </w:r>
          </w:p>
        </w:tc>
      </w:tr>
      <w:tr w:rsidR="00426C3A" w14:paraId="08F8E178" w14:textId="77777777" w:rsidTr="00426C3A">
        <w:trPr>
          <w:cantSplit/>
        </w:trPr>
        <w:tc>
          <w:tcPr>
            <w:tcW w:w="646" w:type="pct"/>
            <w:tcBorders>
              <w:top w:val="single" w:sz="4" w:space="0" w:color="auto"/>
              <w:bottom w:val="single" w:sz="4" w:space="0" w:color="auto"/>
            </w:tcBorders>
          </w:tcPr>
          <w:p w14:paraId="6D1D4BA9" w14:textId="4EEE6C5E" w:rsidR="00426C3A" w:rsidRPr="00CA407E" w:rsidRDefault="00426C3A" w:rsidP="00426C3A">
            <w:pPr>
              <w:pStyle w:val="TableText"/>
            </w:pPr>
            <w:r w:rsidRPr="00CA407E">
              <w:t>Canola (rape seed)</w:t>
            </w:r>
          </w:p>
        </w:tc>
        <w:tc>
          <w:tcPr>
            <w:tcW w:w="669" w:type="pct"/>
            <w:tcBorders>
              <w:top w:val="single" w:sz="4" w:space="0" w:color="auto"/>
              <w:bottom w:val="single" w:sz="4" w:space="0" w:color="auto"/>
            </w:tcBorders>
            <w:vAlign w:val="center"/>
          </w:tcPr>
          <w:p w14:paraId="17EC8AA8" w14:textId="2BC03FB2" w:rsidR="00426C3A" w:rsidRDefault="00426C3A" w:rsidP="00426C3A">
            <w:pPr>
              <w:pStyle w:val="TableText"/>
              <w:jc w:val="right"/>
            </w:pPr>
            <w:r w:rsidRPr="0063646D">
              <w:t>0.5</w:t>
            </w:r>
          </w:p>
        </w:tc>
        <w:tc>
          <w:tcPr>
            <w:tcW w:w="614" w:type="pct"/>
            <w:tcBorders>
              <w:top w:val="single" w:sz="4" w:space="0" w:color="auto"/>
              <w:bottom w:val="single" w:sz="4" w:space="0" w:color="auto"/>
            </w:tcBorders>
            <w:vAlign w:val="center"/>
          </w:tcPr>
          <w:p w14:paraId="68901709" w14:textId="2084A144" w:rsidR="00426C3A" w:rsidRPr="0063646D" w:rsidRDefault="00426C3A" w:rsidP="00426C3A">
            <w:pPr>
              <w:pStyle w:val="TableText"/>
              <w:jc w:val="right"/>
            </w:pPr>
            <w:r w:rsidRPr="00BB5650">
              <w:t>–</w:t>
            </w:r>
          </w:p>
        </w:tc>
        <w:tc>
          <w:tcPr>
            <w:tcW w:w="615" w:type="pct"/>
            <w:tcBorders>
              <w:top w:val="single" w:sz="4" w:space="0" w:color="auto"/>
              <w:bottom w:val="single" w:sz="4" w:space="0" w:color="auto"/>
            </w:tcBorders>
            <w:vAlign w:val="center"/>
          </w:tcPr>
          <w:p w14:paraId="7AD0A376" w14:textId="4DAB5EF3" w:rsidR="00426C3A" w:rsidRPr="0063646D" w:rsidRDefault="00426C3A" w:rsidP="00426C3A">
            <w:pPr>
              <w:pStyle w:val="TableText"/>
              <w:jc w:val="right"/>
            </w:pPr>
            <w:r w:rsidRPr="00BB5650">
              <w:t>–</w:t>
            </w:r>
          </w:p>
        </w:tc>
        <w:tc>
          <w:tcPr>
            <w:tcW w:w="613" w:type="pct"/>
            <w:tcBorders>
              <w:top w:val="single" w:sz="4" w:space="0" w:color="auto"/>
              <w:bottom w:val="single" w:sz="4" w:space="0" w:color="auto"/>
            </w:tcBorders>
            <w:vAlign w:val="center"/>
          </w:tcPr>
          <w:p w14:paraId="311BD4FD" w14:textId="543924DE" w:rsidR="00426C3A" w:rsidRPr="0063646D" w:rsidRDefault="00426C3A" w:rsidP="00426C3A">
            <w:pPr>
              <w:pStyle w:val="TableText"/>
              <w:jc w:val="right"/>
            </w:pPr>
            <w:r w:rsidRPr="0063646D">
              <w:t>*0.02</w:t>
            </w:r>
          </w:p>
        </w:tc>
        <w:tc>
          <w:tcPr>
            <w:tcW w:w="614" w:type="pct"/>
            <w:tcBorders>
              <w:top w:val="single" w:sz="4" w:space="0" w:color="auto"/>
              <w:bottom w:val="single" w:sz="4" w:space="0" w:color="auto"/>
            </w:tcBorders>
            <w:vAlign w:val="center"/>
          </w:tcPr>
          <w:p w14:paraId="13C6AFC6" w14:textId="2F48454C" w:rsidR="00426C3A" w:rsidRPr="0063646D" w:rsidRDefault="00426C3A" w:rsidP="00426C3A">
            <w:pPr>
              <w:pStyle w:val="TableText"/>
              <w:jc w:val="right"/>
            </w:pPr>
            <w:r w:rsidRPr="0063646D">
              <w:t>2</w:t>
            </w:r>
          </w:p>
        </w:tc>
        <w:tc>
          <w:tcPr>
            <w:tcW w:w="614" w:type="pct"/>
            <w:tcBorders>
              <w:top w:val="single" w:sz="4" w:space="0" w:color="auto"/>
              <w:bottom w:val="single" w:sz="4" w:space="0" w:color="auto"/>
            </w:tcBorders>
            <w:vAlign w:val="center"/>
          </w:tcPr>
          <w:p w14:paraId="48520BCE" w14:textId="615A4072" w:rsidR="00426C3A" w:rsidRPr="0063646D" w:rsidRDefault="00426C3A" w:rsidP="00426C3A">
            <w:pPr>
              <w:pStyle w:val="TableText"/>
              <w:jc w:val="right"/>
            </w:pPr>
            <w:r w:rsidRPr="00352F27">
              <w:t>–</w:t>
            </w:r>
          </w:p>
        </w:tc>
        <w:tc>
          <w:tcPr>
            <w:tcW w:w="615" w:type="pct"/>
            <w:tcBorders>
              <w:top w:val="single" w:sz="4" w:space="0" w:color="auto"/>
              <w:bottom w:val="single" w:sz="4" w:space="0" w:color="auto"/>
            </w:tcBorders>
            <w:vAlign w:val="center"/>
          </w:tcPr>
          <w:p w14:paraId="0E9BC59D" w14:textId="3A4FC279" w:rsidR="00426C3A" w:rsidRPr="0063646D" w:rsidRDefault="00426C3A" w:rsidP="00426C3A">
            <w:pPr>
              <w:pStyle w:val="TableText"/>
              <w:jc w:val="right"/>
            </w:pPr>
            <w:r w:rsidRPr="00352F27">
              <w:t>–</w:t>
            </w:r>
          </w:p>
        </w:tc>
      </w:tr>
      <w:tr w:rsidR="00426C3A" w14:paraId="4E42E012" w14:textId="77777777" w:rsidTr="00426C3A">
        <w:trPr>
          <w:cantSplit/>
        </w:trPr>
        <w:tc>
          <w:tcPr>
            <w:tcW w:w="646" w:type="pct"/>
            <w:tcBorders>
              <w:top w:val="single" w:sz="4" w:space="0" w:color="auto"/>
              <w:bottom w:val="single" w:sz="4" w:space="0" w:color="auto"/>
            </w:tcBorders>
          </w:tcPr>
          <w:p w14:paraId="27757085" w14:textId="769AEB1A" w:rsidR="00426C3A" w:rsidRPr="00CA407E" w:rsidRDefault="00426C3A" w:rsidP="00426C3A">
            <w:pPr>
              <w:pStyle w:val="TableText"/>
            </w:pPr>
            <w:r w:rsidRPr="00CA407E">
              <w:t>Canola (rape seed) oil, crude</w:t>
            </w:r>
          </w:p>
        </w:tc>
        <w:tc>
          <w:tcPr>
            <w:tcW w:w="669" w:type="pct"/>
            <w:tcBorders>
              <w:top w:val="single" w:sz="4" w:space="0" w:color="auto"/>
              <w:bottom w:val="single" w:sz="4" w:space="0" w:color="auto"/>
            </w:tcBorders>
            <w:vAlign w:val="center"/>
          </w:tcPr>
          <w:p w14:paraId="5F6A73E2" w14:textId="303A391C" w:rsidR="00426C3A" w:rsidRPr="0063646D" w:rsidRDefault="00426C3A" w:rsidP="00426C3A">
            <w:pPr>
              <w:pStyle w:val="TableText"/>
              <w:jc w:val="right"/>
            </w:pPr>
            <w:r w:rsidRPr="00F56C94">
              <w:t>2</w:t>
            </w:r>
          </w:p>
        </w:tc>
        <w:tc>
          <w:tcPr>
            <w:tcW w:w="614" w:type="pct"/>
            <w:tcBorders>
              <w:top w:val="single" w:sz="4" w:space="0" w:color="auto"/>
              <w:bottom w:val="single" w:sz="4" w:space="0" w:color="auto"/>
            </w:tcBorders>
            <w:vAlign w:val="center"/>
          </w:tcPr>
          <w:p w14:paraId="11EC8F94" w14:textId="107F254A" w:rsidR="00426C3A" w:rsidRPr="0063646D" w:rsidRDefault="00426C3A" w:rsidP="00426C3A">
            <w:pPr>
              <w:pStyle w:val="TableText"/>
              <w:jc w:val="right"/>
            </w:pPr>
            <w:r w:rsidRPr="00C33B08">
              <w:t>–</w:t>
            </w:r>
          </w:p>
        </w:tc>
        <w:tc>
          <w:tcPr>
            <w:tcW w:w="615" w:type="pct"/>
            <w:tcBorders>
              <w:top w:val="single" w:sz="4" w:space="0" w:color="auto"/>
              <w:bottom w:val="single" w:sz="4" w:space="0" w:color="auto"/>
            </w:tcBorders>
            <w:vAlign w:val="center"/>
          </w:tcPr>
          <w:p w14:paraId="3B4CD883" w14:textId="6678BA42" w:rsidR="00426C3A" w:rsidRPr="0063646D" w:rsidRDefault="00426C3A" w:rsidP="00426C3A">
            <w:pPr>
              <w:pStyle w:val="TableText"/>
              <w:jc w:val="right"/>
            </w:pPr>
            <w:r w:rsidRPr="00C33B08">
              <w:t>–</w:t>
            </w:r>
          </w:p>
        </w:tc>
        <w:tc>
          <w:tcPr>
            <w:tcW w:w="613" w:type="pct"/>
            <w:tcBorders>
              <w:top w:val="single" w:sz="4" w:space="0" w:color="auto"/>
              <w:bottom w:val="single" w:sz="4" w:space="0" w:color="auto"/>
            </w:tcBorders>
            <w:vAlign w:val="center"/>
          </w:tcPr>
          <w:p w14:paraId="0E1AF8D4" w14:textId="30FFFAEC" w:rsidR="00426C3A" w:rsidRPr="0063646D" w:rsidRDefault="00426C3A" w:rsidP="00426C3A">
            <w:pPr>
              <w:pStyle w:val="TableText"/>
              <w:jc w:val="right"/>
            </w:pPr>
            <w:r w:rsidRPr="00C33B08">
              <w:t>–</w:t>
            </w:r>
          </w:p>
        </w:tc>
        <w:tc>
          <w:tcPr>
            <w:tcW w:w="614" w:type="pct"/>
            <w:tcBorders>
              <w:top w:val="single" w:sz="4" w:space="0" w:color="auto"/>
              <w:bottom w:val="single" w:sz="4" w:space="0" w:color="auto"/>
            </w:tcBorders>
            <w:vAlign w:val="center"/>
          </w:tcPr>
          <w:p w14:paraId="3BC88B52" w14:textId="1E5E1E14" w:rsidR="00426C3A" w:rsidRPr="0063646D" w:rsidRDefault="00426C3A" w:rsidP="00426C3A">
            <w:pPr>
              <w:pStyle w:val="TableText"/>
              <w:jc w:val="right"/>
            </w:pPr>
            <w:r w:rsidRPr="00C33B08">
              <w:t>–</w:t>
            </w:r>
          </w:p>
        </w:tc>
        <w:tc>
          <w:tcPr>
            <w:tcW w:w="614" w:type="pct"/>
            <w:tcBorders>
              <w:top w:val="single" w:sz="4" w:space="0" w:color="auto"/>
              <w:bottom w:val="single" w:sz="4" w:space="0" w:color="auto"/>
            </w:tcBorders>
            <w:vAlign w:val="center"/>
          </w:tcPr>
          <w:p w14:paraId="1795AC5F" w14:textId="7A434378" w:rsidR="00426C3A" w:rsidRPr="0063646D" w:rsidRDefault="00426C3A" w:rsidP="00426C3A">
            <w:pPr>
              <w:pStyle w:val="TableText"/>
              <w:jc w:val="right"/>
            </w:pPr>
            <w:r w:rsidRPr="00C33B08">
              <w:t>–</w:t>
            </w:r>
          </w:p>
        </w:tc>
        <w:tc>
          <w:tcPr>
            <w:tcW w:w="615" w:type="pct"/>
            <w:tcBorders>
              <w:top w:val="single" w:sz="4" w:space="0" w:color="auto"/>
              <w:bottom w:val="single" w:sz="4" w:space="0" w:color="auto"/>
            </w:tcBorders>
            <w:vAlign w:val="center"/>
          </w:tcPr>
          <w:p w14:paraId="64027B59" w14:textId="30D8C62C" w:rsidR="00426C3A" w:rsidRPr="0063646D" w:rsidRDefault="00426C3A" w:rsidP="00426C3A">
            <w:pPr>
              <w:pStyle w:val="TableText"/>
              <w:jc w:val="right"/>
            </w:pPr>
            <w:r w:rsidRPr="00C33B08">
              <w:t>–</w:t>
            </w:r>
          </w:p>
        </w:tc>
      </w:tr>
      <w:tr w:rsidR="00426C3A" w14:paraId="6F8C4F99" w14:textId="77777777" w:rsidTr="00426C3A">
        <w:trPr>
          <w:cantSplit/>
        </w:trPr>
        <w:tc>
          <w:tcPr>
            <w:tcW w:w="646" w:type="pct"/>
            <w:tcBorders>
              <w:top w:val="single" w:sz="4" w:space="0" w:color="auto"/>
              <w:bottom w:val="single" w:sz="4" w:space="0" w:color="auto"/>
            </w:tcBorders>
          </w:tcPr>
          <w:p w14:paraId="23983CA7" w14:textId="74D69ACA" w:rsidR="00426C3A" w:rsidRPr="00CA407E" w:rsidRDefault="00426C3A" w:rsidP="00426C3A">
            <w:pPr>
              <w:pStyle w:val="TableText"/>
            </w:pPr>
            <w:r w:rsidRPr="00CA407E">
              <w:t>Lentils</w:t>
            </w:r>
          </w:p>
        </w:tc>
        <w:tc>
          <w:tcPr>
            <w:tcW w:w="669" w:type="pct"/>
            <w:tcBorders>
              <w:top w:val="single" w:sz="4" w:space="0" w:color="auto"/>
              <w:bottom w:val="single" w:sz="4" w:space="0" w:color="auto"/>
            </w:tcBorders>
            <w:vAlign w:val="center"/>
          </w:tcPr>
          <w:p w14:paraId="225B9787" w14:textId="67FD1B1C" w:rsidR="00426C3A" w:rsidRPr="00F56C94" w:rsidRDefault="00426C3A" w:rsidP="00426C3A">
            <w:pPr>
              <w:pStyle w:val="TableText"/>
              <w:jc w:val="right"/>
            </w:pPr>
            <w:r w:rsidRPr="00F56C94">
              <w:t>0.5 (established)</w:t>
            </w:r>
          </w:p>
        </w:tc>
        <w:tc>
          <w:tcPr>
            <w:tcW w:w="614" w:type="pct"/>
            <w:tcBorders>
              <w:top w:val="single" w:sz="4" w:space="0" w:color="auto"/>
              <w:bottom w:val="single" w:sz="4" w:space="0" w:color="auto"/>
            </w:tcBorders>
            <w:vAlign w:val="center"/>
          </w:tcPr>
          <w:p w14:paraId="2ED0ED1C" w14:textId="33FDEB24" w:rsidR="00426C3A" w:rsidRPr="0063646D" w:rsidRDefault="00426C3A" w:rsidP="00426C3A">
            <w:pPr>
              <w:pStyle w:val="TableText"/>
              <w:jc w:val="right"/>
            </w:pPr>
            <w:r w:rsidRPr="00CF0B5E">
              <w:t>–</w:t>
            </w:r>
          </w:p>
        </w:tc>
        <w:tc>
          <w:tcPr>
            <w:tcW w:w="615" w:type="pct"/>
            <w:tcBorders>
              <w:top w:val="single" w:sz="4" w:space="0" w:color="auto"/>
              <w:bottom w:val="single" w:sz="4" w:space="0" w:color="auto"/>
            </w:tcBorders>
            <w:vAlign w:val="center"/>
          </w:tcPr>
          <w:p w14:paraId="20252790" w14:textId="42C19EFA" w:rsidR="00426C3A" w:rsidRPr="0063646D" w:rsidRDefault="00426C3A" w:rsidP="00426C3A">
            <w:pPr>
              <w:pStyle w:val="TableText"/>
              <w:jc w:val="right"/>
            </w:pPr>
            <w:r w:rsidRPr="00CF0B5E">
              <w:t>–</w:t>
            </w:r>
          </w:p>
        </w:tc>
        <w:tc>
          <w:tcPr>
            <w:tcW w:w="613" w:type="pct"/>
            <w:tcBorders>
              <w:top w:val="single" w:sz="4" w:space="0" w:color="auto"/>
              <w:bottom w:val="single" w:sz="4" w:space="0" w:color="auto"/>
            </w:tcBorders>
            <w:vAlign w:val="center"/>
          </w:tcPr>
          <w:p w14:paraId="4C6B715D" w14:textId="132DDE86"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50E8E383" w14:textId="61BE69E2" w:rsidR="00426C3A" w:rsidRPr="0063646D" w:rsidRDefault="00426C3A" w:rsidP="00426C3A">
            <w:pPr>
              <w:pStyle w:val="TableText"/>
              <w:jc w:val="right"/>
            </w:pPr>
            <w:r w:rsidRPr="0063646D">
              <w:t>(</w:t>
            </w:r>
            <w:r>
              <w:t>2</w:t>
            </w:r>
            <w:r w:rsidRPr="0063646D">
              <w:t xml:space="preserve"> – </w:t>
            </w:r>
            <w:r>
              <w:t>Other legumes</w:t>
            </w:r>
            <w:r w:rsidRPr="0063646D">
              <w:t xml:space="preserve">, </w:t>
            </w:r>
            <w:r>
              <w:t>pulses</w:t>
            </w:r>
            <w:r w:rsidRPr="0063646D">
              <w:t>)</w:t>
            </w:r>
          </w:p>
        </w:tc>
        <w:tc>
          <w:tcPr>
            <w:tcW w:w="614" w:type="pct"/>
            <w:tcBorders>
              <w:top w:val="single" w:sz="4" w:space="0" w:color="auto"/>
              <w:bottom w:val="single" w:sz="4" w:space="0" w:color="auto"/>
            </w:tcBorders>
            <w:vAlign w:val="center"/>
          </w:tcPr>
          <w:p w14:paraId="116CF38E" w14:textId="306B94EA" w:rsidR="00426C3A" w:rsidRPr="0063646D" w:rsidRDefault="00426C3A" w:rsidP="00426C3A">
            <w:pPr>
              <w:pStyle w:val="TableText"/>
              <w:jc w:val="right"/>
            </w:pPr>
            <w:r w:rsidRPr="003D61F9">
              <w:t>–</w:t>
            </w:r>
          </w:p>
        </w:tc>
        <w:tc>
          <w:tcPr>
            <w:tcW w:w="615" w:type="pct"/>
            <w:tcBorders>
              <w:top w:val="single" w:sz="4" w:space="0" w:color="auto"/>
              <w:bottom w:val="single" w:sz="4" w:space="0" w:color="auto"/>
            </w:tcBorders>
            <w:vAlign w:val="center"/>
          </w:tcPr>
          <w:p w14:paraId="1BC855B2" w14:textId="15D6FE84" w:rsidR="00426C3A" w:rsidRPr="0063646D" w:rsidRDefault="00426C3A" w:rsidP="00426C3A">
            <w:pPr>
              <w:pStyle w:val="TableText"/>
              <w:jc w:val="right"/>
            </w:pPr>
            <w:r>
              <w:t>2 (Peas and beans)</w:t>
            </w:r>
          </w:p>
        </w:tc>
      </w:tr>
      <w:tr w:rsidR="00426C3A" w14:paraId="7372806E" w14:textId="77777777" w:rsidTr="00426C3A">
        <w:trPr>
          <w:cantSplit/>
        </w:trPr>
        <w:tc>
          <w:tcPr>
            <w:tcW w:w="646" w:type="pct"/>
            <w:tcBorders>
              <w:top w:val="single" w:sz="4" w:space="0" w:color="auto"/>
              <w:bottom w:val="single" w:sz="4" w:space="0" w:color="auto"/>
            </w:tcBorders>
          </w:tcPr>
          <w:p w14:paraId="2BEF5C5C" w14:textId="0AB5DE92" w:rsidR="00426C3A" w:rsidRPr="00CA407E" w:rsidRDefault="00426C3A" w:rsidP="00426C3A">
            <w:pPr>
              <w:pStyle w:val="TableText"/>
            </w:pPr>
            <w:r w:rsidRPr="00CA407E">
              <w:t>Meat [in the fat]</w:t>
            </w:r>
          </w:p>
        </w:tc>
        <w:tc>
          <w:tcPr>
            <w:tcW w:w="669" w:type="pct"/>
            <w:tcBorders>
              <w:top w:val="single" w:sz="4" w:space="0" w:color="auto"/>
              <w:bottom w:val="single" w:sz="4" w:space="0" w:color="auto"/>
            </w:tcBorders>
            <w:vAlign w:val="center"/>
          </w:tcPr>
          <w:p w14:paraId="18B6F377" w14:textId="7E283C03" w:rsidR="00426C3A" w:rsidRPr="00F56C94" w:rsidRDefault="00426C3A" w:rsidP="00426C3A">
            <w:pPr>
              <w:pStyle w:val="TableText"/>
              <w:jc w:val="right"/>
            </w:pPr>
            <w:r w:rsidRPr="00F56C94">
              <w:t>0.2</w:t>
            </w:r>
          </w:p>
        </w:tc>
        <w:tc>
          <w:tcPr>
            <w:tcW w:w="614" w:type="pct"/>
            <w:tcBorders>
              <w:top w:val="single" w:sz="4" w:space="0" w:color="auto"/>
              <w:bottom w:val="single" w:sz="4" w:space="0" w:color="auto"/>
            </w:tcBorders>
            <w:vAlign w:val="center"/>
          </w:tcPr>
          <w:p w14:paraId="3DA6DEFE" w14:textId="7619FFE2" w:rsidR="00426C3A" w:rsidRPr="0063646D" w:rsidRDefault="00426C3A" w:rsidP="00426C3A">
            <w:pPr>
              <w:pStyle w:val="TableText"/>
              <w:jc w:val="right"/>
            </w:pPr>
            <w:r w:rsidRPr="000F1E32">
              <w:t>–</w:t>
            </w:r>
          </w:p>
        </w:tc>
        <w:tc>
          <w:tcPr>
            <w:tcW w:w="615" w:type="pct"/>
            <w:tcBorders>
              <w:top w:val="single" w:sz="4" w:space="0" w:color="auto"/>
              <w:bottom w:val="single" w:sz="4" w:space="0" w:color="auto"/>
            </w:tcBorders>
            <w:vAlign w:val="center"/>
          </w:tcPr>
          <w:p w14:paraId="45C58A0B" w14:textId="19F39F5D" w:rsidR="00426C3A" w:rsidRPr="0063646D" w:rsidRDefault="00426C3A" w:rsidP="00426C3A">
            <w:pPr>
              <w:pStyle w:val="TableText"/>
              <w:jc w:val="right"/>
            </w:pPr>
            <w:r w:rsidRPr="000F1E32">
              <w:t>–</w:t>
            </w:r>
          </w:p>
        </w:tc>
        <w:tc>
          <w:tcPr>
            <w:tcW w:w="613" w:type="pct"/>
            <w:tcBorders>
              <w:top w:val="single" w:sz="4" w:space="0" w:color="auto"/>
              <w:bottom w:val="single" w:sz="4" w:space="0" w:color="auto"/>
            </w:tcBorders>
            <w:vAlign w:val="center"/>
          </w:tcPr>
          <w:p w14:paraId="464DA4AF" w14:textId="4633836A" w:rsidR="00426C3A" w:rsidRPr="0063646D" w:rsidRDefault="00426C3A" w:rsidP="00426C3A">
            <w:pPr>
              <w:pStyle w:val="TableText"/>
              <w:jc w:val="right"/>
            </w:pPr>
            <w:r w:rsidRPr="000F1E32">
              <w:t>–</w:t>
            </w:r>
          </w:p>
        </w:tc>
        <w:tc>
          <w:tcPr>
            <w:tcW w:w="614" w:type="pct"/>
            <w:tcBorders>
              <w:top w:val="single" w:sz="4" w:space="0" w:color="auto"/>
              <w:bottom w:val="single" w:sz="4" w:space="0" w:color="auto"/>
            </w:tcBorders>
            <w:vAlign w:val="center"/>
          </w:tcPr>
          <w:p w14:paraId="2BB39B80" w14:textId="1E898D41" w:rsidR="00426C3A" w:rsidRPr="0063646D" w:rsidRDefault="00426C3A" w:rsidP="00426C3A">
            <w:pPr>
              <w:pStyle w:val="TableText"/>
              <w:jc w:val="right"/>
            </w:pPr>
            <w:r w:rsidRPr="000F1E32">
              <w:t>–</w:t>
            </w:r>
          </w:p>
        </w:tc>
        <w:tc>
          <w:tcPr>
            <w:tcW w:w="614" w:type="pct"/>
            <w:tcBorders>
              <w:top w:val="single" w:sz="4" w:space="0" w:color="auto"/>
              <w:bottom w:val="single" w:sz="4" w:space="0" w:color="auto"/>
            </w:tcBorders>
            <w:vAlign w:val="center"/>
          </w:tcPr>
          <w:p w14:paraId="246153BF" w14:textId="00CE2944" w:rsidR="00426C3A" w:rsidRPr="0063646D" w:rsidRDefault="00426C3A" w:rsidP="00426C3A">
            <w:pPr>
              <w:pStyle w:val="TableText"/>
              <w:jc w:val="right"/>
            </w:pPr>
            <w:r w:rsidRPr="000F1E32">
              <w:t>–</w:t>
            </w:r>
          </w:p>
        </w:tc>
        <w:tc>
          <w:tcPr>
            <w:tcW w:w="615" w:type="pct"/>
            <w:tcBorders>
              <w:top w:val="single" w:sz="4" w:space="0" w:color="auto"/>
              <w:bottom w:val="single" w:sz="4" w:space="0" w:color="auto"/>
            </w:tcBorders>
            <w:vAlign w:val="center"/>
          </w:tcPr>
          <w:p w14:paraId="44D67C7C" w14:textId="437FB0FB" w:rsidR="00426C3A" w:rsidRDefault="00426C3A" w:rsidP="00426C3A">
            <w:pPr>
              <w:pStyle w:val="TableText"/>
              <w:jc w:val="right"/>
            </w:pPr>
            <w:r w:rsidRPr="000F1E32">
              <w:t>–</w:t>
            </w:r>
          </w:p>
        </w:tc>
      </w:tr>
      <w:tr w:rsidR="00426C3A" w14:paraId="70F875F5" w14:textId="77777777" w:rsidTr="00426C3A">
        <w:trPr>
          <w:cantSplit/>
        </w:trPr>
        <w:tc>
          <w:tcPr>
            <w:tcW w:w="646" w:type="pct"/>
            <w:tcBorders>
              <w:top w:val="single" w:sz="4" w:space="0" w:color="auto"/>
              <w:bottom w:val="single" w:sz="4" w:space="0" w:color="auto"/>
            </w:tcBorders>
          </w:tcPr>
          <w:p w14:paraId="39F7F594" w14:textId="06D225DA" w:rsidR="00426C3A" w:rsidRPr="00CA407E" w:rsidRDefault="00426C3A" w:rsidP="00426C3A">
            <w:pPr>
              <w:pStyle w:val="TableText"/>
            </w:pPr>
            <w:r w:rsidRPr="00CA407E">
              <w:t>Fat</w:t>
            </w:r>
          </w:p>
        </w:tc>
        <w:tc>
          <w:tcPr>
            <w:tcW w:w="669" w:type="pct"/>
            <w:tcBorders>
              <w:top w:val="single" w:sz="4" w:space="0" w:color="auto"/>
              <w:bottom w:val="single" w:sz="4" w:space="0" w:color="auto"/>
            </w:tcBorders>
            <w:vAlign w:val="center"/>
          </w:tcPr>
          <w:p w14:paraId="7894F844" w14:textId="77777777" w:rsidR="00426C3A" w:rsidRPr="00F56C94" w:rsidRDefault="00426C3A" w:rsidP="00426C3A">
            <w:pPr>
              <w:pStyle w:val="TableText"/>
              <w:jc w:val="right"/>
            </w:pPr>
          </w:p>
        </w:tc>
        <w:tc>
          <w:tcPr>
            <w:tcW w:w="614" w:type="pct"/>
            <w:tcBorders>
              <w:top w:val="single" w:sz="4" w:space="0" w:color="auto"/>
              <w:bottom w:val="single" w:sz="4" w:space="0" w:color="auto"/>
            </w:tcBorders>
            <w:vAlign w:val="center"/>
          </w:tcPr>
          <w:p w14:paraId="0605502D" w14:textId="03C55229" w:rsidR="00426C3A" w:rsidRPr="0063646D" w:rsidRDefault="00426C3A" w:rsidP="00426C3A">
            <w:pPr>
              <w:pStyle w:val="TableText"/>
              <w:jc w:val="right"/>
            </w:pPr>
            <w:r w:rsidRPr="00B670C6">
              <w:t>–</w:t>
            </w:r>
          </w:p>
        </w:tc>
        <w:tc>
          <w:tcPr>
            <w:tcW w:w="615" w:type="pct"/>
            <w:tcBorders>
              <w:top w:val="single" w:sz="4" w:space="0" w:color="auto"/>
              <w:bottom w:val="single" w:sz="4" w:space="0" w:color="auto"/>
            </w:tcBorders>
            <w:vAlign w:val="center"/>
          </w:tcPr>
          <w:p w14:paraId="14E19169" w14:textId="1C3DD5BD" w:rsidR="00426C3A" w:rsidRPr="0063646D" w:rsidRDefault="00426C3A" w:rsidP="00426C3A">
            <w:pPr>
              <w:pStyle w:val="TableText"/>
              <w:jc w:val="right"/>
            </w:pPr>
            <w:r w:rsidRPr="00B670C6">
              <w:t>–</w:t>
            </w:r>
          </w:p>
        </w:tc>
        <w:tc>
          <w:tcPr>
            <w:tcW w:w="613" w:type="pct"/>
            <w:tcBorders>
              <w:top w:val="single" w:sz="4" w:space="0" w:color="auto"/>
              <w:bottom w:val="single" w:sz="4" w:space="0" w:color="auto"/>
            </w:tcBorders>
            <w:vAlign w:val="center"/>
          </w:tcPr>
          <w:p w14:paraId="2C94326D" w14:textId="3864CEBD"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4C5F4BCD" w14:textId="502487FB" w:rsidR="00426C3A" w:rsidRPr="0063646D" w:rsidRDefault="00426C3A" w:rsidP="00426C3A">
            <w:pPr>
              <w:pStyle w:val="TableText"/>
              <w:jc w:val="right"/>
            </w:pPr>
            <w:r w:rsidRPr="004A4B46">
              <w:t>–</w:t>
            </w:r>
          </w:p>
        </w:tc>
        <w:tc>
          <w:tcPr>
            <w:tcW w:w="614" w:type="pct"/>
            <w:tcBorders>
              <w:top w:val="single" w:sz="4" w:space="0" w:color="auto"/>
              <w:bottom w:val="single" w:sz="4" w:space="0" w:color="auto"/>
            </w:tcBorders>
            <w:vAlign w:val="center"/>
          </w:tcPr>
          <w:p w14:paraId="7EEBC6E5" w14:textId="3464A9B3" w:rsidR="00426C3A" w:rsidRPr="0063646D" w:rsidRDefault="00426C3A" w:rsidP="00426C3A">
            <w:pPr>
              <w:pStyle w:val="TableText"/>
              <w:jc w:val="right"/>
            </w:pPr>
            <w:r w:rsidRPr="004A4B46">
              <w:t>–</w:t>
            </w:r>
          </w:p>
        </w:tc>
        <w:tc>
          <w:tcPr>
            <w:tcW w:w="615" w:type="pct"/>
            <w:tcBorders>
              <w:top w:val="single" w:sz="4" w:space="0" w:color="auto"/>
              <w:bottom w:val="single" w:sz="4" w:space="0" w:color="auto"/>
            </w:tcBorders>
            <w:vAlign w:val="center"/>
          </w:tcPr>
          <w:p w14:paraId="363A2DB6" w14:textId="19932BFF" w:rsidR="00426C3A" w:rsidRPr="0063646D" w:rsidRDefault="00426C3A" w:rsidP="00426C3A">
            <w:pPr>
              <w:pStyle w:val="TableText"/>
              <w:jc w:val="right"/>
            </w:pPr>
            <w:r w:rsidRPr="004A4B46">
              <w:t>–</w:t>
            </w:r>
          </w:p>
        </w:tc>
      </w:tr>
      <w:tr w:rsidR="00426C3A" w14:paraId="005B972B" w14:textId="77777777" w:rsidTr="00426C3A">
        <w:trPr>
          <w:cantSplit/>
        </w:trPr>
        <w:tc>
          <w:tcPr>
            <w:tcW w:w="646" w:type="pct"/>
            <w:tcBorders>
              <w:top w:val="single" w:sz="4" w:space="0" w:color="auto"/>
              <w:bottom w:val="single" w:sz="4" w:space="0" w:color="auto"/>
            </w:tcBorders>
          </w:tcPr>
          <w:p w14:paraId="5C6919A4" w14:textId="54C30C89" w:rsidR="00426C3A" w:rsidRPr="00CA407E" w:rsidRDefault="00426C3A" w:rsidP="00426C3A">
            <w:pPr>
              <w:pStyle w:val="TableText"/>
            </w:pPr>
            <w:r w:rsidRPr="00CA407E">
              <w:t>Muscle/Meat</w:t>
            </w:r>
          </w:p>
        </w:tc>
        <w:tc>
          <w:tcPr>
            <w:tcW w:w="669" w:type="pct"/>
            <w:tcBorders>
              <w:top w:val="single" w:sz="4" w:space="0" w:color="auto"/>
              <w:bottom w:val="single" w:sz="4" w:space="0" w:color="auto"/>
            </w:tcBorders>
            <w:vAlign w:val="center"/>
          </w:tcPr>
          <w:p w14:paraId="47099F1D" w14:textId="77777777" w:rsidR="00426C3A" w:rsidRPr="00F56C94" w:rsidRDefault="00426C3A" w:rsidP="00426C3A">
            <w:pPr>
              <w:pStyle w:val="TableText"/>
              <w:jc w:val="right"/>
            </w:pPr>
          </w:p>
        </w:tc>
        <w:tc>
          <w:tcPr>
            <w:tcW w:w="614" w:type="pct"/>
            <w:tcBorders>
              <w:top w:val="single" w:sz="4" w:space="0" w:color="auto"/>
              <w:bottom w:val="single" w:sz="4" w:space="0" w:color="auto"/>
            </w:tcBorders>
            <w:vAlign w:val="center"/>
          </w:tcPr>
          <w:p w14:paraId="572A0303" w14:textId="0D3BD68B" w:rsidR="00426C3A" w:rsidRPr="0063646D" w:rsidRDefault="00426C3A" w:rsidP="00426C3A">
            <w:pPr>
              <w:pStyle w:val="TableText"/>
              <w:jc w:val="right"/>
            </w:pPr>
            <w:r w:rsidRPr="00B670C6">
              <w:t>–</w:t>
            </w:r>
          </w:p>
        </w:tc>
        <w:tc>
          <w:tcPr>
            <w:tcW w:w="615" w:type="pct"/>
            <w:tcBorders>
              <w:top w:val="single" w:sz="4" w:space="0" w:color="auto"/>
              <w:bottom w:val="single" w:sz="4" w:space="0" w:color="auto"/>
            </w:tcBorders>
            <w:vAlign w:val="center"/>
          </w:tcPr>
          <w:p w14:paraId="01C25E03" w14:textId="4D965C4B" w:rsidR="00426C3A" w:rsidRPr="0063646D" w:rsidRDefault="00426C3A" w:rsidP="00426C3A">
            <w:pPr>
              <w:pStyle w:val="TableText"/>
              <w:jc w:val="right"/>
            </w:pPr>
            <w:r w:rsidRPr="00B670C6">
              <w:t>–</w:t>
            </w:r>
          </w:p>
        </w:tc>
        <w:tc>
          <w:tcPr>
            <w:tcW w:w="613" w:type="pct"/>
            <w:tcBorders>
              <w:top w:val="single" w:sz="4" w:space="0" w:color="auto"/>
              <w:bottom w:val="single" w:sz="4" w:space="0" w:color="auto"/>
            </w:tcBorders>
            <w:vAlign w:val="center"/>
          </w:tcPr>
          <w:p w14:paraId="189D5D5A" w14:textId="70684075"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68130B61" w14:textId="16775C97" w:rsidR="00426C3A" w:rsidRPr="0063646D" w:rsidRDefault="00426C3A" w:rsidP="00426C3A">
            <w:pPr>
              <w:pStyle w:val="TableText"/>
              <w:jc w:val="right"/>
            </w:pPr>
            <w:r w:rsidRPr="004A4B46">
              <w:t>–</w:t>
            </w:r>
          </w:p>
        </w:tc>
        <w:tc>
          <w:tcPr>
            <w:tcW w:w="614" w:type="pct"/>
            <w:tcBorders>
              <w:top w:val="single" w:sz="4" w:space="0" w:color="auto"/>
              <w:bottom w:val="single" w:sz="4" w:space="0" w:color="auto"/>
            </w:tcBorders>
            <w:vAlign w:val="center"/>
          </w:tcPr>
          <w:p w14:paraId="3DA8763C" w14:textId="65A871EF" w:rsidR="00426C3A" w:rsidRPr="0063646D" w:rsidRDefault="00426C3A" w:rsidP="00426C3A">
            <w:pPr>
              <w:pStyle w:val="TableText"/>
              <w:jc w:val="right"/>
            </w:pPr>
            <w:r w:rsidRPr="004A4B46">
              <w:t>–</w:t>
            </w:r>
          </w:p>
        </w:tc>
        <w:tc>
          <w:tcPr>
            <w:tcW w:w="615" w:type="pct"/>
            <w:tcBorders>
              <w:top w:val="single" w:sz="4" w:space="0" w:color="auto"/>
              <w:bottom w:val="single" w:sz="4" w:space="0" w:color="auto"/>
            </w:tcBorders>
            <w:vAlign w:val="center"/>
          </w:tcPr>
          <w:p w14:paraId="02CCA827" w14:textId="5D1EDD9E" w:rsidR="00426C3A" w:rsidRPr="0063646D" w:rsidRDefault="00426C3A" w:rsidP="00426C3A">
            <w:pPr>
              <w:pStyle w:val="TableText"/>
              <w:jc w:val="right"/>
            </w:pPr>
            <w:r w:rsidRPr="004A4B46">
              <w:t>–</w:t>
            </w:r>
          </w:p>
        </w:tc>
      </w:tr>
      <w:tr w:rsidR="00426C3A" w14:paraId="28486E63" w14:textId="77777777" w:rsidTr="00426C3A">
        <w:trPr>
          <w:cantSplit/>
        </w:trPr>
        <w:tc>
          <w:tcPr>
            <w:tcW w:w="646" w:type="pct"/>
            <w:tcBorders>
              <w:top w:val="single" w:sz="4" w:space="0" w:color="auto"/>
              <w:bottom w:val="single" w:sz="4" w:space="0" w:color="auto"/>
            </w:tcBorders>
          </w:tcPr>
          <w:p w14:paraId="7BACCD51" w14:textId="7DBFA4C0" w:rsidR="00426C3A" w:rsidRPr="00CA407E" w:rsidRDefault="00426C3A" w:rsidP="00426C3A">
            <w:pPr>
              <w:pStyle w:val="TableText"/>
            </w:pPr>
            <w:r w:rsidRPr="00CA407E">
              <w:t>Milks</w:t>
            </w:r>
          </w:p>
        </w:tc>
        <w:tc>
          <w:tcPr>
            <w:tcW w:w="669" w:type="pct"/>
            <w:tcBorders>
              <w:top w:val="single" w:sz="4" w:space="0" w:color="auto"/>
              <w:bottom w:val="single" w:sz="4" w:space="0" w:color="auto"/>
            </w:tcBorders>
            <w:vAlign w:val="center"/>
          </w:tcPr>
          <w:p w14:paraId="2F4DA7B8" w14:textId="3C206352" w:rsidR="00426C3A" w:rsidRPr="00F56C94" w:rsidRDefault="00426C3A" w:rsidP="00426C3A">
            <w:pPr>
              <w:pStyle w:val="TableText"/>
              <w:jc w:val="right"/>
            </w:pPr>
            <w:r w:rsidRPr="00F56C94">
              <w:t>0.02</w:t>
            </w:r>
          </w:p>
        </w:tc>
        <w:tc>
          <w:tcPr>
            <w:tcW w:w="614" w:type="pct"/>
            <w:tcBorders>
              <w:top w:val="single" w:sz="4" w:space="0" w:color="auto"/>
              <w:bottom w:val="single" w:sz="4" w:space="0" w:color="auto"/>
            </w:tcBorders>
            <w:vAlign w:val="center"/>
          </w:tcPr>
          <w:p w14:paraId="51280B18" w14:textId="2AE1D8F3" w:rsidR="00426C3A" w:rsidRPr="0063646D" w:rsidRDefault="00426C3A" w:rsidP="00426C3A">
            <w:pPr>
              <w:pStyle w:val="TableText"/>
              <w:jc w:val="right"/>
            </w:pPr>
            <w:r w:rsidRPr="00B670C6">
              <w:t>–</w:t>
            </w:r>
          </w:p>
        </w:tc>
        <w:tc>
          <w:tcPr>
            <w:tcW w:w="615" w:type="pct"/>
            <w:tcBorders>
              <w:top w:val="single" w:sz="4" w:space="0" w:color="auto"/>
              <w:bottom w:val="single" w:sz="4" w:space="0" w:color="auto"/>
            </w:tcBorders>
            <w:vAlign w:val="center"/>
          </w:tcPr>
          <w:p w14:paraId="083E7BFA" w14:textId="15B665DE" w:rsidR="00426C3A" w:rsidRPr="0063646D" w:rsidRDefault="00426C3A" w:rsidP="00426C3A">
            <w:pPr>
              <w:pStyle w:val="TableText"/>
              <w:jc w:val="right"/>
            </w:pPr>
            <w:r w:rsidRPr="00B670C6">
              <w:t>–</w:t>
            </w:r>
          </w:p>
        </w:tc>
        <w:tc>
          <w:tcPr>
            <w:tcW w:w="613" w:type="pct"/>
            <w:tcBorders>
              <w:top w:val="single" w:sz="4" w:space="0" w:color="auto"/>
              <w:bottom w:val="single" w:sz="4" w:space="0" w:color="auto"/>
            </w:tcBorders>
            <w:vAlign w:val="center"/>
          </w:tcPr>
          <w:p w14:paraId="6026DAA5" w14:textId="7974C6B5"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4D9EC7F4" w14:textId="1B7D74E4" w:rsidR="00426C3A" w:rsidRPr="0063646D" w:rsidRDefault="00426C3A" w:rsidP="00426C3A">
            <w:pPr>
              <w:pStyle w:val="TableText"/>
              <w:jc w:val="right"/>
            </w:pPr>
            <w:r w:rsidRPr="004A4B46">
              <w:t>–</w:t>
            </w:r>
          </w:p>
        </w:tc>
        <w:tc>
          <w:tcPr>
            <w:tcW w:w="614" w:type="pct"/>
            <w:tcBorders>
              <w:top w:val="single" w:sz="4" w:space="0" w:color="auto"/>
              <w:bottom w:val="single" w:sz="4" w:space="0" w:color="auto"/>
            </w:tcBorders>
            <w:vAlign w:val="center"/>
          </w:tcPr>
          <w:p w14:paraId="5F69B793" w14:textId="31789E06" w:rsidR="00426C3A" w:rsidRPr="0063646D" w:rsidRDefault="00426C3A" w:rsidP="00426C3A">
            <w:pPr>
              <w:pStyle w:val="TableText"/>
              <w:jc w:val="right"/>
            </w:pPr>
            <w:r w:rsidRPr="004A4B46">
              <w:t>–</w:t>
            </w:r>
          </w:p>
        </w:tc>
        <w:tc>
          <w:tcPr>
            <w:tcW w:w="615" w:type="pct"/>
            <w:tcBorders>
              <w:top w:val="single" w:sz="4" w:space="0" w:color="auto"/>
              <w:bottom w:val="single" w:sz="4" w:space="0" w:color="auto"/>
            </w:tcBorders>
            <w:vAlign w:val="center"/>
          </w:tcPr>
          <w:p w14:paraId="75B47DBB" w14:textId="2EF72CBF" w:rsidR="00426C3A" w:rsidRPr="0063646D" w:rsidRDefault="00426C3A" w:rsidP="00426C3A">
            <w:pPr>
              <w:pStyle w:val="TableText"/>
              <w:jc w:val="right"/>
            </w:pPr>
            <w:r w:rsidRPr="004A4B46">
              <w:t>–</w:t>
            </w:r>
          </w:p>
        </w:tc>
      </w:tr>
      <w:tr w:rsidR="00426C3A" w14:paraId="670283D9" w14:textId="77777777" w:rsidTr="00426C3A">
        <w:trPr>
          <w:cantSplit/>
        </w:trPr>
        <w:tc>
          <w:tcPr>
            <w:tcW w:w="646" w:type="pct"/>
            <w:tcBorders>
              <w:top w:val="single" w:sz="4" w:space="0" w:color="auto"/>
              <w:bottom w:val="single" w:sz="4" w:space="0" w:color="auto"/>
            </w:tcBorders>
          </w:tcPr>
          <w:p w14:paraId="6AF69154" w14:textId="668912BE" w:rsidR="00426C3A" w:rsidRPr="00CA407E" w:rsidRDefault="00426C3A" w:rsidP="00426C3A">
            <w:pPr>
              <w:pStyle w:val="TableText"/>
            </w:pPr>
            <w:r w:rsidRPr="00CA407E">
              <w:t>Edible offal</w:t>
            </w:r>
          </w:p>
        </w:tc>
        <w:tc>
          <w:tcPr>
            <w:tcW w:w="669" w:type="pct"/>
            <w:tcBorders>
              <w:top w:val="single" w:sz="4" w:space="0" w:color="auto"/>
              <w:bottom w:val="single" w:sz="4" w:space="0" w:color="auto"/>
            </w:tcBorders>
            <w:vAlign w:val="center"/>
          </w:tcPr>
          <w:p w14:paraId="10323230" w14:textId="33A0E6FB" w:rsidR="00426C3A" w:rsidRPr="00F56C94" w:rsidRDefault="00426C3A" w:rsidP="00426C3A">
            <w:pPr>
              <w:pStyle w:val="TableText"/>
              <w:jc w:val="right"/>
            </w:pPr>
            <w:r w:rsidRPr="00F56C94">
              <w:t>0.05</w:t>
            </w:r>
          </w:p>
        </w:tc>
        <w:tc>
          <w:tcPr>
            <w:tcW w:w="614" w:type="pct"/>
            <w:tcBorders>
              <w:top w:val="single" w:sz="4" w:space="0" w:color="auto"/>
              <w:bottom w:val="single" w:sz="4" w:space="0" w:color="auto"/>
            </w:tcBorders>
            <w:vAlign w:val="center"/>
          </w:tcPr>
          <w:p w14:paraId="70BC19DA" w14:textId="5AD40856" w:rsidR="00426C3A" w:rsidRPr="0063646D" w:rsidRDefault="00426C3A" w:rsidP="00426C3A">
            <w:pPr>
              <w:pStyle w:val="TableText"/>
              <w:jc w:val="right"/>
            </w:pPr>
            <w:r w:rsidRPr="00B670C6">
              <w:t>–</w:t>
            </w:r>
          </w:p>
        </w:tc>
        <w:tc>
          <w:tcPr>
            <w:tcW w:w="615" w:type="pct"/>
            <w:tcBorders>
              <w:top w:val="single" w:sz="4" w:space="0" w:color="auto"/>
              <w:bottom w:val="single" w:sz="4" w:space="0" w:color="auto"/>
            </w:tcBorders>
            <w:vAlign w:val="center"/>
          </w:tcPr>
          <w:p w14:paraId="7B38A5CB" w14:textId="5EF0500F" w:rsidR="00426C3A" w:rsidRPr="0063646D" w:rsidRDefault="00426C3A" w:rsidP="00426C3A">
            <w:pPr>
              <w:pStyle w:val="TableText"/>
              <w:jc w:val="right"/>
            </w:pPr>
            <w:r w:rsidRPr="00B670C6">
              <w:t>–</w:t>
            </w:r>
          </w:p>
        </w:tc>
        <w:tc>
          <w:tcPr>
            <w:tcW w:w="613" w:type="pct"/>
            <w:tcBorders>
              <w:top w:val="single" w:sz="4" w:space="0" w:color="auto"/>
              <w:bottom w:val="single" w:sz="4" w:space="0" w:color="auto"/>
            </w:tcBorders>
            <w:vAlign w:val="center"/>
          </w:tcPr>
          <w:p w14:paraId="473D68A3" w14:textId="77777777" w:rsidR="00426C3A" w:rsidRPr="0063646D" w:rsidRDefault="00426C3A" w:rsidP="00426C3A">
            <w:pPr>
              <w:pStyle w:val="TableText"/>
              <w:jc w:val="right"/>
            </w:pPr>
          </w:p>
        </w:tc>
        <w:tc>
          <w:tcPr>
            <w:tcW w:w="614" w:type="pct"/>
            <w:tcBorders>
              <w:top w:val="single" w:sz="4" w:space="0" w:color="auto"/>
              <w:bottom w:val="single" w:sz="4" w:space="0" w:color="auto"/>
            </w:tcBorders>
            <w:vAlign w:val="center"/>
          </w:tcPr>
          <w:p w14:paraId="19E413DA" w14:textId="31ACEB32" w:rsidR="00426C3A" w:rsidRPr="0063646D" w:rsidRDefault="00426C3A" w:rsidP="00426C3A">
            <w:pPr>
              <w:pStyle w:val="TableText"/>
              <w:jc w:val="right"/>
            </w:pPr>
            <w:r w:rsidRPr="004A4B46">
              <w:t>–</w:t>
            </w:r>
          </w:p>
        </w:tc>
        <w:tc>
          <w:tcPr>
            <w:tcW w:w="614" w:type="pct"/>
            <w:tcBorders>
              <w:top w:val="single" w:sz="4" w:space="0" w:color="auto"/>
              <w:bottom w:val="single" w:sz="4" w:space="0" w:color="auto"/>
            </w:tcBorders>
            <w:vAlign w:val="center"/>
          </w:tcPr>
          <w:p w14:paraId="5DDA557B" w14:textId="3FEEFF1A" w:rsidR="00426C3A" w:rsidRPr="0063646D" w:rsidRDefault="00426C3A" w:rsidP="00426C3A">
            <w:pPr>
              <w:pStyle w:val="TableText"/>
              <w:jc w:val="right"/>
            </w:pPr>
            <w:r w:rsidRPr="004A4B46">
              <w:t>–</w:t>
            </w:r>
          </w:p>
        </w:tc>
        <w:tc>
          <w:tcPr>
            <w:tcW w:w="615" w:type="pct"/>
            <w:tcBorders>
              <w:top w:val="single" w:sz="4" w:space="0" w:color="auto"/>
              <w:bottom w:val="single" w:sz="4" w:space="0" w:color="auto"/>
            </w:tcBorders>
            <w:vAlign w:val="center"/>
          </w:tcPr>
          <w:p w14:paraId="1C0E2DDF" w14:textId="4BC4BC21" w:rsidR="00426C3A" w:rsidRPr="0063646D" w:rsidRDefault="00426C3A" w:rsidP="00426C3A">
            <w:pPr>
              <w:pStyle w:val="TableText"/>
              <w:jc w:val="right"/>
            </w:pPr>
            <w:r w:rsidRPr="004A4B46">
              <w:t>–</w:t>
            </w:r>
          </w:p>
        </w:tc>
      </w:tr>
      <w:tr w:rsidR="00426C3A" w14:paraId="44811216" w14:textId="77777777" w:rsidTr="00426C3A">
        <w:trPr>
          <w:cantSplit/>
        </w:trPr>
        <w:tc>
          <w:tcPr>
            <w:tcW w:w="646" w:type="pct"/>
            <w:tcBorders>
              <w:top w:val="single" w:sz="4" w:space="0" w:color="auto"/>
              <w:bottom w:val="single" w:sz="4" w:space="0" w:color="auto"/>
            </w:tcBorders>
          </w:tcPr>
          <w:p w14:paraId="1FBC8037" w14:textId="269FA50B" w:rsidR="00426C3A" w:rsidRPr="00CA407E" w:rsidRDefault="00426C3A" w:rsidP="00426C3A">
            <w:pPr>
              <w:pStyle w:val="TableText"/>
            </w:pPr>
            <w:r>
              <w:t>K</w:t>
            </w:r>
            <w:r w:rsidRPr="00CA407E">
              <w:t>idney</w:t>
            </w:r>
          </w:p>
        </w:tc>
        <w:tc>
          <w:tcPr>
            <w:tcW w:w="669" w:type="pct"/>
            <w:tcBorders>
              <w:top w:val="single" w:sz="4" w:space="0" w:color="auto"/>
              <w:bottom w:val="single" w:sz="4" w:space="0" w:color="auto"/>
            </w:tcBorders>
            <w:vAlign w:val="center"/>
          </w:tcPr>
          <w:p w14:paraId="1D8F7E0C" w14:textId="77777777" w:rsidR="00426C3A" w:rsidRPr="00F56C94" w:rsidRDefault="00426C3A" w:rsidP="00426C3A">
            <w:pPr>
              <w:pStyle w:val="TableText"/>
              <w:jc w:val="right"/>
            </w:pPr>
          </w:p>
        </w:tc>
        <w:tc>
          <w:tcPr>
            <w:tcW w:w="614" w:type="pct"/>
            <w:tcBorders>
              <w:top w:val="single" w:sz="4" w:space="0" w:color="auto"/>
              <w:bottom w:val="single" w:sz="4" w:space="0" w:color="auto"/>
            </w:tcBorders>
            <w:vAlign w:val="center"/>
          </w:tcPr>
          <w:p w14:paraId="24E35173" w14:textId="5AF9D78A" w:rsidR="00426C3A" w:rsidRPr="0063646D" w:rsidRDefault="00426C3A" w:rsidP="00426C3A">
            <w:pPr>
              <w:pStyle w:val="TableText"/>
              <w:jc w:val="right"/>
            </w:pPr>
            <w:r w:rsidRPr="004E3914">
              <w:t>–</w:t>
            </w:r>
          </w:p>
        </w:tc>
        <w:tc>
          <w:tcPr>
            <w:tcW w:w="615" w:type="pct"/>
            <w:tcBorders>
              <w:top w:val="single" w:sz="4" w:space="0" w:color="auto"/>
              <w:bottom w:val="single" w:sz="4" w:space="0" w:color="auto"/>
            </w:tcBorders>
            <w:vAlign w:val="center"/>
          </w:tcPr>
          <w:p w14:paraId="3FB8805E" w14:textId="77777777" w:rsidR="00426C3A" w:rsidRPr="0063646D" w:rsidRDefault="00426C3A" w:rsidP="00426C3A">
            <w:pPr>
              <w:pStyle w:val="TableText"/>
              <w:jc w:val="right"/>
            </w:pPr>
          </w:p>
        </w:tc>
        <w:tc>
          <w:tcPr>
            <w:tcW w:w="613" w:type="pct"/>
            <w:tcBorders>
              <w:top w:val="single" w:sz="4" w:space="0" w:color="auto"/>
              <w:bottom w:val="single" w:sz="4" w:space="0" w:color="auto"/>
            </w:tcBorders>
            <w:vAlign w:val="center"/>
          </w:tcPr>
          <w:p w14:paraId="24217CF4" w14:textId="5F554BDB"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33C35836" w14:textId="75E6F17B" w:rsidR="00426C3A" w:rsidRPr="0063646D" w:rsidRDefault="00426C3A" w:rsidP="00426C3A">
            <w:pPr>
              <w:pStyle w:val="TableText"/>
              <w:jc w:val="right"/>
            </w:pPr>
            <w:r w:rsidRPr="004A4B46">
              <w:t>–</w:t>
            </w:r>
          </w:p>
        </w:tc>
        <w:tc>
          <w:tcPr>
            <w:tcW w:w="614" w:type="pct"/>
            <w:tcBorders>
              <w:top w:val="single" w:sz="4" w:space="0" w:color="auto"/>
              <w:bottom w:val="single" w:sz="4" w:space="0" w:color="auto"/>
            </w:tcBorders>
            <w:vAlign w:val="center"/>
          </w:tcPr>
          <w:p w14:paraId="681BD29A" w14:textId="5087B22D" w:rsidR="00426C3A" w:rsidRPr="0063646D" w:rsidRDefault="00426C3A" w:rsidP="00426C3A">
            <w:pPr>
              <w:pStyle w:val="TableText"/>
              <w:jc w:val="right"/>
            </w:pPr>
            <w:r w:rsidRPr="004A4B46">
              <w:t>–</w:t>
            </w:r>
          </w:p>
        </w:tc>
        <w:tc>
          <w:tcPr>
            <w:tcW w:w="615" w:type="pct"/>
            <w:tcBorders>
              <w:top w:val="single" w:sz="4" w:space="0" w:color="auto"/>
              <w:bottom w:val="single" w:sz="4" w:space="0" w:color="auto"/>
            </w:tcBorders>
            <w:vAlign w:val="center"/>
          </w:tcPr>
          <w:p w14:paraId="0E6B46A0" w14:textId="55721115" w:rsidR="00426C3A" w:rsidRPr="0063646D" w:rsidRDefault="00426C3A" w:rsidP="00426C3A">
            <w:pPr>
              <w:pStyle w:val="TableText"/>
              <w:jc w:val="right"/>
            </w:pPr>
            <w:r w:rsidRPr="004A4B46">
              <w:t>–</w:t>
            </w:r>
          </w:p>
        </w:tc>
      </w:tr>
      <w:tr w:rsidR="00426C3A" w14:paraId="6707AEEC" w14:textId="77777777" w:rsidTr="00426C3A">
        <w:trPr>
          <w:cantSplit/>
        </w:trPr>
        <w:tc>
          <w:tcPr>
            <w:tcW w:w="646" w:type="pct"/>
            <w:tcBorders>
              <w:top w:val="single" w:sz="4" w:space="0" w:color="auto"/>
              <w:bottom w:val="single" w:sz="4" w:space="0" w:color="auto"/>
            </w:tcBorders>
          </w:tcPr>
          <w:p w14:paraId="48B80E96" w14:textId="2CCE749E" w:rsidR="00426C3A" w:rsidRDefault="00426C3A" w:rsidP="00426C3A">
            <w:pPr>
              <w:pStyle w:val="TableText"/>
            </w:pPr>
            <w:r w:rsidRPr="00CA407E">
              <w:t>Liver</w:t>
            </w:r>
          </w:p>
        </w:tc>
        <w:tc>
          <w:tcPr>
            <w:tcW w:w="669" w:type="pct"/>
            <w:tcBorders>
              <w:top w:val="single" w:sz="4" w:space="0" w:color="auto"/>
              <w:bottom w:val="single" w:sz="4" w:space="0" w:color="auto"/>
            </w:tcBorders>
            <w:vAlign w:val="center"/>
          </w:tcPr>
          <w:p w14:paraId="58147A5D" w14:textId="77777777" w:rsidR="00426C3A" w:rsidRPr="00F56C94" w:rsidRDefault="00426C3A" w:rsidP="00426C3A">
            <w:pPr>
              <w:pStyle w:val="TableText"/>
              <w:jc w:val="right"/>
            </w:pPr>
          </w:p>
        </w:tc>
        <w:tc>
          <w:tcPr>
            <w:tcW w:w="614" w:type="pct"/>
            <w:tcBorders>
              <w:top w:val="single" w:sz="4" w:space="0" w:color="auto"/>
              <w:bottom w:val="single" w:sz="4" w:space="0" w:color="auto"/>
            </w:tcBorders>
            <w:vAlign w:val="center"/>
          </w:tcPr>
          <w:p w14:paraId="24A734E1" w14:textId="3A66269B" w:rsidR="00426C3A" w:rsidRPr="0063646D" w:rsidRDefault="00426C3A" w:rsidP="00426C3A">
            <w:pPr>
              <w:pStyle w:val="TableText"/>
              <w:jc w:val="right"/>
            </w:pPr>
            <w:r w:rsidRPr="004E3914">
              <w:t>–</w:t>
            </w:r>
          </w:p>
        </w:tc>
        <w:tc>
          <w:tcPr>
            <w:tcW w:w="615" w:type="pct"/>
            <w:tcBorders>
              <w:top w:val="single" w:sz="4" w:space="0" w:color="auto"/>
              <w:bottom w:val="single" w:sz="4" w:space="0" w:color="auto"/>
            </w:tcBorders>
            <w:vAlign w:val="center"/>
          </w:tcPr>
          <w:p w14:paraId="3DA44F37" w14:textId="77777777" w:rsidR="00426C3A" w:rsidRPr="0063646D" w:rsidRDefault="00426C3A" w:rsidP="00426C3A">
            <w:pPr>
              <w:pStyle w:val="TableText"/>
              <w:jc w:val="right"/>
            </w:pPr>
          </w:p>
        </w:tc>
        <w:tc>
          <w:tcPr>
            <w:tcW w:w="613" w:type="pct"/>
            <w:tcBorders>
              <w:top w:val="single" w:sz="4" w:space="0" w:color="auto"/>
              <w:bottom w:val="single" w:sz="4" w:space="0" w:color="auto"/>
            </w:tcBorders>
            <w:vAlign w:val="center"/>
          </w:tcPr>
          <w:p w14:paraId="637FC2A7" w14:textId="0855FE05"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375B5A0F" w14:textId="7F735920" w:rsidR="00426C3A" w:rsidRPr="0063646D" w:rsidRDefault="00426C3A" w:rsidP="00426C3A">
            <w:pPr>
              <w:pStyle w:val="TableText"/>
              <w:jc w:val="right"/>
            </w:pPr>
            <w:r w:rsidRPr="004A4B46">
              <w:t>–</w:t>
            </w:r>
          </w:p>
        </w:tc>
        <w:tc>
          <w:tcPr>
            <w:tcW w:w="614" w:type="pct"/>
            <w:tcBorders>
              <w:top w:val="single" w:sz="4" w:space="0" w:color="auto"/>
              <w:bottom w:val="single" w:sz="4" w:space="0" w:color="auto"/>
            </w:tcBorders>
            <w:vAlign w:val="center"/>
          </w:tcPr>
          <w:p w14:paraId="469ABFAD" w14:textId="1226EC8F" w:rsidR="00426C3A" w:rsidRPr="0063646D" w:rsidRDefault="00426C3A" w:rsidP="00426C3A">
            <w:pPr>
              <w:pStyle w:val="TableText"/>
              <w:jc w:val="right"/>
            </w:pPr>
            <w:r w:rsidRPr="004A4B46">
              <w:t>–</w:t>
            </w:r>
          </w:p>
        </w:tc>
        <w:tc>
          <w:tcPr>
            <w:tcW w:w="615" w:type="pct"/>
            <w:tcBorders>
              <w:top w:val="single" w:sz="4" w:space="0" w:color="auto"/>
              <w:bottom w:val="single" w:sz="4" w:space="0" w:color="auto"/>
            </w:tcBorders>
            <w:vAlign w:val="center"/>
          </w:tcPr>
          <w:p w14:paraId="39B81B9A" w14:textId="4E6B8C2B" w:rsidR="00426C3A" w:rsidRPr="0063646D" w:rsidRDefault="00426C3A" w:rsidP="00426C3A">
            <w:pPr>
              <w:pStyle w:val="TableText"/>
              <w:jc w:val="right"/>
            </w:pPr>
            <w:r w:rsidRPr="004A4B46">
              <w:t>–</w:t>
            </w:r>
          </w:p>
        </w:tc>
      </w:tr>
      <w:tr w:rsidR="00426C3A" w14:paraId="0DE9F6CF" w14:textId="77777777" w:rsidTr="00426C3A">
        <w:trPr>
          <w:cantSplit/>
        </w:trPr>
        <w:tc>
          <w:tcPr>
            <w:tcW w:w="646" w:type="pct"/>
            <w:tcBorders>
              <w:top w:val="single" w:sz="4" w:space="0" w:color="auto"/>
              <w:bottom w:val="single" w:sz="4" w:space="0" w:color="auto"/>
            </w:tcBorders>
          </w:tcPr>
          <w:p w14:paraId="7B1CA8AF" w14:textId="63AE1879" w:rsidR="00426C3A" w:rsidRPr="00CA407E" w:rsidRDefault="00426C3A" w:rsidP="00426C3A">
            <w:pPr>
              <w:pStyle w:val="TableText"/>
            </w:pPr>
            <w:r w:rsidRPr="00CA407E">
              <w:t>Other offal</w:t>
            </w:r>
          </w:p>
        </w:tc>
        <w:tc>
          <w:tcPr>
            <w:tcW w:w="669" w:type="pct"/>
            <w:tcBorders>
              <w:top w:val="single" w:sz="4" w:space="0" w:color="auto"/>
              <w:bottom w:val="single" w:sz="4" w:space="0" w:color="auto"/>
            </w:tcBorders>
            <w:vAlign w:val="center"/>
          </w:tcPr>
          <w:p w14:paraId="15804D2B" w14:textId="77777777" w:rsidR="00426C3A" w:rsidRPr="00F56C94" w:rsidRDefault="00426C3A" w:rsidP="00426C3A">
            <w:pPr>
              <w:pStyle w:val="TableText"/>
              <w:jc w:val="right"/>
            </w:pPr>
          </w:p>
        </w:tc>
        <w:tc>
          <w:tcPr>
            <w:tcW w:w="614" w:type="pct"/>
            <w:tcBorders>
              <w:top w:val="single" w:sz="4" w:space="0" w:color="auto"/>
              <w:bottom w:val="single" w:sz="4" w:space="0" w:color="auto"/>
            </w:tcBorders>
            <w:vAlign w:val="center"/>
          </w:tcPr>
          <w:p w14:paraId="761D2D61" w14:textId="7C1E74BD" w:rsidR="00426C3A" w:rsidRPr="0063646D" w:rsidRDefault="00426C3A" w:rsidP="00426C3A">
            <w:pPr>
              <w:pStyle w:val="TableText"/>
              <w:jc w:val="right"/>
            </w:pPr>
            <w:r w:rsidRPr="00546B3C">
              <w:t>–</w:t>
            </w:r>
          </w:p>
        </w:tc>
        <w:tc>
          <w:tcPr>
            <w:tcW w:w="615" w:type="pct"/>
            <w:tcBorders>
              <w:top w:val="single" w:sz="4" w:space="0" w:color="auto"/>
              <w:bottom w:val="single" w:sz="4" w:space="0" w:color="auto"/>
            </w:tcBorders>
            <w:vAlign w:val="center"/>
          </w:tcPr>
          <w:p w14:paraId="5862DC5F" w14:textId="180F00D8" w:rsidR="00426C3A" w:rsidRPr="0063646D" w:rsidRDefault="00426C3A" w:rsidP="00426C3A">
            <w:pPr>
              <w:pStyle w:val="TableText"/>
              <w:jc w:val="right"/>
            </w:pPr>
            <w:r w:rsidRPr="00546B3C">
              <w:t>–</w:t>
            </w:r>
          </w:p>
        </w:tc>
        <w:tc>
          <w:tcPr>
            <w:tcW w:w="613" w:type="pct"/>
            <w:tcBorders>
              <w:top w:val="single" w:sz="4" w:space="0" w:color="auto"/>
              <w:bottom w:val="single" w:sz="4" w:space="0" w:color="auto"/>
            </w:tcBorders>
            <w:vAlign w:val="center"/>
          </w:tcPr>
          <w:p w14:paraId="63AD0559" w14:textId="660959D8"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7FB30331" w14:textId="77777777" w:rsidR="00426C3A" w:rsidRPr="0063646D" w:rsidRDefault="00426C3A" w:rsidP="00426C3A">
            <w:pPr>
              <w:pStyle w:val="TableText"/>
              <w:jc w:val="right"/>
            </w:pPr>
          </w:p>
        </w:tc>
        <w:tc>
          <w:tcPr>
            <w:tcW w:w="614" w:type="pct"/>
            <w:tcBorders>
              <w:top w:val="single" w:sz="4" w:space="0" w:color="auto"/>
              <w:bottom w:val="single" w:sz="4" w:space="0" w:color="auto"/>
            </w:tcBorders>
            <w:vAlign w:val="center"/>
          </w:tcPr>
          <w:p w14:paraId="118E632B" w14:textId="5631B189" w:rsidR="00426C3A" w:rsidRPr="0063646D" w:rsidRDefault="00426C3A" w:rsidP="00426C3A">
            <w:pPr>
              <w:pStyle w:val="TableText"/>
              <w:jc w:val="right"/>
            </w:pPr>
            <w:r w:rsidRPr="009F432B">
              <w:t>–</w:t>
            </w:r>
          </w:p>
        </w:tc>
        <w:tc>
          <w:tcPr>
            <w:tcW w:w="615" w:type="pct"/>
            <w:tcBorders>
              <w:top w:val="single" w:sz="4" w:space="0" w:color="auto"/>
              <w:bottom w:val="single" w:sz="4" w:space="0" w:color="auto"/>
            </w:tcBorders>
            <w:vAlign w:val="center"/>
          </w:tcPr>
          <w:p w14:paraId="1E7F1F8C" w14:textId="59E1FFBC" w:rsidR="00426C3A" w:rsidRPr="0063646D" w:rsidRDefault="00426C3A" w:rsidP="00426C3A">
            <w:pPr>
              <w:pStyle w:val="TableText"/>
              <w:jc w:val="right"/>
            </w:pPr>
            <w:r w:rsidRPr="009F432B">
              <w:t>–</w:t>
            </w:r>
          </w:p>
        </w:tc>
      </w:tr>
    </w:tbl>
    <w:p w14:paraId="54F24B81" w14:textId="034ECFCA" w:rsidR="00426C3A" w:rsidRPr="00426C3A" w:rsidRDefault="00426C3A" w:rsidP="00D05130">
      <w:pPr>
        <w:pStyle w:val="APVMAText"/>
      </w:pPr>
      <w:r w:rsidRPr="00426C3A">
        <w:t xml:space="preserve">The National Residues Survey (NRS) includes procymidone in its monitoring of cattle and sheep fat, canola, </w:t>
      </w:r>
      <w:proofErr w:type="gramStart"/>
      <w:r w:rsidRPr="00426C3A">
        <w:t>lentils</w:t>
      </w:r>
      <w:proofErr w:type="gramEnd"/>
      <w:r w:rsidRPr="00426C3A">
        <w:t xml:space="preserve"> and cherries. In the 3 years from 2017–18 to 2019–20, procymidone residues above the Limit or Reporting (LOR) of 0.02 mg/kg were not observed in cattle fat (3566 samples in total) or sheep fat (2252 samples in total). In the 3</w:t>
      </w:r>
      <w:r>
        <w:t> </w:t>
      </w:r>
      <w:r w:rsidRPr="00426C3A">
        <w:t>years from 2018–19 to 2021–21 procymidone residues in canola seed above ½ the current MRL (therefore 0.5</w:t>
      </w:r>
      <w:r>
        <w:t> </w:t>
      </w:r>
      <w:r w:rsidRPr="00426C3A">
        <w:t>mg/kg, equal to the recommended MRL) were not observed in 1</w:t>
      </w:r>
      <w:r>
        <w:t>,</w:t>
      </w:r>
      <w:r w:rsidRPr="00426C3A">
        <w:t>272 samples in total. Procymidone residues in lentil grain above</w:t>
      </w:r>
      <w:r>
        <w:t xml:space="preserve"> half</w:t>
      </w:r>
      <w:r w:rsidRPr="00426C3A">
        <w:t xml:space="preserve"> the current MRL (therefore 0.25</w:t>
      </w:r>
      <w:r w:rsidR="00D05130">
        <w:t> </w:t>
      </w:r>
      <w:r w:rsidRPr="00426C3A">
        <w:t xml:space="preserve">mg/kg), but </w:t>
      </w:r>
      <w:r w:rsidR="00E456D9">
        <w:t>less than</w:t>
      </w:r>
      <w:r w:rsidRPr="00426C3A">
        <w:t xml:space="preserve"> the MRL, were observed in only </w:t>
      </w:r>
      <w:r>
        <w:t>one</w:t>
      </w:r>
      <w:r w:rsidRPr="00426C3A">
        <w:t xml:space="preserve"> of 275</w:t>
      </w:r>
      <w:r>
        <w:t> </w:t>
      </w:r>
      <w:r w:rsidRPr="00426C3A">
        <w:t xml:space="preserve">samples in total. The cherry monitoring program commenced in 2017–18 and procymidone residues in cherries above </w:t>
      </w:r>
      <w:r>
        <w:t>half</w:t>
      </w:r>
      <w:r w:rsidRPr="00426C3A">
        <w:t xml:space="preserve"> the current MRL (therefore 5</w:t>
      </w:r>
      <w:r w:rsidR="00295DF8">
        <w:t> </w:t>
      </w:r>
      <w:r w:rsidRPr="00426C3A">
        <w:t>mg/kg, lower than the recommended MRL of 7</w:t>
      </w:r>
      <w:r w:rsidR="00295DF8">
        <w:t> </w:t>
      </w:r>
      <w:r w:rsidRPr="00426C3A">
        <w:t>mg/kg) were not observed in 45 samples in 2017–18 or 54 samples in 2018–19. Cherries were not sampled for the monitoring program in either 2019–20 or 2020–21.</w:t>
      </w:r>
    </w:p>
    <w:p w14:paraId="6E476A07" w14:textId="32562A06" w:rsidR="00426C3A" w:rsidRPr="00426C3A" w:rsidRDefault="00426C3A" w:rsidP="00D05130">
      <w:pPr>
        <w:pStyle w:val="APVMAText"/>
      </w:pPr>
      <w:r w:rsidRPr="00426C3A">
        <w:lastRenderedPageBreak/>
        <w:t>The supported procymidone MRLs for canola, lentils, lupins, wine grapes and stone fruit are higher than some MRLs established by some major export markets. The use patterns and potential for residues however remain unchanged to those currently registered and it is noted that industry is currently managing risks associated with approved uses without a known trade incident.</w:t>
      </w:r>
    </w:p>
    <w:p w14:paraId="3DF401B5" w14:textId="49A88CAA" w:rsidR="00426C3A" w:rsidRPr="00D05130" w:rsidRDefault="00E03A6D" w:rsidP="00D05130">
      <w:pPr>
        <w:pStyle w:val="Heading2"/>
      </w:pPr>
      <w:bookmarkStart w:id="87" w:name="_Toc116301557"/>
      <w:r>
        <w:t xml:space="preserve">Residue and </w:t>
      </w:r>
      <w:r w:rsidR="0041501F">
        <w:t>t</w:t>
      </w:r>
      <w:r>
        <w:t>rade c</w:t>
      </w:r>
      <w:r w:rsidR="00426C3A" w:rsidRPr="00D05130">
        <w:t>onclusions</w:t>
      </w:r>
      <w:bookmarkEnd w:id="87"/>
    </w:p>
    <w:p w14:paraId="3359FBD6" w14:textId="42A2A3D8" w:rsidR="00426C3A" w:rsidRPr="00D05130" w:rsidRDefault="00426C3A" w:rsidP="00D05130">
      <w:pPr>
        <w:pStyle w:val="Heading3"/>
      </w:pPr>
      <w:bookmarkStart w:id="88" w:name="_Toc116301558"/>
      <w:r w:rsidRPr="00D05130">
        <w:t>Amendments to the Agricultural and Veterinary Chemicals Code (MRL Standard) Instrument 2019</w:t>
      </w:r>
      <w:bookmarkEnd w:id="88"/>
    </w:p>
    <w:p w14:paraId="6663CA1B" w14:textId="10B01C94" w:rsidR="00426C3A" w:rsidRPr="00426C3A" w:rsidRDefault="00426C3A" w:rsidP="00D05130">
      <w:pPr>
        <w:pStyle w:val="APVMAText"/>
      </w:pPr>
      <w:r>
        <w:t>Tables 10 and 11</w:t>
      </w:r>
      <w:r w:rsidRPr="00426C3A">
        <w:t xml:space="preserve"> summarise</w:t>
      </w:r>
      <w:r>
        <w:t xml:space="preserve"> the</w:t>
      </w:r>
      <w:r w:rsidRPr="00426C3A">
        <w:t xml:space="preserve"> recommended MRL changes to Tables 1 and 4 of the APVMA MRL Standard.</w:t>
      </w:r>
    </w:p>
    <w:p w14:paraId="57A84A33" w14:textId="07383B97" w:rsidR="00426C3A" w:rsidRPr="00D05130" w:rsidRDefault="00426C3A" w:rsidP="00D05130">
      <w:pPr>
        <w:pStyle w:val="Caption"/>
      </w:pPr>
      <w:bookmarkStart w:id="89" w:name="_Toc101968006"/>
      <w:bookmarkStart w:id="90" w:name="_Toc116301701"/>
      <w:r w:rsidRPr="00D05130">
        <w:t xml:space="preserve">Table </w:t>
      </w:r>
      <w:fldSimple w:instr=" SEQ Table \* ARABIC ">
        <w:r w:rsidR="00ED7319" w:rsidRPr="00D05130">
          <w:t>10</w:t>
        </w:r>
      </w:fldSimple>
      <w:r w:rsidRPr="00D05130">
        <w:t>:</w:t>
      </w:r>
      <w:r w:rsidRPr="00D05130">
        <w:tab/>
        <w:t xml:space="preserve">Recommended Amendments to Table 1 of the </w:t>
      </w:r>
      <w:r w:rsidR="00E03A6D" w:rsidRPr="00E03A6D">
        <w:t>Agricultural and Veterinary Chemicals Code (MRL Standard) Instrument 2019</w:t>
      </w:r>
      <w:bookmarkEnd w:id="89"/>
      <w:bookmarkEnd w:id="90"/>
    </w:p>
    <w:tbl>
      <w:tblPr>
        <w:tblW w:w="5000" w:type="pct"/>
        <w:tblBorders>
          <w:bottom w:val="dotted" w:sz="2" w:space="0" w:color="auto"/>
          <w:insideH w:val="dotted" w:sz="2" w:space="0" w:color="auto"/>
        </w:tblBorders>
        <w:tblLook w:val="0000" w:firstRow="0" w:lastRow="0" w:firstColumn="0" w:lastColumn="0" w:noHBand="0" w:noVBand="0"/>
      </w:tblPr>
      <w:tblGrid>
        <w:gridCol w:w="1927"/>
        <w:gridCol w:w="1929"/>
        <w:gridCol w:w="1930"/>
        <w:gridCol w:w="1926"/>
        <w:gridCol w:w="1926"/>
      </w:tblGrid>
      <w:tr w:rsidR="00426C3A" w14:paraId="4494A5A7" w14:textId="5008C1DF" w:rsidTr="00426C3A">
        <w:trPr>
          <w:tblHeader/>
        </w:trPr>
        <w:tc>
          <w:tcPr>
            <w:tcW w:w="1000" w:type="pct"/>
            <w:tcBorders>
              <w:top w:val="single" w:sz="4" w:space="0" w:color="auto"/>
              <w:bottom w:val="single" w:sz="4" w:space="0" w:color="auto"/>
            </w:tcBorders>
            <w:shd w:val="clear" w:color="auto" w:fill="5C2946"/>
            <w:vAlign w:val="center"/>
          </w:tcPr>
          <w:p w14:paraId="01D93A64" w14:textId="28E37C13" w:rsidR="00426C3A" w:rsidRDefault="00426C3A" w:rsidP="00426C3A">
            <w:pPr>
              <w:pStyle w:val="TableHead"/>
            </w:pPr>
            <w:r w:rsidRPr="0065245B">
              <w:t>Code</w:t>
            </w:r>
          </w:p>
        </w:tc>
        <w:tc>
          <w:tcPr>
            <w:tcW w:w="1001" w:type="pct"/>
            <w:tcBorders>
              <w:top w:val="single" w:sz="4" w:space="0" w:color="auto"/>
              <w:bottom w:val="single" w:sz="4" w:space="0" w:color="auto"/>
            </w:tcBorders>
            <w:shd w:val="clear" w:color="auto" w:fill="5C2946"/>
            <w:vAlign w:val="center"/>
          </w:tcPr>
          <w:p w14:paraId="05A1AD6D" w14:textId="3A1B9C80" w:rsidR="00426C3A" w:rsidRDefault="00426C3A" w:rsidP="00426C3A">
            <w:pPr>
              <w:pStyle w:val="TableHead"/>
            </w:pPr>
            <w:r w:rsidRPr="0065245B">
              <w:t>Food</w:t>
            </w:r>
          </w:p>
        </w:tc>
        <w:tc>
          <w:tcPr>
            <w:tcW w:w="1001" w:type="pct"/>
            <w:tcBorders>
              <w:top w:val="single" w:sz="4" w:space="0" w:color="auto"/>
              <w:bottom w:val="single" w:sz="4" w:space="0" w:color="auto"/>
            </w:tcBorders>
            <w:shd w:val="clear" w:color="auto" w:fill="5C2946"/>
            <w:vAlign w:val="center"/>
          </w:tcPr>
          <w:p w14:paraId="2686F0B0" w14:textId="021A6E1D" w:rsidR="00426C3A" w:rsidRDefault="00426C3A" w:rsidP="00426C3A">
            <w:pPr>
              <w:pStyle w:val="TableHead"/>
              <w:jc w:val="right"/>
            </w:pPr>
            <w:r w:rsidRPr="0065245B">
              <w:t>Current MRL</w:t>
            </w:r>
            <w:r>
              <w:br/>
            </w:r>
            <w:r w:rsidRPr="0065245B">
              <w:t>(mg/kg)</w:t>
            </w:r>
          </w:p>
        </w:tc>
        <w:tc>
          <w:tcPr>
            <w:tcW w:w="999" w:type="pct"/>
            <w:tcBorders>
              <w:top w:val="single" w:sz="4" w:space="0" w:color="auto"/>
              <w:bottom w:val="single" w:sz="4" w:space="0" w:color="auto"/>
            </w:tcBorders>
            <w:shd w:val="clear" w:color="auto" w:fill="5C2946"/>
            <w:vAlign w:val="center"/>
          </w:tcPr>
          <w:p w14:paraId="21CC625A" w14:textId="7024679A" w:rsidR="00426C3A" w:rsidRDefault="00426C3A" w:rsidP="00426C3A">
            <w:pPr>
              <w:pStyle w:val="TableHead"/>
              <w:jc w:val="right"/>
            </w:pPr>
            <w:r w:rsidRPr="0065245B">
              <w:t>MRL at review decision/start of the phase-out period (mg/kg)</w:t>
            </w:r>
          </w:p>
        </w:tc>
        <w:tc>
          <w:tcPr>
            <w:tcW w:w="999" w:type="pct"/>
            <w:tcBorders>
              <w:top w:val="single" w:sz="4" w:space="0" w:color="auto"/>
              <w:bottom w:val="single" w:sz="4" w:space="0" w:color="auto"/>
            </w:tcBorders>
            <w:shd w:val="clear" w:color="auto" w:fill="5C2946"/>
            <w:vAlign w:val="center"/>
          </w:tcPr>
          <w:p w14:paraId="38E5D9CB" w14:textId="611B38A5" w:rsidR="00426C3A" w:rsidRDefault="00426C3A" w:rsidP="00426C3A">
            <w:pPr>
              <w:pStyle w:val="TableHead"/>
              <w:jc w:val="right"/>
            </w:pPr>
            <w:r w:rsidRPr="0065245B">
              <w:t>MRL at the end of the phase-out period (mg/kg)</w:t>
            </w:r>
          </w:p>
        </w:tc>
      </w:tr>
      <w:tr w:rsidR="00426C3A" w14:paraId="1CE7B04E" w14:textId="287BB6D2" w:rsidTr="00426C3A">
        <w:tc>
          <w:tcPr>
            <w:tcW w:w="5000" w:type="pct"/>
            <w:gridSpan w:val="5"/>
            <w:tcBorders>
              <w:top w:val="single" w:sz="4" w:space="0" w:color="auto"/>
              <w:bottom w:val="single" w:sz="4" w:space="0" w:color="auto"/>
            </w:tcBorders>
          </w:tcPr>
          <w:p w14:paraId="16A4CEF0" w14:textId="3EC16250" w:rsidR="00426C3A" w:rsidRDefault="00426C3A" w:rsidP="00426C3A">
            <w:pPr>
              <w:pStyle w:val="TableSubHead"/>
            </w:pPr>
            <w:r w:rsidRPr="00D30CFC">
              <w:rPr>
                <w:lang w:val="en-US"/>
              </w:rPr>
              <w:t>Procymidone</w:t>
            </w:r>
          </w:p>
        </w:tc>
      </w:tr>
      <w:tr w:rsidR="00426C3A" w14:paraId="596B84E1" w14:textId="76253BAD" w:rsidTr="00426C3A">
        <w:tc>
          <w:tcPr>
            <w:tcW w:w="1000" w:type="pct"/>
            <w:tcBorders>
              <w:top w:val="single" w:sz="4" w:space="0" w:color="auto"/>
              <w:bottom w:val="single" w:sz="4" w:space="0" w:color="auto"/>
            </w:tcBorders>
            <w:vAlign w:val="center"/>
          </w:tcPr>
          <w:p w14:paraId="496B6B90" w14:textId="2DB5A2A9" w:rsidR="00426C3A" w:rsidRDefault="00426C3A" w:rsidP="00426C3A">
            <w:pPr>
              <w:pStyle w:val="TableText"/>
            </w:pPr>
            <w:r w:rsidRPr="0065245B">
              <w:t>VD 0523</w:t>
            </w:r>
          </w:p>
        </w:tc>
        <w:tc>
          <w:tcPr>
            <w:tcW w:w="1001" w:type="pct"/>
            <w:tcBorders>
              <w:top w:val="single" w:sz="4" w:space="0" w:color="auto"/>
              <w:bottom w:val="single" w:sz="4" w:space="0" w:color="auto"/>
            </w:tcBorders>
            <w:vAlign w:val="center"/>
          </w:tcPr>
          <w:p w14:paraId="390A5099" w14:textId="2C2E024A" w:rsidR="00426C3A" w:rsidRDefault="00426C3A" w:rsidP="00426C3A">
            <w:pPr>
              <w:pStyle w:val="TableText"/>
            </w:pPr>
            <w:bookmarkStart w:id="91" w:name="_Hlk115878578"/>
            <w:r w:rsidRPr="0065245B">
              <w:t>Broad bean (dry) [</w:t>
            </w:r>
            <w:proofErr w:type="spellStart"/>
            <w:r w:rsidRPr="0065245B">
              <w:t>faba</w:t>
            </w:r>
            <w:proofErr w:type="spellEnd"/>
            <w:r w:rsidRPr="0065245B">
              <w:t xml:space="preserve"> bean (dry)]</w:t>
            </w:r>
            <w:bookmarkEnd w:id="91"/>
          </w:p>
        </w:tc>
        <w:tc>
          <w:tcPr>
            <w:tcW w:w="1001" w:type="pct"/>
            <w:tcBorders>
              <w:top w:val="single" w:sz="4" w:space="0" w:color="auto"/>
              <w:bottom w:val="single" w:sz="4" w:space="0" w:color="auto"/>
            </w:tcBorders>
            <w:vAlign w:val="center"/>
          </w:tcPr>
          <w:p w14:paraId="5BC2DCE4" w14:textId="7C1AA300" w:rsidR="00426C3A" w:rsidRDefault="00426C3A" w:rsidP="00426C3A">
            <w:pPr>
              <w:pStyle w:val="TableText"/>
              <w:jc w:val="right"/>
            </w:pPr>
            <w:r w:rsidRPr="0065245B">
              <w:t>T10</w:t>
            </w:r>
          </w:p>
        </w:tc>
        <w:tc>
          <w:tcPr>
            <w:tcW w:w="999" w:type="pct"/>
            <w:tcBorders>
              <w:top w:val="single" w:sz="4" w:space="0" w:color="auto"/>
              <w:bottom w:val="single" w:sz="4" w:space="0" w:color="auto"/>
            </w:tcBorders>
            <w:vAlign w:val="center"/>
          </w:tcPr>
          <w:p w14:paraId="5DA0F277" w14:textId="24EC3A34" w:rsidR="00426C3A" w:rsidRDefault="00426C3A" w:rsidP="00426C3A">
            <w:pPr>
              <w:pStyle w:val="TableText"/>
              <w:jc w:val="right"/>
            </w:pPr>
            <w:r w:rsidRPr="0065245B">
              <w:t>T10</w:t>
            </w:r>
          </w:p>
        </w:tc>
        <w:tc>
          <w:tcPr>
            <w:tcW w:w="999" w:type="pct"/>
            <w:tcBorders>
              <w:top w:val="single" w:sz="4" w:space="0" w:color="auto"/>
              <w:bottom w:val="single" w:sz="4" w:space="0" w:color="auto"/>
            </w:tcBorders>
            <w:vAlign w:val="center"/>
          </w:tcPr>
          <w:p w14:paraId="02829EB1" w14:textId="688E6D4B" w:rsidR="00426C3A" w:rsidRPr="00A955AD" w:rsidRDefault="00426C3A" w:rsidP="00426C3A">
            <w:pPr>
              <w:pStyle w:val="TableText"/>
              <w:jc w:val="right"/>
              <w:rPr>
                <w:vertAlign w:val="superscript"/>
              </w:rPr>
            </w:pPr>
            <w:r w:rsidRPr="0065245B">
              <w:t>MRL deleted</w:t>
            </w:r>
            <w:r w:rsidR="00E03A6D">
              <w:t xml:space="preserve"> </w:t>
            </w:r>
            <w:r w:rsidR="00E03A6D">
              <w:rPr>
                <w:vertAlign w:val="superscript"/>
              </w:rPr>
              <w:t>a</w:t>
            </w:r>
          </w:p>
        </w:tc>
      </w:tr>
      <w:tr w:rsidR="00426C3A" w14:paraId="2D5EFD0B" w14:textId="0225C7C1" w:rsidTr="00426C3A">
        <w:tc>
          <w:tcPr>
            <w:tcW w:w="1000" w:type="pct"/>
            <w:tcBorders>
              <w:top w:val="single" w:sz="4" w:space="0" w:color="auto"/>
              <w:bottom w:val="single" w:sz="4" w:space="0" w:color="auto"/>
            </w:tcBorders>
            <w:vAlign w:val="center"/>
          </w:tcPr>
          <w:p w14:paraId="6381DF29" w14:textId="26DCB433" w:rsidR="00426C3A" w:rsidRDefault="00426C3A" w:rsidP="00426C3A">
            <w:pPr>
              <w:pStyle w:val="TableText"/>
              <w:rPr>
                <w:b/>
              </w:rPr>
            </w:pPr>
            <w:r w:rsidRPr="0065245B">
              <w:t>FS 0013</w:t>
            </w:r>
          </w:p>
        </w:tc>
        <w:tc>
          <w:tcPr>
            <w:tcW w:w="1001" w:type="pct"/>
            <w:tcBorders>
              <w:top w:val="single" w:sz="4" w:space="0" w:color="auto"/>
              <w:bottom w:val="single" w:sz="4" w:space="0" w:color="auto"/>
            </w:tcBorders>
            <w:vAlign w:val="center"/>
          </w:tcPr>
          <w:p w14:paraId="085B155E" w14:textId="7BF9E19D" w:rsidR="00426C3A" w:rsidRDefault="00426C3A" w:rsidP="00426C3A">
            <w:pPr>
              <w:pStyle w:val="TableText"/>
              <w:rPr>
                <w:b/>
              </w:rPr>
            </w:pPr>
            <w:r w:rsidRPr="0065245B">
              <w:t>Cherries</w:t>
            </w:r>
          </w:p>
        </w:tc>
        <w:tc>
          <w:tcPr>
            <w:tcW w:w="1001" w:type="pct"/>
            <w:tcBorders>
              <w:top w:val="single" w:sz="4" w:space="0" w:color="auto"/>
              <w:bottom w:val="single" w:sz="4" w:space="0" w:color="auto"/>
            </w:tcBorders>
            <w:vAlign w:val="center"/>
          </w:tcPr>
          <w:p w14:paraId="294F7916" w14:textId="1CFCCC82" w:rsidR="00426C3A" w:rsidRDefault="00426C3A" w:rsidP="00426C3A">
            <w:pPr>
              <w:pStyle w:val="TableText"/>
              <w:jc w:val="right"/>
              <w:rPr>
                <w:b/>
              </w:rPr>
            </w:pPr>
            <w:r>
              <w:rPr>
                <w:b/>
              </w:rPr>
              <w:t>–</w:t>
            </w:r>
          </w:p>
        </w:tc>
        <w:tc>
          <w:tcPr>
            <w:tcW w:w="999" w:type="pct"/>
            <w:tcBorders>
              <w:top w:val="single" w:sz="4" w:space="0" w:color="auto"/>
              <w:bottom w:val="single" w:sz="4" w:space="0" w:color="auto"/>
            </w:tcBorders>
            <w:vAlign w:val="center"/>
          </w:tcPr>
          <w:p w14:paraId="68E514D6" w14:textId="4A1BD675" w:rsidR="00426C3A" w:rsidRDefault="00E03A6D" w:rsidP="00426C3A">
            <w:pPr>
              <w:pStyle w:val="TableText"/>
              <w:jc w:val="right"/>
              <w:rPr>
                <w:b/>
              </w:rPr>
            </w:pPr>
            <w:r>
              <w:rPr>
                <w:b/>
              </w:rPr>
              <w:t>7</w:t>
            </w:r>
          </w:p>
        </w:tc>
        <w:tc>
          <w:tcPr>
            <w:tcW w:w="999" w:type="pct"/>
            <w:tcBorders>
              <w:top w:val="single" w:sz="4" w:space="0" w:color="auto"/>
              <w:bottom w:val="single" w:sz="4" w:space="0" w:color="auto"/>
            </w:tcBorders>
            <w:vAlign w:val="center"/>
          </w:tcPr>
          <w:p w14:paraId="375D3966" w14:textId="5566F568" w:rsidR="00426C3A" w:rsidRDefault="00426C3A" w:rsidP="00426C3A">
            <w:pPr>
              <w:pStyle w:val="TableText"/>
              <w:jc w:val="right"/>
              <w:rPr>
                <w:b/>
              </w:rPr>
            </w:pPr>
            <w:r w:rsidRPr="0065245B">
              <w:t>7</w:t>
            </w:r>
          </w:p>
        </w:tc>
      </w:tr>
      <w:tr w:rsidR="00426C3A" w14:paraId="0DFAE0DE" w14:textId="77777777" w:rsidTr="00426C3A">
        <w:tc>
          <w:tcPr>
            <w:tcW w:w="1000" w:type="pct"/>
            <w:tcBorders>
              <w:top w:val="single" w:sz="4" w:space="0" w:color="auto"/>
              <w:bottom w:val="single" w:sz="4" w:space="0" w:color="auto"/>
            </w:tcBorders>
            <w:vAlign w:val="center"/>
          </w:tcPr>
          <w:p w14:paraId="0330CA6D" w14:textId="6C9151D4" w:rsidR="00426C3A" w:rsidRPr="0065245B" w:rsidRDefault="00426C3A" w:rsidP="00426C3A">
            <w:pPr>
              <w:pStyle w:val="TableText"/>
            </w:pPr>
            <w:r w:rsidRPr="0065245B">
              <w:t>VD 0526</w:t>
            </w:r>
          </w:p>
        </w:tc>
        <w:tc>
          <w:tcPr>
            <w:tcW w:w="1001" w:type="pct"/>
            <w:tcBorders>
              <w:top w:val="single" w:sz="4" w:space="0" w:color="auto"/>
              <w:bottom w:val="single" w:sz="4" w:space="0" w:color="auto"/>
            </w:tcBorders>
            <w:vAlign w:val="center"/>
          </w:tcPr>
          <w:p w14:paraId="01D26B87" w14:textId="1DFD202A" w:rsidR="00426C3A" w:rsidRPr="0065245B" w:rsidRDefault="00426C3A" w:rsidP="00426C3A">
            <w:pPr>
              <w:pStyle w:val="TableText"/>
            </w:pPr>
            <w:r w:rsidRPr="0065245B">
              <w:t>Common bean (dry) [navy bean (dry)]</w:t>
            </w:r>
          </w:p>
        </w:tc>
        <w:tc>
          <w:tcPr>
            <w:tcW w:w="1001" w:type="pct"/>
            <w:tcBorders>
              <w:top w:val="single" w:sz="4" w:space="0" w:color="auto"/>
              <w:bottom w:val="single" w:sz="4" w:space="0" w:color="auto"/>
            </w:tcBorders>
            <w:vAlign w:val="center"/>
          </w:tcPr>
          <w:p w14:paraId="0073C8CE" w14:textId="12C79F56" w:rsidR="00426C3A" w:rsidRPr="0065245B" w:rsidRDefault="00426C3A" w:rsidP="00426C3A">
            <w:pPr>
              <w:pStyle w:val="TableText"/>
              <w:jc w:val="right"/>
            </w:pPr>
            <w:r w:rsidRPr="0065245B">
              <w:t>T10</w:t>
            </w:r>
          </w:p>
        </w:tc>
        <w:tc>
          <w:tcPr>
            <w:tcW w:w="999" w:type="pct"/>
            <w:tcBorders>
              <w:top w:val="single" w:sz="4" w:space="0" w:color="auto"/>
              <w:bottom w:val="single" w:sz="4" w:space="0" w:color="auto"/>
            </w:tcBorders>
            <w:vAlign w:val="center"/>
          </w:tcPr>
          <w:p w14:paraId="74EB3822" w14:textId="0F3862F0" w:rsidR="00426C3A" w:rsidRPr="0065245B" w:rsidRDefault="00426C3A" w:rsidP="00426C3A">
            <w:pPr>
              <w:pStyle w:val="TableText"/>
              <w:jc w:val="right"/>
            </w:pPr>
            <w:r w:rsidRPr="0065245B">
              <w:t>T10</w:t>
            </w:r>
          </w:p>
        </w:tc>
        <w:tc>
          <w:tcPr>
            <w:tcW w:w="999" w:type="pct"/>
            <w:tcBorders>
              <w:top w:val="single" w:sz="4" w:space="0" w:color="auto"/>
              <w:bottom w:val="single" w:sz="4" w:space="0" w:color="auto"/>
            </w:tcBorders>
            <w:vAlign w:val="center"/>
          </w:tcPr>
          <w:p w14:paraId="7ED5567E" w14:textId="41961A9F" w:rsidR="00426C3A" w:rsidRPr="00A955AD" w:rsidRDefault="00426C3A" w:rsidP="00426C3A">
            <w:pPr>
              <w:pStyle w:val="TableText"/>
              <w:jc w:val="right"/>
              <w:rPr>
                <w:vertAlign w:val="superscript"/>
              </w:rPr>
            </w:pPr>
            <w:r w:rsidRPr="0065245B">
              <w:t>MRL deleted</w:t>
            </w:r>
            <w:r w:rsidR="00E03A6D">
              <w:t xml:space="preserve"> </w:t>
            </w:r>
            <w:r w:rsidR="00E03A6D">
              <w:rPr>
                <w:vertAlign w:val="superscript"/>
              </w:rPr>
              <w:t>a</w:t>
            </w:r>
          </w:p>
        </w:tc>
      </w:tr>
      <w:tr w:rsidR="00426C3A" w14:paraId="1E9D82C0" w14:textId="77777777" w:rsidTr="00426C3A">
        <w:tc>
          <w:tcPr>
            <w:tcW w:w="1000" w:type="pct"/>
            <w:tcBorders>
              <w:top w:val="single" w:sz="4" w:space="0" w:color="auto"/>
              <w:bottom w:val="single" w:sz="4" w:space="0" w:color="auto"/>
            </w:tcBorders>
            <w:vAlign w:val="center"/>
          </w:tcPr>
          <w:p w14:paraId="4A5BF789" w14:textId="1BADB27B" w:rsidR="00426C3A" w:rsidRPr="0065245B" w:rsidRDefault="00426C3A" w:rsidP="00426C3A">
            <w:pPr>
              <w:pStyle w:val="TableText"/>
            </w:pPr>
            <w:r w:rsidRPr="0065245B">
              <w:t>MO 0105</w:t>
            </w:r>
          </w:p>
        </w:tc>
        <w:tc>
          <w:tcPr>
            <w:tcW w:w="1001" w:type="pct"/>
            <w:tcBorders>
              <w:top w:val="single" w:sz="4" w:space="0" w:color="auto"/>
              <w:bottom w:val="single" w:sz="4" w:space="0" w:color="auto"/>
            </w:tcBorders>
            <w:vAlign w:val="center"/>
          </w:tcPr>
          <w:p w14:paraId="453426F3" w14:textId="71A4CB08" w:rsidR="00426C3A" w:rsidRPr="0065245B" w:rsidRDefault="00426C3A" w:rsidP="00426C3A">
            <w:pPr>
              <w:pStyle w:val="TableText"/>
            </w:pPr>
            <w:r w:rsidRPr="0065245B">
              <w:t>Edible offal (mammalian)</w:t>
            </w:r>
          </w:p>
        </w:tc>
        <w:tc>
          <w:tcPr>
            <w:tcW w:w="1001" w:type="pct"/>
            <w:tcBorders>
              <w:top w:val="single" w:sz="4" w:space="0" w:color="auto"/>
              <w:bottom w:val="single" w:sz="4" w:space="0" w:color="auto"/>
            </w:tcBorders>
            <w:vAlign w:val="center"/>
          </w:tcPr>
          <w:p w14:paraId="7CC70C7E" w14:textId="5A0DF481" w:rsidR="00426C3A" w:rsidRPr="0065245B" w:rsidRDefault="00426C3A" w:rsidP="00426C3A">
            <w:pPr>
              <w:pStyle w:val="TableText"/>
              <w:jc w:val="right"/>
            </w:pPr>
            <w:r w:rsidRPr="0065245B">
              <w:t>T0.05</w:t>
            </w:r>
          </w:p>
        </w:tc>
        <w:tc>
          <w:tcPr>
            <w:tcW w:w="999" w:type="pct"/>
            <w:tcBorders>
              <w:top w:val="single" w:sz="4" w:space="0" w:color="auto"/>
              <w:bottom w:val="single" w:sz="4" w:space="0" w:color="auto"/>
            </w:tcBorders>
            <w:vAlign w:val="center"/>
          </w:tcPr>
          <w:p w14:paraId="7B374444" w14:textId="6469E9C7" w:rsidR="00426C3A" w:rsidRPr="0065245B" w:rsidRDefault="00426C3A" w:rsidP="00426C3A">
            <w:pPr>
              <w:pStyle w:val="TableText"/>
              <w:jc w:val="right"/>
            </w:pPr>
            <w:r w:rsidRPr="0065245B">
              <w:t>0.05</w:t>
            </w:r>
          </w:p>
        </w:tc>
        <w:tc>
          <w:tcPr>
            <w:tcW w:w="999" w:type="pct"/>
            <w:tcBorders>
              <w:top w:val="single" w:sz="4" w:space="0" w:color="auto"/>
              <w:bottom w:val="single" w:sz="4" w:space="0" w:color="auto"/>
            </w:tcBorders>
            <w:vAlign w:val="center"/>
          </w:tcPr>
          <w:p w14:paraId="1242E6B5" w14:textId="4E3A6D3B" w:rsidR="00426C3A" w:rsidRPr="0065245B" w:rsidRDefault="00426C3A" w:rsidP="00426C3A">
            <w:pPr>
              <w:pStyle w:val="TableText"/>
              <w:jc w:val="right"/>
            </w:pPr>
            <w:r w:rsidRPr="0065245B">
              <w:t>0.05</w:t>
            </w:r>
          </w:p>
        </w:tc>
      </w:tr>
      <w:tr w:rsidR="00426C3A" w14:paraId="224FB26A" w14:textId="77777777" w:rsidTr="00426C3A">
        <w:tc>
          <w:tcPr>
            <w:tcW w:w="1000" w:type="pct"/>
            <w:tcBorders>
              <w:top w:val="single" w:sz="4" w:space="0" w:color="auto"/>
              <w:bottom w:val="single" w:sz="4" w:space="0" w:color="auto"/>
            </w:tcBorders>
            <w:vAlign w:val="center"/>
          </w:tcPr>
          <w:p w14:paraId="28DAFF9B" w14:textId="667C4048" w:rsidR="00426C3A" w:rsidRPr="0065245B" w:rsidRDefault="00426C3A" w:rsidP="00426C3A">
            <w:pPr>
              <w:pStyle w:val="TableText"/>
            </w:pPr>
            <w:r w:rsidRPr="0065245B">
              <w:t>PE 0112</w:t>
            </w:r>
          </w:p>
        </w:tc>
        <w:tc>
          <w:tcPr>
            <w:tcW w:w="1001" w:type="pct"/>
            <w:tcBorders>
              <w:top w:val="single" w:sz="4" w:space="0" w:color="auto"/>
              <w:bottom w:val="single" w:sz="4" w:space="0" w:color="auto"/>
            </w:tcBorders>
            <w:vAlign w:val="center"/>
          </w:tcPr>
          <w:p w14:paraId="748CAD41" w14:textId="47BAF7B4" w:rsidR="00426C3A" w:rsidRPr="0065245B" w:rsidRDefault="00426C3A" w:rsidP="00426C3A">
            <w:pPr>
              <w:pStyle w:val="TableText"/>
            </w:pPr>
            <w:r w:rsidRPr="0065245B">
              <w:t>Eggs</w:t>
            </w:r>
          </w:p>
        </w:tc>
        <w:tc>
          <w:tcPr>
            <w:tcW w:w="1001" w:type="pct"/>
            <w:tcBorders>
              <w:top w:val="single" w:sz="4" w:space="0" w:color="auto"/>
              <w:bottom w:val="single" w:sz="4" w:space="0" w:color="auto"/>
            </w:tcBorders>
            <w:vAlign w:val="center"/>
          </w:tcPr>
          <w:p w14:paraId="53DF8F8C" w14:textId="6ABD7D4B" w:rsidR="00426C3A" w:rsidRPr="0065245B" w:rsidRDefault="00426C3A" w:rsidP="00426C3A">
            <w:pPr>
              <w:pStyle w:val="TableText"/>
              <w:jc w:val="right"/>
            </w:pPr>
            <w:r w:rsidRPr="0065245B">
              <w:t>T*0.01</w:t>
            </w:r>
          </w:p>
        </w:tc>
        <w:tc>
          <w:tcPr>
            <w:tcW w:w="999" w:type="pct"/>
            <w:tcBorders>
              <w:top w:val="single" w:sz="4" w:space="0" w:color="auto"/>
              <w:bottom w:val="single" w:sz="4" w:space="0" w:color="auto"/>
            </w:tcBorders>
            <w:vAlign w:val="center"/>
          </w:tcPr>
          <w:p w14:paraId="4292CE4B" w14:textId="027C9C56" w:rsidR="00426C3A" w:rsidRPr="0065245B" w:rsidRDefault="00426C3A" w:rsidP="00426C3A">
            <w:pPr>
              <w:pStyle w:val="TableText"/>
              <w:jc w:val="right"/>
            </w:pPr>
            <w:r w:rsidRPr="0065245B">
              <w:t>*0.01</w:t>
            </w:r>
          </w:p>
        </w:tc>
        <w:tc>
          <w:tcPr>
            <w:tcW w:w="999" w:type="pct"/>
            <w:tcBorders>
              <w:top w:val="single" w:sz="4" w:space="0" w:color="auto"/>
              <w:bottom w:val="single" w:sz="4" w:space="0" w:color="auto"/>
            </w:tcBorders>
            <w:vAlign w:val="center"/>
          </w:tcPr>
          <w:p w14:paraId="1500E452" w14:textId="01864CEA" w:rsidR="00426C3A" w:rsidRPr="0065245B" w:rsidRDefault="00426C3A" w:rsidP="00426C3A">
            <w:pPr>
              <w:pStyle w:val="TableText"/>
              <w:jc w:val="right"/>
            </w:pPr>
            <w:r w:rsidRPr="0065245B">
              <w:t>*0.01</w:t>
            </w:r>
          </w:p>
        </w:tc>
      </w:tr>
      <w:tr w:rsidR="00426C3A" w14:paraId="054D1DB2" w14:textId="77777777" w:rsidTr="00426C3A">
        <w:tc>
          <w:tcPr>
            <w:tcW w:w="1000" w:type="pct"/>
            <w:tcBorders>
              <w:top w:val="single" w:sz="4" w:space="0" w:color="auto"/>
              <w:bottom w:val="single" w:sz="4" w:space="0" w:color="auto"/>
            </w:tcBorders>
            <w:vAlign w:val="center"/>
          </w:tcPr>
          <w:p w14:paraId="058C740C" w14:textId="7A78DEF2" w:rsidR="00426C3A" w:rsidRPr="0065245B" w:rsidRDefault="00426C3A" w:rsidP="00426C3A">
            <w:pPr>
              <w:pStyle w:val="TableText"/>
            </w:pPr>
            <w:r w:rsidRPr="0065245B">
              <w:t>VA 0381</w:t>
            </w:r>
          </w:p>
        </w:tc>
        <w:tc>
          <w:tcPr>
            <w:tcW w:w="1001" w:type="pct"/>
            <w:tcBorders>
              <w:top w:val="single" w:sz="4" w:space="0" w:color="auto"/>
              <w:bottom w:val="single" w:sz="4" w:space="0" w:color="auto"/>
            </w:tcBorders>
            <w:vAlign w:val="center"/>
          </w:tcPr>
          <w:p w14:paraId="784C9825" w14:textId="0A0DED58" w:rsidR="00426C3A" w:rsidRPr="0065245B" w:rsidRDefault="00426C3A" w:rsidP="00426C3A">
            <w:pPr>
              <w:pStyle w:val="TableText"/>
            </w:pPr>
            <w:r w:rsidRPr="0065245B">
              <w:t>Garlic</w:t>
            </w:r>
          </w:p>
        </w:tc>
        <w:tc>
          <w:tcPr>
            <w:tcW w:w="1001" w:type="pct"/>
            <w:tcBorders>
              <w:top w:val="single" w:sz="4" w:space="0" w:color="auto"/>
              <w:bottom w:val="single" w:sz="4" w:space="0" w:color="auto"/>
            </w:tcBorders>
            <w:vAlign w:val="center"/>
          </w:tcPr>
          <w:p w14:paraId="2D75C595" w14:textId="5356ED29" w:rsidR="00426C3A" w:rsidRPr="0065245B" w:rsidRDefault="00426C3A" w:rsidP="00426C3A">
            <w:pPr>
              <w:pStyle w:val="TableText"/>
              <w:jc w:val="right"/>
            </w:pPr>
            <w:r w:rsidRPr="0065245B">
              <w:t>T5</w:t>
            </w:r>
          </w:p>
        </w:tc>
        <w:tc>
          <w:tcPr>
            <w:tcW w:w="999" w:type="pct"/>
            <w:tcBorders>
              <w:top w:val="single" w:sz="4" w:space="0" w:color="auto"/>
              <w:bottom w:val="single" w:sz="4" w:space="0" w:color="auto"/>
            </w:tcBorders>
            <w:vAlign w:val="center"/>
          </w:tcPr>
          <w:p w14:paraId="1A29C351" w14:textId="48D50D78" w:rsidR="00426C3A" w:rsidRPr="0065245B" w:rsidRDefault="00426C3A" w:rsidP="00426C3A">
            <w:pPr>
              <w:pStyle w:val="TableText"/>
              <w:jc w:val="right"/>
            </w:pPr>
            <w:r w:rsidRPr="0065245B">
              <w:t>5</w:t>
            </w:r>
          </w:p>
        </w:tc>
        <w:tc>
          <w:tcPr>
            <w:tcW w:w="999" w:type="pct"/>
            <w:tcBorders>
              <w:top w:val="single" w:sz="4" w:space="0" w:color="auto"/>
              <w:bottom w:val="single" w:sz="4" w:space="0" w:color="auto"/>
            </w:tcBorders>
            <w:vAlign w:val="center"/>
          </w:tcPr>
          <w:p w14:paraId="4F36BA44" w14:textId="30728AB0" w:rsidR="00426C3A" w:rsidRPr="0065245B" w:rsidRDefault="00426C3A" w:rsidP="00426C3A">
            <w:pPr>
              <w:pStyle w:val="TableText"/>
              <w:jc w:val="right"/>
            </w:pPr>
            <w:r w:rsidRPr="0065245B">
              <w:t>5</w:t>
            </w:r>
          </w:p>
        </w:tc>
      </w:tr>
      <w:tr w:rsidR="00426C3A" w14:paraId="0D8BC553" w14:textId="77777777" w:rsidTr="00426C3A">
        <w:tc>
          <w:tcPr>
            <w:tcW w:w="1000" w:type="pct"/>
            <w:tcBorders>
              <w:top w:val="single" w:sz="4" w:space="0" w:color="auto"/>
              <w:bottom w:val="single" w:sz="4" w:space="0" w:color="auto"/>
            </w:tcBorders>
            <w:vAlign w:val="center"/>
          </w:tcPr>
          <w:p w14:paraId="01D4C8A5" w14:textId="461DB108" w:rsidR="00426C3A" w:rsidRPr="0065245B" w:rsidRDefault="00426C3A" w:rsidP="00426C3A">
            <w:pPr>
              <w:pStyle w:val="TableText"/>
            </w:pPr>
            <w:r w:rsidRPr="0065245B">
              <w:t>VD 0533</w:t>
            </w:r>
          </w:p>
        </w:tc>
        <w:tc>
          <w:tcPr>
            <w:tcW w:w="1001" w:type="pct"/>
            <w:tcBorders>
              <w:top w:val="single" w:sz="4" w:space="0" w:color="auto"/>
              <w:bottom w:val="single" w:sz="4" w:space="0" w:color="auto"/>
            </w:tcBorders>
            <w:vAlign w:val="center"/>
          </w:tcPr>
          <w:p w14:paraId="5B221D82" w14:textId="7C1D5C5D" w:rsidR="00426C3A" w:rsidRPr="0065245B" w:rsidRDefault="00426C3A" w:rsidP="00426C3A">
            <w:pPr>
              <w:pStyle w:val="TableText"/>
            </w:pPr>
            <w:r w:rsidRPr="0065245B">
              <w:t xml:space="preserve">Lentil (dry) </w:t>
            </w:r>
          </w:p>
        </w:tc>
        <w:tc>
          <w:tcPr>
            <w:tcW w:w="1001" w:type="pct"/>
            <w:tcBorders>
              <w:top w:val="single" w:sz="4" w:space="0" w:color="auto"/>
              <w:bottom w:val="single" w:sz="4" w:space="0" w:color="auto"/>
            </w:tcBorders>
            <w:vAlign w:val="center"/>
          </w:tcPr>
          <w:p w14:paraId="46D2ED94" w14:textId="0D6D6189" w:rsidR="00426C3A" w:rsidRPr="0065245B" w:rsidRDefault="00426C3A" w:rsidP="00426C3A">
            <w:pPr>
              <w:pStyle w:val="TableText"/>
              <w:jc w:val="right"/>
            </w:pPr>
            <w:r w:rsidRPr="0065245B">
              <w:t>0.5</w:t>
            </w:r>
          </w:p>
        </w:tc>
        <w:tc>
          <w:tcPr>
            <w:tcW w:w="999" w:type="pct"/>
            <w:tcBorders>
              <w:top w:val="single" w:sz="4" w:space="0" w:color="auto"/>
              <w:bottom w:val="single" w:sz="4" w:space="0" w:color="auto"/>
            </w:tcBorders>
            <w:vAlign w:val="center"/>
          </w:tcPr>
          <w:p w14:paraId="24F12015" w14:textId="38438116" w:rsidR="00426C3A" w:rsidRPr="0065245B" w:rsidRDefault="00426C3A" w:rsidP="00426C3A">
            <w:pPr>
              <w:pStyle w:val="TableText"/>
              <w:jc w:val="right"/>
            </w:pPr>
            <w:r w:rsidRPr="0065245B">
              <w:t>0.5</w:t>
            </w:r>
          </w:p>
        </w:tc>
        <w:tc>
          <w:tcPr>
            <w:tcW w:w="999" w:type="pct"/>
            <w:tcBorders>
              <w:top w:val="single" w:sz="4" w:space="0" w:color="auto"/>
              <w:bottom w:val="single" w:sz="4" w:space="0" w:color="auto"/>
            </w:tcBorders>
            <w:vAlign w:val="center"/>
          </w:tcPr>
          <w:p w14:paraId="51688CE3" w14:textId="10BC0B4D" w:rsidR="00426C3A" w:rsidRPr="0065245B" w:rsidRDefault="00426C3A" w:rsidP="00426C3A">
            <w:pPr>
              <w:pStyle w:val="TableText"/>
              <w:jc w:val="right"/>
            </w:pPr>
            <w:r w:rsidRPr="0065245B">
              <w:t>0.5</w:t>
            </w:r>
          </w:p>
        </w:tc>
      </w:tr>
      <w:tr w:rsidR="00426C3A" w14:paraId="62188E8F" w14:textId="77777777" w:rsidTr="00426C3A">
        <w:tc>
          <w:tcPr>
            <w:tcW w:w="1000" w:type="pct"/>
            <w:tcBorders>
              <w:top w:val="single" w:sz="4" w:space="0" w:color="auto"/>
              <w:bottom w:val="single" w:sz="4" w:space="0" w:color="auto"/>
            </w:tcBorders>
            <w:vAlign w:val="center"/>
          </w:tcPr>
          <w:p w14:paraId="21217B8E" w14:textId="6321F637" w:rsidR="00426C3A" w:rsidRPr="0065245B" w:rsidRDefault="00426C3A" w:rsidP="00426C3A">
            <w:pPr>
              <w:pStyle w:val="TableText"/>
            </w:pPr>
            <w:r w:rsidRPr="0065245B">
              <w:t>VD 0545</w:t>
            </w:r>
          </w:p>
        </w:tc>
        <w:tc>
          <w:tcPr>
            <w:tcW w:w="1001" w:type="pct"/>
            <w:tcBorders>
              <w:top w:val="single" w:sz="4" w:space="0" w:color="auto"/>
              <w:bottom w:val="single" w:sz="4" w:space="0" w:color="auto"/>
            </w:tcBorders>
            <w:vAlign w:val="center"/>
          </w:tcPr>
          <w:p w14:paraId="1C8DAC2A" w14:textId="28EF75E5" w:rsidR="00426C3A" w:rsidRPr="0065245B" w:rsidRDefault="00426C3A" w:rsidP="00426C3A">
            <w:pPr>
              <w:pStyle w:val="TableText"/>
            </w:pPr>
            <w:r w:rsidRPr="0065245B">
              <w:t>Lupin (dry)</w:t>
            </w:r>
          </w:p>
        </w:tc>
        <w:tc>
          <w:tcPr>
            <w:tcW w:w="1001" w:type="pct"/>
            <w:tcBorders>
              <w:top w:val="single" w:sz="4" w:space="0" w:color="auto"/>
              <w:bottom w:val="single" w:sz="4" w:space="0" w:color="auto"/>
            </w:tcBorders>
            <w:vAlign w:val="center"/>
          </w:tcPr>
          <w:p w14:paraId="021275DE" w14:textId="058AAAD6" w:rsidR="00426C3A" w:rsidRPr="0065245B" w:rsidRDefault="00426C3A" w:rsidP="00426C3A">
            <w:pPr>
              <w:pStyle w:val="TableText"/>
              <w:jc w:val="right"/>
            </w:pPr>
            <w:r w:rsidRPr="0065245B">
              <w:t>T*0.01</w:t>
            </w:r>
          </w:p>
        </w:tc>
        <w:tc>
          <w:tcPr>
            <w:tcW w:w="999" w:type="pct"/>
            <w:tcBorders>
              <w:top w:val="single" w:sz="4" w:space="0" w:color="auto"/>
              <w:bottom w:val="single" w:sz="4" w:space="0" w:color="auto"/>
            </w:tcBorders>
            <w:vAlign w:val="center"/>
          </w:tcPr>
          <w:p w14:paraId="19407861" w14:textId="33C882A6" w:rsidR="00426C3A" w:rsidRPr="0065245B" w:rsidRDefault="00426C3A" w:rsidP="00426C3A">
            <w:pPr>
              <w:pStyle w:val="TableText"/>
              <w:jc w:val="right"/>
            </w:pPr>
            <w:r w:rsidRPr="0065245B">
              <w:t>*0.01</w:t>
            </w:r>
          </w:p>
        </w:tc>
        <w:tc>
          <w:tcPr>
            <w:tcW w:w="999" w:type="pct"/>
            <w:tcBorders>
              <w:top w:val="single" w:sz="4" w:space="0" w:color="auto"/>
              <w:bottom w:val="single" w:sz="4" w:space="0" w:color="auto"/>
            </w:tcBorders>
            <w:vAlign w:val="center"/>
          </w:tcPr>
          <w:p w14:paraId="5956D397" w14:textId="2E48E8E8" w:rsidR="00426C3A" w:rsidRPr="0065245B" w:rsidRDefault="00426C3A" w:rsidP="00426C3A">
            <w:pPr>
              <w:pStyle w:val="TableText"/>
              <w:jc w:val="right"/>
            </w:pPr>
            <w:r w:rsidRPr="0065245B">
              <w:t>*0.01</w:t>
            </w:r>
          </w:p>
        </w:tc>
      </w:tr>
      <w:tr w:rsidR="00426C3A" w14:paraId="148AF7BF" w14:textId="77777777" w:rsidTr="00426C3A">
        <w:tc>
          <w:tcPr>
            <w:tcW w:w="1000" w:type="pct"/>
            <w:tcBorders>
              <w:top w:val="single" w:sz="4" w:space="0" w:color="auto"/>
              <w:bottom w:val="single" w:sz="4" w:space="0" w:color="auto"/>
            </w:tcBorders>
            <w:vAlign w:val="center"/>
          </w:tcPr>
          <w:p w14:paraId="6961ED24" w14:textId="324F0566" w:rsidR="00426C3A" w:rsidRPr="0065245B" w:rsidRDefault="00426C3A" w:rsidP="00426C3A">
            <w:pPr>
              <w:pStyle w:val="TableText"/>
            </w:pPr>
            <w:r w:rsidRPr="0065245B">
              <w:t>MM 0095</w:t>
            </w:r>
          </w:p>
        </w:tc>
        <w:tc>
          <w:tcPr>
            <w:tcW w:w="1001" w:type="pct"/>
            <w:tcBorders>
              <w:top w:val="single" w:sz="4" w:space="0" w:color="auto"/>
              <w:bottom w:val="single" w:sz="4" w:space="0" w:color="auto"/>
            </w:tcBorders>
            <w:vAlign w:val="center"/>
          </w:tcPr>
          <w:p w14:paraId="6CD376A3" w14:textId="1C8ED793" w:rsidR="00426C3A" w:rsidRPr="0065245B" w:rsidRDefault="00426C3A" w:rsidP="00426C3A">
            <w:pPr>
              <w:pStyle w:val="TableText"/>
            </w:pPr>
            <w:r w:rsidRPr="0065245B">
              <w:t>Meat (mammalian) [in the fat]</w:t>
            </w:r>
          </w:p>
        </w:tc>
        <w:tc>
          <w:tcPr>
            <w:tcW w:w="1001" w:type="pct"/>
            <w:tcBorders>
              <w:top w:val="single" w:sz="4" w:space="0" w:color="auto"/>
              <w:bottom w:val="single" w:sz="4" w:space="0" w:color="auto"/>
            </w:tcBorders>
            <w:vAlign w:val="center"/>
          </w:tcPr>
          <w:p w14:paraId="077B2F06" w14:textId="2EF0DAC0" w:rsidR="00426C3A" w:rsidRPr="0065245B" w:rsidRDefault="00426C3A" w:rsidP="00426C3A">
            <w:pPr>
              <w:pStyle w:val="TableText"/>
              <w:jc w:val="right"/>
            </w:pPr>
            <w:r w:rsidRPr="0065245B">
              <w:t>T0.2</w:t>
            </w:r>
          </w:p>
        </w:tc>
        <w:tc>
          <w:tcPr>
            <w:tcW w:w="999" w:type="pct"/>
            <w:tcBorders>
              <w:top w:val="single" w:sz="4" w:space="0" w:color="auto"/>
              <w:bottom w:val="single" w:sz="4" w:space="0" w:color="auto"/>
            </w:tcBorders>
            <w:vAlign w:val="center"/>
          </w:tcPr>
          <w:p w14:paraId="1BC7AA8F" w14:textId="6904C200" w:rsidR="00426C3A" w:rsidRPr="0065245B" w:rsidRDefault="00426C3A" w:rsidP="00426C3A">
            <w:pPr>
              <w:pStyle w:val="TableText"/>
              <w:jc w:val="right"/>
            </w:pPr>
            <w:r w:rsidRPr="0065245B">
              <w:t>0.2</w:t>
            </w:r>
          </w:p>
        </w:tc>
        <w:tc>
          <w:tcPr>
            <w:tcW w:w="999" w:type="pct"/>
            <w:tcBorders>
              <w:top w:val="single" w:sz="4" w:space="0" w:color="auto"/>
              <w:bottom w:val="single" w:sz="4" w:space="0" w:color="auto"/>
            </w:tcBorders>
            <w:vAlign w:val="center"/>
          </w:tcPr>
          <w:p w14:paraId="55E6FE53" w14:textId="76937A6D" w:rsidR="00426C3A" w:rsidRPr="0065245B" w:rsidRDefault="00426C3A" w:rsidP="00426C3A">
            <w:pPr>
              <w:pStyle w:val="TableText"/>
              <w:jc w:val="right"/>
            </w:pPr>
            <w:r w:rsidRPr="0065245B">
              <w:t>0.2</w:t>
            </w:r>
          </w:p>
        </w:tc>
      </w:tr>
      <w:tr w:rsidR="00426C3A" w14:paraId="764B4157" w14:textId="77777777" w:rsidTr="00426C3A">
        <w:tc>
          <w:tcPr>
            <w:tcW w:w="1000" w:type="pct"/>
            <w:tcBorders>
              <w:top w:val="single" w:sz="4" w:space="0" w:color="auto"/>
              <w:bottom w:val="single" w:sz="4" w:space="0" w:color="auto"/>
            </w:tcBorders>
            <w:vAlign w:val="center"/>
          </w:tcPr>
          <w:p w14:paraId="6B508542" w14:textId="40168F48" w:rsidR="00426C3A" w:rsidRPr="0065245B" w:rsidRDefault="00426C3A" w:rsidP="00426C3A">
            <w:pPr>
              <w:pStyle w:val="TableText"/>
            </w:pPr>
            <w:r w:rsidRPr="0065245B">
              <w:t>ML 0106</w:t>
            </w:r>
          </w:p>
        </w:tc>
        <w:tc>
          <w:tcPr>
            <w:tcW w:w="1001" w:type="pct"/>
            <w:tcBorders>
              <w:top w:val="single" w:sz="4" w:space="0" w:color="auto"/>
              <w:bottom w:val="single" w:sz="4" w:space="0" w:color="auto"/>
            </w:tcBorders>
            <w:vAlign w:val="center"/>
          </w:tcPr>
          <w:p w14:paraId="0B1530C3" w14:textId="3C838D8E" w:rsidR="00426C3A" w:rsidRPr="0065245B" w:rsidRDefault="00426C3A" w:rsidP="00426C3A">
            <w:pPr>
              <w:pStyle w:val="TableText"/>
            </w:pPr>
            <w:r w:rsidRPr="0065245B">
              <w:t>Milks</w:t>
            </w:r>
          </w:p>
        </w:tc>
        <w:tc>
          <w:tcPr>
            <w:tcW w:w="1001" w:type="pct"/>
            <w:tcBorders>
              <w:top w:val="single" w:sz="4" w:space="0" w:color="auto"/>
              <w:bottom w:val="single" w:sz="4" w:space="0" w:color="auto"/>
            </w:tcBorders>
            <w:vAlign w:val="center"/>
          </w:tcPr>
          <w:p w14:paraId="46FC5F03" w14:textId="1DDA569B" w:rsidR="00426C3A" w:rsidRPr="0065245B" w:rsidRDefault="00426C3A" w:rsidP="00426C3A">
            <w:pPr>
              <w:pStyle w:val="TableText"/>
              <w:jc w:val="right"/>
            </w:pPr>
            <w:r w:rsidRPr="0065245B">
              <w:t>T0.02</w:t>
            </w:r>
          </w:p>
        </w:tc>
        <w:tc>
          <w:tcPr>
            <w:tcW w:w="999" w:type="pct"/>
            <w:tcBorders>
              <w:top w:val="single" w:sz="4" w:space="0" w:color="auto"/>
              <w:bottom w:val="single" w:sz="4" w:space="0" w:color="auto"/>
            </w:tcBorders>
            <w:vAlign w:val="center"/>
          </w:tcPr>
          <w:p w14:paraId="5AD5DC71" w14:textId="5C393FDD" w:rsidR="00426C3A" w:rsidRPr="0065245B" w:rsidRDefault="00426C3A" w:rsidP="00426C3A">
            <w:pPr>
              <w:pStyle w:val="TableText"/>
              <w:jc w:val="right"/>
            </w:pPr>
            <w:r w:rsidRPr="0065245B">
              <w:t>0.02</w:t>
            </w:r>
          </w:p>
        </w:tc>
        <w:tc>
          <w:tcPr>
            <w:tcW w:w="999" w:type="pct"/>
            <w:tcBorders>
              <w:top w:val="single" w:sz="4" w:space="0" w:color="auto"/>
              <w:bottom w:val="single" w:sz="4" w:space="0" w:color="auto"/>
            </w:tcBorders>
            <w:vAlign w:val="center"/>
          </w:tcPr>
          <w:p w14:paraId="5976B989" w14:textId="1B53ED09" w:rsidR="00426C3A" w:rsidRPr="0065245B" w:rsidRDefault="00426C3A" w:rsidP="00426C3A">
            <w:pPr>
              <w:pStyle w:val="TableText"/>
              <w:jc w:val="right"/>
            </w:pPr>
            <w:r w:rsidRPr="0065245B">
              <w:t>0.02</w:t>
            </w:r>
          </w:p>
        </w:tc>
      </w:tr>
      <w:tr w:rsidR="00426C3A" w14:paraId="2497F1A0" w14:textId="77777777" w:rsidTr="00426C3A">
        <w:tc>
          <w:tcPr>
            <w:tcW w:w="1000" w:type="pct"/>
            <w:tcBorders>
              <w:top w:val="single" w:sz="4" w:space="0" w:color="auto"/>
              <w:bottom w:val="single" w:sz="4" w:space="0" w:color="auto"/>
            </w:tcBorders>
            <w:vAlign w:val="center"/>
          </w:tcPr>
          <w:p w14:paraId="2FC46B52" w14:textId="741D557F" w:rsidR="00426C3A" w:rsidRPr="0065245B" w:rsidRDefault="00426C3A" w:rsidP="00426C3A">
            <w:pPr>
              <w:pStyle w:val="TableText"/>
            </w:pPr>
            <w:r w:rsidRPr="0065245B">
              <w:t>VA 0385</w:t>
            </w:r>
          </w:p>
        </w:tc>
        <w:tc>
          <w:tcPr>
            <w:tcW w:w="1001" w:type="pct"/>
            <w:tcBorders>
              <w:top w:val="single" w:sz="4" w:space="0" w:color="auto"/>
              <w:bottom w:val="single" w:sz="4" w:space="0" w:color="auto"/>
            </w:tcBorders>
            <w:vAlign w:val="center"/>
          </w:tcPr>
          <w:p w14:paraId="1D55E735" w14:textId="2465E931" w:rsidR="00426C3A" w:rsidRPr="0065245B" w:rsidRDefault="00426C3A" w:rsidP="00426C3A">
            <w:pPr>
              <w:pStyle w:val="TableText"/>
            </w:pPr>
            <w:r w:rsidRPr="0065245B">
              <w:t>Onion, bulb</w:t>
            </w:r>
          </w:p>
        </w:tc>
        <w:tc>
          <w:tcPr>
            <w:tcW w:w="1001" w:type="pct"/>
            <w:tcBorders>
              <w:top w:val="single" w:sz="4" w:space="0" w:color="auto"/>
              <w:bottom w:val="single" w:sz="4" w:space="0" w:color="auto"/>
            </w:tcBorders>
            <w:vAlign w:val="center"/>
          </w:tcPr>
          <w:p w14:paraId="03939B7F" w14:textId="74AFC09C" w:rsidR="00426C3A" w:rsidRPr="0065245B" w:rsidRDefault="00426C3A" w:rsidP="00426C3A">
            <w:pPr>
              <w:pStyle w:val="TableText"/>
              <w:jc w:val="right"/>
            </w:pPr>
            <w:r w:rsidRPr="0065245B">
              <w:t>T0.2</w:t>
            </w:r>
          </w:p>
        </w:tc>
        <w:tc>
          <w:tcPr>
            <w:tcW w:w="999" w:type="pct"/>
            <w:tcBorders>
              <w:top w:val="single" w:sz="4" w:space="0" w:color="auto"/>
              <w:bottom w:val="single" w:sz="4" w:space="0" w:color="auto"/>
            </w:tcBorders>
            <w:vAlign w:val="center"/>
          </w:tcPr>
          <w:p w14:paraId="50C1164D" w14:textId="157D0946" w:rsidR="00426C3A" w:rsidRPr="0065245B" w:rsidRDefault="00426C3A" w:rsidP="00426C3A">
            <w:pPr>
              <w:pStyle w:val="TableText"/>
              <w:jc w:val="right"/>
            </w:pPr>
            <w:r w:rsidRPr="0065245B">
              <w:t>0.2</w:t>
            </w:r>
          </w:p>
        </w:tc>
        <w:tc>
          <w:tcPr>
            <w:tcW w:w="999" w:type="pct"/>
            <w:tcBorders>
              <w:top w:val="single" w:sz="4" w:space="0" w:color="auto"/>
              <w:bottom w:val="single" w:sz="4" w:space="0" w:color="auto"/>
            </w:tcBorders>
            <w:vAlign w:val="center"/>
          </w:tcPr>
          <w:p w14:paraId="1A816689" w14:textId="78D98BC8" w:rsidR="00426C3A" w:rsidRPr="0065245B" w:rsidRDefault="00426C3A" w:rsidP="00426C3A">
            <w:pPr>
              <w:pStyle w:val="TableText"/>
              <w:jc w:val="right"/>
            </w:pPr>
            <w:r w:rsidRPr="0065245B">
              <w:t>0.2</w:t>
            </w:r>
          </w:p>
        </w:tc>
      </w:tr>
      <w:tr w:rsidR="00426C3A" w14:paraId="4F86D98A" w14:textId="77777777" w:rsidTr="00426C3A">
        <w:tc>
          <w:tcPr>
            <w:tcW w:w="1000" w:type="pct"/>
            <w:tcBorders>
              <w:top w:val="single" w:sz="4" w:space="0" w:color="auto"/>
              <w:bottom w:val="single" w:sz="4" w:space="0" w:color="auto"/>
            </w:tcBorders>
            <w:vAlign w:val="center"/>
          </w:tcPr>
          <w:p w14:paraId="1BF1C6CC" w14:textId="03545A81" w:rsidR="00426C3A" w:rsidRPr="0065245B" w:rsidRDefault="00426C3A" w:rsidP="00426C3A">
            <w:pPr>
              <w:pStyle w:val="TableText"/>
            </w:pPr>
            <w:r w:rsidRPr="0065245B">
              <w:t>VO 0051</w:t>
            </w:r>
          </w:p>
        </w:tc>
        <w:tc>
          <w:tcPr>
            <w:tcW w:w="1001" w:type="pct"/>
            <w:tcBorders>
              <w:top w:val="single" w:sz="4" w:space="0" w:color="auto"/>
              <w:bottom w:val="single" w:sz="4" w:space="0" w:color="auto"/>
            </w:tcBorders>
            <w:vAlign w:val="center"/>
          </w:tcPr>
          <w:p w14:paraId="25643A08" w14:textId="5620B265" w:rsidR="00426C3A" w:rsidRPr="0065245B" w:rsidRDefault="00426C3A" w:rsidP="00426C3A">
            <w:pPr>
              <w:pStyle w:val="TableText"/>
            </w:pPr>
            <w:r w:rsidRPr="0065245B">
              <w:t>Peppers</w:t>
            </w:r>
          </w:p>
        </w:tc>
        <w:tc>
          <w:tcPr>
            <w:tcW w:w="1001" w:type="pct"/>
            <w:tcBorders>
              <w:top w:val="single" w:sz="4" w:space="0" w:color="auto"/>
              <w:bottom w:val="single" w:sz="4" w:space="0" w:color="auto"/>
            </w:tcBorders>
            <w:vAlign w:val="center"/>
          </w:tcPr>
          <w:p w14:paraId="1113080C" w14:textId="3F68BAFD" w:rsidR="00426C3A" w:rsidRPr="0065245B" w:rsidRDefault="00426C3A" w:rsidP="00426C3A">
            <w:pPr>
              <w:pStyle w:val="TableText"/>
              <w:jc w:val="right"/>
            </w:pPr>
            <w:r w:rsidRPr="0065245B">
              <w:t>T2</w:t>
            </w:r>
          </w:p>
        </w:tc>
        <w:tc>
          <w:tcPr>
            <w:tcW w:w="999" w:type="pct"/>
            <w:tcBorders>
              <w:top w:val="single" w:sz="4" w:space="0" w:color="auto"/>
              <w:bottom w:val="single" w:sz="4" w:space="0" w:color="auto"/>
            </w:tcBorders>
            <w:vAlign w:val="center"/>
          </w:tcPr>
          <w:p w14:paraId="22285E3F" w14:textId="2FDA54C7" w:rsidR="00426C3A" w:rsidRPr="0065245B" w:rsidRDefault="00426C3A" w:rsidP="00426C3A">
            <w:pPr>
              <w:pStyle w:val="TableText"/>
              <w:jc w:val="right"/>
            </w:pPr>
            <w:r w:rsidRPr="0065245B">
              <w:t>T2</w:t>
            </w:r>
          </w:p>
        </w:tc>
        <w:tc>
          <w:tcPr>
            <w:tcW w:w="999" w:type="pct"/>
            <w:tcBorders>
              <w:top w:val="single" w:sz="4" w:space="0" w:color="auto"/>
              <w:bottom w:val="single" w:sz="4" w:space="0" w:color="auto"/>
            </w:tcBorders>
            <w:vAlign w:val="center"/>
          </w:tcPr>
          <w:p w14:paraId="01B45EF9" w14:textId="65F31A1A" w:rsidR="00426C3A" w:rsidRPr="0065245B" w:rsidRDefault="00426C3A" w:rsidP="00426C3A">
            <w:pPr>
              <w:pStyle w:val="TableText"/>
              <w:jc w:val="right"/>
            </w:pPr>
            <w:r w:rsidRPr="0065245B">
              <w:t>T2</w:t>
            </w:r>
          </w:p>
        </w:tc>
      </w:tr>
      <w:tr w:rsidR="00426C3A" w14:paraId="03C56ADE" w14:textId="77777777" w:rsidTr="00426C3A">
        <w:tc>
          <w:tcPr>
            <w:tcW w:w="1000" w:type="pct"/>
            <w:tcBorders>
              <w:top w:val="single" w:sz="4" w:space="0" w:color="auto"/>
              <w:bottom w:val="single" w:sz="4" w:space="0" w:color="auto"/>
            </w:tcBorders>
            <w:vAlign w:val="center"/>
          </w:tcPr>
          <w:p w14:paraId="006B5025" w14:textId="47A175B4" w:rsidR="00426C3A" w:rsidRPr="0065245B" w:rsidRDefault="00426C3A" w:rsidP="00426C3A">
            <w:pPr>
              <w:pStyle w:val="TableText"/>
            </w:pPr>
            <w:r w:rsidRPr="0065245B">
              <w:t>VR 0589</w:t>
            </w:r>
          </w:p>
        </w:tc>
        <w:tc>
          <w:tcPr>
            <w:tcW w:w="1001" w:type="pct"/>
            <w:tcBorders>
              <w:top w:val="single" w:sz="4" w:space="0" w:color="auto"/>
              <w:bottom w:val="single" w:sz="4" w:space="0" w:color="auto"/>
            </w:tcBorders>
            <w:vAlign w:val="center"/>
          </w:tcPr>
          <w:p w14:paraId="2FEE55D0" w14:textId="182D56EE" w:rsidR="00426C3A" w:rsidRPr="0065245B" w:rsidRDefault="00426C3A" w:rsidP="00426C3A">
            <w:pPr>
              <w:pStyle w:val="TableText"/>
            </w:pPr>
            <w:r w:rsidRPr="0065245B">
              <w:t>Potato</w:t>
            </w:r>
          </w:p>
        </w:tc>
        <w:tc>
          <w:tcPr>
            <w:tcW w:w="1001" w:type="pct"/>
            <w:tcBorders>
              <w:top w:val="single" w:sz="4" w:space="0" w:color="auto"/>
              <w:bottom w:val="single" w:sz="4" w:space="0" w:color="auto"/>
            </w:tcBorders>
            <w:vAlign w:val="center"/>
          </w:tcPr>
          <w:p w14:paraId="655ED325" w14:textId="1E6CA874" w:rsidR="00426C3A" w:rsidRPr="0065245B" w:rsidRDefault="00426C3A" w:rsidP="00426C3A">
            <w:pPr>
              <w:pStyle w:val="TableText"/>
              <w:jc w:val="right"/>
            </w:pPr>
            <w:r w:rsidRPr="0065245B">
              <w:t>T0.1</w:t>
            </w:r>
          </w:p>
        </w:tc>
        <w:tc>
          <w:tcPr>
            <w:tcW w:w="999" w:type="pct"/>
            <w:tcBorders>
              <w:top w:val="single" w:sz="4" w:space="0" w:color="auto"/>
              <w:bottom w:val="single" w:sz="4" w:space="0" w:color="auto"/>
            </w:tcBorders>
            <w:vAlign w:val="center"/>
          </w:tcPr>
          <w:p w14:paraId="01D71BD5" w14:textId="49872243" w:rsidR="00426C3A" w:rsidRPr="0065245B" w:rsidRDefault="00426C3A" w:rsidP="00426C3A">
            <w:pPr>
              <w:pStyle w:val="TableText"/>
              <w:jc w:val="right"/>
            </w:pPr>
            <w:r w:rsidRPr="0065245B">
              <w:t>0.2</w:t>
            </w:r>
          </w:p>
        </w:tc>
        <w:tc>
          <w:tcPr>
            <w:tcW w:w="999" w:type="pct"/>
            <w:tcBorders>
              <w:top w:val="single" w:sz="4" w:space="0" w:color="auto"/>
              <w:bottom w:val="single" w:sz="4" w:space="0" w:color="auto"/>
            </w:tcBorders>
            <w:vAlign w:val="center"/>
          </w:tcPr>
          <w:p w14:paraId="34536D08" w14:textId="603A400D" w:rsidR="00426C3A" w:rsidRPr="0065245B" w:rsidRDefault="00426C3A" w:rsidP="00426C3A">
            <w:pPr>
              <w:pStyle w:val="TableText"/>
              <w:jc w:val="right"/>
            </w:pPr>
            <w:r w:rsidRPr="0065245B">
              <w:t>0.2</w:t>
            </w:r>
          </w:p>
        </w:tc>
      </w:tr>
      <w:tr w:rsidR="00426C3A" w14:paraId="194189AC" w14:textId="77777777" w:rsidTr="00426C3A">
        <w:tc>
          <w:tcPr>
            <w:tcW w:w="1000" w:type="pct"/>
            <w:tcBorders>
              <w:top w:val="single" w:sz="4" w:space="0" w:color="auto"/>
              <w:bottom w:val="single" w:sz="4" w:space="0" w:color="auto"/>
            </w:tcBorders>
            <w:vAlign w:val="center"/>
          </w:tcPr>
          <w:p w14:paraId="5A8F548B" w14:textId="024B53F2" w:rsidR="00426C3A" w:rsidRPr="0065245B" w:rsidRDefault="00426C3A" w:rsidP="00426C3A">
            <w:pPr>
              <w:pStyle w:val="TableText"/>
            </w:pPr>
            <w:r w:rsidRPr="0065245B">
              <w:lastRenderedPageBreak/>
              <w:t>PM 0110</w:t>
            </w:r>
          </w:p>
        </w:tc>
        <w:tc>
          <w:tcPr>
            <w:tcW w:w="1001" w:type="pct"/>
            <w:tcBorders>
              <w:top w:val="single" w:sz="4" w:space="0" w:color="auto"/>
              <w:bottom w:val="single" w:sz="4" w:space="0" w:color="auto"/>
            </w:tcBorders>
            <w:vAlign w:val="center"/>
          </w:tcPr>
          <w:p w14:paraId="47AB2CF1" w14:textId="1EE010D5" w:rsidR="00426C3A" w:rsidRPr="0065245B" w:rsidRDefault="00426C3A" w:rsidP="00426C3A">
            <w:pPr>
              <w:pStyle w:val="TableText"/>
            </w:pPr>
            <w:r w:rsidRPr="0065245B">
              <w:t>Poultry meat [in the fat]</w:t>
            </w:r>
          </w:p>
        </w:tc>
        <w:tc>
          <w:tcPr>
            <w:tcW w:w="1001" w:type="pct"/>
            <w:tcBorders>
              <w:top w:val="single" w:sz="4" w:space="0" w:color="auto"/>
              <w:bottom w:val="single" w:sz="4" w:space="0" w:color="auto"/>
            </w:tcBorders>
            <w:vAlign w:val="center"/>
          </w:tcPr>
          <w:p w14:paraId="0CE7E83B" w14:textId="14F26B6A" w:rsidR="00426C3A" w:rsidRPr="0065245B" w:rsidRDefault="00426C3A" w:rsidP="00426C3A">
            <w:pPr>
              <w:pStyle w:val="TableText"/>
              <w:jc w:val="right"/>
            </w:pPr>
            <w:r w:rsidRPr="0065245B">
              <w:t>T0.1</w:t>
            </w:r>
          </w:p>
        </w:tc>
        <w:tc>
          <w:tcPr>
            <w:tcW w:w="999" w:type="pct"/>
            <w:tcBorders>
              <w:top w:val="single" w:sz="4" w:space="0" w:color="auto"/>
              <w:bottom w:val="single" w:sz="4" w:space="0" w:color="auto"/>
            </w:tcBorders>
            <w:vAlign w:val="center"/>
          </w:tcPr>
          <w:p w14:paraId="37C4C845" w14:textId="330F762F" w:rsidR="00426C3A" w:rsidRPr="0065245B" w:rsidRDefault="00426C3A" w:rsidP="00426C3A">
            <w:pPr>
              <w:pStyle w:val="TableText"/>
              <w:jc w:val="right"/>
            </w:pPr>
            <w:r w:rsidRPr="0065245B">
              <w:t>*0.01</w:t>
            </w:r>
          </w:p>
        </w:tc>
        <w:tc>
          <w:tcPr>
            <w:tcW w:w="999" w:type="pct"/>
            <w:tcBorders>
              <w:top w:val="single" w:sz="4" w:space="0" w:color="auto"/>
              <w:bottom w:val="single" w:sz="4" w:space="0" w:color="auto"/>
            </w:tcBorders>
            <w:vAlign w:val="center"/>
          </w:tcPr>
          <w:p w14:paraId="1343D8AF" w14:textId="7335B726" w:rsidR="00426C3A" w:rsidRPr="0065245B" w:rsidRDefault="00426C3A" w:rsidP="00426C3A">
            <w:pPr>
              <w:pStyle w:val="TableText"/>
              <w:jc w:val="right"/>
            </w:pPr>
            <w:r w:rsidRPr="0065245B">
              <w:t>*0.01</w:t>
            </w:r>
          </w:p>
        </w:tc>
      </w:tr>
      <w:tr w:rsidR="00426C3A" w14:paraId="4BA83E68" w14:textId="77777777" w:rsidTr="00426C3A">
        <w:tc>
          <w:tcPr>
            <w:tcW w:w="1000" w:type="pct"/>
            <w:tcBorders>
              <w:top w:val="single" w:sz="4" w:space="0" w:color="auto"/>
              <w:bottom w:val="single" w:sz="4" w:space="0" w:color="auto"/>
            </w:tcBorders>
            <w:vAlign w:val="center"/>
          </w:tcPr>
          <w:p w14:paraId="3C043686" w14:textId="106F0A4E" w:rsidR="00426C3A" w:rsidRPr="0065245B" w:rsidRDefault="00426C3A" w:rsidP="00426C3A">
            <w:pPr>
              <w:pStyle w:val="TableText"/>
            </w:pPr>
            <w:r w:rsidRPr="0065245B">
              <w:t>PO 0111</w:t>
            </w:r>
          </w:p>
        </w:tc>
        <w:tc>
          <w:tcPr>
            <w:tcW w:w="1001" w:type="pct"/>
            <w:tcBorders>
              <w:top w:val="single" w:sz="4" w:space="0" w:color="auto"/>
              <w:bottom w:val="single" w:sz="4" w:space="0" w:color="auto"/>
            </w:tcBorders>
            <w:vAlign w:val="center"/>
          </w:tcPr>
          <w:p w14:paraId="08AC9045" w14:textId="54BECB3F" w:rsidR="00426C3A" w:rsidRPr="0065245B" w:rsidRDefault="00426C3A" w:rsidP="00426C3A">
            <w:pPr>
              <w:pStyle w:val="TableText"/>
            </w:pPr>
            <w:r w:rsidRPr="0065245B">
              <w:t>Poultry, edible offal</w:t>
            </w:r>
          </w:p>
        </w:tc>
        <w:tc>
          <w:tcPr>
            <w:tcW w:w="1001" w:type="pct"/>
            <w:tcBorders>
              <w:top w:val="single" w:sz="4" w:space="0" w:color="auto"/>
              <w:bottom w:val="single" w:sz="4" w:space="0" w:color="auto"/>
            </w:tcBorders>
            <w:vAlign w:val="center"/>
          </w:tcPr>
          <w:p w14:paraId="5F275585" w14:textId="68D4F389" w:rsidR="00426C3A" w:rsidRPr="0065245B" w:rsidRDefault="00426C3A" w:rsidP="00426C3A">
            <w:pPr>
              <w:pStyle w:val="TableText"/>
              <w:jc w:val="right"/>
            </w:pPr>
            <w:r w:rsidRPr="0065245B">
              <w:t>T*0.01</w:t>
            </w:r>
          </w:p>
        </w:tc>
        <w:tc>
          <w:tcPr>
            <w:tcW w:w="999" w:type="pct"/>
            <w:tcBorders>
              <w:top w:val="single" w:sz="4" w:space="0" w:color="auto"/>
              <w:bottom w:val="single" w:sz="4" w:space="0" w:color="auto"/>
            </w:tcBorders>
            <w:vAlign w:val="center"/>
          </w:tcPr>
          <w:p w14:paraId="0308C0D6" w14:textId="4C8FB7AB" w:rsidR="00426C3A" w:rsidRPr="0065245B" w:rsidRDefault="00426C3A" w:rsidP="00426C3A">
            <w:pPr>
              <w:pStyle w:val="TableText"/>
              <w:jc w:val="right"/>
            </w:pPr>
            <w:r w:rsidRPr="0065245B">
              <w:t>*0.01</w:t>
            </w:r>
          </w:p>
        </w:tc>
        <w:tc>
          <w:tcPr>
            <w:tcW w:w="999" w:type="pct"/>
            <w:tcBorders>
              <w:top w:val="single" w:sz="4" w:space="0" w:color="auto"/>
              <w:bottom w:val="single" w:sz="4" w:space="0" w:color="auto"/>
            </w:tcBorders>
            <w:vAlign w:val="center"/>
          </w:tcPr>
          <w:p w14:paraId="01DA8C57" w14:textId="40860059" w:rsidR="00426C3A" w:rsidRPr="0065245B" w:rsidRDefault="00426C3A" w:rsidP="00426C3A">
            <w:pPr>
              <w:pStyle w:val="TableText"/>
              <w:jc w:val="right"/>
            </w:pPr>
            <w:r w:rsidRPr="0065245B">
              <w:t>*0.01</w:t>
            </w:r>
          </w:p>
        </w:tc>
      </w:tr>
      <w:tr w:rsidR="00426C3A" w14:paraId="0EA0DA36" w14:textId="77777777" w:rsidTr="00426C3A">
        <w:tc>
          <w:tcPr>
            <w:tcW w:w="1000" w:type="pct"/>
            <w:tcBorders>
              <w:top w:val="single" w:sz="4" w:space="0" w:color="auto"/>
              <w:bottom w:val="single" w:sz="4" w:space="0" w:color="auto"/>
            </w:tcBorders>
            <w:vAlign w:val="center"/>
          </w:tcPr>
          <w:p w14:paraId="69C98B97" w14:textId="4BE00483" w:rsidR="00426C3A" w:rsidRPr="0065245B" w:rsidRDefault="00426C3A" w:rsidP="00426C3A">
            <w:pPr>
              <w:pStyle w:val="TableText"/>
            </w:pPr>
            <w:r w:rsidRPr="0065245B">
              <w:t>SO 0495</w:t>
            </w:r>
          </w:p>
        </w:tc>
        <w:tc>
          <w:tcPr>
            <w:tcW w:w="1001" w:type="pct"/>
            <w:tcBorders>
              <w:top w:val="single" w:sz="4" w:space="0" w:color="auto"/>
              <w:bottom w:val="single" w:sz="4" w:space="0" w:color="auto"/>
            </w:tcBorders>
            <w:vAlign w:val="center"/>
          </w:tcPr>
          <w:p w14:paraId="73FD0A53" w14:textId="6C19E696" w:rsidR="00426C3A" w:rsidRPr="0065245B" w:rsidRDefault="00426C3A" w:rsidP="00426C3A">
            <w:pPr>
              <w:pStyle w:val="TableText"/>
            </w:pPr>
            <w:r w:rsidRPr="0065245B">
              <w:t>Rape seed [canola]</w:t>
            </w:r>
          </w:p>
        </w:tc>
        <w:tc>
          <w:tcPr>
            <w:tcW w:w="1001" w:type="pct"/>
            <w:tcBorders>
              <w:top w:val="single" w:sz="4" w:space="0" w:color="auto"/>
              <w:bottom w:val="single" w:sz="4" w:space="0" w:color="auto"/>
            </w:tcBorders>
            <w:vAlign w:val="center"/>
          </w:tcPr>
          <w:p w14:paraId="4D8216A0" w14:textId="38AFEFE5" w:rsidR="00426C3A" w:rsidRPr="0065245B" w:rsidRDefault="00426C3A" w:rsidP="00426C3A">
            <w:pPr>
              <w:pStyle w:val="TableText"/>
              <w:jc w:val="right"/>
            </w:pPr>
            <w:r w:rsidRPr="0065245B">
              <w:t>T1</w:t>
            </w:r>
          </w:p>
        </w:tc>
        <w:tc>
          <w:tcPr>
            <w:tcW w:w="999" w:type="pct"/>
            <w:tcBorders>
              <w:top w:val="single" w:sz="4" w:space="0" w:color="auto"/>
              <w:bottom w:val="single" w:sz="4" w:space="0" w:color="auto"/>
            </w:tcBorders>
            <w:vAlign w:val="center"/>
          </w:tcPr>
          <w:p w14:paraId="12AAD75D" w14:textId="5092F124" w:rsidR="00426C3A" w:rsidRPr="0065245B" w:rsidRDefault="00426C3A" w:rsidP="00426C3A">
            <w:pPr>
              <w:pStyle w:val="TableText"/>
              <w:jc w:val="right"/>
            </w:pPr>
            <w:r w:rsidRPr="0065245B">
              <w:t>0.5</w:t>
            </w:r>
          </w:p>
        </w:tc>
        <w:tc>
          <w:tcPr>
            <w:tcW w:w="999" w:type="pct"/>
            <w:tcBorders>
              <w:top w:val="single" w:sz="4" w:space="0" w:color="auto"/>
              <w:bottom w:val="single" w:sz="4" w:space="0" w:color="auto"/>
            </w:tcBorders>
            <w:vAlign w:val="center"/>
          </w:tcPr>
          <w:p w14:paraId="3F14B917" w14:textId="3039E0D3" w:rsidR="00426C3A" w:rsidRPr="0065245B" w:rsidRDefault="00426C3A" w:rsidP="00426C3A">
            <w:pPr>
              <w:pStyle w:val="TableText"/>
              <w:jc w:val="right"/>
            </w:pPr>
            <w:r w:rsidRPr="0065245B">
              <w:t>0.5</w:t>
            </w:r>
          </w:p>
        </w:tc>
      </w:tr>
      <w:tr w:rsidR="00426C3A" w14:paraId="2ECDA4F2" w14:textId="77777777" w:rsidTr="00426C3A">
        <w:tc>
          <w:tcPr>
            <w:tcW w:w="1000" w:type="pct"/>
            <w:tcBorders>
              <w:top w:val="single" w:sz="4" w:space="0" w:color="auto"/>
              <w:bottom w:val="single" w:sz="4" w:space="0" w:color="auto"/>
            </w:tcBorders>
            <w:vAlign w:val="center"/>
          </w:tcPr>
          <w:p w14:paraId="2D28CEC9" w14:textId="223D955B" w:rsidR="00426C3A" w:rsidRPr="0065245B" w:rsidRDefault="00426C3A" w:rsidP="00426C3A">
            <w:pPr>
              <w:pStyle w:val="TableText"/>
            </w:pPr>
            <w:r w:rsidRPr="0065245B">
              <w:t>OC 0495</w:t>
            </w:r>
          </w:p>
        </w:tc>
        <w:tc>
          <w:tcPr>
            <w:tcW w:w="1001" w:type="pct"/>
            <w:tcBorders>
              <w:top w:val="single" w:sz="4" w:space="0" w:color="auto"/>
              <w:bottom w:val="single" w:sz="4" w:space="0" w:color="auto"/>
            </w:tcBorders>
            <w:vAlign w:val="center"/>
          </w:tcPr>
          <w:p w14:paraId="1191C8CB" w14:textId="2F979BCD" w:rsidR="00426C3A" w:rsidRPr="0065245B" w:rsidRDefault="00426C3A" w:rsidP="00426C3A">
            <w:pPr>
              <w:pStyle w:val="TableText"/>
            </w:pPr>
            <w:r w:rsidRPr="0065245B">
              <w:t>Rape seed [canola] oil, crude</w:t>
            </w:r>
          </w:p>
        </w:tc>
        <w:tc>
          <w:tcPr>
            <w:tcW w:w="1001" w:type="pct"/>
            <w:tcBorders>
              <w:top w:val="single" w:sz="4" w:space="0" w:color="auto"/>
              <w:bottom w:val="single" w:sz="4" w:space="0" w:color="auto"/>
            </w:tcBorders>
            <w:vAlign w:val="center"/>
          </w:tcPr>
          <w:p w14:paraId="20D0CA12" w14:textId="6640D5D8" w:rsidR="00426C3A" w:rsidRPr="0065245B" w:rsidRDefault="00426C3A" w:rsidP="00426C3A">
            <w:pPr>
              <w:pStyle w:val="TableText"/>
              <w:jc w:val="right"/>
            </w:pPr>
            <w:r w:rsidRPr="0065245B">
              <w:t>T2</w:t>
            </w:r>
          </w:p>
        </w:tc>
        <w:tc>
          <w:tcPr>
            <w:tcW w:w="999" w:type="pct"/>
            <w:tcBorders>
              <w:top w:val="single" w:sz="4" w:space="0" w:color="auto"/>
              <w:bottom w:val="single" w:sz="4" w:space="0" w:color="auto"/>
            </w:tcBorders>
            <w:vAlign w:val="center"/>
          </w:tcPr>
          <w:p w14:paraId="04E4E278" w14:textId="6058BF85" w:rsidR="00426C3A" w:rsidRPr="0065245B" w:rsidRDefault="00426C3A" w:rsidP="00426C3A">
            <w:pPr>
              <w:pStyle w:val="TableText"/>
              <w:jc w:val="right"/>
            </w:pPr>
            <w:r w:rsidRPr="0065245B">
              <w:t>2</w:t>
            </w:r>
          </w:p>
        </w:tc>
        <w:tc>
          <w:tcPr>
            <w:tcW w:w="999" w:type="pct"/>
            <w:tcBorders>
              <w:top w:val="single" w:sz="4" w:space="0" w:color="auto"/>
              <w:bottom w:val="single" w:sz="4" w:space="0" w:color="auto"/>
            </w:tcBorders>
            <w:vAlign w:val="center"/>
          </w:tcPr>
          <w:p w14:paraId="5BD0C579" w14:textId="47B83B6A" w:rsidR="00426C3A" w:rsidRPr="0065245B" w:rsidRDefault="00426C3A" w:rsidP="00426C3A">
            <w:pPr>
              <w:pStyle w:val="TableText"/>
              <w:jc w:val="right"/>
            </w:pPr>
            <w:r w:rsidRPr="0065245B">
              <w:t>2</w:t>
            </w:r>
          </w:p>
        </w:tc>
      </w:tr>
      <w:tr w:rsidR="00426C3A" w14:paraId="086C9323" w14:textId="77777777" w:rsidTr="00426C3A">
        <w:tc>
          <w:tcPr>
            <w:tcW w:w="1000" w:type="pct"/>
            <w:tcBorders>
              <w:top w:val="single" w:sz="4" w:space="0" w:color="auto"/>
              <w:bottom w:val="single" w:sz="4" w:space="0" w:color="auto"/>
            </w:tcBorders>
            <w:vAlign w:val="center"/>
          </w:tcPr>
          <w:p w14:paraId="31CBBF25" w14:textId="485560E8" w:rsidR="00426C3A" w:rsidRPr="0065245B" w:rsidRDefault="00426C3A" w:rsidP="00426C3A">
            <w:pPr>
              <w:pStyle w:val="TableText"/>
            </w:pPr>
            <w:r w:rsidRPr="0065245B">
              <w:t>FS 0012</w:t>
            </w:r>
          </w:p>
        </w:tc>
        <w:tc>
          <w:tcPr>
            <w:tcW w:w="1001" w:type="pct"/>
            <w:tcBorders>
              <w:top w:val="single" w:sz="4" w:space="0" w:color="auto"/>
              <w:bottom w:val="single" w:sz="4" w:space="0" w:color="auto"/>
            </w:tcBorders>
            <w:vAlign w:val="center"/>
          </w:tcPr>
          <w:p w14:paraId="7070BBEA" w14:textId="0E739128" w:rsidR="00426C3A" w:rsidRPr="0065245B" w:rsidRDefault="00426C3A" w:rsidP="00426C3A">
            <w:pPr>
              <w:pStyle w:val="TableText"/>
            </w:pPr>
            <w:r w:rsidRPr="0065245B">
              <w:t>Stone fruits</w:t>
            </w:r>
          </w:p>
        </w:tc>
        <w:tc>
          <w:tcPr>
            <w:tcW w:w="1001" w:type="pct"/>
            <w:tcBorders>
              <w:top w:val="single" w:sz="4" w:space="0" w:color="auto"/>
              <w:bottom w:val="single" w:sz="4" w:space="0" w:color="auto"/>
            </w:tcBorders>
            <w:vAlign w:val="center"/>
          </w:tcPr>
          <w:p w14:paraId="2FE5F92B" w14:textId="02945C17" w:rsidR="00426C3A" w:rsidRPr="0065245B" w:rsidRDefault="00426C3A" w:rsidP="00426C3A">
            <w:pPr>
              <w:pStyle w:val="TableText"/>
              <w:jc w:val="right"/>
            </w:pPr>
            <w:r w:rsidRPr="0065245B">
              <w:t>T10</w:t>
            </w:r>
          </w:p>
        </w:tc>
        <w:tc>
          <w:tcPr>
            <w:tcW w:w="999" w:type="pct"/>
            <w:tcBorders>
              <w:top w:val="single" w:sz="4" w:space="0" w:color="auto"/>
              <w:bottom w:val="single" w:sz="4" w:space="0" w:color="auto"/>
            </w:tcBorders>
            <w:vAlign w:val="center"/>
          </w:tcPr>
          <w:p w14:paraId="2494B586" w14:textId="79C7147A" w:rsidR="00426C3A" w:rsidRPr="0065245B" w:rsidRDefault="00E03A6D" w:rsidP="00426C3A">
            <w:pPr>
              <w:pStyle w:val="TableText"/>
              <w:jc w:val="right"/>
            </w:pPr>
            <w:r w:rsidRPr="0065245B">
              <w:t>MRL deleted</w:t>
            </w:r>
          </w:p>
        </w:tc>
        <w:tc>
          <w:tcPr>
            <w:tcW w:w="999" w:type="pct"/>
            <w:tcBorders>
              <w:top w:val="single" w:sz="4" w:space="0" w:color="auto"/>
              <w:bottom w:val="single" w:sz="4" w:space="0" w:color="auto"/>
            </w:tcBorders>
            <w:vAlign w:val="center"/>
          </w:tcPr>
          <w:p w14:paraId="7804936B" w14:textId="063B7DB7" w:rsidR="00426C3A" w:rsidRPr="0065245B" w:rsidRDefault="00426C3A" w:rsidP="00426C3A">
            <w:pPr>
              <w:pStyle w:val="TableText"/>
              <w:jc w:val="right"/>
            </w:pPr>
            <w:r w:rsidRPr="0065245B">
              <w:t>MRL deleted</w:t>
            </w:r>
          </w:p>
        </w:tc>
      </w:tr>
      <w:tr w:rsidR="00426C3A" w14:paraId="0DCF553F" w14:textId="77777777" w:rsidTr="00426C3A">
        <w:tc>
          <w:tcPr>
            <w:tcW w:w="1000" w:type="pct"/>
            <w:tcBorders>
              <w:top w:val="single" w:sz="4" w:space="0" w:color="auto"/>
              <w:bottom w:val="single" w:sz="4" w:space="0" w:color="auto"/>
            </w:tcBorders>
            <w:vAlign w:val="center"/>
          </w:tcPr>
          <w:p w14:paraId="63F5E198" w14:textId="6605F8EC" w:rsidR="00426C3A" w:rsidRPr="0065245B" w:rsidRDefault="00426C3A" w:rsidP="00426C3A">
            <w:pPr>
              <w:pStyle w:val="TableText"/>
            </w:pPr>
            <w:r w:rsidRPr="0065245B">
              <w:t>VD 0526</w:t>
            </w:r>
          </w:p>
        </w:tc>
        <w:tc>
          <w:tcPr>
            <w:tcW w:w="1001" w:type="pct"/>
            <w:tcBorders>
              <w:top w:val="single" w:sz="4" w:space="0" w:color="auto"/>
              <w:bottom w:val="single" w:sz="4" w:space="0" w:color="auto"/>
            </w:tcBorders>
            <w:vAlign w:val="center"/>
          </w:tcPr>
          <w:p w14:paraId="6ADC677F" w14:textId="0E2B67EE" w:rsidR="00426C3A" w:rsidRPr="0065245B" w:rsidRDefault="00426C3A" w:rsidP="00426C3A">
            <w:pPr>
              <w:pStyle w:val="TableText"/>
            </w:pPr>
            <w:r w:rsidRPr="0065245B">
              <w:t>Stone fruits {except Cherries}</w:t>
            </w:r>
          </w:p>
        </w:tc>
        <w:tc>
          <w:tcPr>
            <w:tcW w:w="1001" w:type="pct"/>
            <w:tcBorders>
              <w:top w:val="single" w:sz="4" w:space="0" w:color="auto"/>
              <w:bottom w:val="single" w:sz="4" w:space="0" w:color="auto"/>
            </w:tcBorders>
            <w:vAlign w:val="center"/>
          </w:tcPr>
          <w:p w14:paraId="247B66D4" w14:textId="789378FB" w:rsidR="00426C3A" w:rsidRPr="0065245B" w:rsidRDefault="00426C3A" w:rsidP="00426C3A">
            <w:pPr>
              <w:pStyle w:val="TableText"/>
              <w:jc w:val="right"/>
            </w:pPr>
            <w:r w:rsidRPr="00150CE5">
              <w:rPr>
                <w:b/>
              </w:rPr>
              <w:t>–</w:t>
            </w:r>
          </w:p>
        </w:tc>
        <w:tc>
          <w:tcPr>
            <w:tcW w:w="999" w:type="pct"/>
            <w:tcBorders>
              <w:top w:val="single" w:sz="4" w:space="0" w:color="auto"/>
              <w:bottom w:val="single" w:sz="4" w:space="0" w:color="auto"/>
            </w:tcBorders>
            <w:vAlign w:val="center"/>
          </w:tcPr>
          <w:p w14:paraId="2D2497E0" w14:textId="6412BE61" w:rsidR="00426C3A" w:rsidRPr="0065245B" w:rsidRDefault="00E03A6D" w:rsidP="00426C3A">
            <w:pPr>
              <w:pStyle w:val="TableText"/>
              <w:jc w:val="right"/>
            </w:pPr>
            <w:r>
              <w:rPr>
                <w:b/>
              </w:rPr>
              <w:t>2</w:t>
            </w:r>
          </w:p>
        </w:tc>
        <w:tc>
          <w:tcPr>
            <w:tcW w:w="999" w:type="pct"/>
            <w:tcBorders>
              <w:top w:val="single" w:sz="4" w:space="0" w:color="auto"/>
              <w:bottom w:val="single" w:sz="4" w:space="0" w:color="auto"/>
            </w:tcBorders>
            <w:vAlign w:val="center"/>
          </w:tcPr>
          <w:p w14:paraId="6FE34370" w14:textId="1D3B735F" w:rsidR="00426C3A" w:rsidRPr="0065245B" w:rsidRDefault="00426C3A" w:rsidP="00426C3A">
            <w:pPr>
              <w:pStyle w:val="TableText"/>
              <w:jc w:val="right"/>
            </w:pPr>
            <w:r w:rsidRPr="0065245B">
              <w:t>2</w:t>
            </w:r>
          </w:p>
        </w:tc>
      </w:tr>
      <w:tr w:rsidR="00426C3A" w14:paraId="26D69A86" w14:textId="77777777" w:rsidTr="00426C3A">
        <w:tc>
          <w:tcPr>
            <w:tcW w:w="1000" w:type="pct"/>
            <w:tcBorders>
              <w:top w:val="single" w:sz="4" w:space="0" w:color="auto"/>
              <w:bottom w:val="single" w:sz="4" w:space="0" w:color="auto"/>
            </w:tcBorders>
            <w:vAlign w:val="center"/>
          </w:tcPr>
          <w:p w14:paraId="2148114A" w14:textId="11F2E145" w:rsidR="00426C3A" w:rsidRPr="0065245B" w:rsidRDefault="00426C3A" w:rsidP="00426C3A">
            <w:pPr>
              <w:pStyle w:val="TableText"/>
            </w:pPr>
            <w:r w:rsidRPr="0065245B">
              <w:t>FB 1236</w:t>
            </w:r>
          </w:p>
        </w:tc>
        <w:tc>
          <w:tcPr>
            <w:tcW w:w="1001" w:type="pct"/>
            <w:tcBorders>
              <w:top w:val="single" w:sz="4" w:space="0" w:color="auto"/>
              <w:bottom w:val="single" w:sz="4" w:space="0" w:color="auto"/>
            </w:tcBorders>
            <w:vAlign w:val="center"/>
          </w:tcPr>
          <w:p w14:paraId="64CC170D" w14:textId="2DB8DEB2" w:rsidR="00426C3A" w:rsidRPr="0065245B" w:rsidRDefault="00426C3A" w:rsidP="00426C3A">
            <w:pPr>
              <w:pStyle w:val="TableText"/>
            </w:pPr>
            <w:r w:rsidRPr="0065245B">
              <w:t>Wine-grapes</w:t>
            </w:r>
          </w:p>
        </w:tc>
        <w:tc>
          <w:tcPr>
            <w:tcW w:w="1001" w:type="pct"/>
            <w:tcBorders>
              <w:top w:val="single" w:sz="4" w:space="0" w:color="auto"/>
              <w:bottom w:val="single" w:sz="4" w:space="0" w:color="auto"/>
            </w:tcBorders>
            <w:vAlign w:val="center"/>
          </w:tcPr>
          <w:p w14:paraId="049D3F65" w14:textId="28442935" w:rsidR="00426C3A" w:rsidRPr="0065245B" w:rsidRDefault="00426C3A" w:rsidP="00426C3A">
            <w:pPr>
              <w:pStyle w:val="TableText"/>
              <w:jc w:val="right"/>
            </w:pPr>
            <w:r w:rsidRPr="0065245B">
              <w:t>T2</w:t>
            </w:r>
          </w:p>
        </w:tc>
        <w:tc>
          <w:tcPr>
            <w:tcW w:w="999" w:type="pct"/>
            <w:tcBorders>
              <w:top w:val="single" w:sz="4" w:space="0" w:color="auto"/>
              <w:bottom w:val="single" w:sz="4" w:space="0" w:color="auto"/>
            </w:tcBorders>
            <w:vAlign w:val="center"/>
          </w:tcPr>
          <w:p w14:paraId="1F95A7DC" w14:textId="59EDA839" w:rsidR="00426C3A" w:rsidRPr="0065245B" w:rsidRDefault="00426C3A" w:rsidP="00426C3A">
            <w:pPr>
              <w:pStyle w:val="TableText"/>
              <w:jc w:val="right"/>
            </w:pPr>
            <w:r w:rsidRPr="0065245B">
              <w:t>5</w:t>
            </w:r>
          </w:p>
        </w:tc>
        <w:tc>
          <w:tcPr>
            <w:tcW w:w="999" w:type="pct"/>
            <w:tcBorders>
              <w:top w:val="single" w:sz="4" w:space="0" w:color="auto"/>
              <w:bottom w:val="single" w:sz="4" w:space="0" w:color="auto"/>
            </w:tcBorders>
            <w:vAlign w:val="center"/>
          </w:tcPr>
          <w:p w14:paraId="4B55762B" w14:textId="0D5B87F9" w:rsidR="00426C3A" w:rsidRPr="0065245B" w:rsidRDefault="00426C3A" w:rsidP="00426C3A">
            <w:pPr>
              <w:pStyle w:val="TableText"/>
              <w:jc w:val="right"/>
            </w:pPr>
            <w:r w:rsidRPr="0065245B">
              <w:t>5</w:t>
            </w:r>
          </w:p>
        </w:tc>
      </w:tr>
    </w:tbl>
    <w:p w14:paraId="303C9C88" w14:textId="206762DE" w:rsidR="00E03A6D" w:rsidRDefault="00316612" w:rsidP="00E03A6D">
      <w:pPr>
        <w:pStyle w:val="NormalText"/>
      </w:pPr>
      <w:bookmarkStart w:id="92" w:name="_Toc101968007"/>
      <w:r>
        <w:t xml:space="preserve"> </w:t>
      </w:r>
      <w:proofErr w:type="spellStart"/>
      <w:r w:rsidRPr="00A955AD">
        <w:rPr>
          <w:vertAlign w:val="superscript"/>
        </w:rPr>
        <w:t>a</w:t>
      </w:r>
      <w:proofErr w:type="spellEnd"/>
      <w:r>
        <w:t xml:space="preserve"> </w:t>
      </w:r>
      <w:r w:rsidR="00E03A6D">
        <w:t xml:space="preserve">This reconsideration has recommended that the MRLs for </w:t>
      </w:r>
      <w:r w:rsidR="00E03A6D" w:rsidRPr="00E03A6D">
        <w:t>Broad bean (dry) [</w:t>
      </w:r>
      <w:proofErr w:type="spellStart"/>
      <w:r w:rsidR="00E03A6D" w:rsidRPr="00E03A6D">
        <w:t>faba</w:t>
      </w:r>
      <w:proofErr w:type="spellEnd"/>
      <w:r w:rsidR="00E03A6D" w:rsidRPr="00E03A6D">
        <w:t xml:space="preserve"> bean (dry)]</w:t>
      </w:r>
      <w:r w:rsidR="00E03A6D">
        <w:t xml:space="preserve"> and </w:t>
      </w:r>
      <w:r w:rsidR="00E03A6D" w:rsidRPr="0065245B">
        <w:t>Common bean (dry) [navy bean (dry)]</w:t>
      </w:r>
      <w:r w:rsidR="00E03A6D">
        <w:t xml:space="preserve"> at T10 mg/kg be deleted at the end of the phase-out period. If the APVMA receives an application to approve a use of procymidone on these crops prior to the </w:t>
      </w:r>
      <w:r w:rsidR="00E03A6D" w:rsidRPr="00E03A6D">
        <w:t>end of the phase-out period</w:t>
      </w:r>
      <w:r w:rsidR="00E03A6D">
        <w:t>, the need for an MRL for these crops will be reconsidered.</w:t>
      </w:r>
    </w:p>
    <w:p w14:paraId="1AECDC41" w14:textId="700B434E" w:rsidR="00426C3A" w:rsidRPr="00D05130" w:rsidRDefault="00426C3A" w:rsidP="00D05130">
      <w:pPr>
        <w:pStyle w:val="Caption"/>
      </w:pPr>
      <w:bookmarkStart w:id="93" w:name="_Toc116301702"/>
      <w:r w:rsidRPr="00D05130">
        <w:t xml:space="preserve">Table </w:t>
      </w:r>
      <w:fldSimple w:instr=" SEQ Table \* ARABIC ">
        <w:r w:rsidR="00ED7319" w:rsidRPr="00D05130">
          <w:t>11</w:t>
        </w:r>
      </w:fldSimple>
      <w:r w:rsidRPr="00D05130">
        <w:t>:</w:t>
      </w:r>
      <w:r w:rsidRPr="00D05130">
        <w:tab/>
        <w:t xml:space="preserve">Recommended Amendments to Table 4 of the </w:t>
      </w:r>
      <w:r w:rsidR="00E03A6D" w:rsidRPr="00E03A6D">
        <w:t>Agricultural and Veterinary Chemicals Code (MRL Standard) Instrument 2019</w:t>
      </w:r>
      <w:bookmarkEnd w:id="92"/>
      <w:bookmarkEnd w:id="93"/>
    </w:p>
    <w:tbl>
      <w:tblPr>
        <w:tblW w:w="5000" w:type="pct"/>
        <w:tblBorders>
          <w:bottom w:val="dotted" w:sz="2" w:space="0" w:color="auto"/>
          <w:insideH w:val="dotted" w:sz="2" w:space="0" w:color="auto"/>
        </w:tblBorders>
        <w:tblLook w:val="0000" w:firstRow="0" w:lastRow="0" w:firstColumn="0" w:lastColumn="0" w:noHBand="0" w:noVBand="0"/>
      </w:tblPr>
      <w:tblGrid>
        <w:gridCol w:w="1844"/>
        <w:gridCol w:w="1984"/>
        <w:gridCol w:w="1984"/>
        <w:gridCol w:w="1976"/>
        <w:gridCol w:w="1850"/>
      </w:tblGrid>
      <w:tr w:rsidR="00426C3A" w14:paraId="1853F972" w14:textId="77777777" w:rsidTr="00426C3A">
        <w:trPr>
          <w:tblHeader/>
        </w:trPr>
        <w:tc>
          <w:tcPr>
            <w:tcW w:w="957" w:type="pct"/>
            <w:tcBorders>
              <w:top w:val="single" w:sz="4" w:space="0" w:color="auto"/>
              <w:bottom w:val="single" w:sz="4" w:space="0" w:color="auto"/>
            </w:tcBorders>
            <w:shd w:val="clear" w:color="auto" w:fill="5C2946"/>
            <w:vAlign w:val="center"/>
          </w:tcPr>
          <w:p w14:paraId="0E05FCC7" w14:textId="61B22246" w:rsidR="00426C3A" w:rsidRDefault="00426C3A" w:rsidP="00426C3A">
            <w:pPr>
              <w:pStyle w:val="TableHead"/>
            </w:pPr>
            <w:r w:rsidRPr="0065245B">
              <w:t>Code</w:t>
            </w:r>
          </w:p>
        </w:tc>
        <w:tc>
          <w:tcPr>
            <w:tcW w:w="1029" w:type="pct"/>
            <w:tcBorders>
              <w:top w:val="single" w:sz="4" w:space="0" w:color="auto"/>
              <w:bottom w:val="single" w:sz="4" w:space="0" w:color="auto"/>
            </w:tcBorders>
            <w:shd w:val="clear" w:color="auto" w:fill="5C2946"/>
            <w:vAlign w:val="center"/>
          </w:tcPr>
          <w:p w14:paraId="16BF1DC3" w14:textId="09D9D157" w:rsidR="00426C3A" w:rsidRDefault="00426C3A" w:rsidP="00426C3A">
            <w:pPr>
              <w:pStyle w:val="TableHead"/>
            </w:pPr>
            <w:r w:rsidRPr="0065245B">
              <w:t>Feed</w:t>
            </w:r>
          </w:p>
        </w:tc>
        <w:tc>
          <w:tcPr>
            <w:tcW w:w="1029" w:type="pct"/>
            <w:tcBorders>
              <w:top w:val="single" w:sz="4" w:space="0" w:color="auto"/>
              <w:bottom w:val="single" w:sz="4" w:space="0" w:color="auto"/>
            </w:tcBorders>
            <w:shd w:val="clear" w:color="auto" w:fill="5C2946"/>
            <w:vAlign w:val="center"/>
          </w:tcPr>
          <w:p w14:paraId="3CE56F8C" w14:textId="7D89054B" w:rsidR="00426C3A" w:rsidRDefault="00426C3A" w:rsidP="00426C3A">
            <w:pPr>
              <w:pStyle w:val="TableHead"/>
              <w:jc w:val="right"/>
            </w:pPr>
            <w:r w:rsidRPr="0065245B">
              <w:t>Current MRL</w:t>
            </w:r>
            <w:r>
              <w:br/>
            </w:r>
            <w:r w:rsidRPr="0065245B">
              <w:t>(mg/kg)</w:t>
            </w:r>
          </w:p>
        </w:tc>
        <w:tc>
          <w:tcPr>
            <w:tcW w:w="1025" w:type="pct"/>
            <w:tcBorders>
              <w:top w:val="single" w:sz="4" w:space="0" w:color="auto"/>
              <w:bottom w:val="single" w:sz="4" w:space="0" w:color="auto"/>
            </w:tcBorders>
            <w:shd w:val="clear" w:color="auto" w:fill="5C2946"/>
            <w:vAlign w:val="center"/>
          </w:tcPr>
          <w:p w14:paraId="48F5200E" w14:textId="04015D82" w:rsidR="00426C3A" w:rsidRDefault="00426C3A" w:rsidP="00426C3A">
            <w:pPr>
              <w:pStyle w:val="TableHead"/>
              <w:jc w:val="right"/>
            </w:pPr>
            <w:r w:rsidRPr="0065245B">
              <w:t>MRL at review decision/start of the phase-out period (mg/kg)</w:t>
            </w:r>
          </w:p>
        </w:tc>
        <w:tc>
          <w:tcPr>
            <w:tcW w:w="960" w:type="pct"/>
            <w:tcBorders>
              <w:top w:val="single" w:sz="4" w:space="0" w:color="auto"/>
              <w:bottom w:val="single" w:sz="4" w:space="0" w:color="auto"/>
            </w:tcBorders>
            <w:shd w:val="clear" w:color="auto" w:fill="5C2946"/>
            <w:vAlign w:val="center"/>
          </w:tcPr>
          <w:p w14:paraId="7EDB9CE3" w14:textId="7560B0BB" w:rsidR="00426C3A" w:rsidRDefault="00426C3A" w:rsidP="00426C3A">
            <w:pPr>
              <w:pStyle w:val="TableHead"/>
              <w:jc w:val="right"/>
            </w:pPr>
            <w:r w:rsidRPr="0065245B">
              <w:t>MRL at the end of the phase-out period (mg/kg)</w:t>
            </w:r>
          </w:p>
        </w:tc>
      </w:tr>
      <w:tr w:rsidR="00426C3A" w14:paraId="3AE920E9" w14:textId="77777777" w:rsidTr="00426C3A">
        <w:tc>
          <w:tcPr>
            <w:tcW w:w="5000" w:type="pct"/>
            <w:gridSpan w:val="5"/>
            <w:tcBorders>
              <w:top w:val="single" w:sz="4" w:space="0" w:color="auto"/>
              <w:bottom w:val="single" w:sz="4" w:space="0" w:color="auto"/>
            </w:tcBorders>
            <w:vAlign w:val="center"/>
          </w:tcPr>
          <w:p w14:paraId="202E9D4E" w14:textId="3B76B765" w:rsidR="00426C3A" w:rsidRDefault="00426C3A" w:rsidP="00426C3A">
            <w:pPr>
              <w:pStyle w:val="TableSubHead"/>
            </w:pPr>
            <w:r w:rsidRPr="00D30CFC">
              <w:rPr>
                <w:lang w:val="en-US"/>
              </w:rPr>
              <w:t>Procymidone</w:t>
            </w:r>
          </w:p>
        </w:tc>
      </w:tr>
      <w:tr w:rsidR="00426C3A" w14:paraId="261B4498" w14:textId="77777777" w:rsidTr="00426C3A">
        <w:tc>
          <w:tcPr>
            <w:tcW w:w="957" w:type="pct"/>
            <w:tcBorders>
              <w:top w:val="single" w:sz="4" w:space="0" w:color="auto"/>
              <w:bottom w:val="single" w:sz="4" w:space="0" w:color="auto"/>
            </w:tcBorders>
            <w:vAlign w:val="center"/>
          </w:tcPr>
          <w:p w14:paraId="32DBBC5E" w14:textId="7F2331B0" w:rsidR="00426C3A" w:rsidRPr="00D30CFC" w:rsidRDefault="00426C3A" w:rsidP="00426C3A">
            <w:pPr>
              <w:pStyle w:val="TableText"/>
              <w:rPr>
                <w:lang w:val="en-US"/>
              </w:rPr>
            </w:pPr>
            <w:r w:rsidRPr="0065245B">
              <w:t>AB</w:t>
            </w:r>
            <w:r w:rsidRPr="0065245B">
              <w:tab/>
              <w:t>0269</w:t>
            </w:r>
          </w:p>
        </w:tc>
        <w:tc>
          <w:tcPr>
            <w:tcW w:w="1029" w:type="pct"/>
            <w:tcBorders>
              <w:top w:val="single" w:sz="4" w:space="0" w:color="auto"/>
              <w:bottom w:val="single" w:sz="4" w:space="0" w:color="auto"/>
            </w:tcBorders>
            <w:vAlign w:val="center"/>
          </w:tcPr>
          <w:p w14:paraId="32D627E8" w14:textId="04362F2B" w:rsidR="00426C3A" w:rsidRDefault="00426C3A" w:rsidP="00426C3A">
            <w:pPr>
              <w:pStyle w:val="TableText"/>
            </w:pPr>
            <w:r w:rsidRPr="0065245B">
              <w:t>Grape pomace, dry</w:t>
            </w:r>
          </w:p>
        </w:tc>
        <w:tc>
          <w:tcPr>
            <w:tcW w:w="1029" w:type="pct"/>
            <w:tcBorders>
              <w:top w:val="single" w:sz="4" w:space="0" w:color="auto"/>
              <w:bottom w:val="single" w:sz="4" w:space="0" w:color="auto"/>
            </w:tcBorders>
            <w:vAlign w:val="center"/>
          </w:tcPr>
          <w:p w14:paraId="5CC5CD3D" w14:textId="48546D20" w:rsidR="00426C3A" w:rsidRDefault="00426C3A" w:rsidP="00426C3A">
            <w:pPr>
              <w:pStyle w:val="TableText"/>
              <w:jc w:val="right"/>
            </w:pPr>
            <w:r>
              <w:t>–</w:t>
            </w:r>
          </w:p>
        </w:tc>
        <w:tc>
          <w:tcPr>
            <w:tcW w:w="1025" w:type="pct"/>
            <w:tcBorders>
              <w:top w:val="single" w:sz="4" w:space="0" w:color="auto"/>
              <w:bottom w:val="single" w:sz="4" w:space="0" w:color="auto"/>
            </w:tcBorders>
            <w:vAlign w:val="center"/>
          </w:tcPr>
          <w:p w14:paraId="2B5F94D2" w14:textId="27007CEE" w:rsidR="00426C3A" w:rsidRDefault="00426C3A" w:rsidP="00426C3A">
            <w:pPr>
              <w:pStyle w:val="TableText"/>
              <w:jc w:val="right"/>
            </w:pPr>
            <w:r w:rsidRPr="0065245B">
              <w:t>50</w:t>
            </w:r>
          </w:p>
        </w:tc>
        <w:tc>
          <w:tcPr>
            <w:tcW w:w="960" w:type="pct"/>
            <w:tcBorders>
              <w:top w:val="single" w:sz="4" w:space="0" w:color="auto"/>
              <w:bottom w:val="single" w:sz="4" w:space="0" w:color="auto"/>
            </w:tcBorders>
            <w:vAlign w:val="center"/>
          </w:tcPr>
          <w:p w14:paraId="0CDD1934" w14:textId="58C5868F" w:rsidR="00426C3A" w:rsidRDefault="00426C3A" w:rsidP="00426C3A">
            <w:pPr>
              <w:pStyle w:val="TableText"/>
              <w:jc w:val="right"/>
            </w:pPr>
            <w:r w:rsidRPr="0065245B">
              <w:t>50</w:t>
            </w:r>
          </w:p>
        </w:tc>
      </w:tr>
      <w:tr w:rsidR="00426C3A" w14:paraId="5FDD1E73" w14:textId="77777777" w:rsidTr="00426C3A">
        <w:tc>
          <w:tcPr>
            <w:tcW w:w="957" w:type="pct"/>
            <w:tcBorders>
              <w:top w:val="single" w:sz="4" w:space="0" w:color="auto"/>
              <w:bottom w:val="single" w:sz="4" w:space="0" w:color="auto"/>
            </w:tcBorders>
            <w:vAlign w:val="center"/>
          </w:tcPr>
          <w:p w14:paraId="219B6E91" w14:textId="77777777" w:rsidR="00426C3A" w:rsidRPr="0065245B" w:rsidRDefault="00426C3A" w:rsidP="00426C3A">
            <w:pPr>
              <w:pStyle w:val="TableText"/>
            </w:pPr>
          </w:p>
        </w:tc>
        <w:tc>
          <w:tcPr>
            <w:tcW w:w="1029" w:type="pct"/>
            <w:tcBorders>
              <w:top w:val="single" w:sz="4" w:space="0" w:color="auto"/>
              <w:bottom w:val="single" w:sz="4" w:space="0" w:color="auto"/>
            </w:tcBorders>
            <w:vAlign w:val="center"/>
          </w:tcPr>
          <w:p w14:paraId="62ED7562" w14:textId="40E61923" w:rsidR="00426C3A" w:rsidRPr="0065245B" w:rsidRDefault="00426C3A" w:rsidP="00426C3A">
            <w:pPr>
              <w:pStyle w:val="TableText"/>
            </w:pPr>
            <w:r w:rsidRPr="0065245B">
              <w:t>Lentil forage</w:t>
            </w:r>
          </w:p>
        </w:tc>
        <w:tc>
          <w:tcPr>
            <w:tcW w:w="1029" w:type="pct"/>
            <w:tcBorders>
              <w:top w:val="single" w:sz="4" w:space="0" w:color="auto"/>
              <w:bottom w:val="single" w:sz="4" w:space="0" w:color="auto"/>
            </w:tcBorders>
            <w:vAlign w:val="center"/>
          </w:tcPr>
          <w:p w14:paraId="4ABD2018" w14:textId="565F3B1D" w:rsidR="00426C3A" w:rsidRPr="0065245B" w:rsidRDefault="00426C3A" w:rsidP="00426C3A">
            <w:pPr>
              <w:pStyle w:val="TableText"/>
              <w:jc w:val="right"/>
            </w:pPr>
            <w:r w:rsidRPr="0065245B">
              <w:t>5</w:t>
            </w:r>
          </w:p>
        </w:tc>
        <w:tc>
          <w:tcPr>
            <w:tcW w:w="1025" w:type="pct"/>
            <w:tcBorders>
              <w:top w:val="single" w:sz="4" w:space="0" w:color="auto"/>
              <w:bottom w:val="single" w:sz="4" w:space="0" w:color="auto"/>
            </w:tcBorders>
            <w:vAlign w:val="center"/>
          </w:tcPr>
          <w:p w14:paraId="54851D59" w14:textId="1E6BBADA" w:rsidR="00426C3A" w:rsidRPr="0065245B" w:rsidRDefault="00426C3A" w:rsidP="00426C3A">
            <w:pPr>
              <w:pStyle w:val="TableText"/>
              <w:jc w:val="right"/>
            </w:pPr>
            <w:r w:rsidRPr="0065245B">
              <w:t>5</w:t>
            </w:r>
          </w:p>
        </w:tc>
        <w:tc>
          <w:tcPr>
            <w:tcW w:w="960" w:type="pct"/>
            <w:tcBorders>
              <w:top w:val="single" w:sz="4" w:space="0" w:color="auto"/>
              <w:bottom w:val="single" w:sz="4" w:space="0" w:color="auto"/>
            </w:tcBorders>
            <w:vAlign w:val="center"/>
          </w:tcPr>
          <w:p w14:paraId="11C3B700" w14:textId="25EC0594" w:rsidR="00426C3A" w:rsidRPr="0065245B" w:rsidRDefault="00426C3A" w:rsidP="00426C3A">
            <w:pPr>
              <w:pStyle w:val="TableText"/>
              <w:jc w:val="right"/>
            </w:pPr>
            <w:r w:rsidRPr="0065245B">
              <w:t>5</w:t>
            </w:r>
          </w:p>
        </w:tc>
      </w:tr>
      <w:tr w:rsidR="00426C3A" w14:paraId="00D59730" w14:textId="77777777" w:rsidTr="00426C3A">
        <w:tc>
          <w:tcPr>
            <w:tcW w:w="957" w:type="pct"/>
            <w:tcBorders>
              <w:top w:val="single" w:sz="4" w:space="0" w:color="auto"/>
              <w:bottom w:val="single" w:sz="4" w:space="0" w:color="auto"/>
            </w:tcBorders>
            <w:vAlign w:val="center"/>
          </w:tcPr>
          <w:p w14:paraId="03BECBFD" w14:textId="77777777" w:rsidR="00426C3A" w:rsidRPr="0065245B" w:rsidRDefault="00426C3A" w:rsidP="00426C3A">
            <w:pPr>
              <w:pStyle w:val="TableText"/>
            </w:pPr>
          </w:p>
        </w:tc>
        <w:tc>
          <w:tcPr>
            <w:tcW w:w="1029" w:type="pct"/>
            <w:tcBorders>
              <w:top w:val="single" w:sz="4" w:space="0" w:color="auto"/>
              <w:bottom w:val="single" w:sz="4" w:space="0" w:color="auto"/>
            </w:tcBorders>
            <w:vAlign w:val="center"/>
          </w:tcPr>
          <w:p w14:paraId="49A45FE8" w14:textId="1D15C383" w:rsidR="00426C3A" w:rsidRPr="0065245B" w:rsidRDefault="00426C3A" w:rsidP="00426C3A">
            <w:pPr>
              <w:pStyle w:val="TableText"/>
            </w:pPr>
            <w:r w:rsidRPr="0065245B">
              <w:t>Lentil straw and fodder, dry</w:t>
            </w:r>
          </w:p>
        </w:tc>
        <w:tc>
          <w:tcPr>
            <w:tcW w:w="1029" w:type="pct"/>
            <w:tcBorders>
              <w:top w:val="single" w:sz="4" w:space="0" w:color="auto"/>
              <w:bottom w:val="single" w:sz="4" w:space="0" w:color="auto"/>
            </w:tcBorders>
            <w:vAlign w:val="center"/>
          </w:tcPr>
          <w:p w14:paraId="42002D8F" w14:textId="66FA3F79" w:rsidR="00426C3A" w:rsidRPr="0065245B" w:rsidRDefault="00426C3A" w:rsidP="00426C3A">
            <w:pPr>
              <w:pStyle w:val="TableText"/>
              <w:jc w:val="right"/>
            </w:pPr>
            <w:r w:rsidRPr="0065245B">
              <w:t>5</w:t>
            </w:r>
          </w:p>
        </w:tc>
        <w:tc>
          <w:tcPr>
            <w:tcW w:w="1025" w:type="pct"/>
            <w:tcBorders>
              <w:top w:val="single" w:sz="4" w:space="0" w:color="auto"/>
              <w:bottom w:val="single" w:sz="4" w:space="0" w:color="auto"/>
            </w:tcBorders>
            <w:vAlign w:val="center"/>
          </w:tcPr>
          <w:p w14:paraId="1BE09E78" w14:textId="2961E3DB" w:rsidR="00426C3A" w:rsidRPr="0065245B" w:rsidRDefault="00426C3A" w:rsidP="00426C3A">
            <w:pPr>
              <w:pStyle w:val="TableText"/>
              <w:jc w:val="right"/>
            </w:pPr>
            <w:r w:rsidRPr="0065245B">
              <w:t>5</w:t>
            </w:r>
          </w:p>
        </w:tc>
        <w:tc>
          <w:tcPr>
            <w:tcW w:w="960" w:type="pct"/>
            <w:tcBorders>
              <w:top w:val="single" w:sz="4" w:space="0" w:color="auto"/>
              <w:bottom w:val="single" w:sz="4" w:space="0" w:color="auto"/>
            </w:tcBorders>
            <w:vAlign w:val="center"/>
          </w:tcPr>
          <w:p w14:paraId="132C1B11" w14:textId="2B6F1117" w:rsidR="00426C3A" w:rsidRPr="0065245B" w:rsidRDefault="00426C3A" w:rsidP="00426C3A">
            <w:pPr>
              <w:pStyle w:val="TableText"/>
              <w:jc w:val="right"/>
            </w:pPr>
            <w:r w:rsidRPr="0065245B">
              <w:t>5</w:t>
            </w:r>
          </w:p>
        </w:tc>
      </w:tr>
      <w:tr w:rsidR="00426C3A" w14:paraId="27243C72" w14:textId="77777777" w:rsidTr="00426C3A">
        <w:tc>
          <w:tcPr>
            <w:tcW w:w="957" w:type="pct"/>
            <w:tcBorders>
              <w:top w:val="single" w:sz="4" w:space="0" w:color="auto"/>
              <w:bottom w:val="single" w:sz="4" w:space="0" w:color="auto"/>
            </w:tcBorders>
            <w:vAlign w:val="center"/>
          </w:tcPr>
          <w:p w14:paraId="2219E842" w14:textId="342FB15D" w:rsidR="00426C3A" w:rsidRPr="0065245B" w:rsidRDefault="00426C3A" w:rsidP="00426C3A">
            <w:pPr>
              <w:pStyle w:val="TableText"/>
            </w:pPr>
            <w:r w:rsidRPr="0065245B">
              <w:t>AL</w:t>
            </w:r>
            <w:r w:rsidRPr="0065245B">
              <w:tab/>
              <w:t>0545</w:t>
            </w:r>
          </w:p>
        </w:tc>
        <w:tc>
          <w:tcPr>
            <w:tcW w:w="1029" w:type="pct"/>
            <w:tcBorders>
              <w:top w:val="single" w:sz="4" w:space="0" w:color="auto"/>
              <w:bottom w:val="single" w:sz="4" w:space="0" w:color="auto"/>
            </w:tcBorders>
            <w:vAlign w:val="center"/>
          </w:tcPr>
          <w:p w14:paraId="56EFDDCE" w14:textId="24B40F5C" w:rsidR="00426C3A" w:rsidRPr="0065245B" w:rsidRDefault="00426C3A" w:rsidP="00426C3A">
            <w:pPr>
              <w:pStyle w:val="TableText"/>
            </w:pPr>
            <w:r w:rsidRPr="0065245B">
              <w:t>Lupin, forage</w:t>
            </w:r>
          </w:p>
        </w:tc>
        <w:tc>
          <w:tcPr>
            <w:tcW w:w="1029" w:type="pct"/>
            <w:tcBorders>
              <w:top w:val="single" w:sz="4" w:space="0" w:color="auto"/>
              <w:bottom w:val="single" w:sz="4" w:space="0" w:color="auto"/>
            </w:tcBorders>
            <w:vAlign w:val="center"/>
          </w:tcPr>
          <w:p w14:paraId="4B1D0529" w14:textId="2ABDF658" w:rsidR="00426C3A" w:rsidRPr="0065245B" w:rsidRDefault="00426C3A" w:rsidP="00426C3A">
            <w:pPr>
              <w:pStyle w:val="TableText"/>
              <w:jc w:val="right"/>
            </w:pPr>
            <w:r w:rsidRPr="0065245B">
              <w:t>0.1</w:t>
            </w:r>
          </w:p>
        </w:tc>
        <w:tc>
          <w:tcPr>
            <w:tcW w:w="1025" w:type="pct"/>
            <w:tcBorders>
              <w:top w:val="single" w:sz="4" w:space="0" w:color="auto"/>
              <w:bottom w:val="single" w:sz="4" w:space="0" w:color="auto"/>
            </w:tcBorders>
            <w:vAlign w:val="center"/>
          </w:tcPr>
          <w:p w14:paraId="335BC578" w14:textId="54A0511B" w:rsidR="00426C3A" w:rsidRPr="0065245B" w:rsidRDefault="00426C3A" w:rsidP="00426C3A">
            <w:pPr>
              <w:pStyle w:val="TableText"/>
              <w:jc w:val="right"/>
            </w:pPr>
            <w:r w:rsidRPr="0065245B">
              <w:t>MRL deleted</w:t>
            </w:r>
          </w:p>
        </w:tc>
        <w:tc>
          <w:tcPr>
            <w:tcW w:w="960" w:type="pct"/>
            <w:tcBorders>
              <w:top w:val="single" w:sz="4" w:space="0" w:color="auto"/>
              <w:bottom w:val="single" w:sz="4" w:space="0" w:color="auto"/>
            </w:tcBorders>
            <w:vAlign w:val="center"/>
          </w:tcPr>
          <w:p w14:paraId="62B362AF" w14:textId="1486E9A0" w:rsidR="00426C3A" w:rsidRPr="0065245B" w:rsidRDefault="00426C3A" w:rsidP="00426C3A">
            <w:pPr>
              <w:pStyle w:val="TableText"/>
              <w:jc w:val="right"/>
            </w:pPr>
            <w:r>
              <w:t>–</w:t>
            </w:r>
          </w:p>
        </w:tc>
      </w:tr>
      <w:tr w:rsidR="00426C3A" w14:paraId="58980E81" w14:textId="77777777" w:rsidTr="00426C3A">
        <w:tc>
          <w:tcPr>
            <w:tcW w:w="957" w:type="pct"/>
            <w:tcBorders>
              <w:top w:val="single" w:sz="4" w:space="0" w:color="auto"/>
              <w:bottom w:val="single" w:sz="4" w:space="0" w:color="auto"/>
            </w:tcBorders>
            <w:vAlign w:val="center"/>
          </w:tcPr>
          <w:p w14:paraId="6D90B95F" w14:textId="77777777" w:rsidR="00426C3A" w:rsidRPr="0065245B" w:rsidRDefault="00426C3A" w:rsidP="00426C3A">
            <w:pPr>
              <w:pStyle w:val="TableText"/>
            </w:pPr>
          </w:p>
        </w:tc>
        <w:tc>
          <w:tcPr>
            <w:tcW w:w="1029" w:type="pct"/>
            <w:tcBorders>
              <w:top w:val="single" w:sz="4" w:space="0" w:color="auto"/>
              <w:bottom w:val="single" w:sz="4" w:space="0" w:color="auto"/>
            </w:tcBorders>
            <w:vAlign w:val="center"/>
          </w:tcPr>
          <w:p w14:paraId="6424686C" w14:textId="5C715DE0" w:rsidR="00426C3A" w:rsidRPr="0065245B" w:rsidRDefault="00426C3A" w:rsidP="00426C3A">
            <w:pPr>
              <w:pStyle w:val="TableText"/>
            </w:pPr>
            <w:r w:rsidRPr="0065245B">
              <w:t>Lupin forage and fodder</w:t>
            </w:r>
          </w:p>
        </w:tc>
        <w:tc>
          <w:tcPr>
            <w:tcW w:w="1029" w:type="pct"/>
            <w:tcBorders>
              <w:top w:val="single" w:sz="4" w:space="0" w:color="auto"/>
              <w:bottom w:val="single" w:sz="4" w:space="0" w:color="auto"/>
            </w:tcBorders>
            <w:vAlign w:val="center"/>
          </w:tcPr>
          <w:p w14:paraId="63C6DB43" w14:textId="7FC298AB" w:rsidR="00426C3A" w:rsidRPr="0065245B" w:rsidRDefault="00426C3A" w:rsidP="00426C3A">
            <w:pPr>
              <w:pStyle w:val="TableText"/>
              <w:jc w:val="right"/>
            </w:pPr>
            <w:r>
              <w:t>–</w:t>
            </w:r>
          </w:p>
        </w:tc>
        <w:tc>
          <w:tcPr>
            <w:tcW w:w="1025" w:type="pct"/>
            <w:tcBorders>
              <w:top w:val="single" w:sz="4" w:space="0" w:color="auto"/>
              <w:bottom w:val="single" w:sz="4" w:space="0" w:color="auto"/>
            </w:tcBorders>
            <w:vAlign w:val="center"/>
          </w:tcPr>
          <w:p w14:paraId="5ED685FC" w14:textId="0D335D78" w:rsidR="00426C3A" w:rsidRPr="0065245B" w:rsidRDefault="00426C3A" w:rsidP="00426C3A">
            <w:pPr>
              <w:pStyle w:val="TableText"/>
              <w:jc w:val="right"/>
            </w:pPr>
            <w:r w:rsidRPr="0065245B">
              <w:t>0.1</w:t>
            </w:r>
          </w:p>
        </w:tc>
        <w:tc>
          <w:tcPr>
            <w:tcW w:w="960" w:type="pct"/>
            <w:tcBorders>
              <w:top w:val="single" w:sz="4" w:space="0" w:color="auto"/>
              <w:bottom w:val="single" w:sz="4" w:space="0" w:color="auto"/>
            </w:tcBorders>
            <w:vAlign w:val="center"/>
          </w:tcPr>
          <w:p w14:paraId="66DEFCEC" w14:textId="06957740" w:rsidR="00426C3A" w:rsidRPr="0065245B" w:rsidRDefault="00426C3A" w:rsidP="00426C3A">
            <w:pPr>
              <w:pStyle w:val="TableText"/>
              <w:jc w:val="right"/>
            </w:pPr>
            <w:r w:rsidRPr="0065245B">
              <w:t>0.1</w:t>
            </w:r>
          </w:p>
        </w:tc>
      </w:tr>
      <w:tr w:rsidR="00426C3A" w14:paraId="5284C262" w14:textId="77777777" w:rsidTr="00426C3A">
        <w:tc>
          <w:tcPr>
            <w:tcW w:w="957" w:type="pct"/>
            <w:tcBorders>
              <w:top w:val="single" w:sz="4" w:space="0" w:color="auto"/>
              <w:bottom w:val="single" w:sz="4" w:space="0" w:color="auto"/>
            </w:tcBorders>
            <w:vAlign w:val="center"/>
          </w:tcPr>
          <w:p w14:paraId="6A65CD26" w14:textId="77777777" w:rsidR="00426C3A" w:rsidRPr="0065245B" w:rsidRDefault="00426C3A" w:rsidP="00426C3A">
            <w:pPr>
              <w:pStyle w:val="TableText"/>
            </w:pPr>
          </w:p>
        </w:tc>
        <w:tc>
          <w:tcPr>
            <w:tcW w:w="1029" w:type="pct"/>
            <w:tcBorders>
              <w:top w:val="single" w:sz="4" w:space="0" w:color="auto"/>
              <w:bottom w:val="single" w:sz="4" w:space="0" w:color="auto"/>
            </w:tcBorders>
            <w:vAlign w:val="center"/>
          </w:tcPr>
          <w:p w14:paraId="5E7C2576" w14:textId="4A21FAC9" w:rsidR="00426C3A" w:rsidRPr="0065245B" w:rsidRDefault="00426C3A" w:rsidP="00426C3A">
            <w:pPr>
              <w:pStyle w:val="TableText"/>
            </w:pPr>
            <w:r w:rsidRPr="0065245B">
              <w:t>Rape seed [canola] fodder, dry</w:t>
            </w:r>
          </w:p>
        </w:tc>
        <w:tc>
          <w:tcPr>
            <w:tcW w:w="1029" w:type="pct"/>
            <w:tcBorders>
              <w:top w:val="single" w:sz="4" w:space="0" w:color="auto"/>
              <w:bottom w:val="single" w:sz="4" w:space="0" w:color="auto"/>
            </w:tcBorders>
            <w:vAlign w:val="center"/>
          </w:tcPr>
          <w:p w14:paraId="5BB606F8" w14:textId="149ED6A0" w:rsidR="00426C3A" w:rsidRPr="0065245B" w:rsidRDefault="00426C3A" w:rsidP="00426C3A">
            <w:pPr>
              <w:pStyle w:val="TableText"/>
              <w:jc w:val="right"/>
            </w:pPr>
            <w:r w:rsidRPr="0065245B">
              <w:t>T5</w:t>
            </w:r>
          </w:p>
        </w:tc>
        <w:tc>
          <w:tcPr>
            <w:tcW w:w="1025" w:type="pct"/>
            <w:tcBorders>
              <w:top w:val="single" w:sz="4" w:space="0" w:color="auto"/>
              <w:bottom w:val="single" w:sz="4" w:space="0" w:color="auto"/>
            </w:tcBorders>
            <w:vAlign w:val="center"/>
          </w:tcPr>
          <w:p w14:paraId="71362F88" w14:textId="2C9C774B" w:rsidR="00426C3A" w:rsidRPr="0065245B" w:rsidRDefault="00426C3A" w:rsidP="00426C3A">
            <w:pPr>
              <w:pStyle w:val="TableText"/>
              <w:jc w:val="right"/>
            </w:pPr>
            <w:r w:rsidRPr="0065245B">
              <w:t>MRL deleted</w:t>
            </w:r>
          </w:p>
        </w:tc>
        <w:tc>
          <w:tcPr>
            <w:tcW w:w="960" w:type="pct"/>
            <w:tcBorders>
              <w:top w:val="single" w:sz="4" w:space="0" w:color="auto"/>
              <w:bottom w:val="single" w:sz="4" w:space="0" w:color="auto"/>
            </w:tcBorders>
            <w:vAlign w:val="center"/>
          </w:tcPr>
          <w:p w14:paraId="46CA73A2" w14:textId="139D05B5" w:rsidR="00426C3A" w:rsidRPr="0065245B" w:rsidRDefault="00426C3A" w:rsidP="00426C3A">
            <w:pPr>
              <w:pStyle w:val="TableText"/>
              <w:jc w:val="right"/>
            </w:pPr>
            <w:r w:rsidRPr="00B10FD7">
              <w:t>–</w:t>
            </w:r>
          </w:p>
        </w:tc>
      </w:tr>
      <w:tr w:rsidR="00426C3A" w14:paraId="4489F459" w14:textId="77777777" w:rsidTr="00426C3A">
        <w:tc>
          <w:tcPr>
            <w:tcW w:w="957" w:type="pct"/>
            <w:tcBorders>
              <w:top w:val="single" w:sz="4" w:space="0" w:color="auto"/>
              <w:bottom w:val="single" w:sz="4" w:space="0" w:color="auto"/>
            </w:tcBorders>
            <w:vAlign w:val="center"/>
          </w:tcPr>
          <w:p w14:paraId="79B825FD" w14:textId="77777777" w:rsidR="00426C3A" w:rsidRPr="0065245B" w:rsidRDefault="00426C3A" w:rsidP="00426C3A">
            <w:pPr>
              <w:pStyle w:val="TableText"/>
            </w:pPr>
          </w:p>
        </w:tc>
        <w:tc>
          <w:tcPr>
            <w:tcW w:w="1029" w:type="pct"/>
            <w:tcBorders>
              <w:top w:val="single" w:sz="4" w:space="0" w:color="auto"/>
              <w:bottom w:val="single" w:sz="4" w:space="0" w:color="auto"/>
            </w:tcBorders>
            <w:vAlign w:val="center"/>
          </w:tcPr>
          <w:p w14:paraId="2896635B" w14:textId="7B6FCBED" w:rsidR="00426C3A" w:rsidRPr="0065245B" w:rsidRDefault="00426C3A" w:rsidP="00426C3A">
            <w:pPr>
              <w:pStyle w:val="TableText"/>
            </w:pPr>
            <w:r w:rsidRPr="0065245B">
              <w:t>Rape seed [canola] forage</w:t>
            </w:r>
          </w:p>
        </w:tc>
        <w:tc>
          <w:tcPr>
            <w:tcW w:w="1029" w:type="pct"/>
            <w:tcBorders>
              <w:top w:val="single" w:sz="4" w:space="0" w:color="auto"/>
              <w:bottom w:val="single" w:sz="4" w:space="0" w:color="auto"/>
            </w:tcBorders>
            <w:vAlign w:val="center"/>
          </w:tcPr>
          <w:p w14:paraId="2C6E6B0F" w14:textId="0AEF3BE3" w:rsidR="00426C3A" w:rsidRPr="0065245B" w:rsidRDefault="00426C3A" w:rsidP="00426C3A">
            <w:pPr>
              <w:pStyle w:val="TableText"/>
              <w:jc w:val="right"/>
            </w:pPr>
            <w:r w:rsidRPr="0065245B">
              <w:t>T5</w:t>
            </w:r>
          </w:p>
        </w:tc>
        <w:tc>
          <w:tcPr>
            <w:tcW w:w="1025" w:type="pct"/>
            <w:tcBorders>
              <w:top w:val="single" w:sz="4" w:space="0" w:color="auto"/>
              <w:bottom w:val="single" w:sz="4" w:space="0" w:color="auto"/>
            </w:tcBorders>
            <w:vAlign w:val="center"/>
          </w:tcPr>
          <w:p w14:paraId="230DDF7D" w14:textId="16D91F73" w:rsidR="00426C3A" w:rsidRPr="0065245B" w:rsidRDefault="00426C3A" w:rsidP="00426C3A">
            <w:pPr>
              <w:pStyle w:val="TableText"/>
              <w:jc w:val="right"/>
            </w:pPr>
            <w:r w:rsidRPr="0065245B">
              <w:t>MRL deleted</w:t>
            </w:r>
          </w:p>
        </w:tc>
        <w:tc>
          <w:tcPr>
            <w:tcW w:w="960" w:type="pct"/>
            <w:tcBorders>
              <w:top w:val="single" w:sz="4" w:space="0" w:color="auto"/>
              <w:bottom w:val="single" w:sz="4" w:space="0" w:color="auto"/>
            </w:tcBorders>
            <w:vAlign w:val="center"/>
          </w:tcPr>
          <w:p w14:paraId="66438B5C" w14:textId="717CEA39" w:rsidR="00426C3A" w:rsidRPr="0065245B" w:rsidRDefault="00426C3A" w:rsidP="00426C3A">
            <w:pPr>
              <w:pStyle w:val="TableText"/>
              <w:jc w:val="right"/>
            </w:pPr>
            <w:r w:rsidRPr="00B10FD7">
              <w:t>–</w:t>
            </w:r>
          </w:p>
        </w:tc>
      </w:tr>
      <w:tr w:rsidR="00426C3A" w14:paraId="1019D5FA" w14:textId="77777777" w:rsidTr="00426C3A">
        <w:tc>
          <w:tcPr>
            <w:tcW w:w="957" w:type="pct"/>
            <w:tcBorders>
              <w:top w:val="single" w:sz="4" w:space="0" w:color="auto"/>
              <w:bottom w:val="single" w:sz="4" w:space="0" w:color="auto"/>
            </w:tcBorders>
            <w:vAlign w:val="center"/>
          </w:tcPr>
          <w:p w14:paraId="2A6A7329" w14:textId="77777777" w:rsidR="00426C3A" w:rsidRPr="0065245B" w:rsidRDefault="00426C3A" w:rsidP="00426C3A">
            <w:pPr>
              <w:pStyle w:val="TableText"/>
            </w:pPr>
          </w:p>
        </w:tc>
        <w:tc>
          <w:tcPr>
            <w:tcW w:w="1029" w:type="pct"/>
            <w:tcBorders>
              <w:top w:val="single" w:sz="4" w:space="0" w:color="auto"/>
              <w:bottom w:val="single" w:sz="4" w:space="0" w:color="auto"/>
            </w:tcBorders>
            <w:vAlign w:val="center"/>
          </w:tcPr>
          <w:p w14:paraId="50D0BE8A" w14:textId="4A3293FD" w:rsidR="00426C3A" w:rsidRPr="0065245B" w:rsidRDefault="00426C3A" w:rsidP="00426C3A">
            <w:pPr>
              <w:pStyle w:val="TableText"/>
            </w:pPr>
            <w:r w:rsidRPr="0065245B">
              <w:t>Rape seed [canola] forage and fodder</w:t>
            </w:r>
          </w:p>
        </w:tc>
        <w:tc>
          <w:tcPr>
            <w:tcW w:w="1029" w:type="pct"/>
            <w:tcBorders>
              <w:top w:val="single" w:sz="4" w:space="0" w:color="auto"/>
              <w:bottom w:val="single" w:sz="4" w:space="0" w:color="auto"/>
            </w:tcBorders>
            <w:vAlign w:val="center"/>
          </w:tcPr>
          <w:p w14:paraId="732A9B62" w14:textId="0A55466F" w:rsidR="00426C3A" w:rsidRPr="0065245B" w:rsidRDefault="00426C3A" w:rsidP="00426C3A">
            <w:pPr>
              <w:pStyle w:val="TableText"/>
              <w:jc w:val="right"/>
            </w:pPr>
            <w:r>
              <w:t>–</w:t>
            </w:r>
          </w:p>
        </w:tc>
        <w:tc>
          <w:tcPr>
            <w:tcW w:w="1025" w:type="pct"/>
            <w:tcBorders>
              <w:top w:val="single" w:sz="4" w:space="0" w:color="auto"/>
              <w:bottom w:val="single" w:sz="4" w:space="0" w:color="auto"/>
            </w:tcBorders>
            <w:vAlign w:val="center"/>
          </w:tcPr>
          <w:p w14:paraId="4497E3FB" w14:textId="49F702DD" w:rsidR="00426C3A" w:rsidRPr="0065245B" w:rsidRDefault="00426C3A" w:rsidP="00426C3A">
            <w:pPr>
              <w:pStyle w:val="TableText"/>
              <w:jc w:val="right"/>
            </w:pPr>
            <w:r w:rsidRPr="0065245B">
              <w:t>5</w:t>
            </w:r>
          </w:p>
        </w:tc>
        <w:tc>
          <w:tcPr>
            <w:tcW w:w="960" w:type="pct"/>
            <w:tcBorders>
              <w:top w:val="single" w:sz="4" w:space="0" w:color="auto"/>
              <w:bottom w:val="single" w:sz="4" w:space="0" w:color="auto"/>
            </w:tcBorders>
            <w:vAlign w:val="center"/>
          </w:tcPr>
          <w:p w14:paraId="1211E4E2" w14:textId="2435AB9C" w:rsidR="00426C3A" w:rsidRPr="0065245B" w:rsidRDefault="00426C3A" w:rsidP="00426C3A">
            <w:pPr>
              <w:pStyle w:val="TableText"/>
              <w:jc w:val="right"/>
            </w:pPr>
            <w:r w:rsidRPr="0065245B">
              <w:t>5</w:t>
            </w:r>
          </w:p>
        </w:tc>
      </w:tr>
    </w:tbl>
    <w:p w14:paraId="747460B2" w14:textId="2103326E" w:rsidR="00426C3A" w:rsidRPr="00D05130" w:rsidRDefault="00426C3A" w:rsidP="00D05130">
      <w:pPr>
        <w:pStyle w:val="Heading3"/>
      </w:pPr>
      <w:bookmarkStart w:id="94" w:name="_Toc116301559"/>
      <w:r w:rsidRPr="00D05130">
        <w:t>Residues assessment outcomes for procymidone use patterns</w:t>
      </w:r>
      <w:bookmarkEnd w:id="94"/>
    </w:p>
    <w:p w14:paraId="784A6496" w14:textId="49B28CCD" w:rsidR="00426C3A" w:rsidRPr="00D05130" w:rsidRDefault="00426C3A" w:rsidP="00D05130">
      <w:pPr>
        <w:pStyle w:val="APVMAText"/>
      </w:pPr>
      <w:r w:rsidRPr="00D05130">
        <w:t>The residues and trade assessment concluded that the supported use patterns of procymidone in Table 1</w:t>
      </w:r>
      <w:r w:rsidR="00B90717" w:rsidRPr="00D05130">
        <w:t>2</w:t>
      </w:r>
      <w:r w:rsidRPr="00D05130">
        <w:t xml:space="preserve"> would not pose an undue hazard to the safety of people consuming anything containing its residues, after the necessary changes have been made. No use patterns on </w:t>
      </w:r>
      <w:proofErr w:type="spellStart"/>
      <w:r w:rsidRPr="00D05130">
        <w:t>faba</w:t>
      </w:r>
      <w:proofErr w:type="spellEnd"/>
      <w:r w:rsidRPr="00D05130">
        <w:t xml:space="preserve"> beans or navy beans can be supported because there are insufficient residues data to establish MRLs and undertake a robust dietary assessment.</w:t>
      </w:r>
    </w:p>
    <w:p w14:paraId="6C607244" w14:textId="05E0D152" w:rsidR="00426C3A" w:rsidRPr="00D05130" w:rsidRDefault="00426C3A" w:rsidP="00D05130">
      <w:pPr>
        <w:pStyle w:val="Caption"/>
      </w:pPr>
      <w:bookmarkStart w:id="95" w:name="_Toc101968008"/>
      <w:bookmarkStart w:id="96" w:name="_Toc116301703"/>
      <w:r w:rsidRPr="00D05130">
        <w:t xml:space="preserve">Table </w:t>
      </w:r>
      <w:fldSimple w:instr=" SEQ Table \* ARABIC ">
        <w:r w:rsidR="00ED7319" w:rsidRPr="00D05130">
          <w:t>12</w:t>
        </w:r>
      </w:fldSimple>
      <w:r w:rsidRPr="00D05130">
        <w:t>:</w:t>
      </w:r>
      <w:r w:rsidRPr="00D05130">
        <w:tab/>
        <w:t>Summary of residue assessment outcomes for procymidone use patterns</w:t>
      </w:r>
      <w:bookmarkEnd w:id="95"/>
      <w:bookmarkEnd w:id="96"/>
    </w:p>
    <w:tbl>
      <w:tblPr>
        <w:tblW w:w="5000" w:type="pct"/>
        <w:tblBorders>
          <w:bottom w:val="dotted" w:sz="2" w:space="0" w:color="auto"/>
          <w:insideH w:val="dotted" w:sz="2" w:space="0" w:color="auto"/>
        </w:tblBorders>
        <w:tblLook w:val="0000" w:firstRow="0" w:lastRow="0" w:firstColumn="0" w:lastColumn="0" w:noHBand="0" w:noVBand="0"/>
      </w:tblPr>
      <w:tblGrid>
        <w:gridCol w:w="2552"/>
        <w:gridCol w:w="1558"/>
        <w:gridCol w:w="5528"/>
      </w:tblGrid>
      <w:tr w:rsidR="00426C3A" w14:paraId="38944DE7" w14:textId="77777777" w:rsidTr="00426C3A">
        <w:trPr>
          <w:tblHeader/>
        </w:trPr>
        <w:tc>
          <w:tcPr>
            <w:tcW w:w="1324" w:type="pct"/>
            <w:tcBorders>
              <w:top w:val="single" w:sz="4" w:space="0" w:color="auto"/>
              <w:bottom w:val="single" w:sz="4" w:space="0" w:color="auto"/>
            </w:tcBorders>
            <w:shd w:val="clear" w:color="auto" w:fill="5C2946"/>
            <w:vAlign w:val="center"/>
          </w:tcPr>
          <w:p w14:paraId="328DFE1E" w14:textId="6250755A" w:rsidR="00426C3A" w:rsidRDefault="00426C3A" w:rsidP="00426C3A">
            <w:pPr>
              <w:pStyle w:val="TableHead"/>
            </w:pPr>
            <w:r w:rsidRPr="0065245B">
              <w:t>Use pattern</w:t>
            </w:r>
          </w:p>
        </w:tc>
        <w:tc>
          <w:tcPr>
            <w:tcW w:w="808" w:type="pct"/>
            <w:tcBorders>
              <w:top w:val="single" w:sz="4" w:space="0" w:color="auto"/>
              <w:bottom w:val="single" w:sz="4" w:space="0" w:color="auto"/>
            </w:tcBorders>
            <w:shd w:val="clear" w:color="auto" w:fill="5C2946"/>
            <w:vAlign w:val="center"/>
          </w:tcPr>
          <w:p w14:paraId="0C5A8650" w14:textId="43B2EE3D" w:rsidR="00426C3A" w:rsidRDefault="00426C3A" w:rsidP="00426C3A">
            <w:pPr>
              <w:pStyle w:val="TableHead"/>
            </w:pPr>
            <w:r w:rsidRPr="0065245B">
              <w:t>Use supported</w:t>
            </w:r>
          </w:p>
        </w:tc>
        <w:tc>
          <w:tcPr>
            <w:tcW w:w="2867" w:type="pct"/>
            <w:tcBorders>
              <w:top w:val="single" w:sz="4" w:space="0" w:color="auto"/>
              <w:bottom w:val="single" w:sz="4" w:space="0" w:color="auto"/>
            </w:tcBorders>
            <w:shd w:val="clear" w:color="auto" w:fill="5C2946"/>
            <w:vAlign w:val="center"/>
          </w:tcPr>
          <w:p w14:paraId="07DF747F" w14:textId="426A6D41" w:rsidR="00426C3A" w:rsidRDefault="00426C3A" w:rsidP="00426C3A">
            <w:pPr>
              <w:pStyle w:val="TableHead"/>
            </w:pPr>
            <w:r w:rsidRPr="0065245B">
              <w:t>Outcomes of the residues assessment</w:t>
            </w:r>
          </w:p>
        </w:tc>
      </w:tr>
      <w:tr w:rsidR="00426C3A" w14:paraId="172910DB" w14:textId="77777777" w:rsidTr="00426C3A">
        <w:tc>
          <w:tcPr>
            <w:tcW w:w="1324" w:type="pct"/>
            <w:tcBorders>
              <w:top w:val="single" w:sz="4" w:space="0" w:color="auto"/>
              <w:bottom w:val="single" w:sz="4" w:space="0" w:color="auto"/>
            </w:tcBorders>
          </w:tcPr>
          <w:p w14:paraId="5E8EDB30" w14:textId="07EE4151" w:rsidR="00426C3A" w:rsidRDefault="00426C3A" w:rsidP="00426C3A">
            <w:pPr>
              <w:pStyle w:val="TableText"/>
            </w:pPr>
            <w:r>
              <w:t>Canola (rape seed)</w:t>
            </w:r>
          </w:p>
        </w:tc>
        <w:tc>
          <w:tcPr>
            <w:tcW w:w="808" w:type="pct"/>
            <w:tcBorders>
              <w:top w:val="single" w:sz="4" w:space="0" w:color="auto"/>
              <w:bottom w:val="single" w:sz="4" w:space="0" w:color="auto"/>
            </w:tcBorders>
          </w:tcPr>
          <w:p w14:paraId="297BAFB5" w14:textId="5A4C66B6" w:rsidR="00426C3A" w:rsidRDefault="00426C3A" w:rsidP="00426C3A">
            <w:pPr>
              <w:pStyle w:val="TableText"/>
            </w:pPr>
            <w:r>
              <w:rPr>
                <w:szCs w:val="17"/>
              </w:rPr>
              <w:t>Yes</w:t>
            </w:r>
          </w:p>
        </w:tc>
        <w:tc>
          <w:tcPr>
            <w:tcW w:w="2867" w:type="pct"/>
            <w:tcBorders>
              <w:top w:val="single" w:sz="4" w:space="0" w:color="auto"/>
              <w:bottom w:val="single" w:sz="4" w:space="0" w:color="auto"/>
            </w:tcBorders>
          </w:tcPr>
          <w:p w14:paraId="0910827B" w14:textId="2DF44219" w:rsidR="00426C3A" w:rsidRDefault="00426C3A" w:rsidP="00426C3A">
            <w:pPr>
              <w:pStyle w:val="TableText"/>
            </w:pPr>
            <w:r>
              <w:t>No change required.</w:t>
            </w:r>
          </w:p>
        </w:tc>
      </w:tr>
      <w:tr w:rsidR="00426C3A" w14:paraId="2845CE97" w14:textId="77777777" w:rsidTr="00426C3A">
        <w:tc>
          <w:tcPr>
            <w:tcW w:w="1324" w:type="pct"/>
            <w:tcBorders>
              <w:top w:val="single" w:sz="4" w:space="0" w:color="auto"/>
              <w:bottom w:val="single" w:sz="4" w:space="0" w:color="auto"/>
            </w:tcBorders>
          </w:tcPr>
          <w:p w14:paraId="41A7E47D" w14:textId="19132C48" w:rsidR="00426C3A" w:rsidRDefault="00426C3A" w:rsidP="00426C3A">
            <w:pPr>
              <w:pStyle w:val="TableText"/>
            </w:pPr>
            <w:proofErr w:type="spellStart"/>
            <w:r>
              <w:rPr>
                <w:szCs w:val="20"/>
              </w:rPr>
              <w:t>Faba</w:t>
            </w:r>
            <w:proofErr w:type="spellEnd"/>
            <w:r>
              <w:rPr>
                <w:szCs w:val="20"/>
              </w:rPr>
              <w:t xml:space="preserve"> beans</w:t>
            </w:r>
          </w:p>
        </w:tc>
        <w:tc>
          <w:tcPr>
            <w:tcW w:w="808" w:type="pct"/>
            <w:tcBorders>
              <w:top w:val="single" w:sz="4" w:space="0" w:color="auto"/>
              <w:bottom w:val="single" w:sz="4" w:space="0" w:color="auto"/>
            </w:tcBorders>
          </w:tcPr>
          <w:p w14:paraId="60F5582A" w14:textId="0F968D31" w:rsidR="00426C3A" w:rsidRDefault="00426C3A" w:rsidP="00426C3A">
            <w:pPr>
              <w:pStyle w:val="TableText"/>
              <w:rPr>
                <w:szCs w:val="17"/>
              </w:rPr>
            </w:pPr>
            <w:r>
              <w:rPr>
                <w:szCs w:val="17"/>
              </w:rPr>
              <w:t>No</w:t>
            </w:r>
          </w:p>
        </w:tc>
        <w:tc>
          <w:tcPr>
            <w:tcW w:w="2867" w:type="pct"/>
            <w:tcBorders>
              <w:top w:val="single" w:sz="4" w:space="0" w:color="auto"/>
              <w:bottom w:val="single" w:sz="4" w:space="0" w:color="auto"/>
            </w:tcBorders>
          </w:tcPr>
          <w:p w14:paraId="3F442B69" w14:textId="1DB34BC6" w:rsidR="00426C3A" w:rsidRDefault="00426C3A" w:rsidP="00426C3A">
            <w:pPr>
              <w:pStyle w:val="TableText"/>
            </w:pPr>
            <w:r>
              <w:rPr>
                <w:szCs w:val="17"/>
              </w:rPr>
              <w:t>No</w:t>
            </w:r>
            <w:r>
              <w:t xml:space="preserve"> residues data submitted for </w:t>
            </w:r>
            <w:proofErr w:type="spellStart"/>
            <w:r>
              <w:t>faba</w:t>
            </w:r>
            <w:proofErr w:type="spellEnd"/>
            <w:r>
              <w:t xml:space="preserve"> bean seed, </w:t>
            </w:r>
            <w:proofErr w:type="gramStart"/>
            <w:r>
              <w:t>forage</w:t>
            </w:r>
            <w:proofErr w:type="gramEnd"/>
            <w:r>
              <w:t xml:space="preserve"> or fodder</w:t>
            </w:r>
          </w:p>
        </w:tc>
      </w:tr>
      <w:tr w:rsidR="00426C3A" w14:paraId="6506654E" w14:textId="77777777" w:rsidTr="00426C3A">
        <w:tc>
          <w:tcPr>
            <w:tcW w:w="1324" w:type="pct"/>
            <w:tcBorders>
              <w:top w:val="single" w:sz="4" w:space="0" w:color="auto"/>
              <w:bottom w:val="single" w:sz="4" w:space="0" w:color="auto"/>
            </w:tcBorders>
          </w:tcPr>
          <w:p w14:paraId="64DD4AA9" w14:textId="416948D0" w:rsidR="00426C3A" w:rsidRDefault="00426C3A" w:rsidP="00426C3A">
            <w:pPr>
              <w:pStyle w:val="TableText"/>
              <w:rPr>
                <w:szCs w:val="20"/>
              </w:rPr>
            </w:pPr>
            <w:r w:rsidRPr="00051BA2">
              <w:rPr>
                <w:szCs w:val="17"/>
              </w:rPr>
              <w:t>Garlic</w:t>
            </w:r>
          </w:p>
        </w:tc>
        <w:tc>
          <w:tcPr>
            <w:tcW w:w="808" w:type="pct"/>
            <w:tcBorders>
              <w:top w:val="single" w:sz="4" w:space="0" w:color="auto"/>
              <w:bottom w:val="single" w:sz="4" w:space="0" w:color="auto"/>
            </w:tcBorders>
          </w:tcPr>
          <w:p w14:paraId="18861109" w14:textId="7F1B277B"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4FC6844E" w14:textId="6D57D760" w:rsidR="00426C3A" w:rsidRPr="00ED7A31" w:rsidRDefault="00426C3A" w:rsidP="00426C3A">
            <w:pPr>
              <w:pStyle w:val="APVMATableText"/>
              <w:rPr>
                <w:szCs w:val="17"/>
              </w:rPr>
            </w:pPr>
            <w:r w:rsidRPr="00ED7A31">
              <w:rPr>
                <w:szCs w:val="17"/>
              </w:rPr>
              <w:t xml:space="preserve">For products that do not currently specify a harvest withholding period for garlic on their product label (e.g. 65892), a harvest withholding period of </w:t>
            </w:r>
            <w:r>
              <w:rPr>
                <w:szCs w:val="17"/>
              </w:rPr>
              <w:t>“</w:t>
            </w:r>
            <w:r w:rsidRPr="00426C3A">
              <w:rPr>
                <w:i/>
                <w:iCs/>
                <w:szCs w:val="17"/>
              </w:rPr>
              <w:t>Not required when used as directed</w:t>
            </w:r>
            <w:r>
              <w:rPr>
                <w:szCs w:val="17"/>
              </w:rPr>
              <w:t>”</w:t>
            </w:r>
            <w:r w:rsidRPr="00ED7A31">
              <w:rPr>
                <w:szCs w:val="17"/>
              </w:rPr>
              <w:t xml:space="preserve"> must be added for garlic.</w:t>
            </w:r>
          </w:p>
          <w:p w14:paraId="6A483F5D" w14:textId="1E81F861" w:rsidR="00426C3A" w:rsidRDefault="00426C3A" w:rsidP="00426C3A">
            <w:pPr>
              <w:pStyle w:val="TableText"/>
              <w:rPr>
                <w:szCs w:val="17"/>
              </w:rPr>
            </w:pPr>
            <w:r w:rsidRPr="00E87F5C">
              <w:rPr>
                <w:i/>
                <w:szCs w:val="17"/>
              </w:rPr>
              <w:t>(This change is not required for products (e.g. 50833) that do currently include this harvest withholding period on their label</w:t>
            </w:r>
            <w:r>
              <w:rPr>
                <w:i/>
                <w:szCs w:val="17"/>
              </w:rPr>
              <w:t>.</w:t>
            </w:r>
            <w:r w:rsidRPr="00E87F5C">
              <w:rPr>
                <w:i/>
                <w:szCs w:val="17"/>
              </w:rPr>
              <w:t>)</w:t>
            </w:r>
          </w:p>
        </w:tc>
      </w:tr>
      <w:tr w:rsidR="00426C3A" w14:paraId="016C96D0" w14:textId="77777777" w:rsidTr="00426C3A">
        <w:tc>
          <w:tcPr>
            <w:tcW w:w="1324" w:type="pct"/>
            <w:tcBorders>
              <w:top w:val="single" w:sz="4" w:space="0" w:color="auto"/>
              <w:bottom w:val="single" w:sz="4" w:space="0" w:color="auto"/>
            </w:tcBorders>
          </w:tcPr>
          <w:p w14:paraId="0B413B6A" w14:textId="3DE25ED6" w:rsidR="00426C3A" w:rsidRPr="00051BA2" w:rsidRDefault="00426C3A" w:rsidP="00426C3A">
            <w:pPr>
              <w:pStyle w:val="TableText"/>
              <w:rPr>
                <w:szCs w:val="17"/>
              </w:rPr>
            </w:pPr>
            <w:r>
              <w:t>Lentils</w:t>
            </w:r>
          </w:p>
        </w:tc>
        <w:tc>
          <w:tcPr>
            <w:tcW w:w="808" w:type="pct"/>
            <w:tcBorders>
              <w:top w:val="single" w:sz="4" w:space="0" w:color="auto"/>
              <w:bottom w:val="single" w:sz="4" w:space="0" w:color="auto"/>
            </w:tcBorders>
          </w:tcPr>
          <w:p w14:paraId="6090FD44" w14:textId="305D1734"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3550F68A" w14:textId="7E4FF490" w:rsidR="00426C3A" w:rsidRPr="00ED7A31" w:rsidRDefault="00426C3A" w:rsidP="00426C3A">
            <w:pPr>
              <w:pStyle w:val="TableText"/>
              <w:rPr>
                <w:szCs w:val="17"/>
              </w:rPr>
            </w:pPr>
            <w:r>
              <w:t>No change required.</w:t>
            </w:r>
          </w:p>
        </w:tc>
      </w:tr>
      <w:tr w:rsidR="00426C3A" w14:paraId="38E59777" w14:textId="77777777" w:rsidTr="00426C3A">
        <w:tc>
          <w:tcPr>
            <w:tcW w:w="1324" w:type="pct"/>
            <w:tcBorders>
              <w:top w:val="single" w:sz="4" w:space="0" w:color="auto"/>
              <w:bottom w:val="single" w:sz="4" w:space="0" w:color="auto"/>
            </w:tcBorders>
          </w:tcPr>
          <w:p w14:paraId="3D77E400" w14:textId="5AF079CF" w:rsidR="00426C3A" w:rsidRDefault="00426C3A" w:rsidP="00426C3A">
            <w:pPr>
              <w:pStyle w:val="TableText"/>
            </w:pPr>
            <w:r w:rsidRPr="00051BA2">
              <w:rPr>
                <w:szCs w:val="17"/>
              </w:rPr>
              <w:t>Lupin (seed dressing use)</w:t>
            </w:r>
          </w:p>
        </w:tc>
        <w:tc>
          <w:tcPr>
            <w:tcW w:w="808" w:type="pct"/>
            <w:tcBorders>
              <w:top w:val="single" w:sz="4" w:space="0" w:color="auto"/>
              <w:bottom w:val="single" w:sz="4" w:space="0" w:color="auto"/>
            </w:tcBorders>
          </w:tcPr>
          <w:p w14:paraId="3B72B183" w14:textId="567DE246"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365E7CBC" w14:textId="69C6DD52" w:rsidR="00426C3A" w:rsidRPr="00051BA2" w:rsidRDefault="00426C3A" w:rsidP="00426C3A">
            <w:pPr>
              <w:pStyle w:val="APVMATableText"/>
              <w:rPr>
                <w:szCs w:val="17"/>
              </w:rPr>
            </w:pPr>
            <w:r w:rsidRPr="00051BA2">
              <w:rPr>
                <w:szCs w:val="17"/>
              </w:rPr>
              <w:t xml:space="preserve">A harvest withholding period of </w:t>
            </w:r>
            <w:r>
              <w:rPr>
                <w:szCs w:val="17"/>
              </w:rPr>
              <w:t>“</w:t>
            </w:r>
            <w:r w:rsidRPr="00426C3A">
              <w:rPr>
                <w:i/>
                <w:iCs/>
                <w:szCs w:val="17"/>
              </w:rPr>
              <w:t>Not required when used as directed</w:t>
            </w:r>
            <w:r>
              <w:rPr>
                <w:szCs w:val="17"/>
              </w:rPr>
              <w:t>”</w:t>
            </w:r>
            <w:r w:rsidRPr="00051BA2">
              <w:rPr>
                <w:szCs w:val="17"/>
              </w:rPr>
              <w:t xml:space="preserve"> should be associated with this use.</w:t>
            </w:r>
          </w:p>
          <w:p w14:paraId="3A10BC71" w14:textId="73AD8127" w:rsidR="00426C3A" w:rsidRDefault="00426C3A" w:rsidP="00426C3A">
            <w:pPr>
              <w:pStyle w:val="TableText"/>
            </w:pPr>
            <w:r w:rsidRPr="00051BA2">
              <w:rPr>
                <w:i/>
                <w:szCs w:val="17"/>
              </w:rPr>
              <w:t>(Labels are currently silent on a harvest withholding period for lupin</w:t>
            </w:r>
            <w:r>
              <w:rPr>
                <w:i/>
                <w:szCs w:val="17"/>
              </w:rPr>
              <w:t>.</w:t>
            </w:r>
            <w:r w:rsidRPr="00051BA2">
              <w:rPr>
                <w:i/>
                <w:szCs w:val="17"/>
              </w:rPr>
              <w:t>)</w:t>
            </w:r>
          </w:p>
        </w:tc>
      </w:tr>
      <w:tr w:rsidR="00426C3A" w14:paraId="6A5909A9" w14:textId="77777777" w:rsidTr="00426C3A">
        <w:tc>
          <w:tcPr>
            <w:tcW w:w="1324" w:type="pct"/>
            <w:tcBorders>
              <w:top w:val="single" w:sz="4" w:space="0" w:color="auto"/>
              <w:bottom w:val="single" w:sz="4" w:space="0" w:color="auto"/>
            </w:tcBorders>
          </w:tcPr>
          <w:p w14:paraId="0F08BE24" w14:textId="74D49346" w:rsidR="00426C3A" w:rsidRPr="00051BA2" w:rsidRDefault="00426C3A" w:rsidP="00426C3A">
            <w:pPr>
              <w:pStyle w:val="TableText"/>
              <w:rPr>
                <w:szCs w:val="17"/>
              </w:rPr>
            </w:pPr>
            <w:r>
              <w:rPr>
                <w:szCs w:val="20"/>
              </w:rPr>
              <w:t>Navy beans</w:t>
            </w:r>
          </w:p>
        </w:tc>
        <w:tc>
          <w:tcPr>
            <w:tcW w:w="808" w:type="pct"/>
            <w:tcBorders>
              <w:top w:val="single" w:sz="4" w:space="0" w:color="auto"/>
              <w:bottom w:val="single" w:sz="4" w:space="0" w:color="auto"/>
            </w:tcBorders>
          </w:tcPr>
          <w:p w14:paraId="5D731663" w14:textId="1A22E070" w:rsidR="00426C3A" w:rsidRDefault="00426C3A" w:rsidP="00426C3A">
            <w:pPr>
              <w:pStyle w:val="TableText"/>
              <w:rPr>
                <w:szCs w:val="17"/>
              </w:rPr>
            </w:pPr>
            <w:r>
              <w:rPr>
                <w:szCs w:val="17"/>
              </w:rPr>
              <w:t>No</w:t>
            </w:r>
          </w:p>
        </w:tc>
        <w:tc>
          <w:tcPr>
            <w:tcW w:w="2867" w:type="pct"/>
            <w:tcBorders>
              <w:top w:val="single" w:sz="4" w:space="0" w:color="auto"/>
              <w:bottom w:val="single" w:sz="4" w:space="0" w:color="auto"/>
            </w:tcBorders>
          </w:tcPr>
          <w:p w14:paraId="232EAD5B" w14:textId="4708F3D7" w:rsidR="00426C3A" w:rsidRPr="00051BA2" w:rsidRDefault="00426C3A" w:rsidP="00426C3A">
            <w:pPr>
              <w:pStyle w:val="TableText"/>
              <w:rPr>
                <w:szCs w:val="17"/>
              </w:rPr>
            </w:pPr>
            <w:r>
              <w:t>Insufficient relevant residue data submitted for navy bean seed, no residues data submitted for navy bean forage or fodder.</w:t>
            </w:r>
          </w:p>
        </w:tc>
      </w:tr>
      <w:tr w:rsidR="00426C3A" w14:paraId="5D8FD877" w14:textId="77777777" w:rsidTr="00426C3A">
        <w:tc>
          <w:tcPr>
            <w:tcW w:w="1324" w:type="pct"/>
            <w:tcBorders>
              <w:top w:val="single" w:sz="4" w:space="0" w:color="auto"/>
              <w:bottom w:val="single" w:sz="4" w:space="0" w:color="auto"/>
            </w:tcBorders>
          </w:tcPr>
          <w:p w14:paraId="5FF4A68D" w14:textId="72703F32" w:rsidR="00426C3A" w:rsidRDefault="00426C3A" w:rsidP="00426C3A">
            <w:pPr>
              <w:pStyle w:val="TableText"/>
              <w:rPr>
                <w:szCs w:val="20"/>
              </w:rPr>
            </w:pPr>
            <w:r>
              <w:t>Onions</w:t>
            </w:r>
          </w:p>
        </w:tc>
        <w:tc>
          <w:tcPr>
            <w:tcW w:w="808" w:type="pct"/>
            <w:tcBorders>
              <w:top w:val="single" w:sz="4" w:space="0" w:color="auto"/>
              <w:bottom w:val="single" w:sz="4" w:space="0" w:color="auto"/>
            </w:tcBorders>
          </w:tcPr>
          <w:p w14:paraId="47A652F4" w14:textId="57354591"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52C92B6A" w14:textId="31BAB4CD" w:rsidR="00426C3A" w:rsidRDefault="00426C3A" w:rsidP="00426C3A">
            <w:pPr>
              <w:pStyle w:val="TableText"/>
            </w:pPr>
            <w:r>
              <w:t>No change required.</w:t>
            </w:r>
          </w:p>
        </w:tc>
      </w:tr>
      <w:tr w:rsidR="00426C3A" w14:paraId="2FCD2DEA" w14:textId="77777777" w:rsidTr="00426C3A">
        <w:tc>
          <w:tcPr>
            <w:tcW w:w="1324" w:type="pct"/>
            <w:tcBorders>
              <w:top w:val="single" w:sz="4" w:space="0" w:color="auto"/>
              <w:bottom w:val="single" w:sz="4" w:space="0" w:color="auto"/>
            </w:tcBorders>
          </w:tcPr>
          <w:p w14:paraId="3DD7094A" w14:textId="6D673875" w:rsidR="00426C3A" w:rsidRDefault="00426C3A" w:rsidP="00426C3A">
            <w:pPr>
              <w:pStyle w:val="TableText"/>
            </w:pPr>
            <w:r>
              <w:t>Ornamental (non-food)</w:t>
            </w:r>
          </w:p>
        </w:tc>
        <w:tc>
          <w:tcPr>
            <w:tcW w:w="808" w:type="pct"/>
            <w:tcBorders>
              <w:top w:val="single" w:sz="4" w:space="0" w:color="auto"/>
              <w:bottom w:val="single" w:sz="4" w:space="0" w:color="auto"/>
            </w:tcBorders>
          </w:tcPr>
          <w:p w14:paraId="7D8C2F20" w14:textId="2BEDC12A"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05F8D743" w14:textId="5B182805" w:rsidR="00426C3A" w:rsidRDefault="00426C3A" w:rsidP="00426C3A">
            <w:pPr>
              <w:pStyle w:val="TableText"/>
            </w:pPr>
            <w:r>
              <w:t>No change required.</w:t>
            </w:r>
          </w:p>
        </w:tc>
      </w:tr>
      <w:tr w:rsidR="00426C3A" w14:paraId="047D0F58" w14:textId="77777777" w:rsidTr="00426C3A">
        <w:tc>
          <w:tcPr>
            <w:tcW w:w="1324" w:type="pct"/>
            <w:tcBorders>
              <w:top w:val="single" w:sz="4" w:space="0" w:color="auto"/>
              <w:bottom w:val="single" w:sz="4" w:space="0" w:color="auto"/>
            </w:tcBorders>
          </w:tcPr>
          <w:p w14:paraId="53843F37" w14:textId="46559D71" w:rsidR="00426C3A" w:rsidRDefault="00426C3A" w:rsidP="00426C3A">
            <w:pPr>
              <w:pStyle w:val="TableText"/>
            </w:pPr>
            <w:r w:rsidRPr="00051BA2">
              <w:rPr>
                <w:szCs w:val="17"/>
              </w:rPr>
              <w:t>Potatoes</w:t>
            </w:r>
          </w:p>
        </w:tc>
        <w:tc>
          <w:tcPr>
            <w:tcW w:w="808" w:type="pct"/>
            <w:tcBorders>
              <w:top w:val="single" w:sz="4" w:space="0" w:color="auto"/>
              <w:bottom w:val="single" w:sz="4" w:space="0" w:color="auto"/>
            </w:tcBorders>
          </w:tcPr>
          <w:p w14:paraId="137A0C81" w14:textId="54CBF87C"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30088AC9" w14:textId="77777777" w:rsidR="00426C3A" w:rsidRPr="00051BA2" w:rsidRDefault="00426C3A" w:rsidP="00426C3A">
            <w:pPr>
              <w:pStyle w:val="APVMATableText"/>
              <w:rPr>
                <w:szCs w:val="17"/>
              </w:rPr>
            </w:pPr>
            <w:r w:rsidRPr="00051BA2">
              <w:rPr>
                <w:szCs w:val="17"/>
              </w:rPr>
              <w:t>The harvest withholding period must be increased from 9 days to 21 days.</w:t>
            </w:r>
          </w:p>
          <w:p w14:paraId="4C3E7D71" w14:textId="08708CC3" w:rsidR="00426C3A" w:rsidRDefault="00426C3A" w:rsidP="00426C3A">
            <w:pPr>
              <w:pStyle w:val="TableText"/>
            </w:pPr>
            <w:r w:rsidRPr="00051BA2">
              <w:rPr>
                <w:szCs w:val="17"/>
              </w:rPr>
              <w:t xml:space="preserve">The restraint </w:t>
            </w:r>
            <w:r>
              <w:rPr>
                <w:szCs w:val="17"/>
              </w:rPr>
              <w:t>“</w:t>
            </w:r>
            <w:r w:rsidRPr="00426C3A">
              <w:rPr>
                <w:i/>
                <w:iCs/>
                <w:szCs w:val="17"/>
              </w:rPr>
              <w:t>DO NOT apply more than 4 applications per crop</w:t>
            </w:r>
            <w:r>
              <w:rPr>
                <w:szCs w:val="17"/>
              </w:rPr>
              <w:t>”</w:t>
            </w:r>
            <w:r w:rsidRPr="00051BA2">
              <w:rPr>
                <w:szCs w:val="17"/>
              </w:rPr>
              <w:t xml:space="preserve"> must be added.</w:t>
            </w:r>
          </w:p>
        </w:tc>
      </w:tr>
      <w:tr w:rsidR="00426C3A" w14:paraId="0A89CAE2" w14:textId="77777777" w:rsidTr="00426C3A">
        <w:tc>
          <w:tcPr>
            <w:tcW w:w="1324" w:type="pct"/>
            <w:tcBorders>
              <w:top w:val="single" w:sz="4" w:space="0" w:color="auto"/>
              <w:bottom w:val="single" w:sz="4" w:space="0" w:color="auto"/>
            </w:tcBorders>
          </w:tcPr>
          <w:p w14:paraId="2D4D1EE1" w14:textId="6338E62A" w:rsidR="00426C3A" w:rsidRPr="00051BA2" w:rsidRDefault="00426C3A" w:rsidP="00426C3A">
            <w:pPr>
              <w:pStyle w:val="TableText"/>
              <w:rPr>
                <w:szCs w:val="17"/>
              </w:rPr>
            </w:pPr>
            <w:r w:rsidRPr="00623569">
              <w:t>S</w:t>
            </w:r>
            <w:r>
              <w:t>tone fruit</w:t>
            </w:r>
          </w:p>
        </w:tc>
        <w:tc>
          <w:tcPr>
            <w:tcW w:w="808" w:type="pct"/>
            <w:tcBorders>
              <w:top w:val="single" w:sz="4" w:space="0" w:color="auto"/>
              <w:bottom w:val="single" w:sz="4" w:space="0" w:color="auto"/>
            </w:tcBorders>
          </w:tcPr>
          <w:p w14:paraId="02A6599C" w14:textId="18E2BD97"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42C86E2B" w14:textId="4D9005A6" w:rsidR="00426C3A" w:rsidRPr="00051BA2" w:rsidRDefault="00426C3A" w:rsidP="00426C3A">
            <w:pPr>
              <w:pStyle w:val="TableText"/>
              <w:rPr>
                <w:szCs w:val="17"/>
              </w:rPr>
            </w:pPr>
            <w:r>
              <w:t>No change required.</w:t>
            </w:r>
          </w:p>
        </w:tc>
      </w:tr>
      <w:tr w:rsidR="00426C3A" w14:paraId="4812BD1C" w14:textId="77777777" w:rsidTr="00426C3A">
        <w:tc>
          <w:tcPr>
            <w:tcW w:w="1324" w:type="pct"/>
            <w:tcBorders>
              <w:top w:val="single" w:sz="4" w:space="0" w:color="auto"/>
              <w:bottom w:val="single" w:sz="4" w:space="0" w:color="auto"/>
            </w:tcBorders>
          </w:tcPr>
          <w:p w14:paraId="79392AD7" w14:textId="32EBFD18" w:rsidR="00426C3A" w:rsidRPr="00623569" w:rsidRDefault="00426C3A" w:rsidP="00426C3A">
            <w:pPr>
              <w:pStyle w:val="TableText"/>
            </w:pPr>
            <w:r w:rsidRPr="00051BA2">
              <w:rPr>
                <w:szCs w:val="17"/>
              </w:rPr>
              <w:t>Turf (non-food use)</w:t>
            </w:r>
          </w:p>
        </w:tc>
        <w:tc>
          <w:tcPr>
            <w:tcW w:w="808" w:type="pct"/>
            <w:tcBorders>
              <w:top w:val="single" w:sz="4" w:space="0" w:color="auto"/>
              <w:bottom w:val="single" w:sz="4" w:space="0" w:color="auto"/>
            </w:tcBorders>
          </w:tcPr>
          <w:p w14:paraId="212D7284" w14:textId="69EC673D"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678F07E5" w14:textId="449BCE7B" w:rsidR="00426C3A" w:rsidRDefault="00426C3A" w:rsidP="00426C3A">
            <w:pPr>
              <w:pStyle w:val="TableText"/>
            </w:pPr>
            <w:r w:rsidRPr="00051BA2">
              <w:rPr>
                <w:szCs w:val="17"/>
              </w:rPr>
              <w:t xml:space="preserve">The statement </w:t>
            </w:r>
            <w:r>
              <w:rPr>
                <w:szCs w:val="17"/>
              </w:rPr>
              <w:t>“</w:t>
            </w:r>
            <w:r w:rsidRPr="00426C3A">
              <w:rPr>
                <w:i/>
                <w:iCs/>
                <w:szCs w:val="17"/>
              </w:rPr>
              <w:t>DO NOT graze treated turf or lawn; or feed turf or lawn clippings from any treated area to poultry or livestock</w:t>
            </w:r>
            <w:r>
              <w:rPr>
                <w:szCs w:val="17"/>
              </w:rPr>
              <w:t>”</w:t>
            </w:r>
            <w:r w:rsidRPr="00051BA2">
              <w:rPr>
                <w:szCs w:val="17"/>
              </w:rPr>
              <w:t xml:space="preserve"> must </w:t>
            </w:r>
            <w:r w:rsidRPr="00051BA2">
              <w:rPr>
                <w:szCs w:val="17"/>
              </w:rPr>
              <w:lastRenderedPageBreak/>
              <w:t>be included on product labels that include the use on turf as a grazing withholding period statement.</w:t>
            </w:r>
          </w:p>
        </w:tc>
      </w:tr>
      <w:tr w:rsidR="00426C3A" w14:paraId="1C551DF9" w14:textId="77777777" w:rsidTr="00426C3A">
        <w:tc>
          <w:tcPr>
            <w:tcW w:w="1324" w:type="pct"/>
            <w:tcBorders>
              <w:top w:val="single" w:sz="4" w:space="0" w:color="auto"/>
              <w:bottom w:val="single" w:sz="4" w:space="0" w:color="auto"/>
            </w:tcBorders>
          </w:tcPr>
          <w:p w14:paraId="5C495F7C" w14:textId="086B97BA" w:rsidR="00426C3A" w:rsidRPr="00051BA2" w:rsidRDefault="00426C3A" w:rsidP="00426C3A">
            <w:pPr>
              <w:pStyle w:val="TableText"/>
              <w:rPr>
                <w:szCs w:val="17"/>
              </w:rPr>
            </w:pPr>
            <w:r>
              <w:lastRenderedPageBreak/>
              <w:t>Wine grapes</w:t>
            </w:r>
          </w:p>
        </w:tc>
        <w:tc>
          <w:tcPr>
            <w:tcW w:w="808" w:type="pct"/>
            <w:tcBorders>
              <w:top w:val="single" w:sz="4" w:space="0" w:color="auto"/>
              <w:bottom w:val="single" w:sz="4" w:space="0" w:color="auto"/>
            </w:tcBorders>
          </w:tcPr>
          <w:p w14:paraId="05E0F20A" w14:textId="22A86BE0"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21B222E1" w14:textId="323F37C8" w:rsidR="00426C3A" w:rsidRPr="00051BA2" w:rsidRDefault="00426C3A" w:rsidP="00426C3A">
            <w:pPr>
              <w:pStyle w:val="TableText"/>
              <w:rPr>
                <w:szCs w:val="17"/>
              </w:rPr>
            </w:pPr>
            <w:r>
              <w:t>No change required.</w:t>
            </w:r>
          </w:p>
        </w:tc>
      </w:tr>
    </w:tbl>
    <w:p w14:paraId="07704EA8" w14:textId="77777777" w:rsidR="00426C3A" w:rsidRDefault="00426C3A" w:rsidP="00426C3A">
      <w:pPr>
        <w:pStyle w:val="NormalText"/>
        <w:sectPr w:rsidR="00426C3A">
          <w:headerReference w:type="default" r:id="rId33"/>
          <w:pgSz w:w="11906" w:h="16838" w:code="9"/>
          <w:pgMar w:top="2835" w:right="1134" w:bottom="1134" w:left="1134" w:header="1701" w:footer="680" w:gutter="0"/>
          <w:cols w:space="708"/>
          <w:docGrid w:linePitch="360"/>
        </w:sectPr>
      </w:pPr>
    </w:p>
    <w:p w14:paraId="12B2789C" w14:textId="3516185D" w:rsidR="00426C3A" w:rsidRPr="00D05130" w:rsidRDefault="00426C3A" w:rsidP="00D05130">
      <w:pPr>
        <w:pStyle w:val="Heading1"/>
      </w:pPr>
      <w:bookmarkStart w:id="97" w:name="_Toc116301560"/>
      <w:r w:rsidRPr="00D05130">
        <w:lastRenderedPageBreak/>
        <w:t>Environment</w:t>
      </w:r>
      <w:bookmarkEnd w:id="97"/>
    </w:p>
    <w:p w14:paraId="6675F9A2" w14:textId="1948B519" w:rsidR="00426C3A" w:rsidRPr="00D05130" w:rsidRDefault="00426C3A" w:rsidP="00D05130">
      <w:pPr>
        <w:pStyle w:val="APVMAText"/>
      </w:pPr>
      <w:r w:rsidRPr="00D05130">
        <w:t>Environment was not included in the scope of this review. The APVMA has, however, assessed environmental data to inform a contemporary spray drift assessment and to determine appropriate disposal instructions for spent dips. The APVMA has also reviewed the labels against the current Agricultural Labelling Code.</w:t>
      </w:r>
    </w:p>
    <w:p w14:paraId="2BB174D0" w14:textId="12A6B2D7" w:rsidR="00426C3A" w:rsidRPr="00D05130" w:rsidRDefault="00426C3A" w:rsidP="00D05130">
      <w:pPr>
        <w:pStyle w:val="Heading2"/>
      </w:pPr>
      <w:bookmarkStart w:id="98" w:name="_Toc116301561"/>
      <w:r w:rsidRPr="00D05130">
        <w:t>Fate and behaviour</w:t>
      </w:r>
      <w:bookmarkEnd w:id="98"/>
    </w:p>
    <w:p w14:paraId="52C706AD" w14:textId="77777777" w:rsidR="00426C3A" w:rsidRPr="00D05130" w:rsidRDefault="00426C3A" w:rsidP="00D05130">
      <w:pPr>
        <w:pStyle w:val="APVMAText"/>
      </w:pPr>
      <w:r w:rsidRPr="00D05130">
        <w:t>Procymidone is not readily biodegradable (</w:t>
      </w:r>
      <w:proofErr w:type="spellStart"/>
      <w:r w:rsidRPr="00D05130">
        <w:t>Nagawawa</w:t>
      </w:r>
      <w:proofErr w:type="spellEnd"/>
      <w:r w:rsidRPr="00D05130">
        <w:t xml:space="preserve"> &amp; </w:t>
      </w:r>
      <w:proofErr w:type="spellStart"/>
      <w:r w:rsidRPr="00D05130">
        <w:t>Kukichi</w:t>
      </w:r>
      <w:proofErr w:type="spellEnd"/>
      <w:r w:rsidRPr="00D05130">
        <w:t xml:space="preserve"> 1976) and is not susceptible to photolysis in soil (Purser 1996). Procymidone is very persistent in acidic soils with mean </w:t>
      </w:r>
      <w:r w:rsidRPr="007C119E">
        <w:t>DT</w:t>
      </w:r>
      <w:r w:rsidRPr="007C119E">
        <w:rPr>
          <w:vertAlign w:val="superscript"/>
        </w:rPr>
        <w:t>50</w:t>
      </w:r>
      <w:r w:rsidRPr="00D05130">
        <w:t xml:space="preserve"> values of 376 days under laboratory conditions (Purser 1999) and 343 days under field conditions (</w:t>
      </w:r>
      <w:proofErr w:type="spellStart"/>
      <w:r w:rsidRPr="00D05130">
        <w:t>Benwell</w:t>
      </w:r>
      <w:proofErr w:type="spellEnd"/>
      <w:r w:rsidRPr="00D05130">
        <w:t xml:space="preserve"> 1999). Procymidone is persistent in neutral or alkaline soils with mean DT</w:t>
      </w:r>
      <w:r w:rsidRPr="00E456D9">
        <w:rPr>
          <w:vertAlign w:val="superscript"/>
        </w:rPr>
        <w:t>50</w:t>
      </w:r>
      <w:r w:rsidRPr="00D05130">
        <w:t xml:space="preserve"> values of 119 days under laboratory conditions (Purser 1999) and 105 days under field conditions (</w:t>
      </w:r>
      <w:proofErr w:type="spellStart"/>
      <w:r w:rsidRPr="00D05130">
        <w:t>Benwell</w:t>
      </w:r>
      <w:proofErr w:type="spellEnd"/>
      <w:r w:rsidRPr="00D05130">
        <w:t xml:space="preserve"> 1999). The major metabolite PCM-NH-COOH is not persistent (mean DT</w:t>
      </w:r>
      <w:r w:rsidRPr="00E456D9">
        <w:rPr>
          <w:vertAlign w:val="superscript"/>
        </w:rPr>
        <w:t>50</w:t>
      </w:r>
      <w:r w:rsidRPr="00D05130">
        <w:t xml:space="preserve"> 12 </w:t>
      </w:r>
      <w:proofErr w:type="gramStart"/>
      <w:r w:rsidRPr="00D05130">
        <w:t>days;</w:t>
      </w:r>
      <w:proofErr w:type="gramEnd"/>
      <w:r w:rsidRPr="00D05130">
        <w:t xml:space="preserve"> Wimbush 2002). </w:t>
      </w:r>
    </w:p>
    <w:p w14:paraId="3858041F" w14:textId="163D679C" w:rsidR="00426C3A" w:rsidRPr="00D05130" w:rsidRDefault="0041501F" w:rsidP="00D05130">
      <w:pPr>
        <w:pStyle w:val="APVMAText"/>
      </w:pPr>
      <w:r>
        <w:t>Two</w:t>
      </w:r>
      <w:r w:rsidR="00426C3A" w:rsidRPr="00D05130">
        <w:t xml:space="preserve"> lysimeter studies in Northern Germany indicate some potential for minor soil metabolites to reach ground water (</w:t>
      </w:r>
      <w:proofErr w:type="spellStart"/>
      <w:r w:rsidR="00426C3A" w:rsidRPr="00D05130">
        <w:t>Schnoder</w:t>
      </w:r>
      <w:proofErr w:type="spellEnd"/>
      <w:r w:rsidR="00426C3A" w:rsidRPr="00D05130">
        <w:t xml:space="preserve"> 2002). Following 2 applications of 750</w:t>
      </w:r>
      <w:r w:rsidR="00295DF8" w:rsidRPr="00D05130">
        <w:t> </w:t>
      </w:r>
      <w:r w:rsidR="00426C3A" w:rsidRPr="00D05130">
        <w:t>g</w:t>
      </w:r>
      <w:r w:rsidR="00295DF8" w:rsidRPr="00D05130">
        <w:t> </w:t>
      </w:r>
      <w:r w:rsidR="00426C3A" w:rsidRPr="00D05130">
        <w:t>ac/ha/</w:t>
      </w:r>
      <w:proofErr w:type="spellStart"/>
      <w:r w:rsidR="00426C3A" w:rsidRPr="00D05130">
        <w:t>yr</w:t>
      </w:r>
      <w:proofErr w:type="spellEnd"/>
      <w:r w:rsidR="00426C3A" w:rsidRPr="00D05130">
        <w:t xml:space="preserve"> to peas and rainfall of 881</w:t>
      </w:r>
      <w:r w:rsidR="00295DF8" w:rsidRPr="00D05130">
        <w:t xml:space="preserve"> to </w:t>
      </w:r>
      <w:r w:rsidR="00426C3A" w:rsidRPr="00D05130">
        <w:t>1</w:t>
      </w:r>
      <w:r>
        <w:t>,</w:t>
      </w:r>
      <w:r w:rsidR="00426C3A" w:rsidRPr="00D05130">
        <w:t>132</w:t>
      </w:r>
      <w:r w:rsidR="00295DF8" w:rsidRPr="00D05130">
        <w:t> </w:t>
      </w:r>
      <w:r w:rsidR="00426C3A" w:rsidRPr="00D05130">
        <w:t>mm in each year, the total radioactive residues in the leachate was &gt;0.1</w:t>
      </w:r>
      <w:r w:rsidR="00295DF8" w:rsidRPr="00D05130">
        <w:t> </w:t>
      </w:r>
      <w:r w:rsidR="00426C3A" w:rsidRPr="00D05130">
        <w:t>µg/L annual average in all years. Procymidone and its major metabolite PCM-NH-COOH each did not exceed 0.1</w:t>
      </w:r>
      <w:r w:rsidR="00295DF8" w:rsidRPr="00D05130">
        <w:t> </w:t>
      </w:r>
      <w:r w:rsidR="00426C3A" w:rsidRPr="00D05130">
        <w:t xml:space="preserve">µg/L annual average, </w:t>
      </w:r>
      <w:proofErr w:type="gramStart"/>
      <w:r w:rsidR="00426C3A" w:rsidRPr="00D05130">
        <w:t>with the exception of</w:t>
      </w:r>
      <w:proofErr w:type="gramEnd"/>
      <w:r w:rsidR="00426C3A" w:rsidRPr="00D05130">
        <w:t xml:space="preserve"> 0.23</w:t>
      </w:r>
      <w:r w:rsidR="00295DF8" w:rsidRPr="00D05130">
        <w:t> </w:t>
      </w:r>
      <w:r w:rsidR="00426C3A" w:rsidRPr="00D05130">
        <w:t>µg/L PCM-NH-COOH in only one core in an extremely wet first year following the initial “flush”.</w:t>
      </w:r>
    </w:p>
    <w:p w14:paraId="23A2FAF8" w14:textId="5C0077B7" w:rsidR="00426C3A" w:rsidRPr="00D05130" w:rsidRDefault="00426C3A" w:rsidP="00D05130">
      <w:pPr>
        <w:pStyle w:val="APVMAText"/>
      </w:pPr>
      <w:r w:rsidRPr="00D05130">
        <w:t>Procymidone has low solubility in water (2.5</w:t>
      </w:r>
      <w:r w:rsidR="00295DF8" w:rsidRPr="00D05130">
        <w:t> </w:t>
      </w:r>
      <w:r w:rsidRPr="00D05130">
        <w:t>mg/L at 20°</w:t>
      </w:r>
      <w:proofErr w:type="gramStart"/>
      <w:r w:rsidRPr="00D05130">
        <w:t>C;</w:t>
      </w:r>
      <w:proofErr w:type="gramEnd"/>
      <w:r w:rsidRPr="00D05130">
        <w:t xml:space="preserve"> </w:t>
      </w:r>
      <w:proofErr w:type="spellStart"/>
      <w:r w:rsidRPr="00D05130">
        <w:t>Betteley</w:t>
      </w:r>
      <w:proofErr w:type="spellEnd"/>
      <w:r w:rsidRPr="00D05130">
        <w:t xml:space="preserve"> 1996). In water/ sediment systems, procymidone undergoes hydrolysis to its acid derivative PCM-NH-COOH (Lewis 1996, 2003). Procymidone may be significantly adsorbed to sediment rich in organic matter (max 44%) where it degrades slowly. The dissipation of procymidone in the total aquatic system follows biphasic kinetics, with a DT</w:t>
      </w:r>
      <w:r w:rsidRPr="00E456D9">
        <w:rPr>
          <w:vertAlign w:val="superscript"/>
        </w:rPr>
        <w:t>50</w:t>
      </w:r>
      <w:r w:rsidRPr="00D05130">
        <w:t xml:space="preserve"> value of about one day for the first 2 days followed by DT</w:t>
      </w:r>
      <w:r w:rsidRPr="00E456D9">
        <w:rPr>
          <w:vertAlign w:val="superscript"/>
        </w:rPr>
        <w:t>50</w:t>
      </w:r>
      <w:r w:rsidRPr="00D05130">
        <w:t xml:space="preserve"> &gt;100 days thereafter. The quantum yield was 0.32 at 304</w:t>
      </w:r>
      <w:r w:rsidR="00295DF8" w:rsidRPr="00D05130">
        <w:t> </w:t>
      </w:r>
      <w:r w:rsidRPr="00D05130">
        <w:t xml:space="preserve">nm and the photolytic half-life in </w:t>
      </w:r>
      <w:proofErr w:type="gramStart"/>
      <w:r w:rsidRPr="00D05130">
        <w:t>1-metre deep</w:t>
      </w:r>
      <w:proofErr w:type="gramEnd"/>
      <w:r w:rsidRPr="00D05130">
        <w:t xml:space="preserve"> water in central Europe in May was calculated to be 66 days (</w:t>
      </w:r>
      <w:proofErr w:type="spellStart"/>
      <w:r w:rsidRPr="00D05130">
        <w:t>Bodsky</w:t>
      </w:r>
      <w:proofErr w:type="spellEnd"/>
      <w:r w:rsidRPr="00D05130">
        <w:t xml:space="preserve"> 1997).</w:t>
      </w:r>
    </w:p>
    <w:p w14:paraId="3E82D08A" w14:textId="3BB3EB67" w:rsidR="00426C3A" w:rsidRPr="00D05130" w:rsidRDefault="00426C3A" w:rsidP="00D05130">
      <w:pPr>
        <w:pStyle w:val="APVMAText"/>
      </w:pPr>
      <w:r w:rsidRPr="00D05130">
        <w:t xml:space="preserve">Procymidone is non-volatile (Henry’s Law constant 2.6×10-3 Pa·m3/mol at 20 to 25°C; </w:t>
      </w:r>
      <w:proofErr w:type="spellStart"/>
      <w:r w:rsidRPr="00D05130">
        <w:t>Betteley</w:t>
      </w:r>
      <w:proofErr w:type="spellEnd"/>
      <w:r w:rsidRPr="00D05130">
        <w:t xml:space="preserve"> 1996) and is not expected to be transported long distances through the air based on its predicted rapid reaction with hydroxyl radicals (DT</w:t>
      </w:r>
      <w:r w:rsidRPr="00E456D9">
        <w:rPr>
          <w:vertAlign w:val="superscript"/>
        </w:rPr>
        <w:t>50</w:t>
      </w:r>
      <w:r w:rsidRPr="00D05130">
        <w:t xml:space="preserve"> 9.2 hours for a 12-hour day; </w:t>
      </w:r>
      <w:proofErr w:type="spellStart"/>
      <w:r w:rsidRPr="00D05130">
        <w:t>Betteley</w:t>
      </w:r>
      <w:proofErr w:type="spellEnd"/>
      <w:r w:rsidRPr="00D05130">
        <w:t xml:space="preserve"> 1996).</w:t>
      </w:r>
    </w:p>
    <w:p w14:paraId="202796EF" w14:textId="7826A6F9" w:rsidR="00426C3A" w:rsidRPr="00D05130" w:rsidRDefault="00426C3A" w:rsidP="00D05130">
      <w:pPr>
        <w:pStyle w:val="Heading3"/>
      </w:pPr>
      <w:bookmarkStart w:id="99" w:name="_Toc116301562"/>
      <w:r w:rsidRPr="00D05130">
        <w:t>Spray drift</w:t>
      </w:r>
      <w:bookmarkEnd w:id="99"/>
    </w:p>
    <w:p w14:paraId="3ABE5230" w14:textId="5468B7C4" w:rsidR="00426C3A" w:rsidRPr="00D05130" w:rsidRDefault="00426C3A" w:rsidP="00D05130">
      <w:pPr>
        <w:pStyle w:val="APVMAText"/>
      </w:pPr>
      <w:r w:rsidRPr="00D05130">
        <w:t>A contemporary spray drift assessment was conducted to ensure any necessary protection statements and restraints align with current standards. RALs for natural aquatic areas, pollinator areas and vegetation areas based on endpoints which are summarised below. The resulting buffer zones for foliar applied use patterns for representative individual crops are summarised in</w:t>
      </w:r>
      <w:r w:rsidR="00B90717" w:rsidRPr="00D05130">
        <w:t xml:space="preserve"> the</w:t>
      </w:r>
      <w:r w:rsidRPr="00D05130">
        <w:t xml:space="preserve"> </w:t>
      </w:r>
      <w:r w:rsidR="001C4729" w:rsidRPr="00D05130">
        <w:rPr>
          <w:rStyle w:val="Hyperlink"/>
        </w:rPr>
        <w:t>‘</w:t>
      </w:r>
      <w:hyperlink w:anchor="_Spray_drift" w:history="1">
        <w:r w:rsidR="00C13E09" w:rsidRPr="00D05130">
          <w:rPr>
            <w:rStyle w:val="Hyperlink"/>
          </w:rPr>
          <w:t>S</w:t>
        </w:r>
        <w:r w:rsidRPr="00D05130">
          <w:rPr>
            <w:rStyle w:val="Hyperlink"/>
          </w:rPr>
          <w:t>pray drift</w:t>
        </w:r>
      </w:hyperlink>
      <w:r w:rsidR="001C4729" w:rsidRPr="00D05130">
        <w:rPr>
          <w:rStyle w:val="Hyperlink"/>
        </w:rPr>
        <w:t>’</w:t>
      </w:r>
      <w:r w:rsidR="005A67B2" w:rsidRPr="00D05130">
        <w:t xml:space="preserve"> </w:t>
      </w:r>
      <w:r w:rsidR="00B90717" w:rsidRPr="00D05130">
        <w:t>section below</w:t>
      </w:r>
      <w:r w:rsidRPr="00D05130">
        <w:t>.</w:t>
      </w:r>
    </w:p>
    <w:p w14:paraId="7DE09644" w14:textId="36657513" w:rsidR="00426C3A" w:rsidRPr="00D05130" w:rsidRDefault="00426C3A" w:rsidP="00D05130">
      <w:pPr>
        <w:pStyle w:val="Heading3"/>
      </w:pPr>
      <w:bookmarkStart w:id="100" w:name="_Toc116301563"/>
      <w:r w:rsidRPr="00D05130">
        <w:lastRenderedPageBreak/>
        <w:t>Natural aquatic areas</w:t>
      </w:r>
      <w:bookmarkEnd w:id="100"/>
    </w:p>
    <w:p w14:paraId="33EC4E59" w14:textId="67687745" w:rsidR="00426C3A" w:rsidRPr="00D05130" w:rsidRDefault="00426C3A" w:rsidP="00D05130">
      <w:pPr>
        <w:pStyle w:val="APVMAText"/>
      </w:pPr>
      <w:r w:rsidRPr="00D05130">
        <w:t>Following long-term exposure to procymidone, NOEC values were determined to be 0.48</w:t>
      </w:r>
      <w:r w:rsidR="00295DF8" w:rsidRPr="00D05130">
        <w:t> </w:t>
      </w:r>
      <w:r w:rsidRPr="00D05130">
        <w:t>mg</w:t>
      </w:r>
      <w:r w:rsidR="00295DF8" w:rsidRPr="00D05130">
        <w:t> </w:t>
      </w:r>
      <w:r w:rsidRPr="00D05130">
        <w:t>ac/L for fish (Oncorhynchus mykiss; Sousa 1996), 0.99</w:t>
      </w:r>
      <w:r w:rsidR="00295DF8" w:rsidRPr="00D05130">
        <w:t> </w:t>
      </w:r>
      <w:r w:rsidRPr="00D05130">
        <w:t>mg</w:t>
      </w:r>
      <w:r w:rsidR="00295DF8" w:rsidRPr="00D05130">
        <w:t> </w:t>
      </w:r>
      <w:r w:rsidRPr="00D05130">
        <w:t>ac/L for aquatic invertebrates (Daphnia magna; Putt 1996), and 0.12</w:t>
      </w:r>
      <w:r w:rsidR="00295DF8" w:rsidRPr="00D05130">
        <w:t> </w:t>
      </w:r>
      <w:r w:rsidRPr="00D05130">
        <w:t>mg</w:t>
      </w:r>
      <w:r w:rsidR="00295DF8" w:rsidRPr="00D05130">
        <w:t> </w:t>
      </w:r>
      <w:r w:rsidRPr="00D05130">
        <w:t xml:space="preserve">ac/L for sediment dwelling organisms (Chironomus </w:t>
      </w:r>
      <w:proofErr w:type="spellStart"/>
      <w:r w:rsidRPr="00D05130">
        <w:t>riparius</w:t>
      </w:r>
      <w:proofErr w:type="spellEnd"/>
      <w:r w:rsidRPr="00D05130">
        <w:t>; Putt 2003). An RAL of 120</w:t>
      </w:r>
      <w:r w:rsidR="00295DF8" w:rsidRPr="00D05130">
        <w:t> </w:t>
      </w:r>
      <w:r w:rsidRPr="00D05130">
        <w:t>µg</w:t>
      </w:r>
      <w:r w:rsidR="00295DF8" w:rsidRPr="00D05130">
        <w:t> </w:t>
      </w:r>
      <w:r w:rsidRPr="00D05130">
        <w:t>ac/L based on the long-term sediment dweller NOEC was determined to be appropriate for the spray drift assessment. Due to the moderate toxicity of procymidone to aquatic species, the following protection statement is required on product labels:</w:t>
      </w:r>
    </w:p>
    <w:p w14:paraId="0B8681D4" w14:textId="77777777" w:rsidR="00426C3A" w:rsidRPr="00D05130" w:rsidRDefault="00426C3A" w:rsidP="00D05130">
      <w:pPr>
        <w:pStyle w:val="Quotes"/>
      </w:pPr>
      <w:r w:rsidRPr="00D05130">
        <w:t>Toxic to aquatic life. DO NOT contaminate wetlands or watercourses with this product or used containers.</w:t>
      </w:r>
    </w:p>
    <w:p w14:paraId="422F5F28" w14:textId="77777777" w:rsidR="00426C3A" w:rsidRPr="00426C3A" w:rsidRDefault="00426C3A" w:rsidP="00D05130">
      <w:pPr>
        <w:pStyle w:val="APVMAText"/>
      </w:pPr>
      <w:r w:rsidRPr="00426C3A">
        <w:t>For products which include seed treatments, the protection statement should read as follows:</w:t>
      </w:r>
    </w:p>
    <w:p w14:paraId="2E6263C3" w14:textId="77777777" w:rsidR="00426C3A" w:rsidRPr="00D05130" w:rsidRDefault="00426C3A" w:rsidP="00D05130">
      <w:pPr>
        <w:pStyle w:val="Quotes"/>
      </w:pPr>
      <w:r w:rsidRPr="00D05130">
        <w:t>Toxic to aquatic life. DO NOT contaminate wetlands or watercourses with this product, used containers or bags which have held treated seed.</w:t>
      </w:r>
    </w:p>
    <w:p w14:paraId="6D492E7E" w14:textId="259DCE1A" w:rsidR="00426C3A" w:rsidRPr="00D05130" w:rsidRDefault="00426C3A" w:rsidP="00D05130">
      <w:pPr>
        <w:pStyle w:val="Heading3"/>
      </w:pPr>
      <w:bookmarkStart w:id="101" w:name="_Toc116301564"/>
      <w:r w:rsidRPr="00D05130">
        <w:t>Pollinator areas</w:t>
      </w:r>
      <w:bookmarkEnd w:id="101"/>
    </w:p>
    <w:p w14:paraId="54360038" w14:textId="59356125" w:rsidR="00426C3A" w:rsidRPr="00D05130" w:rsidRDefault="00426C3A" w:rsidP="00D05130">
      <w:pPr>
        <w:pStyle w:val="APVMAText"/>
      </w:pPr>
      <w:r w:rsidRPr="00D05130">
        <w:t>Procymidone has low toxicity to bees (contact LD50 &gt;100</w:t>
      </w:r>
      <w:r w:rsidR="00295DF8" w:rsidRPr="00D05130">
        <w:t> </w:t>
      </w:r>
      <w:r w:rsidRPr="00D05130">
        <w:t>µg</w:t>
      </w:r>
      <w:r w:rsidR="00295DF8" w:rsidRPr="00D05130">
        <w:t> </w:t>
      </w:r>
      <w:r w:rsidRPr="00D05130">
        <w:t xml:space="preserve">ac/bee, </w:t>
      </w:r>
      <w:proofErr w:type="spellStart"/>
      <w:r w:rsidRPr="00D05130">
        <w:t>Apis</w:t>
      </w:r>
      <w:proofErr w:type="spellEnd"/>
      <w:r w:rsidRPr="00D05130">
        <w:t xml:space="preserve"> mellifera; Bell &amp; Barrett 1996), which results in an RAL of 16667</w:t>
      </w:r>
      <w:r w:rsidR="00295DF8" w:rsidRPr="00D05130">
        <w:t> </w:t>
      </w:r>
      <w:r w:rsidRPr="00D05130">
        <w:t>g</w:t>
      </w:r>
      <w:r w:rsidR="00295DF8" w:rsidRPr="00D05130">
        <w:t> </w:t>
      </w:r>
      <w:r w:rsidRPr="00D05130">
        <w:t>ac/ha</w:t>
      </w:r>
      <w:r w:rsidRPr="00D05130">
        <w:footnoteReference w:id="18"/>
      </w:r>
      <w:r w:rsidRPr="00D05130">
        <w:t xml:space="preserve">. Therefore, spray drift risks to bees </w:t>
      </w:r>
      <w:proofErr w:type="gramStart"/>
      <w:r w:rsidRPr="00D05130">
        <w:t>are considered to be</w:t>
      </w:r>
      <w:proofErr w:type="gramEnd"/>
      <w:r w:rsidRPr="00D05130">
        <w:t xml:space="preserve"> acceptable without further assessment. No protection statements are required for bees.</w:t>
      </w:r>
    </w:p>
    <w:p w14:paraId="31F87165" w14:textId="6C077446" w:rsidR="00426C3A" w:rsidRPr="00D05130" w:rsidRDefault="00426C3A" w:rsidP="00D05130">
      <w:pPr>
        <w:pStyle w:val="Heading3"/>
      </w:pPr>
      <w:bookmarkStart w:id="102" w:name="_Toc116301565"/>
      <w:r w:rsidRPr="00D05130">
        <w:t>Vegetation areas</w:t>
      </w:r>
      <w:bookmarkEnd w:id="102"/>
    </w:p>
    <w:p w14:paraId="011217DC" w14:textId="77777777" w:rsidR="00426C3A" w:rsidRPr="00D05130" w:rsidRDefault="00426C3A" w:rsidP="00D05130">
      <w:pPr>
        <w:pStyle w:val="APVMAText"/>
      </w:pPr>
      <w:r w:rsidRPr="00D05130">
        <w:t xml:space="preserve">Due to the age of procymidone, data on its toxicity to non-target terrestrial plants were not required at the time of its initial registration. Procymidone is not known to have phytotoxic effects and spray drift risks </w:t>
      </w:r>
      <w:proofErr w:type="gramStart"/>
      <w:r w:rsidRPr="00D05130">
        <w:t>are considered to be</w:t>
      </w:r>
      <w:proofErr w:type="gramEnd"/>
      <w:r w:rsidRPr="00D05130">
        <w:t xml:space="preserve"> acceptable on the basis of a long history of safe use. No protection statements are required for non-target terrestrial plants.</w:t>
      </w:r>
    </w:p>
    <w:p w14:paraId="7504A407" w14:textId="6B5446DC" w:rsidR="00426C3A" w:rsidRPr="00D05130" w:rsidRDefault="00426C3A" w:rsidP="00D05130">
      <w:pPr>
        <w:pStyle w:val="Heading3"/>
      </w:pPr>
      <w:bookmarkStart w:id="103" w:name="_Toc116301566"/>
      <w:r w:rsidRPr="00D05130">
        <w:t>Disposal statement for spent dip</w:t>
      </w:r>
      <w:bookmarkEnd w:id="103"/>
    </w:p>
    <w:p w14:paraId="11E3C1B5" w14:textId="012774DB" w:rsidR="00426C3A" w:rsidRPr="00D05130" w:rsidRDefault="00426C3A" w:rsidP="00D05130">
      <w:pPr>
        <w:pStyle w:val="APVMAText"/>
      </w:pPr>
      <w:r w:rsidRPr="00D05130">
        <w:t>Currently approved labels for procymidone products include directions for use as a pre-plant dip for onion and garlic planting material, but do not have corresponding instructions for disposal of unutilised or spent dip. The degradation of procymidone is slower in acidic soils compared to neutral and alkaline soils, i.e. mean soil DT</w:t>
      </w:r>
      <w:r w:rsidRPr="00E456D9">
        <w:rPr>
          <w:vertAlign w:val="superscript"/>
        </w:rPr>
        <w:t>50</w:t>
      </w:r>
      <w:r w:rsidRPr="00D05130">
        <w:t xml:space="preserve"> values under field conditions is 105</w:t>
      </w:r>
      <w:r w:rsidR="00295DF8" w:rsidRPr="00D05130">
        <w:t> </w:t>
      </w:r>
      <w:r w:rsidRPr="00D05130">
        <w:t>d (neutral/alkaline soils) and 343 days (acidic soils) (</w:t>
      </w:r>
      <w:proofErr w:type="spellStart"/>
      <w:r w:rsidRPr="00D05130">
        <w:t>Benwell</w:t>
      </w:r>
      <w:proofErr w:type="spellEnd"/>
      <w:r w:rsidRPr="00D05130">
        <w:t xml:space="preserve"> 1999).</w:t>
      </w:r>
      <w:r w:rsidRPr="00D05130" w:rsidDel="00A10973">
        <w:t xml:space="preserve"> </w:t>
      </w:r>
      <w:r w:rsidRPr="00D05130">
        <w:t xml:space="preserve">Therefore, disposal of spent dip in a dedicated limed and bunded site </w:t>
      </w:r>
      <w:proofErr w:type="gramStart"/>
      <w:r w:rsidRPr="00D05130">
        <w:t>is considered to be</w:t>
      </w:r>
      <w:proofErr w:type="gramEnd"/>
      <w:r w:rsidRPr="00D05130">
        <w:t xml:space="preserve"> appropriate. Repeat applications of spent dips must not occur until 4 half-lives have passed</w:t>
      </w:r>
      <w:r w:rsidRPr="00E456D9">
        <w:rPr>
          <w:vertAlign w:val="superscript"/>
        </w:rPr>
        <w:footnoteReference w:id="19"/>
      </w:r>
      <w:r w:rsidRPr="00D05130">
        <w:t>; therefore, a minimum interval of 420 days is required between applications at the same site.</w:t>
      </w:r>
    </w:p>
    <w:p w14:paraId="698AEF07" w14:textId="77777777" w:rsidR="00426C3A" w:rsidRPr="00D05130" w:rsidRDefault="00426C3A" w:rsidP="00D05130">
      <w:pPr>
        <w:pStyle w:val="APVMAText"/>
      </w:pPr>
      <w:r w:rsidRPr="00D05130">
        <w:lastRenderedPageBreak/>
        <w:t>Accordingly the appropriate disposal statement for spent dip is:</w:t>
      </w:r>
    </w:p>
    <w:p w14:paraId="1200DB2E" w14:textId="77777777" w:rsidR="00426C3A" w:rsidRPr="00D05130" w:rsidRDefault="00426C3A" w:rsidP="00D05130">
      <w:pPr>
        <w:pStyle w:val="Quotes"/>
      </w:pPr>
      <w:r w:rsidRPr="00D05130">
        <w:t>Dispose of spent dip in an authorised dip disposal facility. If an authorised dip disposal facility is not available, the spent dip should be evenly spread over flat land not exceeding 20,000 L/ha. The disposal site must be dedicated, limed and adequately bunded (soil at least 15 cm high). DO NOT dispose unwanted spent dip in the same place for at least 420 days, as repeated depositions in one location may, over time, create a contaminated site. Unused or spent dips should be disposed of carefully to avoid contamination of wetlands or watercourses.</w:t>
      </w:r>
    </w:p>
    <w:p w14:paraId="1B2F60E2" w14:textId="23C691B8" w:rsidR="00426C3A" w:rsidRPr="00D05130" w:rsidRDefault="00426C3A" w:rsidP="00D05130">
      <w:pPr>
        <w:pStyle w:val="Heading3"/>
      </w:pPr>
      <w:bookmarkStart w:id="104" w:name="_Toc116301567"/>
      <w:r w:rsidRPr="00D05130">
        <w:t>Seed treatment products</w:t>
      </w:r>
      <w:bookmarkEnd w:id="104"/>
    </w:p>
    <w:p w14:paraId="23F29FC3" w14:textId="45599651" w:rsidR="00426C3A" w:rsidRPr="00426C3A" w:rsidRDefault="00426C3A" w:rsidP="00D05130">
      <w:pPr>
        <w:pStyle w:val="APVMAText"/>
        <w:rPr>
          <w:i/>
          <w:iCs/>
        </w:rPr>
      </w:pPr>
      <w:r w:rsidRPr="00426C3A">
        <w:t>For products which include seed treatments, the following protection statement is required:</w:t>
      </w:r>
    </w:p>
    <w:p w14:paraId="2DE7B550" w14:textId="18E88888" w:rsidR="00426C3A" w:rsidRPr="00D05130" w:rsidRDefault="00426C3A" w:rsidP="00D05130">
      <w:pPr>
        <w:pStyle w:val="Quotes"/>
      </w:pPr>
      <w:r w:rsidRPr="00D05130">
        <w:t>DO NOT feed treated seed or otherwise expose to wild or domestic birds. Any spillages of treated seed must be cleaned up immediately, preferably by recovery and re-use. If disposal is required, ensure treated seed are thoroughly buried in compliance with relevant local, state or territory government regulations and not accessible to birds or other wildlife.</w:t>
      </w:r>
    </w:p>
    <w:p w14:paraId="2D237DC1" w14:textId="77777777" w:rsidR="00426C3A" w:rsidRPr="00426C3A" w:rsidRDefault="00426C3A" w:rsidP="00D05130">
      <w:pPr>
        <w:pStyle w:val="APVMAText"/>
      </w:pPr>
      <w:r w:rsidRPr="00426C3A">
        <w:t>The following storage and disposal statement is also required for products which include seed treatments:</w:t>
      </w:r>
    </w:p>
    <w:p w14:paraId="459C17B9" w14:textId="11C9BFEA" w:rsidR="00426C3A" w:rsidRPr="00D05130" w:rsidRDefault="00426C3A" w:rsidP="00D05130">
      <w:pPr>
        <w:pStyle w:val="Quotes"/>
      </w:pPr>
      <w:r w:rsidRPr="00D05130">
        <w:t>Treated seed and containers of treated seed: When treated seed is stored it should be kept apart from other grain and the bags or containers should be clearly marked to indicate the contents have been treated with this product. DO NOT use treated seed for human consumption. Bags which have held treated seed are not to be used for any other purpose.</w:t>
      </w:r>
    </w:p>
    <w:p w14:paraId="13D115CA" w14:textId="70F286A3" w:rsidR="00426C3A" w:rsidRPr="00D05130" w:rsidRDefault="00426C3A" w:rsidP="00D05130">
      <w:pPr>
        <w:pStyle w:val="Heading2"/>
      </w:pPr>
      <w:bookmarkStart w:id="105" w:name="_Toc116301568"/>
      <w:r w:rsidRPr="00D05130">
        <w:t>Recommendations</w:t>
      </w:r>
      <w:bookmarkEnd w:id="105"/>
    </w:p>
    <w:p w14:paraId="6D3271E9" w14:textId="69B23704" w:rsidR="00426C3A" w:rsidRPr="00D05130" w:rsidRDefault="00426C3A" w:rsidP="00D05130">
      <w:pPr>
        <w:pStyle w:val="APVMAText"/>
        <w:sectPr w:rsidR="00426C3A" w:rsidRPr="00D05130">
          <w:headerReference w:type="default" r:id="rId34"/>
          <w:pgSz w:w="11906" w:h="16838" w:code="9"/>
          <w:pgMar w:top="2835" w:right="1134" w:bottom="1134" w:left="1134" w:header="1701" w:footer="680" w:gutter="0"/>
          <w:cols w:space="708"/>
          <w:docGrid w:linePitch="360"/>
        </w:sectPr>
      </w:pPr>
      <w:r w:rsidRPr="00D05130">
        <w:t xml:space="preserve">This report recommends that the procymidone products meet the environmental safety criteria provided labels contain the </w:t>
      </w:r>
      <w:proofErr w:type="gramStart"/>
      <w:r w:rsidRPr="00D05130">
        <w:t>above mentioned</w:t>
      </w:r>
      <w:proofErr w:type="gramEnd"/>
      <w:r w:rsidRPr="00D05130">
        <w:t xml:space="preserve"> protection statement for wildlife and aquatic species, directions for disposal of spent dip and specify buffer zones sufficient to ensure that the RALs listed in </w:t>
      </w:r>
      <w:r w:rsidR="00B90717" w:rsidRPr="00D05130">
        <w:t xml:space="preserve">the </w:t>
      </w:r>
      <w:r w:rsidR="001C4729" w:rsidRPr="00D05130">
        <w:rPr>
          <w:rStyle w:val="Hyperlink"/>
        </w:rPr>
        <w:t>‘</w:t>
      </w:r>
      <w:hyperlink w:anchor="_Spray_drift" w:history="1">
        <w:r w:rsidR="00C13E09" w:rsidRPr="00D05130">
          <w:rPr>
            <w:rStyle w:val="Hyperlink"/>
          </w:rPr>
          <w:t>S</w:t>
        </w:r>
        <w:r w:rsidR="00B90717" w:rsidRPr="00D05130">
          <w:rPr>
            <w:rStyle w:val="Hyperlink"/>
          </w:rPr>
          <w:t xml:space="preserve">pray </w:t>
        </w:r>
        <w:r w:rsidR="005A67B2" w:rsidRPr="00D05130">
          <w:rPr>
            <w:rStyle w:val="Hyperlink"/>
          </w:rPr>
          <w:t>d</w:t>
        </w:r>
        <w:r w:rsidR="00B90717" w:rsidRPr="00D05130">
          <w:rPr>
            <w:rStyle w:val="Hyperlink"/>
          </w:rPr>
          <w:t>rift</w:t>
        </w:r>
      </w:hyperlink>
      <w:r w:rsidR="001C4729" w:rsidRPr="00D05130">
        <w:rPr>
          <w:rStyle w:val="Hyperlink"/>
        </w:rPr>
        <w:t>’</w:t>
      </w:r>
      <w:r w:rsidR="00B90717" w:rsidRPr="00D05130">
        <w:t xml:space="preserve"> section </w:t>
      </w:r>
      <w:r w:rsidR="00D05130" w:rsidRPr="00D05130">
        <w:t>below are</w:t>
      </w:r>
      <w:r w:rsidRPr="00D05130">
        <w:t xml:space="preserve"> not exceeded.</w:t>
      </w:r>
    </w:p>
    <w:p w14:paraId="688CFDDB" w14:textId="4FC984B0" w:rsidR="00426C3A" w:rsidRPr="00D05130" w:rsidRDefault="00426C3A" w:rsidP="00D05130">
      <w:pPr>
        <w:pStyle w:val="Heading1"/>
      </w:pPr>
      <w:bookmarkStart w:id="106" w:name="_Spray_drift"/>
      <w:bookmarkStart w:id="107" w:name="_Toc116301569"/>
      <w:bookmarkEnd w:id="106"/>
      <w:r w:rsidRPr="00D05130">
        <w:lastRenderedPageBreak/>
        <w:t>Spray drift</w:t>
      </w:r>
      <w:bookmarkEnd w:id="107"/>
    </w:p>
    <w:p w14:paraId="5C9E4766" w14:textId="1F61C66C" w:rsidR="00426C3A" w:rsidRPr="00D05130" w:rsidRDefault="00426C3A" w:rsidP="00D05130">
      <w:pPr>
        <w:pStyle w:val="APVMAText"/>
      </w:pPr>
      <w:r w:rsidRPr="00D05130">
        <w:t>A spray drift assessment was conducted according to the APVMA’s approach to spray drift management, which specifies regulatory acceptable levels resulting from spray drift in bystander areas, livestock areas, natural aquatic areas, pollinator areas and vegetation areas. RALs identified for each area were used in calculating the required mandatory no-spray buffer zones and are summarised in Table 1</w:t>
      </w:r>
      <w:r w:rsidR="00D85656" w:rsidRPr="00D05130">
        <w:t>3.</w:t>
      </w:r>
    </w:p>
    <w:p w14:paraId="7E49AF9D" w14:textId="3F25F3E3" w:rsidR="00426C3A" w:rsidRPr="00D05130" w:rsidRDefault="00426C3A" w:rsidP="00D05130">
      <w:pPr>
        <w:pStyle w:val="APVMAText"/>
      </w:pPr>
      <w:r w:rsidRPr="00D05130">
        <w:t xml:space="preserve">The spray drift assessments considered the use patterns of the currently registered procymidone products. The standard deposition curves in the </w:t>
      </w:r>
      <w:hyperlink r:id="rId35" w:history="1">
        <w:r w:rsidRPr="00D05130">
          <w:rPr>
            <w:rStyle w:val="Hyperlink"/>
          </w:rPr>
          <w:t>Spray Drift Risk Assessment Tool</w:t>
        </w:r>
      </w:hyperlink>
      <w:r w:rsidRPr="00D05130">
        <w:rPr>
          <w:rStyle w:val="Hyperlink"/>
        </w:rPr>
        <w:t xml:space="preserve"> (SDRAT)</w:t>
      </w:r>
      <w:r w:rsidRPr="00D05130">
        <w:t xml:space="preserve"> with a MEDIUM droplet size were considered appropriate for boom sprayer and aerial application equipment, </w:t>
      </w:r>
      <w:proofErr w:type="gramStart"/>
      <w:r w:rsidRPr="00D05130">
        <w:t>with the exception of</w:t>
      </w:r>
      <w:proofErr w:type="gramEnd"/>
      <w:r w:rsidRPr="00D05130">
        <w:t xml:space="preserve"> aerial application to canola for which a COARSE droplet size was assessed. The resultant mandatory no-spray buffer zones are indicated in Appendix A.</w:t>
      </w:r>
    </w:p>
    <w:p w14:paraId="7F9781F4" w14:textId="527B4986" w:rsidR="00426C3A" w:rsidRPr="00D05130" w:rsidRDefault="00426C3A" w:rsidP="00D05130">
      <w:pPr>
        <w:pStyle w:val="Caption"/>
      </w:pPr>
      <w:bookmarkStart w:id="108" w:name="_Toc101968009"/>
      <w:bookmarkStart w:id="109" w:name="_Toc116301704"/>
      <w:r w:rsidRPr="00D05130">
        <w:t xml:space="preserve">Table </w:t>
      </w:r>
      <w:fldSimple w:instr=" SEQ Table \* ARABIC ">
        <w:r w:rsidR="00ED7319" w:rsidRPr="00D05130">
          <w:t>13</w:t>
        </w:r>
      </w:fldSimple>
      <w:r w:rsidRPr="00D05130">
        <w:t>:</w:t>
      </w:r>
      <w:r w:rsidRPr="00D05130">
        <w:tab/>
        <w:t>Regulatory acceptable levels of procymidone resulting from spray drift</w:t>
      </w:r>
      <w:bookmarkEnd w:id="108"/>
      <w:bookmarkEnd w:id="109"/>
    </w:p>
    <w:tbl>
      <w:tblPr>
        <w:tblW w:w="5000" w:type="pct"/>
        <w:tblBorders>
          <w:bottom w:val="dotted" w:sz="2" w:space="0" w:color="auto"/>
          <w:insideH w:val="dotted" w:sz="2" w:space="0" w:color="auto"/>
        </w:tblBorders>
        <w:tblLook w:val="0000" w:firstRow="0" w:lastRow="0" w:firstColumn="0" w:lastColumn="0" w:noHBand="0" w:noVBand="0"/>
      </w:tblPr>
      <w:tblGrid>
        <w:gridCol w:w="4817"/>
        <w:gridCol w:w="4821"/>
      </w:tblGrid>
      <w:tr w:rsidR="00426C3A" w14:paraId="2F14A95D" w14:textId="77777777" w:rsidTr="00426C3A">
        <w:trPr>
          <w:tblHeader/>
        </w:trPr>
        <w:tc>
          <w:tcPr>
            <w:tcW w:w="2499" w:type="pct"/>
            <w:tcBorders>
              <w:top w:val="single" w:sz="4" w:space="0" w:color="auto"/>
              <w:bottom w:val="single" w:sz="4" w:space="0" w:color="auto"/>
            </w:tcBorders>
            <w:shd w:val="clear" w:color="auto" w:fill="5C2946"/>
          </w:tcPr>
          <w:p w14:paraId="6F41430D" w14:textId="35384775" w:rsidR="00426C3A" w:rsidRDefault="00426C3A" w:rsidP="00426C3A">
            <w:pPr>
              <w:pStyle w:val="TableHead"/>
            </w:pPr>
            <w:r w:rsidRPr="0065245B">
              <w:t>Area considered</w:t>
            </w:r>
          </w:p>
        </w:tc>
        <w:tc>
          <w:tcPr>
            <w:tcW w:w="2501" w:type="pct"/>
            <w:tcBorders>
              <w:top w:val="single" w:sz="4" w:space="0" w:color="auto"/>
              <w:bottom w:val="single" w:sz="4" w:space="0" w:color="auto"/>
            </w:tcBorders>
            <w:shd w:val="clear" w:color="auto" w:fill="5C2946"/>
          </w:tcPr>
          <w:p w14:paraId="35B64D86" w14:textId="4B1A1C42" w:rsidR="00426C3A" w:rsidRDefault="00426C3A" w:rsidP="00426C3A">
            <w:pPr>
              <w:pStyle w:val="TableHead"/>
            </w:pPr>
            <w:r w:rsidRPr="0065245B">
              <w:t>Regulatory acceptable level</w:t>
            </w:r>
          </w:p>
        </w:tc>
      </w:tr>
      <w:tr w:rsidR="00426C3A" w14:paraId="01674CFE" w14:textId="77777777" w:rsidTr="00426C3A">
        <w:tc>
          <w:tcPr>
            <w:tcW w:w="2499" w:type="pct"/>
            <w:tcBorders>
              <w:top w:val="single" w:sz="4" w:space="0" w:color="auto"/>
              <w:bottom w:val="single" w:sz="4" w:space="0" w:color="auto"/>
            </w:tcBorders>
            <w:vAlign w:val="center"/>
          </w:tcPr>
          <w:p w14:paraId="0C924B95" w14:textId="25A77817" w:rsidR="00426C3A" w:rsidRDefault="00426C3A" w:rsidP="00426C3A">
            <w:pPr>
              <w:pStyle w:val="TableText"/>
            </w:pPr>
            <w:r w:rsidRPr="0065245B">
              <w:t>Bystander areas</w:t>
            </w:r>
          </w:p>
        </w:tc>
        <w:tc>
          <w:tcPr>
            <w:tcW w:w="2501" w:type="pct"/>
            <w:tcBorders>
              <w:top w:val="single" w:sz="4" w:space="0" w:color="auto"/>
              <w:bottom w:val="single" w:sz="4" w:space="0" w:color="auto"/>
            </w:tcBorders>
            <w:vAlign w:val="center"/>
          </w:tcPr>
          <w:p w14:paraId="636A48DA" w14:textId="324CB870" w:rsidR="00426C3A" w:rsidRDefault="00426C3A" w:rsidP="00426C3A">
            <w:pPr>
              <w:pStyle w:val="TableText"/>
            </w:pPr>
            <w:r w:rsidRPr="0065245B">
              <w:t>8364</w:t>
            </w:r>
            <w:r w:rsidR="00295DF8">
              <w:t> </w:t>
            </w:r>
            <w:r w:rsidRPr="0065245B">
              <w:t>g</w:t>
            </w:r>
            <w:r w:rsidR="00295DF8">
              <w:t> </w:t>
            </w:r>
            <w:r w:rsidRPr="0065245B">
              <w:t>ac/ha</w:t>
            </w:r>
          </w:p>
        </w:tc>
      </w:tr>
      <w:tr w:rsidR="00426C3A" w14:paraId="0C60A8D2" w14:textId="77777777" w:rsidTr="00426C3A">
        <w:tc>
          <w:tcPr>
            <w:tcW w:w="2499" w:type="pct"/>
            <w:tcBorders>
              <w:top w:val="single" w:sz="4" w:space="0" w:color="auto"/>
              <w:bottom w:val="single" w:sz="4" w:space="0" w:color="auto"/>
            </w:tcBorders>
          </w:tcPr>
          <w:p w14:paraId="011E0B29" w14:textId="73394765" w:rsidR="00426C3A" w:rsidRPr="0065245B" w:rsidRDefault="00426C3A" w:rsidP="00426C3A">
            <w:pPr>
              <w:pStyle w:val="TableText"/>
            </w:pPr>
            <w:r w:rsidRPr="0065245B">
              <w:t>Natural aquatic areas</w:t>
            </w:r>
          </w:p>
        </w:tc>
        <w:tc>
          <w:tcPr>
            <w:tcW w:w="2501" w:type="pct"/>
            <w:tcBorders>
              <w:top w:val="single" w:sz="4" w:space="0" w:color="auto"/>
              <w:bottom w:val="single" w:sz="4" w:space="0" w:color="auto"/>
            </w:tcBorders>
          </w:tcPr>
          <w:p w14:paraId="789EDEDC" w14:textId="2FCF48C1" w:rsidR="00426C3A" w:rsidRPr="0065245B" w:rsidRDefault="00426C3A" w:rsidP="00426C3A">
            <w:pPr>
              <w:pStyle w:val="TableText"/>
            </w:pPr>
            <w:r w:rsidRPr="0065245B">
              <w:t>120</w:t>
            </w:r>
            <w:r w:rsidR="00295DF8">
              <w:t> </w:t>
            </w:r>
            <w:r w:rsidRPr="0065245B">
              <w:t>µg</w:t>
            </w:r>
            <w:r w:rsidR="00295DF8">
              <w:t> </w:t>
            </w:r>
            <w:r w:rsidRPr="0065245B">
              <w:t>ac/L</w:t>
            </w:r>
          </w:p>
        </w:tc>
      </w:tr>
      <w:tr w:rsidR="00426C3A" w14:paraId="235A0E38" w14:textId="77777777" w:rsidTr="00426C3A">
        <w:tc>
          <w:tcPr>
            <w:tcW w:w="2499" w:type="pct"/>
            <w:tcBorders>
              <w:top w:val="single" w:sz="4" w:space="0" w:color="auto"/>
              <w:bottom w:val="single" w:sz="4" w:space="0" w:color="auto"/>
            </w:tcBorders>
          </w:tcPr>
          <w:p w14:paraId="75D55A85" w14:textId="50E03649" w:rsidR="00426C3A" w:rsidRPr="0065245B" w:rsidRDefault="00426C3A" w:rsidP="00426C3A">
            <w:pPr>
              <w:pStyle w:val="TableText"/>
            </w:pPr>
            <w:r w:rsidRPr="0065245B">
              <w:t>Pollinator areas</w:t>
            </w:r>
          </w:p>
        </w:tc>
        <w:tc>
          <w:tcPr>
            <w:tcW w:w="2501" w:type="pct"/>
            <w:tcBorders>
              <w:top w:val="single" w:sz="4" w:space="0" w:color="auto"/>
              <w:bottom w:val="single" w:sz="4" w:space="0" w:color="auto"/>
            </w:tcBorders>
          </w:tcPr>
          <w:p w14:paraId="14FE85EC" w14:textId="008519B4" w:rsidR="00426C3A" w:rsidRPr="0065245B" w:rsidRDefault="00426C3A" w:rsidP="00426C3A">
            <w:pPr>
              <w:pStyle w:val="TableText"/>
            </w:pPr>
            <w:r w:rsidRPr="0065245B">
              <w:t>16667</w:t>
            </w:r>
            <w:r w:rsidR="00295DF8">
              <w:t> </w:t>
            </w:r>
            <w:r w:rsidRPr="0065245B">
              <w:t>g</w:t>
            </w:r>
            <w:r w:rsidR="00295DF8">
              <w:t> </w:t>
            </w:r>
            <w:r w:rsidRPr="0065245B">
              <w:t>ac/ha</w:t>
            </w:r>
          </w:p>
        </w:tc>
      </w:tr>
      <w:tr w:rsidR="00426C3A" w14:paraId="746EB5A9" w14:textId="77777777" w:rsidTr="00426C3A">
        <w:tc>
          <w:tcPr>
            <w:tcW w:w="2499" w:type="pct"/>
            <w:tcBorders>
              <w:top w:val="single" w:sz="4" w:space="0" w:color="auto"/>
              <w:bottom w:val="single" w:sz="4" w:space="0" w:color="auto"/>
            </w:tcBorders>
            <w:vAlign w:val="center"/>
          </w:tcPr>
          <w:p w14:paraId="3134F335" w14:textId="563C0D8D" w:rsidR="00426C3A" w:rsidRPr="0065245B" w:rsidRDefault="00426C3A" w:rsidP="00426C3A">
            <w:pPr>
              <w:pStyle w:val="TableText"/>
            </w:pPr>
            <w:r w:rsidRPr="0065245B">
              <w:t>Vegetation areas</w:t>
            </w:r>
          </w:p>
        </w:tc>
        <w:tc>
          <w:tcPr>
            <w:tcW w:w="2501" w:type="pct"/>
            <w:tcBorders>
              <w:top w:val="single" w:sz="4" w:space="0" w:color="auto"/>
              <w:bottom w:val="single" w:sz="4" w:space="0" w:color="auto"/>
            </w:tcBorders>
          </w:tcPr>
          <w:p w14:paraId="576311F1" w14:textId="42F3FFC1" w:rsidR="00426C3A" w:rsidRPr="0065245B" w:rsidRDefault="00426C3A" w:rsidP="00426C3A">
            <w:pPr>
              <w:pStyle w:val="TableText"/>
            </w:pPr>
            <w:r w:rsidRPr="0065245B">
              <w:t>Not required</w:t>
            </w:r>
          </w:p>
        </w:tc>
      </w:tr>
      <w:tr w:rsidR="00426C3A" w14:paraId="224EEDDC" w14:textId="77777777" w:rsidTr="00426C3A">
        <w:tc>
          <w:tcPr>
            <w:tcW w:w="2499" w:type="pct"/>
            <w:tcBorders>
              <w:top w:val="single" w:sz="4" w:space="0" w:color="auto"/>
              <w:bottom w:val="single" w:sz="4" w:space="0" w:color="auto"/>
            </w:tcBorders>
          </w:tcPr>
          <w:p w14:paraId="1EB20FA7" w14:textId="4907D88E" w:rsidR="00426C3A" w:rsidRPr="0065245B" w:rsidRDefault="00426C3A" w:rsidP="00426C3A">
            <w:pPr>
              <w:pStyle w:val="TableText"/>
            </w:pPr>
            <w:r w:rsidRPr="0065245B">
              <w:t>Livestock areas</w:t>
            </w:r>
          </w:p>
        </w:tc>
        <w:tc>
          <w:tcPr>
            <w:tcW w:w="2501" w:type="pct"/>
            <w:tcBorders>
              <w:top w:val="single" w:sz="4" w:space="0" w:color="auto"/>
              <w:bottom w:val="single" w:sz="4" w:space="0" w:color="auto"/>
            </w:tcBorders>
          </w:tcPr>
          <w:p w14:paraId="300F3636" w14:textId="14E9AD03" w:rsidR="00426C3A" w:rsidRPr="0065245B" w:rsidRDefault="00426C3A" w:rsidP="00426C3A">
            <w:pPr>
              <w:pStyle w:val="TableText"/>
            </w:pPr>
            <w:r w:rsidRPr="0065245B">
              <w:t>1.2</w:t>
            </w:r>
            <w:r w:rsidR="00295DF8">
              <w:t> </w:t>
            </w:r>
            <w:r w:rsidRPr="0065245B">
              <w:t>mg</w:t>
            </w:r>
            <w:r w:rsidR="00295DF8">
              <w:t> </w:t>
            </w:r>
            <w:r w:rsidRPr="0065245B">
              <w:t>ac/kg</w:t>
            </w:r>
          </w:p>
        </w:tc>
      </w:tr>
    </w:tbl>
    <w:p w14:paraId="00F42145" w14:textId="30E35EE5" w:rsidR="00426C3A" w:rsidRPr="00D05130" w:rsidRDefault="00426C3A" w:rsidP="00D05130">
      <w:pPr>
        <w:pStyle w:val="Heading2"/>
      </w:pPr>
      <w:bookmarkStart w:id="110" w:name="_Toc116301570"/>
      <w:r w:rsidRPr="00D05130">
        <w:t>FS 500 g/L procymidone products</w:t>
      </w:r>
      <w:bookmarkEnd w:id="110"/>
    </w:p>
    <w:p w14:paraId="4D0E5B3A" w14:textId="77777777" w:rsidR="00426C3A" w:rsidRPr="00426C3A" w:rsidRDefault="00426C3A" w:rsidP="00D05130">
      <w:pPr>
        <w:pStyle w:val="APVMAText"/>
      </w:pPr>
      <w:r w:rsidRPr="00426C3A">
        <w:t>Flowable suspensions for seed treatments do not require buffer zones.</w:t>
      </w:r>
    </w:p>
    <w:p w14:paraId="23240697" w14:textId="1F2CF223" w:rsidR="00426C3A" w:rsidRPr="00D05130" w:rsidRDefault="00426C3A" w:rsidP="00D05130">
      <w:pPr>
        <w:pStyle w:val="Heading2"/>
      </w:pPr>
      <w:bookmarkStart w:id="111" w:name="_Toc101951590"/>
      <w:bookmarkStart w:id="112" w:name="_Toc116301571"/>
      <w:r w:rsidRPr="00D05130">
        <w:t>SC 500 g/L procymidone products</w:t>
      </w:r>
      <w:bookmarkEnd w:id="111"/>
      <w:bookmarkEnd w:id="112"/>
    </w:p>
    <w:p w14:paraId="4725889A" w14:textId="4EA36A95" w:rsidR="00426C3A" w:rsidRPr="00426C3A" w:rsidRDefault="00426C3A" w:rsidP="00D05130">
      <w:pPr>
        <w:pStyle w:val="APVMAText"/>
      </w:pPr>
      <w:r w:rsidRPr="00426C3A">
        <w:t>The spray drift assessments considered the use patterns of the currently registered SC 500</w:t>
      </w:r>
      <w:r w:rsidR="00295DF8">
        <w:t> </w:t>
      </w:r>
      <w:r w:rsidRPr="00426C3A">
        <w:t xml:space="preserve">g/L procymidone products listed in Table 4. Mandatory downwind buffer zones are not required for seed or pre-plant clove treatment, transplant dipping, backpack/knapsack, or low and high-pressure </w:t>
      </w:r>
      <w:proofErr w:type="spellStart"/>
      <w:r w:rsidRPr="00426C3A">
        <w:t>handwand</w:t>
      </w:r>
      <w:proofErr w:type="spellEnd"/>
      <w:r w:rsidRPr="00426C3A">
        <w:t xml:space="preserve"> applications. Mandatory downwind buffer zones were not determined for navy beans or </w:t>
      </w:r>
      <w:proofErr w:type="spellStart"/>
      <w:r w:rsidRPr="00426C3A">
        <w:t>faba</w:t>
      </w:r>
      <w:proofErr w:type="spellEnd"/>
      <w:r w:rsidRPr="00426C3A">
        <w:t xml:space="preserve"> beans use patterns, as they were not supported by the residues assessment.</w:t>
      </w:r>
    </w:p>
    <w:p w14:paraId="68CF6B5A" w14:textId="77777777" w:rsidR="00426C3A" w:rsidRPr="00D05130" w:rsidRDefault="00426C3A" w:rsidP="00D05130">
      <w:pPr>
        <w:pStyle w:val="Heading2"/>
      </w:pPr>
      <w:bookmarkStart w:id="113" w:name="_Toc101951591"/>
      <w:bookmarkStart w:id="114" w:name="_Toc116301572"/>
      <w:r w:rsidRPr="00D05130">
        <w:t>WG 800 g/kg procymidone products</w:t>
      </w:r>
      <w:bookmarkEnd w:id="113"/>
      <w:bookmarkEnd w:id="114"/>
    </w:p>
    <w:p w14:paraId="7F8911E8" w14:textId="2B9BD339" w:rsidR="00426C3A" w:rsidRPr="00D05130" w:rsidRDefault="00426C3A" w:rsidP="00D05130">
      <w:pPr>
        <w:pStyle w:val="APVMAText"/>
        <w:sectPr w:rsidR="00426C3A" w:rsidRPr="00D05130">
          <w:headerReference w:type="default" r:id="rId36"/>
          <w:pgSz w:w="11906" w:h="16838" w:code="9"/>
          <w:pgMar w:top="2835" w:right="1134" w:bottom="1134" w:left="1134" w:header="1701" w:footer="680" w:gutter="0"/>
          <w:cols w:space="708"/>
          <w:docGrid w:linePitch="360"/>
        </w:sectPr>
      </w:pPr>
      <w:r w:rsidRPr="00D05130">
        <w:t>The spray drift assessments considered the use patterns of the currently registered WG 800</w:t>
      </w:r>
      <w:r w:rsidR="00295DF8" w:rsidRPr="00D05130">
        <w:t> </w:t>
      </w:r>
      <w:r w:rsidRPr="00D05130">
        <w:t xml:space="preserve">g/kg procymidone products listed in Table 4 above. Mandatory downwind buffer zones are not required for transplant dipping, backpack/knapsack, or low and high-pressure </w:t>
      </w:r>
      <w:proofErr w:type="spellStart"/>
      <w:r w:rsidRPr="00D05130">
        <w:t>handwand</w:t>
      </w:r>
      <w:proofErr w:type="spellEnd"/>
      <w:r w:rsidRPr="00D05130">
        <w:t xml:space="preserve"> applications. Mandatory downwind buffer zones were not determined for navy beans or </w:t>
      </w:r>
      <w:proofErr w:type="spellStart"/>
      <w:r w:rsidRPr="00D05130">
        <w:t>faba</w:t>
      </w:r>
      <w:proofErr w:type="spellEnd"/>
      <w:r w:rsidRPr="00D05130">
        <w:t xml:space="preserve"> beans use patterns, as they were not supported by the residues assessment.</w:t>
      </w:r>
    </w:p>
    <w:p w14:paraId="11FE14F7" w14:textId="77777777" w:rsidR="002F4591" w:rsidRDefault="002A3239" w:rsidP="002F4591">
      <w:pPr>
        <w:pStyle w:val="CoverTitle"/>
        <w:spacing w:before="7200"/>
        <w:jc w:val="center"/>
      </w:pPr>
      <w:bookmarkStart w:id="115" w:name="_Toc414373842"/>
      <w:bookmarkStart w:id="116" w:name="_Toc231963183"/>
      <w:bookmarkStart w:id="117" w:name="_Toc231963195"/>
      <w:r>
        <w:rPr>
          <w:noProof/>
          <w:lang w:eastAsia="en-AU"/>
        </w:rPr>
        <w:lastRenderedPageBreak/>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7777777" w:rsidR="009D452E" w:rsidRDefault="009D452E" w:rsidP="002F4591">
      <w:pPr>
        <w:pStyle w:val="CoverTitle"/>
        <w:spacing w:before="1920"/>
        <w:jc w:val="center"/>
        <w:sectPr w:rsidR="009D452E">
          <w:headerReference w:type="default" r:id="rId38"/>
          <w:footerReference w:type="default" r:id="rId39"/>
          <w:pgSz w:w="11906" w:h="16838" w:code="9"/>
          <w:pgMar w:top="2835" w:right="1134" w:bottom="1134" w:left="1134" w:header="1701" w:footer="680" w:gutter="0"/>
          <w:cols w:space="708"/>
          <w:docGrid w:linePitch="360"/>
        </w:sectPr>
      </w:pPr>
      <w:r>
        <w:t>Appendix</w:t>
      </w:r>
    </w:p>
    <w:p w14:paraId="7FC38416" w14:textId="48EBF860" w:rsidR="002E20AC" w:rsidRPr="00D05130" w:rsidRDefault="002E20AC" w:rsidP="00D05130">
      <w:pPr>
        <w:pStyle w:val="AppendixH1"/>
      </w:pPr>
      <w:bookmarkStart w:id="118" w:name="_Toc116301573"/>
      <w:r w:rsidRPr="00D05130">
        <w:lastRenderedPageBreak/>
        <w:t xml:space="preserve">Appendix A </w:t>
      </w:r>
      <w:r w:rsidR="008B550C" w:rsidRPr="00D05130">
        <w:t>–</w:t>
      </w:r>
      <w:r w:rsidRPr="00D05130">
        <w:t xml:space="preserve"> </w:t>
      </w:r>
      <w:bookmarkEnd w:id="115"/>
      <w:r w:rsidR="00426C3A" w:rsidRPr="00D05130">
        <w:t>Spray drift restraints</w:t>
      </w:r>
      <w:bookmarkEnd w:id="118"/>
    </w:p>
    <w:p w14:paraId="0AAF2CCB" w14:textId="675B2A1D" w:rsidR="002E20AC" w:rsidRPr="00D05130" w:rsidRDefault="00426C3A" w:rsidP="00D05130">
      <w:pPr>
        <w:pStyle w:val="AppendixH2"/>
      </w:pPr>
      <w:bookmarkStart w:id="119" w:name="_Toc116301574"/>
      <w:r w:rsidRPr="00D05130">
        <w:t>General spray drift restraints</w:t>
      </w:r>
      <w:bookmarkEnd w:id="119"/>
    </w:p>
    <w:p w14:paraId="6F40C47E" w14:textId="77777777" w:rsidR="00426C3A" w:rsidRPr="00D05130" w:rsidRDefault="00426C3A" w:rsidP="00D05130">
      <w:pPr>
        <w:pStyle w:val="APVMAText"/>
      </w:pPr>
      <w:r w:rsidRPr="00D05130">
        <w:t xml:space="preserve">DO NOT allow bystanders to </w:t>
      </w:r>
      <w:proofErr w:type="gramStart"/>
      <w:r w:rsidRPr="00D05130">
        <w:t>come into contact with</w:t>
      </w:r>
      <w:proofErr w:type="gramEnd"/>
      <w:r w:rsidRPr="00D05130">
        <w:t xml:space="preserve"> the spray cloud.</w:t>
      </w:r>
    </w:p>
    <w:p w14:paraId="22BF1574" w14:textId="77777777" w:rsidR="00426C3A" w:rsidRPr="00D05130" w:rsidRDefault="00426C3A" w:rsidP="00D05130">
      <w:pPr>
        <w:pStyle w:val="APVMAText"/>
      </w:pPr>
      <w:r w:rsidRPr="00D05130">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17A6CA66" w14:textId="77777777" w:rsidR="00426C3A" w:rsidRPr="00D05130" w:rsidRDefault="00426C3A" w:rsidP="00D05130">
      <w:pPr>
        <w:pStyle w:val="APVMAText"/>
      </w:pPr>
      <w:r w:rsidRPr="00D05130">
        <w:t>DO NOT apply unless the wind speed is between 3 and 20 kilometres per hour at the application site during the time of application.</w:t>
      </w:r>
    </w:p>
    <w:p w14:paraId="74AF7AED" w14:textId="4EC00681" w:rsidR="00426C3A" w:rsidRPr="00D05130" w:rsidRDefault="00426C3A" w:rsidP="00D05130">
      <w:pPr>
        <w:pStyle w:val="APVMAText"/>
      </w:pPr>
      <w:r w:rsidRPr="00D05130">
        <w:t>DO NOT apply if there are hazardous surface temperature inversion conditions present at the application site during the time of application. Surface temperature inversion conditions exist most evenings one to 2</w:t>
      </w:r>
      <w:r w:rsidR="00295DF8" w:rsidRPr="00D05130">
        <w:t> </w:t>
      </w:r>
      <w:r w:rsidRPr="00D05130">
        <w:t>hours before sunset and persist until one to 2 hours after sunrise.</w:t>
      </w:r>
      <w:bookmarkStart w:id="120" w:name="_Toc72742561"/>
    </w:p>
    <w:p w14:paraId="03E60737" w14:textId="234611A9" w:rsidR="00426C3A" w:rsidRPr="00D05130" w:rsidRDefault="00426C3A" w:rsidP="00D05130">
      <w:pPr>
        <w:pStyle w:val="AppendixH2"/>
      </w:pPr>
      <w:bookmarkStart w:id="121" w:name="_Toc101951594"/>
      <w:bookmarkStart w:id="122" w:name="_Toc116301575"/>
      <w:bookmarkEnd w:id="120"/>
      <w:r w:rsidRPr="00D05130">
        <w:t>Additional spray drift restraints for SC 500 g/L procymidone products</w:t>
      </w:r>
      <w:bookmarkEnd w:id="121"/>
      <w:bookmarkEnd w:id="122"/>
    </w:p>
    <w:p w14:paraId="7D561154" w14:textId="760922C8" w:rsidR="002E20AC" w:rsidRPr="00D05130" w:rsidRDefault="00426C3A" w:rsidP="00D05130">
      <w:pPr>
        <w:pStyle w:val="AppendixH3"/>
      </w:pPr>
      <w:bookmarkStart w:id="123" w:name="_Toc116301576"/>
      <w:r w:rsidRPr="00D05130">
        <w:t>Boom sprayers</w:t>
      </w:r>
      <w:bookmarkEnd w:id="123"/>
    </w:p>
    <w:p w14:paraId="3BC935BA" w14:textId="77777777" w:rsidR="00426C3A" w:rsidRPr="00D05130" w:rsidRDefault="00426C3A" w:rsidP="00D05130">
      <w:pPr>
        <w:pStyle w:val="APVMAText"/>
      </w:pPr>
      <w:r w:rsidRPr="00D05130">
        <w:t>DO NOT apply by a boom sprayer unless the following requirements are met:</w:t>
      </w:r>
    </w:p>
    <w:p w14:paraId="311EFA8F" w14:textId="6C09A40E" w:rsidR="00426C3A" w:rsidRPr="00D05130" w:rsidRDefault="00426C3A" w:rsidP="00D05130">
      <w:pPr>
        <w:pStyle w:val="Bullet1"/>
      </w:pPr>
      <w:r w:rsidRPr="00D05130">
        <w:t>Spray droplets not smaller than a MEDIUM spray droplet size category</w:t>
      </w:r>
    </w:p>
    <w:p w14:paraId="0C7F1F90" w14:textId="44F2DDB3" w:rsidR="00426C3A" w:rsidRPr="00D05130" w:rsidRDefault="00426C3A" w:rsidP="00D05130">
      <w:pPr>
        <w:pStyle w:val="Bullet1"/>
      </w:pPr>
      <w:r w:rsidRPr="00D05130">
        <w:t>Minimum distances between the application site and downwind sensitive areas (see the ‘Mandatory buffer zones’ section in Table 14) are observed</w:t>
      </w:r>
    </w:p>
    <w:p w14:paraId="0D2DEBBE" w14:textId="0A60D62E" w:rsidR="00426C3A" w:rsidRPr="00D05130" w:rsidRDefault="00426C3A" w:rsidP="00D05130">
      <w:pPr>
        <w:pStyle w:val="Caption"/>
      </w:pPr>
      <w:bookmarkStart w:id="124" w:name="_Toc101968010"/>
      <w:bookmarkStart w:id="125" w:name="_Toc116301705"/>
      <w:r w:rsidRPr="00D05130">
        <w:t xml:space="preserve">Table </w:t>
      </w:r>
      <w:fldSimple w:instr=" SEQ Table \* ARABIC ">
        <w:r w:rsidR="00ED7319" w:rsidRPr="00D05130">
          <w:t>14</w:t>
        </w:r>
      </w:fldSimple>
      <w:r w:rsidRPr="00D05130">
        <w:t>:</w:t>
      </w:r>
      <w:r w:rsidRPr="00D05130">
        <w:tab/>
        <w:t>Buffer zones for boom sprayers (SC 500 g/L procymidone)</w:t>
      </w:r>
      <w:bookmarkEnd w:id="124"/>
      <w:bookmarkEnd w:id="125"/>
    </w:p>
    <w:tbl>
      <w:tblPr>
        <w:tblW w:w="5000" w:type="pct"/>
        <w:tblBorders>
          <w:bottom w:val="dotted" w:sz="2" w:space="0" w:color="auto"/>
          <w:insideH w:val="dotted" w:sz="2" w:space="0" w:color="auto"/>
        </w:tblBorders>
        <w:tblLook w:val="0000" w:firstRow="0" w:lastRow="0" w:firstColumn="0" w:lastColumn="0" w:noHBand="0" w:noVBand="0"/>
      </w:tblPr>
      <w:tblGrid>
        <w:gridCol w:w="1847"/>
        <w:gridCol w:w="1700"/>
        <w:gridCol w:w="1133"/>
        <w:gridCol w:w="1276"/>
        <w:gridCol w:w="1276"/>
        <w:gridCol w:w="1274"/>
        <w:gridCol w:w="1132"/>
      </w:tblGrid>
      <w:tr w:rsidR="00426C3A" w14:paraId="1A7973C8" w14:textId="77777777" w:rsidTr="00426C3A">
        <w:trPr>
          <w:tblHeader/>
        </w:trPr>
        <w:tc>
          <w:tcPr>
            <w:tcW w:w="958" w:type="pct"/>
            <w:vMerge w:val="restart"/>
            <w:tcBorders>
              <w:top w:val="single" w:sz="4" w:space="0" w:color="auto"/>
            </w:tcBorders>
            <w:shd w:val="clear" w:color="auto" w:fill="5C2946"/>
            <w:vAlign w:val="center"/>
          </w:tcPr>
          <w:p w14:paraId="7A0F652C" w14:textId="341BBD72" w:rsidR="00426C3A" w:rsidRPr="00D05130" w:rsidRDefault="00426C3A" w:rsidP="00D05130">
            <w:pPr>
              <w:pStyle w:val="TableHead"/>
            </w:pPr>
            <w:r w:rsidRPr="00D05130">
              <w:t>Application rate</w:t>
            </w:r>
          </w:p>
        </w:tc>
        <w:tc>
          <w:tcPr>
            <w:tcW w:w="882" w:type="pct"/>
            <w:vMerge w:val="restart"/>
            <w:tcBorders>
              <w:top w:val="single" w:sz="4" w:space="0" w:color="auto"/>
            </w:tcBorders>
            <w:shd w:val="clear" w:color="auto" w:fill="5C2946"/>
            <w:vAlign w:val="center"/>
          </w:tcPr>
          <w:p w14:paraId="3BA937CE" w14:textId="273F8154" w:rsidR="00426C3A" w:rsidRPr="00D05130" w:rsidRDefault="00426C3A" w:rsidP="00D05130">
            <w:pPr>
              <w:pStyle w:val="TableHead"/>
            </w:pPr>
            <w:r w:rsidRPr="00D05130">
              <w:t>Boom height above the target canopy</w:t>
            </w:r>
          </w:p>
        </w:tc>
        <w:tc>
          <w:tcPr>
            <w:tcW w:w="3160" w:type="pct"/>
            <w:gridSpan w:val="5"/>
            <w:tcBorders>
              <w:top w:val="single" w:sz="4" w:space="0" w:color="auto"/>
              <w:bottom w:val="single" w:sz="4" w:space="0" w:color="auto"/>
            </w:tcBorders>
            <w:shd w:val="clear" w:color="auto" w:fill="5C2946"/>
            <w:vAlign w:val="center"/>
          </w:tcPr>
          <w:p w14:paraId="43682B84" w14:textId="58331AB1" w:rsidR="00426C3A" w:rsidRPr="00D05130" w:rsidRDefault="00426C3A" w:rsidP="00D05130">
            <w:pPr>
              <w:pStyle w:val="TableHead"/>
              <w:jc w:val="right"/>
            </w:pPr>
            <w:r w:rsidRPr="00D05130">
              <w:t>Mandatory buffer zones</w:t>
            </w:r>
          </w:p>
        </w:tc>
      </w:tr>
      <w:tr w:rsidR="00426C3A" w14:paraId="27D0B5CF" w14:textId="77777777" w:rsidTr="00426C3A">
        <w:trPr>
          <w:tblHeader/>
        </w:trPr>
        <w:tc>
          <w:tcPr>
            <w:tcW w:w="958" w:type="pct"/>
            <w:vMerge/>
            <w:tcBorders>
              <w:bottom w:val="single" w:sz="4" w:space="0" w:color="auto"/>
            </w:tcBorders>
            <w:shd w:val="clear" w:color="auto" w:fill="5C2946"/>
            <w:vAlign w:val="center"/>
          </w:tcPr>
          <w:p w14:paraId="39490857" w14:textId="77777777" w:rsidR="00426C3A" w:rsidRPr="00D05130" w:rsidRDefault="00426C3A" w:rsidP="00D05130">
            <w:pPr>
              <w:pStyle w:val="TableHead"/>
            </w:pPr>
          </w:p>
        </w:tc>
        <w:tc>
          <w:tcPr>
            <w:tcW w:w="882" w:type="pct"/>
            <w:vMerge/>
            <w:tcBorders>
              <w:bottom w:val="single" w:sz="4" w:space="0" w:color="auto"/>
            </w:tcBorders>
            <w:shd w:val="clear" w:color="auto" w:fill="5C2946"/>
            <w:vAlign w:val="center"/>
          </w:tcPr>
          <w:p w14:paraId="41D1B770" w14:textId="77777777" w:rsidR="00426C3A" w:rsidRPr="00D05130" w:rsidRDefault="00426C3A" w:rsidP="00D05130">
            <w:pPr>
              <w:pStyle w:val="TableHead"/>
            </w:pPr>
          </w:p>
        </w:tc>
        <w:tc>
          <w:tcPr>
            <w:tcW w:w="588" w:type="pct"/>
            <w:tcBorders>
              <w:top w:val="nil"/>
              <w:bottom w:val="single" w:sz="4" w:space="0" w:color="auto"/>
            </w:tcBorders>
            <w:shd w:val="clear" w:color="auto" w:fill="5C2946"/>
            <w:vAlign w:val="center"/>
          </w:tcPr>
          <w:p w14:paraId="2577289E" w14:textId="277F825E" w:rsidR="00426C3A" w:rsidRPr="00D05130" w:rsidRDefault="00426C3A" w:rsidP="00D05130">
            <w:pPr>
              <w:pStyle w:val="TableHead"/>
              <w:jc w:val="right"/>
            </w:pPr>
            <w:r w:rsidRPr="00D05130">
              <w:t>Bystander areas (metres)</w:t>
            </w:r>
          </w:p>
        </w:tc>
        <w:tc>
          <w:tcPr>
            <w:tcW w:w="662" w:type="pct"/>
            <w:tcBorders>
              <w:top w:val="nil"/>
              <w:bottom w:val="single" w:sz="4" w:space="0" w:color="auto"/>
            </w:tcBorders>
            <w:shd w:val="clear" w:color="auto" w:fill="5C2946"/>
            <w:vAlign w:val="center"/>
          </w:tcPr>
          <w:p w14:paraId="675E0293" w14:textId="61B91ED2" w:rsidR="00426C3A" w:rsidRPr="00D05130" w:rsidRDefault="00426C3A" w:rsidP="00D05130">
            <w:pPr>
              <w:pStyle w:val="TableHead"/>
              <w:jc w:val="right"/>
            </w:pPr>
            <w:r w:rsidRPr="00D05130">
              <w:t>Natural aquatic areas (metres)</w:t>
            </w:r>
          </w:p>
        </w:tc>
        <w:tc>
          <w:tcPr>
            <w:tcW w:w="662" w:type="pct"/>
            <w:tcBorders>
              <w:top w:val="nil"/>
              <w:bottom w:val="single" w:sz="4" w:space="0" w:color="auto"/>
            </w:tcBorders>
            <w:shd w:val="clear" w:color="auto" w:fill="5C2946"/>
            <w:vAlign w:val="center"/>
          </w:tcPr>
          <w:p w14:paraId="1C959EB1" w14:textId="15E053DB" w:rsidR="00426C3A" w:rsidRPr="00D05130" w:rsidRDefault="00426C3A" w:rsidP="00D05130">
            <w:pPr>
              <w:pStyle w:val="TableHead"/>
              <w:jc w:val="right"/>
            </w:pPr>
            <w:r w:rsidRPr="00D05130">
              <w:t>Pollinator areas (metres)</w:t>
            </w:r>
          </w:p>
        </w:tc>
        <w:tc>
          <w:tcPr>
            <w:tcW w:w="661" w:type="pct"/>
            <w:tcBorders>
              <w:top w:val="nil"/>
              <w:bottom w:val="single" w:sz="4" w:space="0" w:color="auto"/>
            </w:tcBorders>
            <w:shd w:val="clear" w:color="auto" w:fill="5C2946"/>
            <w:vAlign w:val="center"/>
          </w:tcPr>
          <w:p w14:paraId="32F5A53F" w14:textId="59FDABCF" w:rsidR="00426C3A" w:rsidRPr="00D05130" w:rsidRDefault="00426C3A" w:rsidP="00D05130">
            <w:pPr>
              <w:pStyle w:val="TableHead"/>
              <w:jc w:val="right"/>
            </w:pPr>
            <w:r w:rsidRPr="00D05130">
              <w:t>Vegetation areas (metres)</w:t>
            </w:r>
          </w:p>
        </w:tc>
        <w:tc>
          <w:tcPr>
            <w:tcW w:w="587" w:type="pct"/>
            <w:tcBorders>
              <w:top w:val="nil"/>
              <w:bottom w:val="single" w:sz="4" w:space="0" w:color="auto"/>
            </w:tcBorders>
            <w:shd w:val="clear" w:color="auto" w:fill="5C2946"/>
            <w:vAlign w:val="center"/>
          </w:tcPr>
          <w:p w14:paraId="14D13D87" w14:textId="73B50754" w:rsidR="00426C3A" w:rsidRPr="00D05130" w:rsidRDefault="00426C3A" w:rsidP="00D05130">
            <w:pPr>
              <w:pStyle w:val="TableHead"/>
              <w:jc w:val="right"/>
            </w:pPr>
            <w:r w:rsidRPr="00D05130">
              <w:t>Livestock areas (metres)</w:t>
            </w:r>
          </w:p>
        </w:tc>
      </w:tr>
      <w:tr w:rsidR="00426C3A" w14:paraId="2E4FFD18" w14:textId="6B2DD276" w:rsidTr="00426C3A">
        <w:tc>
          <w:tcPr>
            <w:tcW w:w="958" w:type="pct"/>
            <w:vMerge w:val="restart"/>
            <w:tcBorders>
              <w:top w:val="single" w:sz="4" w:space="0" w:color="auto"/>
            </w:tcBorders>
            <w:vAlign w:val="center"/>
          </w:tcPr>
          <w:p w14:paraId="2F94B14A" w14:textId="1680B1C6" w:rsidR="00426C3A" w:rsidRDefault="00426C3A" w:rsidP="00426C3A">
            <w:pPr>
              <w:pStyle w:val="TableText"/>
            </w:pPr>
            <w:r w:rsidRPr="000554B4">
              <w:t>Up to 10,000</w:t>
            </w:r>
            <w:r w:rsidR="00295DF8">
              <w:t> </w:t>
            </w:r>
            <w:r w:rsidRPr="000554B4">
              <w:t>mL/ha (5</w:t>
            </w:r>
            <w:r>
              <w:t>,</w:t>
            </w:r>
            <w:r w:rsidRPr="000554B4">
              <w:t>000</w:t>
            </w:r>
            <w:r w:rsidR="00295DF8">
              <w:t> </w:t>
            </w:r>
            <w:r w:rsidRPr="000554B4">
              <w:t>g</w:t>
            </w:r>
            <w:r w:rsidR="00295DF8">
              <w:t> </w:t>
            </w:r>
            <w:r w:rsidRPr="000554B4">
              <w:t>ac/ha)</w:t>
            </w:r>
          </w:p>
        </w:tc>
        <w:tc>
          <w:tcPr>
            <w:tcW w:w="882" w:type="pct"/>
            <w:tcBorders>
              <w:top w:val="single" w:sz="4" w:space="0" w:color="auto"/>
              <w:bottom w:val="single" w:sz="4" w:space="0" w:color="auto"/>
            </w:tcBorders>
            <w:vAlign w:val="center"/>
          </w:tcPr>
          <w:p w14:paraId="76623B19" w14:textId="740EAF51" w:rsidR="00426C3A"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31821868" w14:textId="72689AAE" w:rsidR="00426C3A"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66EF1E07" w14:textId="3202F77A" w:rsidR="00426C3A" w:rsidRDefault="00426C3A" w:rsidP="00D05130">
            <w:pPr>
              <w:pStyle w:val="TableText"/>
              <w:jc w:val="right"/>
            </w:pPr>
            <w:r w:rsidRPr="000554B4">
              <w:t>10</w:t>
            </w:r>
          </w:p>
        </w:tc>
        <w:tc>
          <w:tcPr>
            <w:tcW w:w="662" w:type="pct"/>
            <w:tcBorders>
              <w:top w:val="single" w:sz="4" w:space="0" w:color="auto"/>
              <w:bottom w:val="single" w:sz="4" w:space="0" w:color="auto"/>
            </w:tcBorders>
            <w:vAlign w:val="center"/>
          </w:tcPr>
          <w:p w14:paraId="7E5FE0FC" w14:textId="36DCDD4F" w:rsidR="00426C3A"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3F4719B6" w14:textId="5222FF4F" w:rsidR="00426C3A"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25B21FD4" w14:textId="23A94AD9" w:rsidR="00426C3A" w:rsidRDefault="00426C3A" w:rsidP="00D05130">
            <w:pPr>
              <w:pStyle w:val="TableText"/>
              <w:jc w:val="right"/>
            </w:pPr>
            <w:r w:rsidRPr="000554B4">
              <w:t>350</w:t>
            </w:r>
          </w:p>
        </w:tc>
      </w:tr>
      <w:tr w:rsidR="00426C3A" w14:paraId="61350342" w14:textId="285BE584" w:rsidTr="00426C3A">
        <w:tc>
          <w:tcPr>
            <w:tcW w:w="958" w:type="pct"/>
            <w:vMerge/>
            <w:tcBorders>
              <w:bottom w:val="single" w:sz="4" w:space="0" w:color="auto"/>
            </w:tcBorders>
            <w:vAlign w:val="center"/>
          </w:tcPr>
          <w:p w14:paraId="52135D12" w14:textId="77777777" w:rsidR="00426C3A" w:rsidRPr="0065245B" w:rsidRDefault="00426C3A" w:rsidP="00426C3A">
            <w:pPr>
              <w:pStyle w:val="TableText"/>
            </w:pPr>
          </w:p>
        </w:tc>
        <w:tc>
          <w:tcPr>
            <w:tcW w:w="882" w:type="pct"/>
            <w:tcBorders>
              <w:top w:val="single" w:sz="4" w:space="0" w:color="auto"/>
              <w:bottom w:val="single" w:sz="4" w:space="0" w:color="auto"/>
            </w:tcBorders>
            <w:vAlign w:val="center"/>
          </w:tcPr>
          <w:p w14:paraId="4BE65334" w14:textId="30A935CF" w:rsidR="00426C3A" w:rsidRPr="0065245B"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5E12DFA9" w14:textId="66820AE8" w:rsidR="00426C3A" w:rsidRPr="0065245B"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151B3435" w14:textId="25E955C7" w:rsidR="00426C3A" w:rsidRPr="0065245B" w:rsidRDefault="00426C3A" w:rsidP="00D05130">
            <w:pPr>
              <w:pStyle w:val="TableText"/>
              <w:jc w:val="right"/>
            </w:pPr>
            <w:r w:rsidRPr="000554B4">
              <w:t>35</w:t>
            </w:r>
          </w:p>
        </w:tc>
        <w:tc>
          <w:tcPr>
            <w:tcW w:w="662" w:type="pct"/>
            <w:tcBorders>
              <w:top w:val="single" w:sz="4" w:space="0" w:color="auto"/>
              <w:bottom w:val="single" w:sz="4" w:space="0" w:color="auto"/>
            </w:tcBorders>
            <w:vAlign w:val="center"/>
          </w:tcPr>
          <w:p w14:paraId="4FAE989D" w14:textId="038C7190" w:rsidR="00426C3A" w:rsidRPr="0065245B"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7821A42F" w14:textId="3DED529E" w:rsidR="00426C3A" w:rsidRPr="0065245B"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3DA4A785" w14:textId="54873ECE" w:rsidR="00426C3A" w:rsidRPr="0065245B" w:rsidRDefault="00426C3A" w:rsidP="00D05130">
            <w:pPr>
              <w:pStyle w:val="TableText"/>
              <w:jc w:val="right"/>
            </w:pPr>
            <w:r w:rsidRPr="000554B4">
              <w:t>375</w:t>
            </w:r>
          </w:p>
        </w:tc>
      </w:tr>
      <w:tr w:rsidR="00426C3A" w14:paraId="3085BD8F" w14:textId="309C6D7F" w:rsidTr="00426C3A">
        <w:tc>
          <w:tcPr>
            <w:tcW w:w="958" w:type="pct"/>
            <w:vMerge w:val="restart"/>
            <w:tcBorders>
              <w:top w:val="single" w:sz="4" w:space="0" w:color="auto"/>
            </w:tcBorders>
            <w:vAlign w:val="center"/>
          </w:tcPr>
          <w:p w14:paraId="60EA6676" w14:textId="4BC8365B" w:rsidR="00426C3A" w:rsidRPr="0065245B" w:rsidRDefault="00426C3A" w:rsidP="00426C3A">
            <w:pPr>
              <w:pStyle w:val="TableText"/>
            </w:pPr>
            <w:r w:rsidRPr="000554B4">
              <w:t>Up to 6500 mL/ha (3</w:t>
            </w:r>
            <w:r>
              <w:t>,</w:t>
            </w:r>
            <w:r w:rsidRPr="000554B4">
              <w:t>250 g ac/ha)</w:t>
            </w:r>
          </w:p>
        </w:tc>
        <w:tc>
          <w:tcPr>
            <w:tcW w:w="882" w:type="pct"/>
            <w:tcBorders>
              <w:top w:val="single" w:sz="4" w:space="0" w:color="auto"/>
              <w:bottom w:val="single" w:sz="4" w:space="0" w:color="auto"/>
            </w:tcBorders>
            <w:vAlign w:val="center"/>
          </w:tcPr>
          <w:p w14:paraId="1B69B02F" w14:textId="70E69DAA" w:rsidR="00426C3A" w:rsidRPr="0065245B"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4098C375" w14:textId="5A3B67E9" w:rsidR="00426C3A" w:rsidRPr="0065245B"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3F8F24D0" w14:textId="340E37E0" w:rsidR="00426C3A" w:rsidRPr="0065245B"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71841A13" w14:textId="20826B3D" w:rsidR="00426C3A" w:rsidRPr="0065245B"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73E934EC" w14:textId="4658B4FD" w:rsidR="00426C3A" w:rsidRPr="0065245B"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54A042D6" w14:textId="54241FBB" w:rsidR="00426C3A" w:rsidRPr="0065245B" w:rsidRDefault="00426C3A" w:rsidP="00D05130">
            <w:pPr>
              <w:pStyle w:val="TableText"/>
              <w:jc w:val="right"/>
            </w:pPr>
            <w:r w:rsidRPr="000554B4">
              <w:t>210</w:t>
            </w:r>
          </w:p>
        </w:tc>
      </w:tr>
      <w:tr w:rsidR="00426C3A" w14:paraId="752AAC94" w14:textId="77777777" w:rsidTr="00426C3A">
        <w:tc>
          <w:tcPr>
            <w:tcW w:w="958" w:type="pct"/>
            <w:vMerge/>
            <w:tcBorders>
              <w:bottom w:val="single" w:sz="4" w:space="0" w:color="auto"/>
            </w:tcBorders>
            <w:vAlign w:val="center"/>
          </w:tcPr>
          <w:p w14:paraId="1AF6F163" w14:textId="77777777" w:rsidR="00426C3A" w:rsidRPr="000554B4" w:rsidRDefault="00426C3A" w:rsidP="00426C3A">
            <w:pPr>
              <w:pStyle w:val="TableText"/>
            </w:pPr>
          </w:p>
        </w:tc>
        <w:tc>
          <w:tcPr>
            <w:tcW w:w="882" w:type="pct"/>
            <w:tcBorders>
              <w:top w:val="single" w:sz="4" w:space="0" w:color="auto"/>
              <w:bottom w:val="single" w:sz="4" w:space="0" w:color="auto"/>
            </w:tcBorders>
            <w:vAlign w:val="center"/>
          </w:tcPr>
          <w:p w14:paraId="0E972AD3" w14:textId="012B95AB" w:rsidR="00426C3A" w:rsidRPr="000554B4"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58529B8B" w14:textId="001963D1"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74261ADB" w14:textId="69170039" w:rsidR="00426C3A" w:rsidRPr="000554B4" w:rsidRDefault="00426C3A" w:rsidP="00D05130">
            <w:pPr>
              <w:pStyle w:val="TableText"/>
              <w:jc w:val="right"/>
            </w:pPr>
            <w:r w:rsidRPr="000554B4">
              <w:t>25</w:t>
            </w:r>
          </w:p>
        </w:tc>
        <w:tc>
          <w:tcPr>
            <w:tcW w:w="662" w:type="pct"/>
            <w:tcBorders>
              <w:top w:val="single" w:sz="4" w:space="0" w:color="auto"/>
              <w:bottom w:val="single" w:sz="4" w:space="0" w:color="auto"/>
            </w:tcBorders>
            <w:vAlign w:val="center"/>
          </w:tcPr>
          <w:p w14:paraId="74E12AF5" w14:textId="327071FF" w:rsidR="00426C3A" w:rsidRPr="000554B4"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7D39EC51" w14:textId="1ED20474" w:rsidR="00426C3A" w:rsidRPr="000554B4"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322BCE3F" w14:textId="7A018E2F" w:rsidR="00426C3A" w:rsidRPr="000554B4" w:rsidRDefault="00426C3A" w:rsidP="00D05130">
            <w:pPr>
              <w:pStyle w:val="TableText"/>
              <w:jc w:val="right"/>
            </w:pPr>
            <w:r w:rsidRPr="000554B4">
              <w:t>350</w:t>
            </w:r>
          </w:p>
        </w:tc>
      </w:tr>
      <w:tr w:rsidR="00426C3A" w14:paraId="2D26FD38" w14:textId="77777777" w:rsidTr="00426C3A">
        <w:tc>
          <w:tcPr>
            <w:tcW w:w="958" w:type="pct"/>
            <w:vMerge w:val="restart"/>
            <w:tcBorders>
              <w:top w:val="single" w:sz="4" w:space="0" w:color="auto"/>
            </w:tcBorders>
            <w:vAlign w:val="center"/>
          </w:tcPr>
          <w:p w14:paraId="34456C21" w14:textId="51BD4241" w:rsidR="00426C3A" w:rsidRPr="000554B4" w:rsidRDefault="00426C3A" w:rsidP="00426C3A">
            <w:pPr>
              <w:pStyle w:val="TableText"/>
            </w:pPr>
            <w:r w:rsidRPr="000554B4">
              <w:t>Up to 6000</w:t>
            </w:r>
            <w:r w:rsidR="00295DF8">
              <w:t> </w:t>
            </w:r>
            <w:r w:rsidRPr="000554B4">
              <w:t>mL/ha</w:t>
            </w:r>
            <w:r>
              <w:t xml:space="preserve"> </w:t>
            </w:r>
            <w:r w:rsidRPr="000554B4">
              <w:t>(3</w:t>
            </w:r>
            <w:r>
              <w:t>,</w:t>
            </w:r>
            <w:r w:rsidRPr="000554B4">
              <w:t>000</w:t>
            </w:r>
            <w:r w:rsidR="00295DF8">
              <w:t> </w:t>
            </w:r>
            <w:r w:rsidRPr="000554B4">
              <w:t>g</w:t>
            </w:r>
            <w:r w:rsidR="00295DF8">
              <w:t> </w:t>
            </w:r>
            <w:r w:rsidRPr="000554B4">
              <w:t>ac/ha)</w:t>
            </w:r>
          </w:p>
        </w:tc>
        <w:tc>
          <w:tcPr>
            <w:tcW w:w="882" w:type="pct"/>
            <w:tcBorders>
              <w:top w:val="single" w:sz="4" w:space="0" w:color="auto"/>
              <w:bottom w:val="single" w:sz="4" w:space="0" w:color="auto"/>
            </w:tcBorders>
            <w:vAlign w:val="center"/>
          </w:tcPr>
          <w:p w14:paraId="66520760" w14:textId="17D54E37" w:rsidR="00426C3A" w:rsidRPr="000554B4"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73F1E276" w14:textId="6D26553E"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2189BAFC" w14:textId="72A10D61"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3BD7219A" w14:textId="278B24C5" w:rsidR="00426C3A" w:rsidRPr="000554B4"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4730D26F" w14:textId="200E6E03" w:rsidR="00426C3A" w:rsidRPr="000554B4"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3705BCB9" w14:textId="649F37C3" w:rsidR="00426C3A" w:rsidRPr="000554B4" w:rsidRDefault="00426C3A" w:rsidP="00D05130">
            <w:pPr>
              <w:pStyle w:val="TableText"/>
              <w:jc w:val="right"/>
            </w:pPr>
            <w:r w:rsidRPr="000554B4">
              <w:t>180</w:t>
            </w:r>
          </w:p>
        </w:tc>
      </w:tr>
      <w:tr w:rsidR="00426C3A" w14:paraId="5400F14A" w14:textId="77777777" w:rsidTr="00426C3A">
        <w:tc>
          <w:tcPr>
            <w:tcW w:w="958" w:type="pct"/>
            <w:vMerge/>
            <w:tcBorders>
              <w:bottom w:val="single" w:sz="4" w:space="0" w:color="auto"/>
            </w:tcBorders>
            <w:vAlign w:val="center"/>
          </w:tcPr>
          <w:p w14:paraId="7C411ABF" w14:textId="77777777" w:rsidR="00426C3A" w:rsidRPr="000554B4" w:rsidRDefault="00426C3A" w:rsidP="00426C3A">
            <w:pPr>
              <w:pStyle w:val="TableText"/>
            </w:pPr>
          </w:p>
        </w:tc>
        <w:tc>
          <w:tcPr>
            <w:tcW w:w="882" w:type="pct"/>
            <w:tcBorders>
              <w:top w:val="single" w:sz="4" w:space="0" w:color="auto"/>
              <w:bottom w:val="single" w:sz="4" w:space="0" w:color="auto"/>
            </w:tcBorders>
            <w:vAlign w:val="center"/>
          </w:tcPr>
          <w:p w14:paraId="68AC0E4A" w14:textId="4335799A" w:rsidR="00426C3A" w:rsidRPr="000554B4"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2BAD254B" w14:textId="7586DAFD"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2C7C841E" w14:textId="518C1824" w:rsidR="00426C3A" w:rsidRPr="000554B4" w:rsidRDefault="00426C3A" w:rsidP="00D05130">
            <w:pPr>
              <w:pStyle w:val="TableText"/>
              <w:jc w:val="right"/>
            </w:pPr>
            <w:r w:rsidRPr="000554B4">
              <w:t>20</w:t>
            </w:r>
          </w:p>
        </w:tc>
        <w:tc>
          <w:tcPr>
            <w:tcW w:w="662" w:type="pct"/>
            <w:tcBorders>
              <w:top w:val="single" w:sz="4" w:space="0" w:color="auto"/>
              <w:bottom w:val="single" w:sz="4" w:space="0" w:color="auto"/>
            </w:tcBorders>
            <w:vAlign w:val="center"/>
          </w:tcPr>
          <w:p w14:paraId="3FE52C85" w14:textId="0686FD37" w:rsidR="00426C3A" w:rsidRPr="000554B4"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55E9B7F1" w14:textId="03ACDC2F" w:rsidR="00426C3A" w:rsidRPr="000554B4"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0242794A" w14:textId="1987A934" w:rsidR="00426C3A" w:rsidRPr="000554B4" w:rsidRDefault="00426C3A" w:rsidP="00D05130">
            <w:pPr>
              <w:pStyle w:val="TableText"/>
              <w:jc w:val="right"/>
            </w:pPr>
            <w:r w:rsidRPr="000554B4">
              <w:t>350</w:t>
            </w:r>
          </w:p>
        </w:tc>
      </w:tr>
      <w:tr w:rsidR="00426C3A" w14:paraId="69900D26" w14:textId="77777777" w:rsidTr="00426C3A">
        <w:tc>
          <w:tcPr>
            <w:tcW w:w="958" w:type="pct"/>
            <w:vMerge w:val="restart"/>
            <w:tcBorders>
              <w:top w:val="single" w:sz="4" w:space="0" w:color="auto"/>
            </w:tcBorders>
            <w:vAlign w:val="center"/>
          </w:tcPr>
          <w:p w14:paraId="0284C034" w14:textId="2041B9B0" w:rsidR="00426C3A" w:rsidRPr="000554B4" w:rsidRDefault="00426C3A" w:rsidP="00426C3A">
            <w:pPr>
              <w:pStyle w:val="TableText"/>
            </w:pPr>
            <w:r w:rsidRPr="000554B4">
              <w:t>Up to 4000</w:t>
            </w:r>
            <w:r w:rsidR="00295DF8">
              <w:t> </w:t>
            </w:r>
            <w:r w:rsidRPr="000554B4">
              <w:t>mL/ha</w:t>
            </w:r>
            <w:r>
              <w:t xml:space="preserve"> </w:t>
            </w:r>
            <w:r w:rsidRPr="000554B4">
              <w:t>(2</w:t>
            </w:r>
            <w:r>
              <w:t>,</w:t>
            </w:r>
            <w:r w:rsidRPr="000554B4">
              <w:t>000</w:t>
            </w:r>
            <w:r w:rsidR="00295DF8">
              <w:t> </w:t>
            </w:r>
            <w:r w:rsidRPr="000554B4">
              <w:t>g</w:t>
            </w:r>
            <w:r w:rsidR="00295DF8">
              <w:t> </w:t>
            </w:r>
            <w:r w:rsidRPr="000554B4">
              <w:t>ac/ha)</w:t>
            </w:r>
          </w:p>
        </w:tc>
        <w:tc>
          <w:tcPr>
            <w:tcW w:w="882" w:type="pct"/>
            <w:tcBorders>
              <w:top w:val="single" w:sz="4" w:space="0" w:color="auto"/>
              <w:bottom w:val="single" w:sz="4" w:space="0" w:color="auto"/>
            </w:tcBorders>
            <w:vAlign w:val="center"/>
          </w:tcPr>
          <w:p w14:paraId="39CE3E38" w14:textId="23C9567D" w:rsidR="00426C3A" w:rsidRPr="000554B4"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3835AE15" w14:textId="7E07CCA7"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7E642DE6" w14:textId="0C431B4E"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6441BB53" w14:textId="057B43E6" w:rsidR="00426C3A" w:rsidRPr="000554B4"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48BC5936" w14:textId="64E889BF" w:rsidR="00426C3A" w:rsidRPr="000554B4"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7CB74255" w14:textId="47F95142" w:rsidR="00426C3A" w:rsidRPr="000554B4" w:rsidRDefault="00426C3A" w:rsidP="00D05130">
            <w:pPr>
              <w:pStyle w:val="TableText"/>
              <w:jc w:val="right"/>
            </w:pPr>
            <w:r w:rsidRPr="000554B4">
              <w:t>85</w:t>
            </w:r>
          </w:p>
        </w:tc>
      </w:tr>
      <w:tr w:rsidR="00426C3A" w14:paraId="1B70553A" w14:textId="77777777" w:rsidTr="00426C3A">
        <w:tc>
          <w:tcPr>
            <w:tcW w:w="958" w:type="pct"/>
            <w:vMerge/>
            <w:tcBorders>
              <w:bottom w:val="single" w:sz="4" w:space="0" w:color="auto"/>
            </w:tcBorders>
            <w:vAlign w:val="center"/>
          </w:tcPr>
          <w:p w14:paraId="0195D250" w14:textId="77777777" w:rsidR="00426C3A" w:rsidRPr="000554B4" w:rsidRDefault="00426C3A" w:rsidP="00426C3A">
            <w:pPr>
              <w:pStyle w:val="TableText"/>
            </w:pPr>
          </w:p>
        </w:tc>
        <w:tc>
          <w:tcPr>
            <w:tcW w:w="882" w:type="pct"/>
            <w:tcBorders>
              <w:top w:val="single" w:sz="4" w:space="0" w:color="auto"/>
              <w:bottom w:val="single" w:sz="4" w:space="0" w:color="auto"/>
            </w:tcBorders>
            <w:vAlign w:val="center"/>
          </w:tcPr>
          <w:p w14:paraId="6BB1E867" w14:textId="3F824566" w:rsidR="00426C3A" w:rsidRPr="000554B4"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232DB11B" w14:textId="03AD1DCB"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2AF0173A" w14:textId="235CB004" w:rsidR="00426C3A" w:rsidRPr="000554B4" w:rsidRDefault="00426C3A" w:rsidP="00D05130">
            <w:pPr>
              <w:pStyle w:val="TableText"/>
              <w:jc w:val="right"/>
            </w:pPr>
            <w:r w:rsidRPr="000554B4">
              <w:t>15</w:t>
            </w:r>
          </w:p>
        </w:tc>
        <w:tc>
          <w:tcPr>
            <w:tcW w:w="662" w:type="pct"/>
            <w:tcBorders>
              <w:top w:val="single" w:sz="4" w:space="0" w:color="auto"/>
              <w:bottom w:val="single" w:sz="4" w:space="0" w:color="auto"/>
            </w:tcBorders>
            <w:vAlign w:val="center"/>
          </w:tcPr>
          <w:p w14:paraId="57B7CB4F" w14:textId="35D956EE" w:rsidR="00426C3A" w:rsidRPr="000554B4"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40FF7B3A" w14:textId="6DE8BB41" w:rsidR="00426C3A" w:rsidRPr="000554B4"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24273EA2" w14:textId="1464A1CE" w:rsidR="00426C3A" w:rsidRPr="000554B4" w:rsidRDefault="00426C3A" w:rsidP="00D05130">
            <w:pPr>
              <w:pStyle w:val="TableText"/>
              <w:jc w:val="right"/>
            </w:pPr>
            <w:r w:rsidRPr="000554B4">
              <w:t>325</w:t>
            </w:r>
          </w:p>
        </w:tc>
      </w:tr>
      <w:tr w:rsidR="00426C3A" w14:paraId="7E7C382A" w14:textId="77777777" w:rsidTr="002B210B">
        <w:tc>
          <w:tcPr>
            <w:tcW w:w="958" w:type="pct"/>
            <w:vMerge w:val="restart"/>
            <w:tcBorders>
              <w:top w:val="single" w:sz="4" w:space="0" w:color="auto"/>
            </w:tcBorders>
            <w:vAlign w:val="center"/>
          </w:tcPr>
          <w:p w14:paraId="177B1405" w14:textId="70898585" w:rsidR="00426C3A" w:rsidRPr="000554B4" w:rsidRDefault="00426C3A" w:rsidP="00426C3A">
            <w:pPr>
              <w:pStyle w:val="TableText"/>
            </w:pPr>
            <w:r w:rsidRPr="000554B4">
              <w:t>Up to 2000</w:t>
            </w:r>
            <w:r w:rsidR="00295DF8">
              <w:t> </w:t>
            </w:r>
            <w:r w:rsidRPr="000554B4">
              <w:t>mL/ha</w:t>
            </w:r>
            <w:r>
              <w:t xml:space="preserve"> </w:t>
            </w:r>
            <w:r w:rsidRPr="000554B4">
              <w:t>(1</w:t>
            </w:r>
            <w:r>
              <w:t>,</w:t>
            </w:r>
            <w:r w:rsidRPr="000554B4">
              <w:t>000</w:t>
            </w:r>
            <w:r w:rsidR="00295DF8">
              <w:t> </w:t>
            </w:r>
            <w:r w:rsidRPr="000554B4">
              <w:t>g</w:t>
            </w:r>
            <w:r w:rsidR="00295DF8">
              <w:t> </w:t>
            </w:r>
            <w:r w:rsidRPr="000554B4">
              <w:t>ac/ha)</w:t>
            </w:r>
          </w:p>
        </w:tc>
        <w:tc>
          <w:tcPr>
            <w:tcW w:w="882" w:type="pct"/>
            <w:tcBorders>
              <w:top w:val="single" w:sz="4" w:space="0" w:color="auto"/>
              <w:bottom w:val="single" w:sz="4" w:space="0" w:color="auto"/>
            </w:tcBorders>
            <w:vAlign w:val="center"/>
          </w:tcPr>
          <w:p w14:paraId="67BBC0F5" w14:textId="189C0BB8" w:rsidR="00426C3A" w:rsidRPr="000554B4"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28E6593D" w14:textId="357A495E"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27FA31A8" w14:textId="2F5D657B"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444FD239" w14:textId="2D0ADA5B" w:rsidR="00426C3A" w:rsidRPr="000554B4"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4540A687" w14:textId="14679127" w:rsidR="00426C3A" w:rsidRPr="000554B4"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5C41705E" w14:textId="64385291" w:rsidR="00426C3A" w:rsidRPr="000554B4" w:rsidRDefault="00426C3A" w:rsidP="00D05130">
            <w:pPr>
              <w:pStyle w:val="TableText"/>
              <w:jc w:val="right"/>
            </w:pPr>
            <w:r w:rsidRPr="000554B4">
              <w:t>30</w:t>
            </w:r>
          </w:p>
        </w:tc>
      </w:tr>
      <w:tr w:rsidR="00426C3A" w14:paraId="316F7E04" w14:textId="77777777" w:rsidTr="002B210B">
        <w:tc>
          <w:tcPr>
            <w:tcW w:w="958" w:type="pct"/>
            <w:vMerge/>
            <w:tcBorders>
              <w:bottom w:val="single" w:sz="4" w:space="0" w:color="auto"/>
            </w:tcBorders>
            <w:vAlign w:val="center"/>
          </w:tcPr>
          <w:p w14:paraId="61520647" w14:textId="77777777" w:rsidR="00426C3A" w:rsidRPr="000554B4" w:rsidRDefault="00426C3A" w:rsidP="00426C3A">
            <w:pPr>
              <w:pStyle w:val="TableText"/>
            </w:pPr>
          </w:p>
        </w:tc>
        <w:tc>
          <w:tcPr>
            <w:tcW w:w="882" w:type="pct"/>
            <w:tcBorders>
              <w:top w:val="single" w:sz="4" w:space="0" w:color="auto"/>
              <w:bottom w:val="single" w:sz="4" w:space="0" w:color="auto"/>
            </w:tcBorders>
            <w:vAlign w:val="center"/>
          </w:tcPr>
          <w:p w14:paraId="22C7B394" w14:textId="1D422597" w:rsidR="00426C3A" w:rsidRPr="000554B4"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6240E9D0" w14:textId="0DA8C5EF"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6F56C17A" w14:textId="1EBE1E85" w:rsidR="00426C3A" w:rsidRPr="000554B4" w:rsidRDefault="00426C3A" w:rsidP="00D05130">
            <w:pPr>
              <w:pStyle w:val="TableText"/>
              <w:jc w:val="right"/>
            </w:pPr>
            <w:r w:rsidRPr="000554B4">
              <w:t>10</w:t>
            </w:r>
          </w:p>
        </w:tc>
        <w:tc>
          <w:tcPr>
            <w:tcW w:w="662" w:type="pct"/>
            <w:tcBorders>
              <w:top w:val="single" w:sz="4" w:space="0" w:color="auto"/>
              <w:bottom w:val="single" w:sz="4" w:space="0" w:color="auto"/>
            </w:tcBorders>
            <w:vAlign w:val="center"/>
          </w:tcPr>
          <w:p w14:paraId="6E495B41" w14:textId="7EA58CBC" w:rsidR="00426C3A" w:rsidRPr="000554B4"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0F3EC939" w14:textId="3014FFE2" w:rsidR="00426C3A" w:rsidRPr="000554B4"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76BA45E1" w14:textId="30A9570C" w:rsidR="00426C3A" w:rsidRPr="000554B4" w:rsidRDefault="00426C3A" w:rsidP="00D05130">
            <w:pPr>
              <w:pStyle w:val="TableText"/>
              <w:jc w:val="right"/>
            </w:pPr>
            <w:r w:rsidRPr="000554B4">
              <w:t>140</w:t>
            </w:r>
          </w:p>
        </w:tc>
      </w:tr>
      <w:tr w:rsidR="00426C3A" w14:paraId="015DE385" w14:textId="77777777" w:rsidTr="002B210B">
        <w:tc>
          <w:tcPr>
            <w:tcW w:w="958" w:type="pct"/>
            <w:vMerge w:val="restart"/>
            <w:tcBorders>
              <w:top w:val="single" w:sz="4" w:space="0" w:color="auto"/>
            </w:tcBorders>
            <w:vAlign w:val="center"/>
          </w:tcPr>
          <w:p w14:paraId="1B213FE1" w14:textId="00B7BB78" w:rsidR="00426C3A" w:rsidRPr="000554B4" w:rsidRDefault="00426C3A" w:rsidP="00426C3A">
            <w:pPr>
              <w:pStyle w:val="TableText"/>
            </w:pPr>
            <w:r w:rsidRPr="000554B4">
              <w:t>Up to 1000 mL/ha</w:t>
            </w:r>
            <w:r>
              <w:t xml:space="preserve"> </w:t>
            </w:r>
            <w:r w:rsidRPr="000554B4">
              <w:t>(500 g ac/ha)</w:t>
            </w:r>
          </w:p>
        </w:tc>
        <w:tc>
          <w:tcPr>
            <w:tcW w:w="882" w:type="pct"/>
            <w:tcBorders>
              <w:top w:val="single" w:sz="4" w:space="0" w:color="auto"/>
              <w:bottom w:val="single" w:sz="4" w:space="0" w:color="auto"/>
            </w:tcBorders>
            <w:vAlign w:val="center"/>
          </w:tcPr>
          <w:p w14:paraId="659C49A4" w14:textId="0C6B2A3E" w:rsidR="00426C3A" w:rsidRPr="000554B4"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37C20D8B" w14:textId="0640565E"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2A8E55BB" w14:textId="6D3E1B11"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317B9E4F" w14:textId="02A1453E" w:rsidR="00426C3A" w:rsidRPr="000554B4"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6E74F917" w14:textId="7FEA0029" w:rsidR="00426C3A" w:rsidRPr="000554B4"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1884D0A2" w14:textId="4F151E48" w:rsidR="00426C3A" w:rsidRPr="000554B4" w:rsidRDefault="00426C3A" w:rsidP="00D05130">
            <w:pPr>
              <w:pStyle w:val="TableText"/>
              <w:jc w:val="right"/>
            </w:pPr>
            <w:r w:rsidRPr="000554B4">
              <w:t>10</w:t>
            </w:r>
          </w:p>
        </w:tc>
      </w:tr>
      <w:tr w:rsidR="00426C3A" w14:paraId="6F07821C" w14:textId="77777777" w:rsidTr="002B210B">
        <w:tc>
          <w:tcPr>
            <w:tcW w:w="958" w:type="pct"/>
            <w:vMerge/>
            <w:tcBorders>
              <w:bottom w:val="single" w:sz="4" w:space="0" w:color="auto"/>
            </w:tcBorders>
            <w:vAlign w:val="center"/>
          </w:tcPr>
          <w:p w14:paraId="4E9F4AD8" w14:textId="77777777" w:rsidR="00426C3A" w:rsidRPr="000554B4" w:rsidRDefault="00426C3A" w:rsidP="00426C3A">
            <w:pPr>
              <w:pStyle w:val="TableText"/>
            </w:pPr>
          </w:p>
        </w:tc>
        <w:tc>
          <w:tcPr>
            <w:tcW w:w="882" w:type="pct"/>
            <w:tcBorders>
              <w:top w:val="single" w:sz="4" w:space="0" w:color="auto"/>
              <w:bottom w:val="single" w:sz="4" w:space="0" w:color="auto"/>
            </w:tcBorders>
            <w:vAlign w:val="center"/>
          </w:tcPr>
          <w:p w14:paraId="50072087" w14:textId="0E176A0E" w:rsidR="00426C3A" w:rsidRPr="000554B4"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3C77AFA3" w14:textId="334C548F"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5699DCD3" w14:textId="1254B1A4"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67B977F8" w14:textId="562FA330" w:rsidR="00426C3A" w:rsidRPr="000554B4"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513C65D2" w14:textId="7C9454A1" w:rsidR="00426C3A" w:rsidRPr="000554B4"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151B0561" w14:textId="617FAFC7" w:rsidR="00426C3A" w:rsidRPr="000554B4" w:rsidRDefault="00426C3A" w:rsidP="00D05130">
            <w:pPr>
              <w:pStyle w:val="TableText"/>
              <w:jc w:val="right"/>
            </w:pPr>
            <w:r w:rsidRPr="000554B4">
              <w:t>65</w:t>
            </w:r>
          </w:p>
        </w:tc>
      </w:tr>
      <w:tr w:rsidR="00426C3A" w14:paraId="770F26E0" w14:textId="77777777" w:rsidTr="002B210B">
        <w:tc>
          <w:tcPr>
            <w:tcW w:w="958" w:type="pct"/>
            <w:vMerge w:val="restart"/>
            <w:tcBorders>
              <w:top w:val="single" w:sz="4" w:space="0" w:color="auto"/>
            </w:tcBorders>
            <w:vAlign w:val="center"/>
          </w:tcPr>
          <w:p w14:paraId="33B57A09" w14:textId="71C2F945" w:rsidR="00426C3A" w:rsidRPr="000554B4" w:rsidRDefault="00426C3A" w:rsidP="00426C3A">
            <w:pPr>
              <w:pStyle w:val="TableText"/>
            </w:pPr>
            <w:r w:rsidRPr="000554B4">
              <w:t>Up to 500 mL/ha</w:t>
            </w:r>
            <w:r>
              <w:t xml:space="preserve"> </w:t>
            </w:r>
            <w:r w:rsidRPr="000554B4">
              <w:t>(250 g ac/ha)</w:t>
            </w:r>
          </w:p>
        </w:tc>
        <w:tc>
          <w:tcPr>
            <w:tcW w:w="882" w:type="pct"/>
            <w:tcBorders>
              <w:top w:val="single" w:sz="4" w:space="0" w:color="auto"/>
              <w:bottom w:val="single" w:sz="4" w:space="0" w:color="auto"/>
            </w:tcBorders>
            <w:vAlign w:val="center"/>
          </w:tcPr>
          <w:p w14:paraId="54177599" w14:textId="6921BB87" w:rsidR="00426C3A" w:rsidRPr="000554B4"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23074F9E" w14:textId="4E24120B"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6A861C7D" w14:textId="58D50E54"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35FFDB2D" w14:textId="0093A0A9" w:rsidR="00426C3A" w:rsidRPr="000554B4"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3388192D" w14:textId="3A871556" w:rsidR="00426C3A" w:rsidRPr="000554B4"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073AA64C" w14:textId="6B4A68F2" w:rsidR="00426C3A" w:rsidRPr="000554B4" w:rsidRDefault="00426C3A" w:rsidP="00D05130">
            <w:pPr>
              <w:pStyle w:val="TableText"/>
              <w:jc w:val="right"/>
            </w:pPr>
            <w:r w:rsidRPr="000554B4">
              <w:t>0</w:t>
            </w:r>
          </w:p>
        </w:tc>
      </w:tr>
      <w:tr w:rsidR="00426C3A" w14:paraId="3D67DBC8" w14:textId="77777777" w:rsidTr="002B210B">
        <w:tc>
          <w:tcPr>
            <w:tcW w:w="958" w:type="pct"/>
            <w:vMerge/>
            <w:tcBorders>
              <w:bottom w:val="single" w:sz="4" w:space="0" w:color="auto"/>
            </w:tcBorders>
            <w:vAlign w:val="center"/>
          </w:tcPr>
          <w:p w14:paraId="40105441" w14:textId="77777777" w:rsidR="00426C3A" w:rsidRPr="000554B4" w:rsidRDefault="00426C3A" w:rsidP="00426C3A">
            <w:pPr>
              <w:pStyle w:val="TableText"/>
            </w:pPr>
          </w:p>
        </w:tc>
        <w:tc>
          <w:tcPr>
            <w:tcW w:w="882" w:type="pct"/>
            <w:tcBorders>
              <w:top w:val="single" w:sz="4" w:space="0" w:color="auto"/>
              <w:bottom w:val="single" w:sz="4" w:space="0" w:color="auto"/>
            </w:tcBorders>
            <w:vAlign w:val="center"/>
          </w:tcPr>
          <w:p w14:paraId="4D7D1575" w14:textId="546764B7" w:rsidR="00426C3A" w:rsidRPr="000554B4"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52AD0D28" w14:textId="1D8FB140"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53DEA7B3" w14:textId="2C8FA5E4" w:rsidR="00426C3A" w:rsidRPr="000554B4" w:rsidRDefault="00426C3A" w:rsidP="00D05130">
            <w:pPr>
              <w:pStyle w:val="TableText"/>
              <w:jc w:val="right"/>
            </w:pPr>
            <w:r w:rsidRPr="000554B4">
              <w:t>0</w:t>
            </w:r>
          </w:p>
        </w:tc>
        <w:tc>
          <w:tcPr>
            <w:tcW w:w="662" w:type="pct"/>
            <w:tcBorders>
              <w:top w:val="single" w:sz="4" w:space="0" w:color="auto"/>
              <w:bottom w:val="single" w:sz="4" w:space="0" w:color="auto"/>
            </w:tcBorders>
            <w:vAlign w:val="center"/>
          </w:tcPr>
          <w:p w14:paraId="1FD454A6" w14:textId="1DDBD3CD" w:rsidR="00426C3A" w:rsidRPr="000554B4" w:rsidRDefault="00426C3A" w:rsidP="00D05130">
            <w:pPr>
              <w:pStyle w:val="TableText"/>
              <w:jc w:val="right"/>
            </w:pPr>
            <w:r w:rsidRPr="000554B4">
              <w:t>0</w:t>
            </w:r>
          </w:p>
        </w:tc>
        <w:tc>
          <w:tcPr>
            <w:tcW w:w="661" w:type="pct"/>
            <w:tcBorders>
              <w:top w:val="single" w:sz="4" w:space="0" w:color="auto"/>
              <w:bottom w:val="single" w:sz="4" w:space="0" w:color="auto"/>
            </w:tcBorders>
            <w:vAlign w:val="center"/>
          </w:tcPr>
          <w:p w14:paraId="2FC016E2" w14:textId="15592D40" w:rsidR="00426C3A" w:rsidRPr="000554B4" w:rsidRDefault="00426C3A" w:rsidP="00D05130">
            <w:pPr>
              <w:pStyle w:val="TableText"/>
              <w:jc w:val="right"/>
            </w:pPr>
            <w:r w:rsidRPr="000554B4">
              <w:t>0</w:t>
            </w:r>
          </w:p>
        </w:tc>
        <w:tc>
          <w:tcPr>
            <w:tcW w:w="587" w:type="pct"/>
            <w:tcBorders>
              <w:top w:val="single" w:sz="4" w:space="0" w:color="auto"/>
              <w:bottom w:val="single" w:sz="4" w:space="0" w:color="auto"/>
            </w:tcBorders>
            <w:vAlign w:val="center"/>
          </w:tcPr>
          <w:p w14:paraId="773AA6E1" w14:textId="1929B88F" w:rsidR="00426C3A" w:rsidRPr="000554B4" w:rsidRDefault="00426C3A" w:rsidP="00D05130">
            <w:pPr>
              <w:pStyle w:val="TableText"/>
              <w:jc w:val="right"/>
            </w:pPr>
            <w:r w:rsidRPr="000554B4">
              <w:t>30</w:t>
            </w:r>
          </w:p>
        </w:tc>
      </w:tr>
    </w:tbl>
    <w:p w14:paraId="4E1816C2" w14:textId="58898EFD" w:rsidR="00426C3A" w:rsidRPr="00D05130" w:rsidRDefault="00426C3A" w:rsidP="00D05130">
      <w:pPr>
        <w:pStyle w:val="AppendixH3"/>
      </w:pPr>
      <w:bookmarkStart w:id="126" w:name="_Toc116301577"/>
      <w:r w:rsidRPr="00D05130">
        <w:t>Vertical sprayers</w:t>
      </w:r>
      <w:bookmarkEnd w:id="126"/>
    </w:p>
    <w:p w14:paraId="3ED0498D" w14:textId="77777777" w:rsidR="00426C3A" w:rsidRPr="00D05130" w:rsidRDefault="00426C3A" w:rsidP="00D05130">
      <w:pPr>
        <w:pStyle w:val="APVMAText"/>
      </w:pPr>
      <w:r w:rsidRPr="00D05130">
        <w:t>DO NOT apply by a vertical sprayer unless the following requirements are met:</w:t>
      </w:r>
    </w:p>
    <w:p w14:paraId="57A27798" w14:textId="39AEB7B5" w:rsidR="00426C3A" w:rsidRPr="00D05130" w:rsidRDefault="00426C3A" w:rsidP="00D05130">
      <w:pPr>
        <w:pStyle w:val="Bullet1"/>
      </w:pPr>
      <w:r w:rsidRPr="00D05130">
        <w:t>Spray is not directed above the target canopy</w:t>
      </w:r>
    </w:p>
    <w:p w14:paraId="0ED2E61A" w14:textId="34F0DF09" w:rsidR="00426C3A" w:rsidRPr="00D05130" w:rsidRDefault="00426C3A" w:rsidP="00D05130">
      <w:pPr>
        <w:pStyle w:val="Bullet1"/>
      </w:pPr>
      <w:r w:rsidRPr="00D05130">
        <w:t>The outside of the sprayer is turned off when turning at the end of rows and when spraying the outer row on each side of the application site</w:t>
      </w:r>
    </w:p>
    <w:p w14:paraId="4BD22BCA" w14:textId="726B0586" w:rsidR="00426C3A" w:rsidRPr="00D05130" w:rsidRDefault="00426C3A" w:rsidP="00D05130">
      <w:pPr>
        <w:pStyle w:val="Bullet1"/>
      </w:pPr>
      <w:r w:rsidRPr="00D05130">
        <w:t>For dilute water rates up to the maximum listed for each type of canopy specified, minimum distances between the application site and downwind sensitive areas (see the ‘Mandatory buffer zones’ section in Table 15) are observed</w:t>
      </w:r>
    </w:p>
    <w:p w14:paraId="1BCEAF31" w14:textId="5044C622" w:rsidR="00426C3A" w:rsidRPr="00D05130" w:rsidRDefault="00426C3A" w:rsidP="00D05130">
      <w:pPr>
        <w:pStyle w:val="Caption"/>
      </w:pPr>
      <w:bookmarkStart w:id="127" w:name="_Toc101968011"/>
      <w:bookmarkStart w:id="128" w:name="_Toc116301706"/>
      <w:r w:rsidRPr="00D05130">
        <w:t xml:space="preserve">Table </w:t>
      </w:r>
      <w:fldSimple w:instr=" SEQ Table \* ARABIC ">
        <w:r w:rsidR="00ED7319" w:rsidRPr="00D05130">
          <w:t>15</w:t>
        </w:r>
      </w:fldSimple>
      <w:r w:rsidRPr="00D05130">
        <w:t>:</w:t>
      </w:r>
      <w:r w:rsidRPr="00D05130">
        <w:tab/>
        <w:t>Buffer zones for vertical sprayers (SC 500 g/L procymidone)</w:t>
      </w:r>
      <w:bookmarkEnd w:id="127"/>
      <w:bookmarkEnd w:id="128"/>
    </w:p>
    <w:tbl>
      <w:tblPr>
        <w:tblW w:w="5000" w:type="pct"/>
        <w:tblBorders>
          <w:bottom w:val="dotted" w:sz="2" w:space="0" w:color="auto"/>
          <w:insideH w:val="dotted" w:sz="2" w:space="0" w:color="auto"/>
        </w:tblBorders>
        <w:tblLook w:val="0000" w:firstRow="0" w:lastRow="0" w:firstColumn="0" w:lastColumn="0" w:noHBand="0" w:noVBand="0"/>
      </w:tblPr>
      <w:tblGrid>
        <w:gridCol w:w="3122"/>
        <w:gridCol w:w="1559"/>
        <w:gridCol w:w="1559"/>
        <w:gridCol w:w="1135"/>
        <w:gridCol w:w="1133"/>
        <w:gridCol w:w="1130"/>
      </w:tblGrid>
      <w:tr w:rsidR="00426C3A" w14:paraId="70EAF594" w14:textId="77777777" w:rsidTr="00426C3A">
        <w:trPr>
          <w:tblHeader/>
        </w:trPr>
        <w:tc>
          <w:tcPr>
            <w:tcW w:w="1619" w:type="pct"/>
            <w:vMerge w:val="restart"/>
            <w:tcBorders>
              <w:top w:val="single" w:sz="4" w:space="0" w:color="auto"/>
            </w:tcBorders>
            <w:shd w:val="clear" w:color="auto" w:fill="5C2946"/>
            <w:vAlign w:val="center"/>
          </w:tcPr>
          <w:p w14:paraId="4825653D" w14:textId="5FEF767A" w:rsidR="00426C3A" w:rsidRDefault="00426C3A" w:rsidP="00426C3A">
            <w:pPr>
              <w:pStyle w:val="TableHead"/>
            </w:pPr>
            <w:r w:rsidRPr="000554B4">
              <w:rPr>
                <w:rFonts w:eastAsia="Times"/>
              </w:rPr>
              <w:t>Type of target canopy and dilute water rate</w:t>
            </w:r>
          </w:p>
        </w:tc>
        <w:tc>
          <w:tcPr>
            <w:tcW w:w="3381" w:type="pct"/>
            <w:gridSpan w:val="5"/>
            <w:tcBorders>
              <w:top w:val="single" w:sz="4" w:space="0" w:color="auto"/>
              <w:bottom w:val="single" w:sz="4" w:space="0" w:color="auto"/>
            </w:tcBorders>
            <w:shd w:val="clear" w:color="auto" w:fill="5C2946"/>
            <w:vAlign w:val="center"/>
          </w:tcPr>
          <w:p w14:paraId="0CCF4621" w14:textId="31D780D7" w:rsidR="00426C3A" w:rsidRDefault="00426C3A" w:rsidP="00426C3A">
            <w:pPr>
              <w:pStyle w:val="TableHead"/>
              <w:jc w:val="center"/>
            </w:pPr>
            <w:r w:rsidRPr="000554B4">
              <w:rPr>
                <w:rFonts w:eastAsia="Times"/>
              </w:rPr>
              <w:t xml:space="preserve">Mandatory </w:t>
            </w:r>
            <w:r w:rsidRPr="000554B4">
              <w:t xml:space="preserve">buffer </w:t>
            </w:r>
            <w:r w:rsidRPr="000554B4">
              <w:rPr>
                <w:rFonts w:eastAsia="Times"/>
              </w:rPr>
              <w:t>zones</w:t>
            </w:r>
          </w:p>
        </w:tc>
      </w:tr>
      <w:tr w:rsidR="00426C3A" w14:paraId="46F341AD" w14:textId="77777777" w:rsidTr="00426C3A">
        <w:trPr>
          <w:tblHeader/>
        </w:trPr>
        <w:tc>
          <w:tcPr>
            <w:tcW w:w="1619" w:type="pct"/>
            <w:vMerge/>
            <w:tcBorders>
              <w:bottom w:val="single" w:sz="4" w:space="0" w:color="auto"/>
            </w:tcBorders>
            <w:shd w:val="clear" w:color="auto" w:fill="5C2946"/>
            <w:vAlign w:val="center"/>
          </w:tcPr>
          <w:p w14:paraId="5F8E2119" w14:textId="77777777" w:rsidR="00426C3A" w:rsidRDefault="00426C3A" w:rsidP="00426C3A">
            <w:pPr>
              <w:pStyle w:val="TableHead"/>
            </w:pPr>
          </w:p>
        </w:tc>
        <w:tc>
          <w:tcPr>
            <w:tcW w:w="809" w:type="pct"/>
            <w:tcBorders>
              <w:top w:val="single" w:sz="4" w:space="0" w:color="auto"/>
              <w:bottom w:val="single" w:sz="4" w:space="0" w:color="auto"/>
            </w:tcBorders>
            <w:shd w:val="clear" w:color="auto" w:fill="5C2946"/>
            <w:vAlign w:val="center"/>
          </w:tcPr>
          <w:p w14:paraId="6A98A37B" w14:textId="3F52EB3E" w:rsidR="00426C3A" w:rsidRDefault="00426C3A" w:rsidP="00426C3A">
            <w:pPr>
              <w:pStyle w:val="TableHead"/>
              <w:jc w:val="right"/>
            </w:pPr>
            <w:r w:rsidRPr="000554B4">
              <w:t>Bystander areas (metres)</w:t>
            </w:r>
          </w:p>
        </w:tc>
        <w:tc>
          <w:tcPr>
            <w:tcW w:w="809" w:type="pct"/>
            <w:tcBorders>
              <w:top w:val="single" w:sz="4" w:space="0" w:color="auto"/>
              <w:bottom w:val="single" w:sz="4" w:space="0" w:color="auto"/>
            </w:tcBorders>
            <w:shd w:val="clear" w:color="auto" w:fill="5C2946"/>
            <w:vAlign w:val="center"/>
          </w:tcPr>
          <w:p w14:paraId="7CC498FF" w14:textId="6B178370" w:rsidR="00426C3A" w:rsidRDefault="00426C3A" w:rsidP="00426C3A">
            <w:pPr>
              <w:pStyle w:val="TableHead"/>
              <w:jc w:val="right"/>
            </w:pPr>
            <w:r w:rsidRPr="000554B4">
              <w:t>Natural aquatic areas</w:t>
            </w:r>
            <w:r>
              <w:t xml:space="preserve"> </w:t>
            </w:r>
            <w:r w:rsidRPr="000554B4">
              <w:t>(metres)</w:t>
            </w:r>
          </w:p>
        </w:tc>
        <w:tc>
          <w:tcPr>
            <w:tcW w:w="589" w:type="pct"/>
            <w:tcBorders>
              <w:top w:val="single" w:sz="4" w:space="0" w:color="auto"/>
              <w:bottom w:val="single" w:sz="4" w:space="0" w:color="auto"/>
            </w:tcBorders>
            <w:shd w:val="clear" w:color="auto" w:fill="5C2946"/>
            <w:vAlign w:val="center"/>
          </w:tcPr>
          <w:p w14:paraId="1D2E5D62" w14:textId="001A43CC" w:rsidR="00426C3A" w:rsidRDefault="00426C3A" w:rsidP="00426C3A">
            <w:pPr>
              <w:pStyle w:val="TableHead"/>
              <w:jc w:val="right"/>
            </w:pPr>
            <w:r w:rsidRPr="000554B4">
              <w:t>Pollinator areas</w:t>
            </w:r>
          </w:p>
        </w:tc>
        <w:tc>
          <w:tcPr>
            <w:tcW w:w="588" w:type="pct"/>
            <w:tcBorders>
              <w:top w:val="single" w:sz="4" w:space="0" w:color="auto"/>
              <w:bottom w:val="single" w:sz="4" w:space="0" w:color="auto"/>
            </w:tcBorders>
            <w:shd w:val="clear" w:color="auto" w:fill="5C2946"/>
            <w:vAlign w:val="center"/>
          </w:tcPr>
          <w:p w14:paraId="16C13E10" w14:textId="0AA79000" w:rsidR="00426C3A" w:rsidRDefault="00426C3A" w:rsidP="00426C3A">
            <w:pPr>
              <w:pStyle w:val="TableHead"/>
              <w:jc w:val="right"/>
            </w:pPr>
            <w:r w:rsidRPr="000554B4">
              <w:t>Vegetation areas</w:t>
            </w:r>
            <w:r>
              <w:t xml:space="preserve"> </w:t>
            </w:r>
            <w:r w:rsidRPr="000554B4">
              <w:t>(metres)</w:t>
            </w:r>
          </w:p>
        </w:tc>
        <w:tc>
          <w:tcPr>
            <w:tcW w:w="587" w:type="pct"/>
            <w:tcBorders>
              <w:top w:val="single" w:sz="4" w:space="0" w:color="auto"/>
              <w:bottom w:val="single" w:sz="4" w:space="0" w:color="auto"/>
            </w:tcBorders>
            <w:shd w:val="clear" w:color="auto" w:fill="5C2946"/>
            <w:vAlign w:val="center"/>
          </w:tcPr>
          <w:p w14:paraId="0E76ADE7" w14:textId="594C0DE4" w:rsidR="00426C3A" w:rsidRDefault="00426C3A" w:rsidP="00426C3A">
            <w:pPr>
              <w:pStyle w:val="TableHead"/>
              <w:jc w:val="right"/>
            </w:pPr>
            <w:r w:rsidRPr="000554B4">
              <w:t>Livestock areas</w:t>
            </w:r>
            <w:r>
              <w:t xml:space="preserve"> </w:t>
            </w:r>
            <w:r w:rsidRPr="000554B4">
              <w:t>(metres)</w:t>
            </w:r>
          </w:p>
        </w:tc>
      </w:tr>
      <w:tr w:rsidR="00426C3A" w14:paraId="080CA6AB" w14:textId="45DD2EFD" w:rsidTr="00426C3A">
        <w:tc>
          <w:tcPr>
            <w:tcW w:w="1619" w:type="pct"/>
            <w:tcBorders>
              <w:top w:val="single" w:sz="4" w:space="0" w:color="auto"/>
              <w:bottom w:val="single" w:sz="4" w:space="0" w:color="auto"/>
            </w:tcBorders>
          </w:tcPr>
          <w:p w14:paraId="0E69E8A8" w14:textId="21531B2E" w:rsidR="00426C3A" w:rsidRDefault="00426C3A" w:rsidP="00426C3A">
            <w:pPr>
              <w:pStyle w:val="TableText"/>
            </w:pPr>
            <w:r w:rsidRPr="000554B4">
              <w:rPr>
                <w:rFonts w:eastAsia="Times"/>
              </w:rPr>
              <w:t>2 metres tall and shorter, maximum dilute water rate of 1</w:t>
            </w:r>
            <w:r>
              <w:rPr>
                <w:rFonts w:eastAsia="Times"/>
              </w:rPr>
              <w:t>,</w:t>
            </w:r>
            <w:r w:rsidRPr="000554B4">
              <w:rPr>
                <w:rFonts w:eastAsia="Times"/>
              </w:rPr>
              <w:t>000</w:t>
            </w:r>
            <w:r w:rsidR="00295DF8">
              <w:t> </w:t>
            </w:r>
            <w:r w:rsidRPr="000554B4">
              <w:rPr>
                <w:rFonts w:eastAsia="Times"/>
              </w:rPr>
              <w:t>L/ha</w:t>
            </w:r>
          </w:p>
        </w:tc>
        <w:tc>
          <w:tcPr>
            <w:tcW w:w="809" w:type="pct"/>
            <w:tcBorders>
              <w:top w:val="single" w:sz="4" w:space="0" w:color="auto"/>
              <w:bottom w:val="single" w:sz="4" w:space="0" w:color="auto"/>
            </w:tcBorders>
            <w:vAlign w:val="center"/>
          </w:tcPr>
          <w:p w14:paraId="100F3F97" w14:textId="6D7D639F" w:rsidR="00426C3A" w:rsidRDefault="00426C3A" w:rsidP="00426C3A">
            <w:pPr>
              <w:pStyle w:val="TableText"/>
              <w:jc w:val="right"/>
            </w:pPr>
            <w:r w:rsidRPr="000554B4">
              <w:t>0</w:t>
            </w:r>
          </w:p>
        </w:tc>
        <w:tc>
          <w:tcPr>
            <w:tcW w:w="809" w:type="pct"/>
            <w:tcBorders>
              <w:top w:val="single" w:sz="4" w:space="0" w:color="auto"/>
              <w:bottom w:val="single" w:sz="4" w:space="0" w:color="auto"/>
            </w:tcBorders>
            <w:vAlign w:val="center"/>
          </w:tcPr>
          <w:p w14:paraId="34072D11" w14:textId="7E63B2FC" w:rsidR="00426C3A" w:rsidRDefault="00426C3A" w:rsidP="00426C3A">
            <w:pPr>
              <w:pStyle w:val="TableText"/>
              <w:jc w:val="right"/>
            </w:pPr>
            <w:r w:rsidRPr="000554B4">
              <w:t>0</w:t>
            </w:r>
          </w:p>
        </w:tc>
        <w:tc>
          <w:tcPr>
            <w:tcW w:w="589" w:type="pct"/>
            <w:tcBorders>
              <w:top w:val="single" w:sz="4" w:space="0" w:color="auto"/>
              <w:bottom w:val="single" w:sz="4" w:space="0" w:color="auto"/>
            </w:tcBorders>
            <w:vAlign w:val="center"/>
          </w:tcPr>
          <w:p w14:paraId="1258BB46" w14:textId="51D660DC" w:rsidR="00426C3A" w:rsidRDefault="00426C3A" w:rsidP="00426C3A">
            <w:pPr>
              <w:pStyle w:val="TableText"/>
              <w:jc w:val="right"/>
            </w:pPr>
            <w:r w:rsidRPr="000554B4">
              <w:t>0</w:t>
            </w:r>
          </w:p>
        </w:tc>
        <w:tc>
          <w:tcPr>
            <w:tcW w:w="588" w:type="pct"/>
            <w:tcBorders>
              <w:top w:val="single" w:sz="4" w:space="0" w:color="auto"/>
              <w:bottom w:val="single" w:sz="4" w:space="0" w:color="auto"/>
            </w:tcBorders>
            <w:vAlign w:val="center"/>
          </w:tcPr>
          <w:p w14:paraId="71151497" w14:textId="284EC6BE" w:rsidR="00426C3A"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50C3CC7B" w14:textId="712B334C" w:rsidR="00426C3A" w:rsidRDefault="00426C3A" w:rsidP="00426C3A">
            <w:pPr>
              <w:pStyle w:val="TableText"/>
              <w:jc w:val="right"/>
            </w:pPr>
            <w:r w:rsidRPr="000554B4">
              <w:t>0</w:t>
            </w:r>
          </w:p>
        </w:tc>
      </w:tr>
      <w:tr w:rsidR="00426C3A" w14:paraId="756E8391" w14:textId="7BF51A63" w:rsidTr="00426C3A">
        <w:tc>
          <w:tcPr>
            <w:tcW w:w="1619" w:type="pct"/>
            <w:tcBorders>
              <w:top w:val="single" w:sz="4" w:space="0" w:color="auto"/>
              <w:bottom w:val="single" w:sz="4" w:space="0" w:color="auto"/>
            </w:tcBorders>
          </w:tcPr>
          <w:p w14:paraId="46BBAC62" w14:textId="1DDFFFE9" w:rsidR="00426C3A" w:rsidRPr="0065245B" w:rsidRDefault="00426C3A" w:rsidP="00426C3A">
            <w:pPr>
              <w:pStyle w:val="TableText"/>
            </w:pPr>
            <w:r w:rsidRPr="000554B4">
              <w:rPr>
                <w:rFonts w:eastAsia="Times"/>
              </w:rPr>
              <w:t>Taller than 2</w:t>
            </w:r>
            <w:r w:rsidR="00295DF8">
              <w:t> </w:t>
            </w:r>
            <w:r w:rsidRPr="000554B4">
              <w:rPr>
                <w:rFonts w:eastAsia="Times"/>
              </w:rPr>
              <w:t>metres (not fully foliated), maximum dilute water rate of 1</w:t>
            </w:r>
            <w:r>
              <w:rPr>
                <w:rFonts w:eastAsia="Times"/>
              </w:rPr>
              <w:t>,</w:t>
            </w:r>
            <w:r w:rsidRPr="000554B4">
              <w:rPr>
                <w:rFonts w:eastAsia="Times"/>
              </w:rPr>
              <w:t>500</w:t>
            </w:r>
            <w:r w:rsidR="00295DF8">
              <w:t> </w:t>
            </w:r>
            <w:r w:rsidRPr="000554B4">
              <w:rPr>
                <w:rFonts w:eastAsia="Times"/>
              </w:rPr>
              <w:t>L/ha</w:t>
            </w:r>
          </w:p>
        </w:tc>
        <w:tc>
          <w:tcPr>
            <w:tcW w:w="809" w:type="pct"/>
            <w:tcBorders>
              <w:top w:val="single" w:sz="4" w:space="0" w:color="auto"/>
              <w:bottom w:val="single" w:sz="4" w:space="0" w:color="auto"/>
            </w:tcBorders>
            <w:vAlign w:val="center"/>
          </w:tcPr>
          <w:p w14:paraId="28D11448" w14:textId="5DC7C542" w:rsidR="00426C3A" w:rsidRPr="0065245B" w:rsidRDefault="00426C3A" w:rsidP="00426C3A">
            <w:pPr>
              <w:pStyle w:val="TableText"/>
              <w:jc w:val="right"/>
            </w:pPr>
            <w:r w:rsidRPr="000554B4">
              <w:t>0</w:t>
            </w:r>
          </w:p>
        </w:tc>
        <w:tc>
          <w:tcPr>
            <w:tcW w:w="809" w:type="pct"/>
            <w:tcBorders>
              <w:top w:val="single" w:sz="4" w:space="0" w:color="auto"/>
              <w:bottom w:val="single" w:sz="4" w:space="0" w:color="auto"/>
            </w:tcBorders>
            <w:vAlign w:val="center"/>
          </w:tcPr>
          <w:p w14:paraId="7803CF1E" w14:textId="53E75316" w:rsidR="00426C3A" w:rsidRPr="0065245B" w:rsidRDefault="00426C3A" w:rsidP="00426C3A">
            <w:pPr>
              <w:pStyle w:val="TableText"/>
              <w:jc w:val="right"/>
            </w:pPr>
            <w:r w:rsidRPr="000554B4">
              <w:t>0</w:t>
            </w:r>
          </w:p>
        </w:tc>
        <w:tc>
          <w:tcPr>
            <w:tcW w:w="589" w:type="pct"/>
            <w:tcBorders>
              <w:top w:val="single" w:sz="4" w:space="0" w:color="auto"/>
              <w:bottom w:val="single" w:sz="4" w:space="0" w:color="auto"/>
            </w:tcBorders>
            <w:vAlign w:val="center"/>
          </w:tcPr>
          <w:p w14:paraId="452D9E3F" w14:textId="6C6B5239" w:rsidR="00426C3A" w:rsidRPr="0065245B" w:rsidRDefault="00426C3A" w:rsidP="00426C3A">
            <w:pPr>
              <w:pStyle w:val="TableText"/>
              <w:jc w:val="right"/>
            </w:pPr>
            <w:r w:rsidRPr="000554B4">
              <w:t>0</w:t>
            </w:r>
          </w:p>
        </w:tc>
        <w:tc>
          <w:tcPr>
            <w:tcW w:w="588" w:type="pct"/>
            <w:tcBorders>
              <w:top w:val="single" w:sz="4" w:space="0" w:color="auto"/>
              <w:bottom w:val="single" w:sz="4" w:space="0" w:color="auto"/>
            </w:tcBorders>
            <w:vAlign w:val="center"/>
          </w:tcPr>
          <w:p w14:paraId="021CA38B" w14:textId="6C3E4FBD" w:rsidR="00426C3A" w:rsidRPr="0065245B"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1FBAB801" w14:textId="2D85E964" w:rsidR="00426C3A" w:rsidRPr="0065245B" w:rsidRDefault="00426C3A" w:rsidP="00426C3A">
            <w:pPr>
              <w:pStyle w:val="TableText"/>
              <w:jc w:val="right"/>
            </w:pPr>
            <w:r w:rsidRPr="000554B4">
              <w:t>20</w:t>
            </w:r>
          </w:p>
        </w:tc>
      </w:tr>
      <w:tr w:rsidR="00426C3A" w14:paraId="6B0AC488" w14:textId="77777777" w:rsidTr="00426C3A">
        <w:tc>
          <w:tcPr>
            <w:tcW w:w="1619" w:type="pct"/>
            <w:tcBorders>
              <w:top w:val="single" w:sz="4" w:space="0" w:color="auto"/>
              <w:bottom w:val="single" w:sz="4" w:space="0" w:color="auto"/>
            </w:tcBorders>
          </w:tcPr>
          <w:p w14:paraId="1AE1DDB4" w14:textId="572E02C8" w:rsidR="00426C3A" w:rsidRPr="000554B4" w:rsidRDefault="00426C3A" w:rsidP="00426C3A">
            <w:pPr>
              <w:pStyle w:val="TableText"/>
              <w:rPr>
                <w:rFonts w:eastAsia="Times"/>
              </w:rPr>
            </w:pPr>
            <w:r w:rsidRPr="000554B4">
              <w:rPr>
                <w:rFonts w:eastAsia="Times"/>
              </w:rPr>
              <w:lastRenderedPageBreak/>
              <w:t>Taller than 2</w:t>
            </w:r>
            <w:r w:rsidR="00295DF8">
              <w:t> </w:t>
            </w:r>
            <w:r w:rsidRPr="000554B4">
              <w:rPr>
                <w:rFonts w:eastAsia="Times"/>
              </w:rPr>
              <w:t>metres (fully foliated), maximum dilute water rate of 1</w:t>
            </w:r>
            <w:r>
              <w:rPr>
                <w:rFonts w:eastAsia="Times"/>
              </w:rPr>
              <w:t>,</w:t>
            </w:r>
            <w:r w:rsidRPr="000554B4">
              <w:rPr>
                <w:rFonts w:eastAsia="Times"/>
              </w:rPr>
              <w:t>500</w:t>
            </w:r>
            <w:r w:rsidR="00295DF8">
              <w:t> </w:t>
            </w:r>
            <w:r w:rsidRPr="000554B4">
              <w:rPr>
                <w:rFonts w:eastAsia="Times"/>
              </w:rPr>
              <w:t>L/ha</w:t>
            </w:r>
          </w:p>
        </w:tc>
        <w:tc>
          <w:tcPr>
            <w:tcW w:w="809" w:type="pct"/>
            <w:tcBorders>
              <w:top w:val="single" w:sz="4" w:space="0" w:color="auto"/>
              <w:bottom w:val="single" w:sz="4" w:space="0" w:color="auto"/>
            </w:tcBorders>
            <w:vAlign w:val="center"/>
          </w:tcPr>
          <w:p w14:paraId="66030F91" w14:textId="24BE3440" w:rsidR="00426C3A" w:rsidRPr="000554B4" w:rsidRDefault="00426C3A" w:rsidP="00426C3A">
            <w:pPr>
              <w:pStyle w:val="TableText"/>
              <w:jc w:val="right"/>
            </w:pPr>
            <w:r w:rsidRPr="000554B4">
              <w:t>0</w:t>
            </w:r>
          </w:p>
        </w:tc>
        <w:tc>
          <w:tcPr>
            <w:tcW w:w="809" w:type="pct"/>
            <w:tcBorders>
              <w:top w:val="single" w:sz="4" w:space="0" w:color="auto"/>
              <w:bottom w:val="single" w:sz="4" w:space="0" w:color="auto"/>
            </w:tcBorders>
            <w:vAlign w:val="center"/>
          </w:tcPr>
          <w:p w14:paraId="1E790AF7" w14:textId="2FE74B20" w:rsidR="00426C3A" w:rsidRPr="000554B4" w:rsidRDefault="00426C3A" w:rsidP="00426C3A">
            <w:pPr>
              <w:pStyle w:val="TableText"/>
              <w:jc w:val="right"/>
            </w:pPr>
            <w:r w:rsidRPr="000554B4">
              <w:t>0</w:t>
            </w:r>
          </w:p>
        </w:tc>
        <w:tc>
          <w:tcPr>
            <w:tcW w:w="589" w:type="pct"/>
            <w:tcBorders>
              <w:top w:val="single" w:sz="4" w:space="0" w:color="auto"/>
              <w:bottom w:val="single" w:sz="4" w:space="0" w:color="auto"/>
            </w:tcBorders>
            <w:vAlign w:val="center"/>
          </w:tcPr>
          <w:p w14:paraId="24A65EAE" w14:textId="5739D63A" w:rsidR="00426C3A" w:rsidRPr="000554B4" w:rsidRDefault="00426C3A" w:rsidP="00426C3A">
            <w:pPr>
              <w:pStyle w:val="TableText"/>
              <w:jc w:val="right"/>
            </w:pPr>
            <w:r w:rsidRPr="000554B4">
              <w:t>0</w:t>
            </w:r>
          </w:p>
        </w:tc>
        <w:tc>
          <w:tcPr>
            <w:tcW w:w="588" w:type="pct"/>
            <w:tcBorders>
              <w:top w:val="single" w:sz="4" w:space="0" w:color="auto"/>
              <w:bottom w:val="single" w:sz="4" w:space="0" w:color="auto"/>
            </w:tcBorders>
            <w:vAlign w:val="center"/>
          </w:tcPr>
          <w:p w14:paraId="1D8AEE7D" w14:textId="60DC5379" w:rsidR="00426C3A" w:rsidRPr="000554B4"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75EBEA81" w14:textId="7F7B3214" w:rsidR="00426C3A" w:rsidRPr="000554B4" w:rsidRDefault="00426C3A" w:rsidP="00426C3A">
            <w:pPr>
              <w:pStyle w:val="TableText"/>
              <w:jc w:val="right"/>
            </w:pPr>
            <w:r w:rsidRPr="000554B4">
              <w:t>10</w:t>
            </w:r>
          </w:p>
        </w:tc>
      </w:tr>
    </w:tbl>
    <w:p w14:paraId="20E211B9" w14:textId="1517589E" w:rsidR="00426C3A" w:rsidRPr="00D05130" w:rsidRDefault="00426C3A" w:rsidP="00D05130">
      <w:pPr>
        <w:pStyle w:val="AppendixH3"/>
      </w:pPr>
      <w:bookmarkStart w:id="129" w:name="_Toc116301578"/>
      <w:r w:rsidRPr="00D05130">
        <w:t>Aircraft</w:t>
      </w:r>
      <w:bookmarkEnd w:id="129"/>
    </w:p>
    <w:p w14:paraId="48B1F6E2" w14:textId="77777777" w:rsidR="00426C3A" w:rsidRPr="00D05130" w:rsidRDefault="00426C3A" w:rsidP="00D05130">
      <w:pPr>
        <w:pStyle w:val="APVMAText"/>
      </w:pPr>
      <w:r w:rsidRPr="00D05130">
        <w:t>DO NOT apply by aircraft unless the following requirements are met:</w:t>
      </w:r>
    </w:p>
    <w:p w14:paraId="6E591E08" w14:textId="028C12DF" w:rsidR="00426C3A" w:rsidRPr="00D05130" w:rsidRDefault="00426C3A" w:rsidP="00D05130">
      <w:pPr>
        <w:pStyle w:val="Bullet1"/>
      </w:pPr>
      <w:r w:rsidRPr="00D05130">
        <w:t>Spray droplets not smaller than a MEDIUM spray droplet size category for lentil application</w:t>
      </w:r>
    </w:p>
    <w:p w14:paraId="6BE20241" w14:textId="2934251F" w:rsidR="00426C3A" w:rsidRPr="00D05130" w:rsidRDefault="00426C3A" w:rsidP="00D05130">
      <w:pPr>
        <w:pStyle w:val="Bullet1"/>
      </w:pPr>
      <w:r w:rsidRPr="00D05130">
        <w:t>Spray droplets not smaller than a COARSE spray droplet size category for canola application</w:t>
      </w:r>
    </w:p>
    <w:p w14:paraId="587D6070" w14:textId="4FB6F8DF" w:rsidR="00426C3A" w:rsidRPr="00D05130" w:rsidRDefault="00426C3A" w:rsidP="00D05130">
      <w:pPr>
        <w:pStyle w:val="Bullet1"/>
      </w:pPr>
      <w:r w:rsidRPr="00D05130">
        <w:t>For maximum release height above the target canopy of 3</w:t>
      </w:r>
      <w:r w:rsidR="00295DF8" w:rsidRPr="00D05130">
        <w:t> </w:t>
      </w:r>
      <w:r w:rsidRPr="00D05130">
        <w:t>metres or 25% of wingspan or 25% of rotor diameter, whichever is the greatest, minimum distances between the application site and downwind sensitive areas (see the ‘Mandatory buffer zones’ section in Tables 16 and 17) are observed</w:t>
      </w:r>
    </w:p>
    <w:p w14:paraId="3F12701A" w14:textId="122629AF" w:rsidR="00426C3A" w:rsidRPr="00D05130" w:rsidRDefault="00426C3A" w:rsidP="00D05130">
      <w:pPr>
        <w:pStyle w:val="Caption"/>
      </w:pPr>
      <w:bookmarkStart w:id="130" w:name="_Toc101968012"/>
      <w:bookmarkStart w:id="131" w:name="_Toc116301707"/>
      <w:r w:rsidRPr="00D05130">
        <w:t xml:space="preserve">Table </w:t>
      </w:r>
      <w:fldSimple w:instr=" SEQ Table \* ARABIC ">
        <w:r w:rsidR="00ED7319" w:rsidRPr="00D05130">
          <w:t>16</w:t>
        </w:r>
      </w:fldSimple>
      <w:r w:rsidRPr="00D05130">
        <w:t>:</w:t>
      </w:r>
      <w:r w:rsidRPr="00D05130">
        <w:tab/>
        <w:t>Buffer zones for aircraft (MEDIUM spray droplet size SC 500</w:t>
      </w:r>
      <w:r w:rsidR="00295DF8" w:rsidRPr="00D05130">
        <w:t> </w:t>
      </w:r>
      <w:r w:rsidRPr="00D05130">
        <w:t>g/L procymidone)</w:t>
      </w:r>
      <w:bookmarkEnd w:id="130"/>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11"/>
        <w:gridCol w:w="1060"/>
        <w:gridCol w:w="1413"/>
        <w:gridCol w:w="1413"/>
        <w:gridCol w:w="1413"/>
        <w:gridCol w:w="1413"/>
        <w:gridCol w:w="1415"/>
      </w:tblGrid>
      <w:tr w:rsidR="00426C3A" w14:paraId="5888F353" w14:textId="77777777" w:rsidTr="00426C3A">
        <w:trPr>
          <w:trHeight w:val="429"/>
          <w:tblHeader/>
        </w:trPr>
        <w:tc>
          <w:tcPr>
            <w:tcW w:w="784" w:type="pct"/>
            <w:vMerge w:val="restart"/>
            <w:tcBorders>
              <w:top w:val="single" w:sz="4" w:space="0" w:color="auto"/>
              <w:left w:val="nil"/>
              <w:bottom w:val="single" w:sz="4" w:space="0" w:color="auto"/>
              <w:right w:val="nil"/>
            </w:tcBorders>
            <w:shd w:val="clear" w:color="auto" w:fill="5C2946"/>
            <w:vAlign w:val="center"/>
            <w:hideMark/>
          </w:tcPr>
          <w:p w14:paraId="507B3A1E" w14:textId="77777777" w:rsidR="00426C3A" w:rsidRPr="00426C3A" w:rsidRDefault="00426C3A" w:rsidP="00D05130">
            <w:pPr>
              <w:pStyle w:val="TableHead"/>
            </w:pPr>
            <w:bookmarkStart w:id="132" w:name="_Hlk101966052"/>
            <w:r w:rsidRPr="00426C3A">
              <w:t>Application rate</w:t>
            </w:r>
          </w:p>
        </w:tc>
        <w:tc>
          <w:tcPr>
            <w:tcW w:w="550" w:type="pct"/>
            <w:vMerge w:val="restart"/>
            <w:tcBorders>
              <w:top w:val="single" w:sz="4" w:space="0" w:color="auto"/>
              <w:left w:val="nil"/>
              <w:bottom w:val="single" w:sz="4" w:space="0" w:color="auto"/>
              <w:right w:val="nil"/>
            </w:tcBorders>
            <w:shd w:val="clear" w:color="auto" w:fill="5C2946"/>
            <w:vAlign w:val="center"/>
            <w:hideMark/>
          </w:tcPr>
          <w:p w14:paraId="22717FF2" w14:textId="77777777" w:rsidR="00426C3A" w:rsidRPr="00426C3A" w:rsidRDefault="00426C3A" w:rsidP="00D05130">
            <w:pPr>
              <w:pStyle w:val="TableHead"/>
            </w:pPr>
            <w:r w:rsidRPr="00426C3A">
              <w:t>Type of aircraft</w:t>
            </w:r>
          </w:p>
        </w:tc>
        <w:tc>
          <w:tcPr>
            <w:tcW w:w="3666" w:type="pct"/>
            <w:gridSpan w:val="5"/>
            <w:tcBorders>
              <w:top w:val="single" w:sz="4" w:space="0" w:color="auto"/>
              <w:left w:val="nil"/>
              <w:bottom w:val="single" w:sz="4" w:space="0" w:color="auto"/>
              <w:right w:val="nil"/>
            </w:tcBorders>
            <w:shd w:val="clear" w:color="auto" w:fill="5C2946"/>
            <w:hideMark/>
          </w:tcPr>
          <w:p w14:paraId="774621BB" w14:textId="25D2D616" w:rsidR="00426C3A" w:rsidRPr="00426C3A" w:rsidRDefault="00426C3A" w:rsidP="00D05130">
            <w:pPr>
              <w:pStyle w:val="TableHead"/>
              <w:jc w:val="right"/>
              <w:rPr>
                <w:color w:val="FFFFFF"/>
                <w:szCs w:val="18"/>
              </w:rPr>
            </w:pPr>
            <w:r w:rsidRPr="00426C3A">
              <w:rPr>
                <w:color w:val="FFFFFF"/>
                <w:szCs w:val="18"/>
              </w:rPr>
              <w:t>Mandatory buffer zones</w:t>
            </w:r>
          </w:p>
        </w:tc>
      </w:tr>
      <w:tr w:rsidR="00426C3A" w14:paraId="7674DE17" w14:textId="77777777" w:rsidTr="00426C3A">
        <w:trPr>
          <w:trHeight w:val="375"/>
          <w:tblHeader/>
        </w:trPr>
        <w:tc>
          <w:tcPr>
            <w:tcW w:w="784" w:type="pct"/>
            <w:vMerge/>
            <w:tcBorders>
              <w:top w:val="single" w:sz="4" w:space="0" w:color="auto"/>
              <w:left w:val="nil"/>
              <w:bottom w:val="single" w:sz="4" w:space="0" w:color="auto"/>
              <w:right w:val="nil"/>
            </w:tcBorders>
            <w:shd w:val="clear" w:color="auto" w:fill="5C2946"/>
            <w:vAlign w:val="center"/>
            <w:hideMark/>
          </w:tcPr>
          <w:p w14:paraId="18EBA2AD" w14:textId="77777777" w:rsidR="00426C3A" w:rsidRPr="00426C3A" w:rsidRDefault="00426C3A" w:rsidP="00D05130">
            <w:pPr>
              <w:pStyle w:val="TableHead"/>
            </w:pPr>
          </w:p>
        </w:tc>
        <w:tc>
          <w:tcPr>
            <w:tcW w:w="550" w:type="pct"/>
            <w:vMerge/>
            <w:tcBorders>
              <w:top w:val="single" w:sz="4" w:space="0" w:color="auto"/>
              <w:left w:val="nil"/>
              <w:bottom w:val="single" w:sz="4" w:space="0" w:color="auto"/>
              <w:right w:val="nil"/>
            </w:tcBorders>
            <w:shd w:val="clear" w:color="auto" w:fill="5C2946"/>
            <w:vAlign w:val="center"/>
            <w:hideMark/>
          </w:tcPr>
          <w:p w14:paraId="22CC936D" w14:textId="77777777" w:rsidR="00426C3A" w:rsidRPr="00426C3A" w:rsidRDefault="00426C3A" w:rsidP="00D05130">
            <w:pPr>
              <w:pStyle w:val="TableHead"/>
            </w:pPr>
          </w:p>
        </w:tc>
        <w:tc>
          <w:tcPr>
            <w:tcW w:w="733" w:type="pct"/>
            <w:tcBorders>
              <w:top w:val="single" w:sz="4" w:space="0" w:color="auto"/>
              <w:left w:val="nil"/>
              <w:bottom w:val="single" w:sz="4" w:space="0" w:color="auto"/>
              <w:right w:val="nil"/>
            </w:tcBorders>
            <w:shd w:val="clear" w:color="auto" w:fill="5C2946"/>
            <w:vAlign w:val="center"/>
            <w:hideMark/>
          </w:tcPr>
          <w:p w14:paraId="1D408881" w14:textId="77777777" w:rsidR="00426C3A" w:rsidRPr="00426C3A" w:rsidRDefault="00426C3A" w:rsidP="00D05130">
            <w:pPr>
              <w:pStyle w:val="TableHead"/>
              <w:jc w:val="right"/>
            </w:pPr>
            <w:r w:rsidRPr="00426C3A">
              <w:t>Bystander areas (metres)</w:t>
            </w:r>
          </w:p>
        </w:tc>
        <w:tc>
          <w:tcPr>
            <w:tcW w:w="733" w:type="pct"/>
            <w:tcBorders>
              <w:top w:val="single" w:sz="4" w:space="0" w:color="auto"/>
              <w:left w:val="nil"/>
              <w:bottom w:val="single" w:sz="4" w:space="0" w:color="auto"/>
              <w:right w:val="nil"/>
            </w:tcBorders>
            <w:shd w:val="clear" w:color="auto" w:fill="5C2946"/>
            <w:vAlign w:val="center"/>
            <w:hideMark/>
          </w:tcPr>
          <w:p w14:paraId="4FC1706A" w14:textId="77777777" w:rsidR="00426C3A" w:rsidRPr="00426C3A" w:rsidRDefault="00426C3A" w:rsidP="00D05130">
            <w:pPr>
              <w:pStyle w:val="TableHead"/>
              <w:jc w:val="right"/>
            </w:pPr>
            <w:r w:rsidRPr="00426C3A">
              <w:t>Natural aquatic areas (metres)</w:t>
            </w:r>
          </w:p>
        </w:tc>
        <w:tc>
          <w:tcPr>
            <w:tcW w:w="733" w:type="pct"/>
            <w:tcBorders>
              <w:top w:val="single" w:sz="4" w:space="0" w:color="auto"/>
              <w:left w:val="nil"/>
              <w:bottom w:val="single" w:sz="4" w:space="0" w:color="auto"/>
              <w:right w:val="nil"/>
            </w:tcBorders>
            <w:shd w:val="clear" w:color="auto" w:fill="5C2946"/>
            <w:vAlign w:val="center"/>
            <w:hideMark/>
          </w:tcPr>
          <w:p w14:paraId="4B026B26" w14:textId="77777777" w:rsidR="00426C3A" w:rsidRPr="00426C3A" w:rsidRDefault="00426C3A" w:rsidP="00D05130">
            <w:pPr>
              <w:pStyle w:val="TableHead"/>
              <w:jc w:val="right"/>
            </w:pPr>
            <w:r w:rsidRPr="00426C3A">
              <w:t>Pollinator areas (metres)</w:t>
            </w:r>
          </w:p>
        </w:tc>
        <w:tc>
          <w:tcPr>
            <w:tcW w:w="733" w:type="pct"/>
            <w:tcBorders>
              <w:top w:val="single" w:sz="4" w:space="0" w:color="auto"/>
              <w:left w:val="nil"/>
              <w:bottom w:val="single" w:sz="4" w:space="0" w:color="auto"/>
              <w:right w:val="nil"/>
            </w:tcBorders>
            <w:shd w:val="clear" w:color="auto" w:fill="5C2946"/>
            <w:vAlign w:val="center"/>
            <w:hideMark/>
          </w:tcPr>
          <w:p w14:paraId="36D56613" w14:textId="77777777" w:rsidR="00426C3A" w:rsidRPr="00426C3A" w:rsidRDefault="00426C3A" w:rsidP="00D05130">
            <w:pPr>
              <w:pStyle w:val="TableHead"/>
              <w:jc w:val="right"/>
            </w:pPr>
            <w:r w:rsidRPr="00426C3A">
              <w:t>Vegetation areas (metres)</w:t>
            </w:r>
          </w:p>
        </w:tc>
        <w:tc>
          <w:tcPr>
            <w:tcW w:w="734" w:type="pct"/>
            <w:tcBorders>
              <w:top w:val="single" w:sz="4" w:space="0" w:color="auto"/>
              <w:left w:val="nil"/>
              <w:bottom w:val="single" w:sz="4" w:space="0" w:color="auto"/>
              <w:right w:val="nil"/>
            </w:tcBorders>
            <w:shd w:val="clear" w:color="auto" w:fill="5C2946"/>
            <w:vAlign w:val="center"/>
            <w:hideMark/>
          </w:tcPr>
          <w:p w14:paraId="33B9B581" w14:textId="77777777" w:rsidR="00426C3A" w:rsidRPr="00426C3A" w:rsidRDefault="00426C3A" w:rsidP="00D05130">
            <w:pPr>
              <w:pStyle w:val="TableHead"/>
              <w:jc w:val="right"/>
            </w:pPr>
            <w:r w:rsidRPr="00426C3A">
              <w:t>Livestock areas (metres)</w:t>
            </w:r>
          </w:p>
        </w:tc>
      </w:tr>
      <w:tr w:rsidR="00426C3A" w14:paraId="147C7F7F" w14:textId="77777777" w:rsidTr="00426C3A">
        <w:tc>
          <w:tcPr>
            <w:tcW w:w="784" w:type="pct"/>
            <w:vMerge w:val="restart"/>
            <w:tcBorders>
              <w:top w:val="single" w:sz="4" w:space="0" w:color="auto"/>
              <w:left w:val="nil"/>
              <w:bottom w:val="single" w:sz="4" w:space="0" w:color="auto"/>
              <w:right w:val="nil"/>
            </w:tcBorders>
            <w:vAlign w:val="center"/>
            <w:hideMark/>
          </w:tcPr>
          <w:p w14:paraId="7C791C73" w14:textId="453546B2" w:rsidR="00426C3A" w:rsidRDefault="00426C3A" w:rsidP="002B210B">
            <w:pPr>
              <w:pStyle w:val="APVMATableText"/>
              <w:rPr>
                <w:bCs/>
              </w:rPr>
            </w:pPr>
            <w:r>
              <w:t>Up to 500</w:t>
            </w:r>
            <w:r w:rsidR="00295DF8">
              <w:t> </w:t>
            </w:r>
            <w:r>
              <w:t>mL/ha</w:t>
            </w:r>
            <w:r w:rsidR="00295DF8">
              <w:t xml:space="preserve"> </w:t>
            </w:r>
            <w:r>
              <w:t>(250</w:t>
            </w:r>
            <w:r w:rsidR="00295DF8">
              <w:t> </w:t>
            </w:r>
            <w:r>
              <w:t>g</w:t>
            </w:r>
            <w:r w:rsidR="00295DF8">
              <w:t> </w:t>
            </w:r>
            <w:r>
              <w:t>ac/ha)</w:t>
            </w:r>
          </w:p>
        </w:tc>
        <w:tc>
          <w:tcPr>
            <w:tcW w:w="550" w:type="pct"/>
            <w:tcBorders>
              <w:top w:val="single" w:sz="4" w:space="0" w:color="auto"/>
              <w:left w:val="nil"/>
              <w:bottom w:val="single" w:sz="4" w:space="0" w:color="auto"/>
              <w:right w:val="nil"/>
            </w:tcBorders>
            <w:hideMark/>
          </w:tcPr>
          <w:p w14:paraId="4D4570F8" w14:textId="77777777" w:rsidR="00426C3A" w:rsidRPr="00125EE0" w:rsidRDefault="00426C3A" w:rsidP="002B210B">
            <w:pPr>
              <w:pStyle w:val="APVMATableText"/>
            </w:pPr>
            <w:r w:rsidRPr="00125EE0">
              <w:t>Fixed wing</w:t>
            </w:r>
          </w:p>
        </w:tc>
        <w:tc>
          <w:tcPr>
            <w:tcW w:w="733" w:type="pct"/>
            <w:tcBorders>
              <w:top w:val="single" w:sz="4" w:space="0" w:color="auto"/>
              <w:left w:val="nil"/>
              <w:bottom w:val="single" w:sz="4" w:space="0" w:color="auto"/>
              <w:right w:val="nil"/>
            </w:tcBorders>
            <w:vAlign w:val="center"/>
            <w:hideMark/>
          </w:tcPr>
          <w:p w14:paraId="7C0BCA68" w14:textId="77777777" w:rsidR="00426C3A" w:rsidRPr="00125EE0" w:rsidRDefault="00426C3A" w:rsidP="00D05130">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6B6102B2" w14:textId="77777777" w:rsidR="00426C3A" w:rsidRPr="00125EE0" w:rsidRDefault="00426C3A" w:rsidP="00D05130">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03B15DE1" w14:textId="77777777" w:rsidR="00426C3A" w:rsidRPr="00125EE0" w:rsidRDefault="00426C3A" w:rsidP="00D05130">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466B33EA" w14:textId="77777777" w:rsidR="00426C3A" w:rsidRPr="00125EE0" w:rsidRDefault="00426C3A" w:rsidP="00D05130">
            <w:pPr>
              <w:pStyle w:val="APVMATableText"/>
              <w:jc w:val="right"/>
            </w:pPr>
            <w:r w:rsidRPr="00125EE0">
              <w:t>0</w:t>
            </w:r>
          </w:p>
        </w:tc>
        <w:tc>
          <w:tcPr>
            <w:tcW w:w="734" w:type="pct"/>
            <w:tcBorders>
              <w:top w:val="single" w:sz="4" w:space="0" w:color="auto"/>
              <w:left w:val="nil"/>
              <w:bottom w:val="single" w:sz="4" w:space="0" w:color="auto"/>
              <w:right w:val="nil"/>
            </w:tcBorders>
            <w:vAlign w:val="center"/>
            <w:hideMark/>
          </w:tcPr>
          <w:p w14:paraId="19B3742C" w14:textId="77777777" w:rsidR="00426C3A" w:rsidRPr="00125EE0" w:rsidRDefault="00426C3A" w:rsidP="00D05130">
            <w:pPr>
              <w:pStyle w:val="APVMATableText"/>
              <w:jc w:val="right"/>
            </w:pPr>
            <w:r w:rsidRPr="00125EE0">
              <w:t>230</w:t>
            </w:r>
          </w:p>
        </w:tc>
      </w:tr>
      <w:tr w:rsidR="00426C3A" w14:paraId="434B150E" w14:textId="77777777" w:rsidTr="00426C3A">
        <w:tc>
          <w:tcPr>
            <w:tcW w:w="784" w:type="pct"/>
            <w:vMerge/>
            <w:tcBorders>
              <w:top w:val="single" w:sz="4" w:space="0" w:color="auto"/>
              <w:left w:val="nil"/>
              <w:bottom w:val="single" w:sz="4" w:space="0" w:color="auto"/>
              <w:right w:val="nil"/>
            </w:tcBorders>
            <w:vAlign w:val="center"/>
            <w:hideMark/>
          </w:tcPr>
          <w:p w14:paraId="0733F7DE" w14:textId="77777777" w:rsidR="00426C3A" w:rsidRDefault="00426C3A" w:rsidP="002B210B">
            <w:pPr>
              <w:pStyle w:val="APVMATableText"/>
              <w:rPr>
                <w:bCs/>
                <w:color w:val="000000"/>
              </w:rPr>
            </w:pPr>
          </w:p>
        </w:tc>
        <w:tc>
          <w:tcPr>
            <w:tcW w:w="550" w:type="pct"/>
            <w:tcBorders>
              <w:top w:val="single" w:sz="4" w:space="0" w:color="auto"/>
              <w:left w:val="nil"/>
              <w:bottom w:val="single" w:sz="4" w:space="0" w:color="auto"/>
              <w:right w:val="nil"/>
            </w:tcBorders>
            <w:hideMark/>
          </w:tcPr>
          <w:p w14:paraId="6FB8B31F" w14:textId="77777777" w:rsidR="00426C3A" w:rsidRPr="00125EE0" w:rsidRDefault="00426C3A" w:rsidP="002B210B">
            <w:pPr>
              <w:pStyle w:val="APVMATableText"/>
            </w:pPr>
            <w:r w:rsidRPr="00125EE0">
              <w:t>Helicopter</w:t>
            </w:r>
          </w:p>
        </w:tc>
        <w:tc>
          <w:tcPr>
            <w:tcW w:w="733" w:type="pct"/>
            <w:tcBorders>
              <w:top w:val="single" w:sz="4" w:space="0" w:color="auto"/>
              <w:left w:val="nil"/>
              <w:bottom w:val="single" w:sz="4" w:space="0" w:color="auto"/>
              <w:right w:val="nil"/>
            </w:tcBorders>
            <w:vAlign w:val="center"/>
            <w:hideMark/>
          </w:tcPr>
          <w:p w14:paraId="1BBCA44D" w14:textId="77777777" w:rsidR="00426C3A" w:rsidRPr="00125EE0" w:rsidRDefault="00426C3A" w:rsidP="00D05130">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2EF7D126" w14:textId="77777777" w:rsidR="00426C3A" w:rsidRPr="00125EE0" w:rsidRDefault="00426C3A" w:rsidP="00D05130">
            <w:pPr>
              <w:pStyle w:val="APVMATableText"/>
              <w:jc w:val="right"/>
            </w:pPr>
            <w:r w:rsidRPr="00125EE0">
              <w:t>10</w:t>
            </w:r>
          </w:p>
        </w:tc>
        <w:tc>
          <w:tcPr>
            <w:tcW w:w="733" w:type="pct"/>
            <w:tcBorders>
              <w:top w:val="single" w:sz="4" w:space="0" w:color="auto"/>
              <w:left w:val="nil"/>
              <w:bottom w:val="single" w:sz="4" w:space="0" w:color="auto"/>
              <w:right w:val="nil"/>
            </w:tcBorders>
            <w:vAlign w:val="center"/>
            <w:hideMark/>
          </w:tcPr>
          <w:p w14:paraId="741F7AF7" w14:textId="77777777" w:rsidR="00426C3A" w:rsidRPr="00125EE0" w:rsidRDefault="00426C3A" w:rsidP="00D05130">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76BD3F9A" w14:textId="77777777" w:rsidR="00426C3A" w:rsidRPr="00125EE0" w:rsidRDefault="00426C3A" w:rsidP="00D05130">
            <w:pPr>
              <w:pStyle w:val="APVMATableText"/>
              <w:jc w:val="right"/>
            </w:pPr>
            <w:r w:rsidRPr="00125EE0">
              <w:t>0</w:t>
            </w:r>
          </w:p>
        </w:tc>
        <w:tc>
          <w:tcPr>
            <w:tcW w:w="734" w:type="pct"/>
            <w:tcBorders>
              <w:top w:val="single" w:sz="4" w:space="0" w:color="auto"/>
              <w:left w:val="nil"/>
              <w:bottom w:val="single" w:sz="4" w:space="0" w:color="auto"/>
              <w:right w:val="nil"/>
            </w:tcBorders>
            <w:vAlign w:val="center"/>
            <w:hideMark/>
          </w:tcPr>
          <w:p w14:paraId="553DEA1C" w14:textId="77777777" w:rsidR="00426C3A" w:rsidRPr="00125EE0" w:rsidRDefault="00426C3A" w:rsidP="00D05130">
            <w:pPr>
              <w:pStyle w:val="APVMATableText"/>
              <w:jc w:val="right"/>
            </w:pPr>
            <w:r w:rsidRPr="00125EE0">
              <w:t>140</w:t>
            </w:r>
          </w:p>
        </w:tc>
      </w:tr>
    </w:tbl>
    <w:p w14:paraId="16CCB23C" w14:textId="241E2669" w:rsidR="00426C3A" w:rsidRPr="00D05130" w:rsidRDefault="00426C3A" w:rsidP="00D05130">
      <w:pPr>
        <w:pStyle w:val="Caption"/>
      </w:pPr>
      <w:bookmarkStart w:id="133" w:name="_Toc101968013"/>
      <w:bookmarkStart w:id="134" w:name="_Toc116301708"/>
      <w:bookmarkEnd w:id="132"/>
      <w:r w:rsidRPr="00D05130">
        <w:t xml:space="preserve">Table </w:t>
      </w:r>
      <w:fldSimple w:instr=" SEQ Table \* ARABIC ">
        <w:r w:rsidR="00ED7319" w:rsidRPr="00D05130">
          <w:t>17</w:t>
        </w:r>
      </w:fldSimple>
      <w:r w:rsidRPr="00D05130">
        <w:t>:</w:t>
      </w:r>
      <w:r w:rsidRPr="00D05130">
        <w:tab/>
        <w:t>Buffer zones for aircraft (Coarse spray droplet size SC 500</w:t>
      </w:r>
      <w:r w:rsidR="00295DF8" w:rsidRPr="00D05130">
        <w:t> </w:t>
      </w:r>
      <w:r w:rsidRPr="00D05130">
        <w:t>g/L procymidone)</w:t>
      </w:r>
      <w:bookmarkEnd w:id="133"/>
      <w:bookmarkEnd w:id="134"/>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15"/>
        <w:gridCol w:w="1059"/>
        <w:gridCol w:w="1411"/>
        <w:gridCol w:w="1411"/>
        <w:gridCol w:w="1411"/>
        <w:gridCol w:w="1411"/>
        <w:gridCol w:w="1410"/>
      </w:tblGrid>
      <w:tr w:rsidR="00426C3A" w14:paraId="308CEF2F" w14:textId="77777777" w:rsidTr="00426C3A">
        <w:trPr>
          <w:tblHeader/>
        </w:trPr>
        <w:tc>
          <w:tcPr>
            <w:tcW w:w="786" w:type="pct"/>
            <w:vMerge w:val="restart"/>
            <w:tcBorders>
              <w:top w:val="single" w:sz="4" w:space="0" w:color="auto"/>
              <w:left w:val="nil"/>
              <w:bottom w:val="single" w:sz="4" w:space="0" w:color="auto"/>
              <w:right w:val="nil"/>
            </w:tcBorders>
            <w:shd w:val="clear" w:color="auto" w:fill="5C2946"/>
            <w:vAlign w:val="center"/>
            <w:hideMark/>
          </w:tcPr>
          <w:p w14:paraId="2BA7A588" w14:textId="77777777" w:rsidR="00426C3A" w:rsidRPr="00426C3A" w:rsidRDefault="00426C3A" w:rsidP="00426C3A">
            <w:pPr>
              <w:pStyle w:val="TableHead"/>
            </w:pPr>
            <w:r w:rsidRPr="00426C3A">
              <w:t>Application rate</w:t>
            </w:r>
          </w:p>
        </w:tc>
        <w:tc>
          <w:tcPr>
            <w:tcW w:w="550" w:type="pct"/>
            <w:vMerge w:val="restart"/>
            <w:tcBorders>
              <w:top w:val="single" w:sz="4" w:space="0" w:color="auto"/>
              <w:left w:val="nil"/>
              <w:bottom w:val="single" w:sz="4" w:space="0" w:color="auto"/>
              <w:right w:val="nil"/>
            </w:tcBorders>
            <w:shd w:val="clear" w:color="auto" w:fill="5C2946"/>
            <w:vAlign w:val="center"/>
            <w:hideMark/>
          </w:tcPr>
          <w:p w14:paraId="59860E33" w14:textId="77777777" w:rsidR="00426C3A" w:rsidRPr="00426C3A" w:rsidRDefault="00426C3A" w:rsidP="00426C3A">
            <w:pPr>
              <w:pStyle w:val="TableHead"/>
            </w:pPr>
            <w:r w:rsidRPr="00426C3A">
              <w:t>Type of aircraft</w:t>
            </w:r>
          </w:p>
        </w:tc>
        <w:tc>
          <w:tcPr>
            <w:tcW w:w="3664" w:type="pct"/>
            <w:gridSpan w:val="5"/>
            <w:tcBorders>
              <w:top w:val="single" w:sz="4" w:space="0" w:color="auto"/>
              <w:left w:val="nil"/>
              <w:bottom w:val="single" w:sz="4" w:space="0" w:color="auto"/>
              <w:right w:val="nil"/>
            </w:tcBorders>
            <w:shd w:val="clear" w:color="auto" w:fill="5C2946"/>
            <w:hideMark/>
          </w:tcPr>
          <w:p w14:paraId="06DB926C" w14:textId="77777777" w:rsidR="00426C3A" w:rsidRPr="00426C3A" w:rsidRDefault="00426C3A" w:rsidP="00426C3A">
            <w:pPr>
              <w:jc w:val="center"/>
              <w:rPr>
                <w:rFonts w:ascii="Franklin Gothic Medium" w:hAnsi="Franklin Gothic Medium"/>
                <w:sz w:val="18"/>
                <w:szCs w:val="18"/>
              </w:rPr>
            </w:pPr>
            <w:r w:rsidRPr="00426C3A">
              <w:rPr>
                <w:rFonts w:ascii="Franklin Gothic Medium" w:hAnsi="Franklin Gothic Medium"/>
                <w:color w:val="FFFFFF"/>
                <w:sz w:val="18"/>
                <w:szCs w:val="18"/>
              </w:rPr>
              <w:t>Mandatory buffer zones</w:t>
            </w:r>
          </w:p>
        </w:tc>
      </w:tr>
      <w:tr w:rsidR="00426C3A" w14:paraId="57A4D236" w14:textId="77777777" w:rsidTr="00426C3A">
        <w:trPr>
          <w:tblHeader/>
        </w:trPr>
        <w:tc>
          <w:tcPr>
            <w:tcW w:w="786" w:type="pct"/>
            <w:vMerge/>
            <w:tcBorders>
              <w:top w:val="single" w:sz="4" w:space="0" w:color="auto"/>
              <w:left w:val="nil"/>
              <w:bottom w:val="single" w:sz="4" w:space="0" w:color="auto"/>
              <w:right w:val="nil"/>
            </w:tcBorders>
            <w:shd w:val="clear" w:color="auto" w:fill="5C2946"/>
            <w:vAlign w:val="center"/>
            <w:hideMark/>
          </w:tcPr>
          <w:p w14:paraId="29C0AF86" w14:textId="77777777" w:rsidR="00426C3A" w:rsidRPr="00426C3A" w:rsidRDefault="00426C3A" w:rsidP="00426C3A"/>
        </w:tc>
        <w:tc>
          <w:tcPr>
            <w:tcW w:w="550" w:type="pct"/>
            <w:vMerge/>
            <w:tcBorders>
              <w:top w:val="single" w:sz="4" w:space="0" w:color="auto"/>
              <w:left w:val="nil"/>
              <w:bottom w:val="single" w:sz="4" w:space="0" w:color="auto"/>
              <w:right w:val="nil"/>
            </w:tcBorders>
            <w:shd w:val="clear" w:color="auto" w:fill="5C2946"/>
            <w:vAlign w:val="center"/>
            <w:hideMark/>
          </w:tcPr>
          <w:p w14:paraId="601A6C2A" w14:textId="77777777" w:rsidR="00426C3A" w:rsidRPr="00426C3A" w:rsidRDefault="00426C3A" w:rsidP="00426C3A"/>
        </w:tc>
        <w:tc>
          <w:tcPr>
            <w:tcW w:w="733" w:type="pct"/>
            <w:tcBorders>
              <w:top w:val="single" w:sz="4" w:space="0" w:color="auto"/>
              <w:left w:val="nil"/>
              <w:bottom w:val="single" w:sz="4" w:space="0" w:color="auto"/>
              <w:right w:val="nil"/>
            </w:tcBorders>
            <w:shd w:val="clear" w:color="auto" w:fill="5C2946"/>
            <w:vAlign w:val="center"/>
            <w:hideMark/>
          </w:tcPr>
          <w:p w14:paraId="70B461D8" w14:textId="77777777" w:rsidR="00426C3A" w:rsidRPr="00426C3A" w:rsidRDefault="00426C3A" w:rsidP="00426C3A">
            <w:pPr>
              <w:pStyle w:val="TableHead"/>
              <w:jc w:val="right"/>
            </w:pPr>
            <w:r w:rsidRPr="00426C3A">
              <w:t>Bystander areas (metres)</w:t>
            </w:r>
          </w:p>
        </w:tc>
        <w:tc>
          <w:tcPr>
            <w:tcW w:w="733" w:type="pct"/>
            <w:tcBorders>
              <w:top w:val="single" w:sz="4" w:space="0" w:color="auto"/>
              <w:left w:val="nil"/>
              <w:bottom w:val="single" w:sz="4" w:space="0" w:color="auto"/>
              <w:right w:val="nil"/>
            </w:tcBorders>
            <w:shd w:val="clear" w:color="auto" w:fill="5C2946"/>
            <w:vAlign w:val="center"/>
            <w:hideMark/>
          </w:tcPr>
          <w:p w14:paraId="531A8C76" w14:textId="77777777" w:rsidR="00426C3A" w:rsidRPr="00426C3A" w:rsidRDefault="00426C3A" w:rsidP="00426C3A">
            <w:pPr>
              <w:pStyle w:val="TableHead"/>
              <w:jc w:val="right"/>
            </w:pPr>
            <w:r w:rsidRPr="00426C3A">
              <w:t>Natural aquatic areas (metres)</w:t>
            </w:r>
          </w:p>
        </w:tc>
        <w:tc>
          <w:tcPr>
            <w:tcW w:w="733" w:type="pct"/>
            <w:tcBorders>
              <w:top w:val="single" w:sz="4" w:space="0" w:color="auto"/>
              <w:left w:val="nil"/>
              <w:bottom w:val="single" w:sz="4" w:space="0" w:color="auto"/>
              <w:right w:val="nil"/>
            </w:tcBorders>
            <w:shd w:val="clear" w:color="auto" w:fill="5C2946"/>
            <w:vAlign w:val="center"/>
            <w:hideMark/>
          </w:tcPr>
          <w:p w14:paraId="3C8B6169" w14:textId="77777777" w:rsidR="00426C3A" w:rsidRPr="00426C3A" w:rsidRDefault="00426C3A" w:rsidP="00426C3A">
            <w:pPr>
              <w:pStyle w:val="TableHead"/>
              <w:jc w:val="right"/>
            </w:pPr>
            <w:r w:rsidRPr="00426C3A">
              <w:t>Pollinator areas (metres)</w:t>
            </w:r>
          </w:p>
        </w:tc>
        <w:tc>
          <w:tcPr>
            <w:tcW w:w="733" w:type="pct"/>
            <w:tcBorders>
              <w:top w:val="single" w:sz="4" w:space="0" w:color="auto"/>
              <w:left w:val="nil"/>
              <w:bottom w:val="single" w:sz="4" w:space="0" w:color="auto"/>
              <w:right w:val="nil"/>
            </w:tcBorders>
            <w:shd w:val="clear" w:color="auto" w:fill="5C2946"/>
            <w:vAlign w:val="center"/>
            <w:hideMark/>
          </w:tcPr>
          <w:p w14:paraId="4A24CB1E" w14:textId="77777777" w:rsidR="00426C3A" w:rsidRPr="00426C3A" w:rsidRDefault="00426C3A" w:rsidP="00426C3A">
            <w:pPr>
              <w:pStyle w:val="TableHead"/>
              <w:jc w:val="right"/>
            </w:pPr>
            <w:r w:rsidRPr="00426C3A">
              <w:t>Vegetation areas (metres)</w:t>
            </w:r>
          </w:p>
        </w:tc>
        <w:tc>
          <w:tcPr>
            <w:tcW w:w="733" w:type="pct"/>
            <w:tcBorders>
              <w:top w:val="single" w:sz="4" w:space="0" w:color="auto"/>
              <w:left w:val="nil"/>
              <w:bottom w:val="single" w:sz="4" w:space="0" w:color="auto"/>
              <w:right w:val="nil"/>
            </w:tcBorders>
            <w:shd w:val="clear" w:color="auto" w:fill="5C2946"/>
            <w:vAlign w:val="center"/>
            <w:hideMark/>
          </w:tcPr>
          <w:p w14:paraId="00910CCD" w14:textId="77777777" w:rsidR="00426C3A" w:rsidRPr="00426C3A" w:rsidRDefault="00426C3A" w:rsidP="00426C3A">
            <w:pPr>
              <w:pStyle w:val="TableHead"/>
              <w:jc w:val="right"/>
            </w:pPr>
            <w:r w:rsidRPr="00426C3A">
              <w:t>Livestock areas (metres)</w:t>
            </w:r>
          </w:p>
        </w:tc>
      </w:tr>
      <w:tr w:rsidR="00426C3A" w14:paraId="1EFA5E56" w14:textId="77777777" w:rsidTr="00426C3A">
        <w:tc>
          <w:tcPr>
            <w:tcW w:w="786" w:type="pct"/>
            <w:vMerge w:val="restart"/>
            <w:tcBorders>
              <w:top w:val="single" w:sz="4" w:space="0" w:color="auto"/>
              <w:left w:val="nil"/>
              <w:bottom w:val="single" w:sz="4" w:space="0" w:color="auto"/>
              <w:right w:val="nil"/>
            </w:tcBorders>
            <w:vAlign w:val="center"/>
            <w:hideMark/>
          </w:tcPr>
          <w:p w14:paraId="6921553B" w14:textId="01E73A4C" w:rsidR="00426C3A" w:rsidRDefault="00426C3A" w:rsidP="002B210B">
            <w:pPr>
              <w:pStyle w:val="APVMATableText"/>
            </w:pPr>
            <w:r>
              <w:t>Up to 1000</w:t>
            </w:r>
            <w:r w:rsidR="00295DF8">
              <w:t> </w:t>
            </w:r>
            <w:r>
              <w:t>mL/ha (500</w:t>
            </w:r>
            <w:r w:rsidR="00295DF8">
              <w:t> </w:t>
            </w:r>
            <w:r>
              <w:t>g</w:t>
            </w:r>
            <w:r w:rsidR="00295DF8">
              <w:t> </w:t>
            </w:r>
            <w:r>
              <w:t>ac/ha)</w:t>
            </w:r>
          </w:p>
        </w:tc>
        <w:tc>
          <w:tcPr>
            <w:tcW w:w="550" w:type="pct"/>
            <w:tcBorders>
              <w:top w:val="single" w:sz="4" w:space="0" w:color="auto"/>
              <w:left w:val="nil"/>
              <w:bottom w:val="single" w:sz="4" w:space="0" w:color="auto"/>
              <w:right w:val="nil"/>
            </w:tcBorders>
            <w:hideMark/>
          </w:tcPr>
          <w:p w14:paraId="3ECFA827" w14:textId="77777777" w:rsidR="00426C3A" w:rsidRPr="00125EE0" w:rsidRDefault="00426C3A" w:rsidP="002B210B">
            <w:pPr>
              <w:pStyle w:val="APVMATableText"/>
            </w:pPr>
            <w:r w:rsidRPr="00125EE0">
              <w:t>Fixed wing</w:t>
            </w:r>
          </w:p>
        </w:tc>
        <w:tc>
          <w:tcPr>
            <w:tcW w:w="733" w:type="pct"/>
            <w:tcBorders>
              <w:top w:val="single" w:sz="4" w:space="0" w:color="auto"/>
              <w:left w:val="nil"/>
              <w:bottom w:val="single" w:sz="4" w:space="0" w:color="auto"/>
              <w:right w:val="nil"/>
            </w:tcBorders>
            <w:vAlign w:val="center"/>
            <w:hideMark/>
          </w:tcPr>
          <w:p w14:paraId="3F72B357"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2E56DBE9" w14:textId="77777777" w:rsidR="00426C3A" w:rsidRPr="00125EE0" w:rsidRDefault="00426C3A" w:rsidP="00426C3A">
            <w:pPr>
              <w:pStyle w:val="APVMATableText"/>
              <w:jc w:val="right"/>
            </w:pPr>
            <w:r w:rsidRPr="00125EE0">
              <w:t>5</w:t>
            </w:r>
          </w:p>
        </w:tc>
        <w:tc>
          <w:tcPr>
            <w:tcW w:w="733" w:type="pct"/>
            <w:tcBorders>
              <w:top w:val="single" w:sz="4" w:space="0" w:color="auto"/>
              <w:left w:val="nil"/>
              <w:bottom w:val="single" w:sz="4" w:space="0" w:color="auto"/>
              <w:right w:val="nil"/>
            </w:tcBorders>
            <w:vAlign w:val="center"/>
            <w:hideMark/>
          </w:tcPr>
          <w:p w14:paraId="553F422D"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76DA8B97"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392A187E" w14:textId="77777777" w:rsidR="00426C3A" w:rsidRPr="00125EE0" w:rsidRDefault="00426C3A" w:rsidP="00426C3A">
            <w:pPr>
              <w:pStyle w:val="APVMATableText"/>
              <w:jc w:val="right"/>
            </w:pPr>
            <w:r w:rsidRPr="00125EE0">
              <w:t>180</w:t>
            </w:r>
          </w:p>
        </w:tc>
      </w:tr>
      <w:tr w:rsidR="00426C3A" w14:paraId="68A00394" w14:textId="77777777" w:rsidTr="00426C3A">
        <w:tc>
          <w:tcPr>
            <w:tcW w:w="786" w:type="pct"/>
            <w:vMerge/>
            <w:tcBorders>
              <w:top w:val="single" w:sz="4" w:space="0" w:color="auto"/>
              <w:left w:val="nil"/>
              <w:bottom w:val="single" w:sz="4" w:space="0" w:color="auto"/>
              <w:right w:val="nil"/>
            </w:tcBorders>
            <w:vAlign w:val="center"/>
            <w:hideMark/>
          </w:tcPr>
          <w:p w14:paraId="0601C470" w14:textId="77777777" w:rsidR="00426C3A" w:rsidRDefault="00426C3A" w:rsidP="002B210B">
            <w:pPr>
              <w:pStyle w:val="APVMATableText"/>
              <w:rPr>
                <w:bCs/>
                <w:color w:val="000000"/>
              </w:rPr>
            </w:pPr>
          </w:p>
        </w:tc>
        <w:tc>
          <w:tcPr>
            <w:tcW w:w="550" w:type="pct"/>
            <w:tcBorders>
              <w:top w:val="single" w:sz="4" w:space="0" w:color="auto"/>
              <w:left w:val="nil"/>
              <w:bottom w:val="single" w:sz="4" w:space="0" w:color="auto"/>
              <w:right w:val="nil"/>
            </w:tcBorders>
            <w:hideMark/>
          </w:tcPr>
          <w:p w14:paraId="0CD9C333" w14:textId="77777777" w:rsidR="00426C3A" w:rsidRPr="00125EE0" w:rsidRDefault="00426C3A" w:rsidP="002B210B">
            <w:pPr>
              <w:pStyle w:val="APVMATableText"/>
            </w:pPr>
            <w:r w:rsidRPr="00125EE0">
              <w:t>Helicopter</w:t>
            </w:r>
          </w:p>
        </w:tc>
        <w:tc>
          <w:tcPr>
            <w:tcW w:w="733" w:type="pct"/>
            <w:tcBorders>
              <w:top w:val="single" w:sz="4" w:space="0" w:color="auto"/>
              <w:left w:val="nil"/>
              <w:bottom w:val="single" w:sz="4" w:space="0" w:color="auto"/>
              <w:right w:val="nil"/>
            </w:tcBorders>
            <w:vAlign w:val="center"/>
            <w:hideMark/>
          </w:tcPr>
          <w:p w14:paraId="19222C15"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4F01F014" w14:textId="77777777" w:rsidR="00426C3A" w:rsidRPr="00125EE0" w:rsidRDefault="00426C3A" w:rsidP="00426C3A">
            <w:pPr>
              <w:pStyle w:val="APVMATableText"/>
              <w:jc w:val="right"/>
            </w:pPr>
            <w:r w:rsidRPr="00125EE0">
              <w:t>15</w:t>
            </w:r>
          </w:p>
        </w:tc>
        <w:tc>
          <w:tcPr>
            <w:tcW w:w="733" w:type="pct"/>
            <w:tcBorders>
              <w:top w:val="single" w:sz="4" w:space="0" w:color="auto"/>
              <w:left w:val="nil"/>
              <w:bottom w:val="single" w:sz="4" w:space="0" w:color="auto"/>
              <w:right w:val="nil"/>
            </w:tcBorders>
            <w:vAlign w:val="center"/>
            <w:hideMark/>
          </w:tcPr>
          <w:p w14:paraId="18640FED"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51C3B6B6"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5C45461F" w14:textId="77777777" w:rsidR="00426C3A" w:rsidRPr="00125EE0" w:rsidRDefault="00426C3A" w:rsidP="00426C3A">
            <w:pPr>
              <w:pStyle w:val="APVMATableText"/>
              <w:jc w:val="right"/>
            </w:pPr>
            <w:r w:rsidRPr="00125EE0">
              <w:t>110</w:t>
            </w:r>
          </w:p>
        </w:tc>
      </w:tr>
    </w:tbl>
    <w:p w14:paraId="3D74A609" w14:textId="387E8885" w:rsidR="00426C3A" w:rsidRPr="00D05130" w:rsidRDefault="00426C3A" w:rsidP="00D05130">
      <w:pPr>
        <w:pStyle w:val="AppendixH2"/>
      </w:pPr>
      <w:bookmarkStart w:id="135" w:name="_Toc101951598"/>
      <w:bookmarkStart w:id="136" w:name="_Toc116301579"/>
      <w:r w:rsidRPr="00D05130">
        <w:lastRenderedPageBreak/>
        <w:t>Additional spray drift restraints for WG 800 g/kg procymidone labels</w:t>
      </w:r>
      <w:bookmarkEnd w:id="135"/>
      <w:bookmarkEnd w:id="136"/>
    </w:p>
    <w:p w14:paraId="69482477" w14:textId="5F6BA057" w:rsidR="00426C3A" w:rsidRPr="00D05130" w:rsidRDefault="00426C3A" w:rsidP="00D05130">
      <w:pPr>
        <w:pStyle w:val="AppendixH3"/>
      </w:pPr>
      <w:bookmarkStart w:id="137" w:name="_Toc116301580"/>
      <w:r w:rsidRPr="00D05130">
        <w:t>Boom sprayers</w:t>
      </w:r>
      <w:bookmarkEnd w:id="137"/>
    </w:p>
    <w:p w14:paraId="1982C146" w14:textId="77777777" w:rsidR="00426C3A" w:rsidRPr="00D05130" w:rsidRDefault="00426C3A" w:rsidP="00D05130">
      <w:pPr>
        <w:pStyle w:val="APVMAText"/>
      </w:pPr>
      <w:r w:rsidRPr="00D05130">
        <w:t>DO NOT apply by a boom sprayer unless the following requirements are met:</w:t>
      </w:r>
    </w:p>
    <w:p w14:paraId="483D4D88" w14:textId="4A2C066B" w:rsidR="00426C3A" w:rsidRPr="00D05130" w:rsidRDefault="00426C3A" w:rsidP="00D05130">
      <w:pPr>
        <w:pStyle w:val="Bullet1"/>
      </w:pPr>
      <w:r w:rsidRPr="00D05130">
        <w:t>Spray droplets not smaller than a MEDIUM spray droplet size category</w:t>
      </w:r>
    </w:p>
    <w:p w14:paraId="72D42F99" w14:textId="307E8CE2" w:rsidR="00426C3A" w:rsidRPr="00D05130" w:rsidRDefault="00426C3A" w:rsidP="00D05130">
      <w:pPr>
        <w:pStyle w:val="Bullet1"/>
      </w:pPr>
      <w:r w:rsidRPr="00D05130">
        <w:t>Minimum distances between the application site and downwind sensitive areas (see the ‘Mandatory buffer zones’ section in Table 18) are observed</w:t>
      </w:r>
    </w:p>
    <w:p w14:paraId="43776FF3" w14:textId="349F8418" w:rsidR="00426C3A" w:rsidRPr="00D05130" w:rsidRDefault="00426C3A" w:rsidP="00D05130">
      <w:pPr>
        <w:pStyle w:val="Caption"/>
      </w:pPr>
      <w:bookmarkStart w:id="138" w:name="_Toc101968014"/>
      <w:bookmarkStart w:id="139" w:name="_Toc116301709"/>
      <w:r w:rsidRPr="00D05130">
        <w:t xml:space="preserve">Table </w:t>
      </w:r>
      <w:fldSimple w:instr=" SEQ Table \* ARABIC ">
        <w:r w:rsidR="00ED7319" w:rsidRPr="00D05130">
          <w:t>18</w:t>
        </w:r>
      </w:fldSimple>
      <w:r w:rsidRPr="00D05130">
        <w:t>:</w:t>
      </w:r>
      <w:r w:rsidRPr="00D05130">
        <w:tab/>
        <w:t>Buffer zones for boom sprayers (WG 800 g/L procymidone)</w:t>
      </w:r>
      <w:bookmarkEnd w:id="138"/>
      <w:bookmarkEnd w:id="139"/>
    </w:p>
    <w:tbl>
      <w:tblPr>
        <w:tblW w:w="5000" w:type="pct"/>
        <w:shd w:val="clear" w:color="auto" w:fill="FFFFFF"/>
        <w:tblLook w:val="04A0" w:firstRow="1" w:lastRow="0" w:firstColumn="1" w:lastColumn="0" w:noHBand="0" w:noVBand="1"/>
      </w:tblPr>
      <w:tblGrid>
        <w:gridCol w:w="1985"/>
        <w:gridCol w:w="1843"/>
        <w:gridCol w:w="1133"/>
        <w:gridCol w:w="1417"/>
        <w:gridCol w:w="1133"/>
        <w:gridCol w:w="1132"/>
        <w:gridCol w:w="995"/>
      </w:tblGrid>
      <w:tr w:rsidR="00426C3A" w:rsidRPr="000554B4" w14:paraId="66F0B006" w14:textId="77777777" w:rsidTr="00426C3A">
        <w:trPr>
          <w:trHeight w:val="265"/>
        </w:trPr>
        <w:tc>
          <w:tcPr>
            <w:tcW w:w="1030" w:type="pct"/>
            <w:vMerge w:val="restart"/>
            <w:tcBorders>
              <w:top w:val="single" w:sz="4" w:space="0" w:color="auto"/>
            </w:tcBorders>
            <w:shd w:val="clear" w:color="auto" w:fill="5C2946"/>
            <w:vAlign w:val="center"/>
          </w:tcPr>
          <w:p w14:paraId="0EAA6860" w14:textId="2734C1F9" w:rsidR="00426C3A" w:rsidRPr="000554B4" w:rsidRDefault="00426C3A" w:rsidP="00426C3A">
            <w:pPr>
              <w:pStyle w:val="TableHead"/>
            </w:pPr>
            <w:r w:rsidRPr="000554B4">
              <w:t>Application rate</w:t>
            </w:r>
          </w:p>
        </w:tc>
        <w:tc>
          <w:tcPr>
            <w:tcW w:w="3970" w:type="pct"/>
            <w:gridSpan w:val="6"/>
            <w:tcBorders>
              <w:top w:val="single" w:sz="4" w:space="0" w:color="auto"/>
              <w:left w:val="nil"/>
              <w:bottom w:val="single" w:sz="4" w:space="0" w:color="auto"/>
            </w:tcBorders>
            <w:shd w:val="clear" w:color="auto" w:fill="5C2946"/>
            <w:vAlign w:val="center"/>
          </w:tcPr>
          <w:p w14:paraId="3A72F368" w14:textId="77777777" w:rsidR="00426C3A" w:rsidRPr="000554B4" w:rsidRDefault="00426C3A" w:rsidP="00426C3A">
            <w:pPr>
              <w:pStyle w:val="TableHead"/>
              <w:jc w:val="center"/>
            </w:pPr>
            <w:r w:rsidRPr="000554B4">
              <w:rPr>
                <w:rFonts w:eastAsia="Times"/>
              </w:rPr>
              <w:t xml:space="preserve">Mandatory </w:t>
            </w:r>
            <w:r w:rsidRPr="000554B4">
              <w:t xml:space="preserve">buffer </w:t>
            </w:r>
            <w:r w:rsidRPr="000554B4">
              <w:rPr>
                <w:rFonts w:eastAsia="Times"/>
              </w:rPr>
              <w:t>zones</w:t>
            </w:r>
          </w:p>
        </w:tc>
      </w:tr>
      <w:tr w:rsidR="00426C3A" w:rsidRPr="000554B4" w14:paraId="23DBC837" w14:textId="77777777" w:rsidTr="00426C3A">
        <w:trPr>
          <w:trHeight w:val="692"/>
        </w:trPr>
        <w:tc>
          <w:tcPr>
            <w:tcW w:w="1030" w:type="pct"/>
            <w:vMerge/>
            <w:tcBorders>
              <w:bottom w:val="single" w:sz="4" w:space="0" w:color="auto"/>
            </w:tcBorders>
            <w:shd w:val="clear" w:color="auto" w:fill="5C2946"/>
            <w:vAlign w:val="center"/>
            <w:hideMark/>
          </w:tcPr>
          <w:p w14:paraId="3A9DCED1" w14:textId="2CF3FCC4" w:rsidR="00426C3A" w:rsidRPr="000554B4" w:rsidRDefault="00426C3A" w:rsidP="00426C3A">
            <w:pPr>
              <w:pStyle w:val="TableHead"/>
            </w:pPr>
          </w:p>
        </w:tc>
        <w:tc>
          <w:tcPr>
            <w:tcW w:w="956" w:type="pct"/>
            <w:tcBorders>
              <w:top w:val="single" w:sz="4" w:space="0" w:color="auto"/>
              <w:left w:val="nil"/>
              <w:bottom w:val="single" w:sz="4" w:space="0" w:color="auto"/>
            </w:tcBorders>
            <w:shd w:val="clear" w:color="auto" w:fill="5C2946"/>
            <w:vAlign w:val="center"/>
            <w:hideMark/>
          </w:tcPr>
          <w:p w14:paraId="5313EC56" w14:textId="77777777" w:rsidR="00426C3A" w:rsidRPr="000554B4" w:rsidRDefault="00426C3A" w:rsidP="00426C3A">
            <w:pPr>
              <w:pStyle w:val="TableHead"/>
            </w:pPr>
            <w:r w:rsidRPr="000554B4">
              <w:t>Boom height above the target canopy</w:t>
            </w:r>
            <w:r>
              <w:t xml:space="preserve"> </w:t>
            </w:r>
            <w:r w:rsidRPr="000554B4">
              <w:t>(metres)</w:t>
            </w:r>
          </w:p>
        </w:tc>
        <w:tc>
          <w:tcPr>
            <w:tcW w:w="588" w:type="pct"/>
            <w:tcBorders>
              <w:top w:val="single" w:sz="4" w:space="0" w:color="auto"/>
              <w:left w:val="nil"/>
              <w:bottom w:val="single" w:sz="4" w:space="0" w:color="auto"/>
            </w:tcBorders>
            <w:shd w:val="clear" w:color="auto" w:fill="5C2946"/>
            <w:vAlign w:val="center"/>
            <w:hideMark/>
          </w:tcPr>
          <w:p w14:paraId="3E5E72DD" w14:textId="77777777" w:rsidR="00426C3A" w:rsidRPr="000554B4" w:rsidRDefault="00426C3A" w:rsidP="00426C3A">
            <w:pPr>
              <w:pStyle w:val="TableHead"/>
              <w:jc w:val="right"/>
            </w:pPr>
            <w:r w:rsidRPr="000554B4">
              <w:t>Bystander areas</w:t>
            </w:r>
            <w:r>
              <w:t xml:space="preserve"> </w:t>
            </w:r>
            <w:r w:rsidRPr="000554B4">
              <w:t>(metres)</w:t>
            </w:r>
          </w:p>
        </w:tc>
        <w:tc>
          <w:tcPr>
            <w:tcW w:w="735" w:type="pct"/>
            <w:tcBorders>
              <w:top w:val="single" w:sz="4" w:space="0" w:color="auto"/>
              <w:left w:val="nil"/>
              <w:bottom w:val="single" w:sz="4" w:space="0" w:color="auto"/>
            </w:tcBorders>
            <w:shd w:val="clear" w:color="auto" w:fill="5C2946"/>
            <w:vAlign w:val="center"/>
            <w:hideMark/>
          </w:tcPr>
          <w:p w14:paraId="48695709" w14:textId="77777777" w:rsidR="00426C3A" w:rsidRPr="000554B4" w:rsidRDefault="00426C3A" w:rsidP="00426C3A">
            <w:pPr>
              <w:pStyle w:val="TableHead"/>
              <w:jc w:val="right"/>
            </w:pPr>
            <w:r w:rsidRPr="000554B4">
              <w:t>Natural aquatic areas</w:t>
            </w:r>
            <w:r>
              <w:t xml:space="preserve"> </w:t>
            </w:r>
            <w:r w:rsidRPr="000554B4">
              <w:t>(metres)</w:t>
            </w:r>
          </w:p>
        </w:tc>
        <w:tc>
          <w:tcPr>
            <w:tcW w:w="588" w:type="pct"/>
            <w:tcBorders>
              <w:top w:val="single" w:sz="4" w:space="0" w:color="auto"/>
              <w:left w:val="nil"/>
              <w:bottom w:val="single" w:sz="4" w:space="0" w:color="auto"/>
            </w:tcBorders>
            <w:shd w:val="clear" w:color="auto" w:fill="5C2946"/>
            <w:vAlign w:val="center"/>
            <w:hideMark/>
          </w:tcPr>
          <w:p w14:paraId="0C3CCA71" w14:textId="77777777" w:rsidR="00426C3A" w:rsidRPr="000554B4" w:rsidRDefault="00426C3A" w:rsidP="00426C3A">
            <w:pPr>
              <w:pStyle w:val="TableHead"/>
              <w:jc w:val="right"/>
            </w:pPr>
            <w:r w:rsidRPr="000554B4">
              <w:t>Pollinator areas</w:t>
            </w:r>
            <w:r>
              <w:t xml:space="preserve"> </w:t>
            </w:r>
            <w:r w:rsidRPr="000554B4">
              <w:t>(metres)</w:t>
            </w:r>
          </w:p>
        </w:tc>
        <w:tc>
          <w:tcPr>
            <w:tcW w:w="587" w:type="pct"/>
            <w:tcBorders>
              <w:top w:val="single" w:sz="4" w:space="0" w:color="auto"/>
              <w:left w:val="nil"/>
              <w:bottom w:val="single" w:sz="4" w:space="0" w:color="auto"/>
            </w:tcBorders>
            <w:shd w:val="clear" w:color="auto" w:fill="5C2946"/>
            <w:vAlign w:val="center"/>
            <w:hideMark/>
          </w:tcPr>
          <w:p w14:paraId="132F002F" w14:textId="77777777" w:rsidR="00426C3A" w:rsidRPr="000554B4" w:rsidRDefault="00426C3A" w:rsidP="00426C3A">
            <w:pPr>
              <w:pStyle w:val="TableHead"/>
              <w:jc w:val="right"/>
            </w:pPr>
            <w:r w:rsidRPr="000554B4">
              <w:t>Vegetation areas</w:t>
            </w:r>
            <w:r>
              <w:t xml:space="preserve"> </w:t>
            </w:r>
            <w:r w:rsidRPr="000554B4">
              <w:t>(metres)</w:t>
            </w:r>
          </w:p>
        </w:tc>
        <w:tc>
          <w:tcPr>
            <w:tcW w:w="516" w:type="pct"/>
            <w:tcBorders>
              <w:top w:val="single" w:sz="4" w:space="0" w:color="auto"/>
              <w:left w:val="nil"/>
              <w:bottom w:val="single" w:sz="4" w:space="0" w:color="auto"/>
            </w:tcBorders>
            <w:shd w:val="clear" w:color="auto" w:fill="5C2946"/>
            <w:vAlign w:val="center"/>
            <w:hideMark/>
          </w:tcPr>
          <w:p w14:paraId="0D26C838" w14:textId="77777777" w:rsidR="00426C3A" w:rsidRPr="000554B4" w:rsidRDefault="00426C3A" w:rsidP="00426C3A">
            <w:pPr>
              <w:pStyle w:val="TableHead"/>
              <w:jc w:val="right"/>
            </w:pPr>
            <w:r w:rsidRPr="000554B4">
              <w:t>Livestock areas</w:t>
            </w:r>
            <w:r>
              <w:t xml:space="preserve"> </w:t>
            </w:r>
            <w:r w:rsidRPr="000554B4">
              <w:t>(metres)</w:t>
            </w:r>
          </w:p>
        </w:tc>
      </w:tr>
      <w:tr w:rsidR="00426C3A" w:rsidRPr="000554B4" w14:paraId="2BBE20DA" w14:textId="77777777" w:rsidTr="00426C3A">
        <w:trPr>
          <w:trHeight w:val="121"/>
        </w:trPr>
        <w:tc>
          <w:tcPr>
            <w:tcW w:w="1030" w:type="pct"/>
            <w:vMerge w:val="restart"/>
            <w:tcBorders>
              <w:top w:val="single" w:sz="4" w:space="0" w:color="auto"/>
              <w:bottom w:val="single" w:sz="4" w:space="0" w:color="auto"/>
            </w:tcBorders>
            <w:shd w:val="clear" w:color="auto" w:fill="FFFFFF"/>
            <w:vAlign w:val="center"/>
            <w:hideMark/>
          </w:tcPr>
          <w:p w14:paraId="419C9E7A" w14:textId="74247DAC" w:rsidR="00426C3A" w:rsidRPr="000554B4" w:rsidRDefault="00426C3A" w:rsidP="002B210B">
            <w:pPr>
              <w:pStyle w:val="APVMATableText"/>
            </w:pPr>
            <w:r w:rsidRPr="000554B4">
              <w:t>Up to 6</w:t>
            </w:r>
            <w:r>
              <w:t>,</w:t>
            </w:r>
            <w:r w:rsidRPr="000554B4">
              <w:t>000</w:t>
            </w:r>
            <w:r w:rsidR="00295DF8">
              <w:t> </w:t>
            </w:r>
            <w:r w:rsidRPr="000554B4">
              <w:t>g/ha</w:t>
            </w:r>
            <w:r>
              <w:t xml:space="preserve"> </w:t>
            </w:r>
            <w:r w:rsidRPr="000554B4">
              <w:t>(4</w:t>
            </w:r>
            <w:r>
              <w:t>,</w:t>
            </w:r>
            <w:r w:rsidRPr="000554B4">
              <w:t>800</w:t>
            </w:r>
            <w:r w:rsidR="00295DF8">
              <w:t> </w:t>
            </w:r>
            <w:r w:rsidRPr="000554B4">
              <w:t>g</w:t>
            </w:r>
            <w:r w:rsidR="00295DF8">
              <w:t> </w:t>
            </w:r>
            <w:r w:rsidRPr="000554B4">
              <w:t>ac/ha)</w:t>
            </w:r>
          </w:p>
        </w:tc>
        <w:tc>
          <w:tcPr>
            <w:tcW w:w="956" w:type="pct"/>
            <w:tcBorders>
              <w:top w:val="single" w:sz="4" w:space="0" w:color="auto"/>
              <w:left w:val="nil"/>
              <w:bottom w:val="single" w:sz="4" w:space="0" w:color="auto"/>
            </w:tcBorders>
            <w:shd w:val="clear" w:color="auto" w:fill="auto"/>
            <w:vAlign w:val="center"/>
            <w:hideMark/>
          </w:tcPr>
          <w:p w14:paraId="30788683" w14:textId="1DE0C111" w:rsidR="00426C3A" w:rsidRPr="000554B4" w:rsidRDefault="00426C3A" w:rsidP="002B210B">
            <w:pPr>
              <w:pStyle w:val="APVMATableText"/>
            </w:pPr>
            <w:r w:rsidRPr="000554B4">
              <w:t>0.5</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1ACD216A"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4A87A078" w14:textId="77777777" w:rsidR="00426C3A" w:rsidRPr="000554B4" w:rsidRDefault="00426C3A" w:rsidP="00426C3A">
            <w:pPr>
              <w:pStyle w:val="APVMATableText"/>
              <w:jc w:val="right"/>
            </w:pPr>
            <w:r w:rsidRPr="000554B4">
              <w:t>10</w:t>
            </w:r>
          </w:p>
        </w:tc>
        <w:tc>
          <w:tcPr>
            <w:tcW w:w="588" w:type="pct"/>
            <w:tcBorders>
              <w:top w:val="single" w:sz="4" w:space="0" w:color="auto"/>
              <w:left w:val="nil"/>
              <w:bottom w:val="single" w:sz="4" w:space="0" w:color="auto"/>
            </w:tcBorders>
            <w:shd w:val="clear" w:color="auto" w:fill="auto"/>
            <w:vAlign w:val="center"/>
            <w:hideMark/>
          </w:tcPr>
          <w:p w14:paraId="502407F0"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1151750E"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7D045F04" w14:textId="77777777" w:rsidR="00426C3A" w:rsidRPr="000554B4" w:rsidRDefault="00426C3A" w:rsidP="00426C3A">
            <w:pPr>
              <w:pStyle w:val="APVMATableText"/>
              <w:jc w:val="right"/>
            </w:pPr>
            <w:r w:rsidRPr="000554B4">
              <w:t>350</w:t>
            </w:r>
          </w:p>
        </w:tc>
      </w:tr>
      <w:tr w:rsidR="00426C3A" w:rsidRPr="000554B4" w14:paraId="34DBC572" w14:textId="77777777" w:rsidTr="00426C3A">
        <w:trPr>
          <w:trHeight w:val="70"/>
        </w:trPr>
        <w:tc>
          <w:tcPr>
            <w:tcW w:w="1030" w:type="pct"/>
            <w:vMerge/>
            <w:tcBorders>
              <w:top w:val="single" w:sz="4" w:space="0" w:color="auto"/>
              <w:bottom w:val="single" w:sz="4" w:space="0" w:color="auto"/>
            </w:tcBorders>
            <w:shd w:val="clear" w:color="auto" w:fill="FFFFFF"/>
            <w:vAlign w:val="center"/>
            <w:hideMark/>
          </w:tcPr>
          <w:p w14:paraId="37FF2389" w14:textId="77777777" w:rsidR="00426C3A" w:rsidRPr="000554B4" w:rsidRDefault="00426C3A" w:rsidP="002B210B">
            <w:pPr>
              <w:pStyle w:val="APVMATableText"/>
            </w:pPr>
          </w:p>
        </w:tc>
        <w:tc>
          <w:tcPr>
            <w:tcW w:w="956" w:type="pct"/>
            <w:tcBorders>
              <w:top w:val="single" w:sz="4" w:space="0" w:color="auto"/>
              <w:left w:val="nil"/>
              <w:bottom w:val="single" w:sz="4" w:space="0" w:color="auto"/>
            </w:tcBorders>
            <w:shd w:val="clear" w:color="auto" w:fill="auto"/>
            <w:vAlign w:val="center"/>
            <w:hideMark/>
          </w:tcPr>
          <w:p w14:paraId="52031E87" w14:textId="16ECD99C" w:rsidR="00426C3A" w:rsidRPr="000554B4" w:rsidRDefault="00426C3A" w:rsidP="002B210B">
            <w:pPr>
              <w:pStyle w:val="APVMATableText"/>
            </w:pPr>
            <w:r w:rsidRPr="000554B4">
              <w:t>1.0</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5CB70020"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738CB8B8" w14:textId="77777777" w:rsidR="00426C3A" w:rsidRPr="000554B4" w:rsidRDefault="00426C3A" w:rsidP="00426C3A">
            <w:pPr>
              <w:pStyle w:val="APVMATableText"/>
              <w:jc w:val="right"/>
            </w:pPr>
            <w:r w:rsidRPr="000554B4">
              <w:t>30</w:t>
            </w:r>
          </w:p>
        </w:tc>
        <w:tc>
          <w:tcPr>
            <w:tcW w:w="588" w:type="pct"/>
            <w:tcBorders>
              <w:top w:val="single" w:sz="4" w:space="0" w:color="auto"/>
              <w:left w:val="nil"/>
              <w:bottom w:val="single" w:sz="4" w:space="0" w:color="auto"/>
            </w:tcBorders>
            <w:shd w:val="clear" w:color="auto" w:fill="auto"/>
            <w:vAlign w:val="center"/>
            <w:hideMark/>
          </w:tcPr>
          <w:p w14:paraId="789756AA"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60E4A048"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3DE5D2FB" w14:textId="77777777" w:rsidR="00426C3A" w:rsidRPr="000554B4" w:rsidRDefault="00426C3A" w:rsidP="00426C3A">
            <w:pPr>
              <w:pStyle w:val="APVMATableText"/>
              <w:jc w:val="right"/>
            </w:pPr>
            <w:r w:rsidRPr="000554B4">
              <w:t>375</w:t>
            </w:r>
          </w:p>
        </w:tc>
      </w:tr>
      <w:tr w:rsidR="00426C3A" w:rsidRPr="000554B4" w14:paraId="77E19928" w14:textId="77777777" w:rsidTr="00426C3A">
        <w:trPr>
          <w:trHeight w:val="70"/>
        </w:trPr>
        <w:tc>
          <w:tcPr>
            <w:tcW w:w="1030" w:type="pct"/>
            <w:vMerge w:val="restart"/>
            <w:tcBorders>
              <w:top w:val="single" w:sz="4" w:space="0" w:color="auto"/>
              <w:bottom w:val="single" w:sz="4" w:space="0" w:color="auto"/>
            </w:tcBorders>
            <w:shd w:val="clear" w:color="auto" w:fill="FFFFFF"/>
            <w:vAlign w:val="center"/>
            <w:hideMark/>
          </w:tcPr>
          <w:p w14:paraId="6E326D38" w14:textId="028B42EE" w:rsidR="00426C3A" w:rsidRPr="000554B4" w:rsidRDefault="00426C3A" w:rsidP="002B210B">
            <w:pPr>
              <w:pStyle w:val="APVMATableText"/>
            </w:pPr>
            <w:r w:rsidRPr="000554B4">
              <w:t>Up to 4</w:t>
            </w:r>
            <w:r>
              <w:t>,</w:t>
            </w:r>
            <w:r w:rsidRPr="000554B4">
              <w:t>000</w:t>
            </w:r>
            <w:r w:rsidR="00295DF8">
              <w:t> </w:t>
            </w:r>
            <w:r w:rsidRPr="000554B4">
              <w:t>g/ha</w:t>
            </w:r>
            <w:r>
              <w:t xml:space="preserve"> </w:t>
            </w:r>
            <w:r w:rsidRPr="000554B4">
              <w:t>(3</w:t>
            </w:r>
            <w:r>
              <w:t>,</w:t>
            </w:r>
            <w:r w:rsidRPr="000554B4">
              <w:t>200</w:t>
            </w:r>
            <w:r w:rsidR="00295DF8">
              <w:t> </w:t>
            </w:r>
            <w:r w:rsidRPr="000554B4">
              <w:t>g</w:t>
            </w:r>
            <w:r w:rsidR="00295DF8">
              <w:t> </w:t>
            </w:r>
            <w:r w:rsidRPr="000554B4">
              <w:t>ac/ha)</w:t>
            </w:r>
          </w:p>
        </w:tc>
        <w:tc>
          <w:tcPr>
            <w:tcW w:w="956" w:type="pct"/>
            <w:tcBorders>
              <w:top w:val="single" w:sz="4" w:space="0" w:color="auto"/>
              <w:left w:val="nil"/>
              <w:bottom w:val="single" w:sz="4" w:space="0" w:color="auto"/>
            </w:tcBorders>
            <w:shd w:val="clear" w:color="auto" w:fill="auto"/>
            <w:vAlign w:val="center"/>
            <w:hideMark/>
          </w:tcPr>
          <w:p w14:paraId="1F94F023" w14:textId="15BB83B2" w:rsidR="00426C3A" w:rsidRPr="000554B4" w:rsidRDefault="00426C3A" w:rsidP="002B210B">
            <w:pPr>
              <w:pStyle w:val="APVMATableText"/>
            </w:pPr>
            <w:r w:rsidRPr="000554B4">
              <w:t>0.5</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2FCD2CAF"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6D37F15D"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auto"/>
            <w:vAlign w:val="center"/>
            <w:hideMark/>
          </w:tcPr>
          <w:p w14:paraId="16337B0B"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50040B05"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4627973B" w14:textId="77777777" w:rsidR="00426C3A" w:rsidRPr="000554B4" w:rsidRDefault="00426C3A" w:rsidP="00426C3A">
            <w:pPr>
              <w:pStyle w:val="APVMATableText"/>
              <w:jc w:val="right"/>
            </w:pPr>
            <w:r w:rsidRPr="000554B4">
              <w:t>200</w:t>
            </w:r>
          </w:p>
        </w:tc>
      </w:tr>
      <w:tr w:rsidR="00426C3A" w:rsidRPr="000554B4" w14:paraId="68F85CFD" w14:textId="77777777" w:rsidTr="00426C3A">
        <w:trPr>
          <w:trHeight w:val="70"/>
        </w:trPr>
        <w:tc>
          <w:tcPr>
            <w:tcW w:w="1030" w:type="pct"/>
            <w:vMerge/>
            <w:tcBorders>
              <w:top w:val="single" w:sz="4" w:space="0" w:color="auto"/>
              <w:bottom w:val="single" w:sz="4" w:space="0" w:color="auto"/>
            </w:tcBorders>
            <w:shd w:val="clear" w:color="auto" w:fill="FFFFFF"/>
            <w:vAlign w:val="center"/>
            <w:hideMark/>
          </w:tcPr>
          <w:p w14:paraId="24BD94DC" w14:textId="77777777" w:rsidR="00426C3A" w:rsidRPr="000554B4" w:rsidRDefault="00426C3A" w:rsidP="002B210B">
            <w:pPr>
              <w:pStyle w:val="APVMATableText"/>
            </w:pPr>
          </w:p>
        </w:tc>
        <w:tc>
          <w:tcPr>
            <w:tcW w:w="956" w:type="pct"/>
            <w:tcBorders>
              <w:top w:val="single" w:sz="4" w:space="0" w:color="auto"/>
              <w:left w:val="nil"/>
              <w:bottom w:val="single" w:sz="4" w:space="0" w:color="auto"/>
            </w:tcBorders>
            <w:shd w:val="clear" w:color="auto" w:fill="auto"/>
            <w:vAlign w:val="center"/>
            <w:hideMark/>
          </w:tcPr>
          <w:p w14:paraId="1804832E" w14:textId="0DA510D9" w:rsidR="00426C3A" w:rsidRPr="000554B4" w:rsidRDefault="00426C3A" w:rsidP="002B210B">
            <w:pPr>
              <w:pStyle w:val="APVMATableText"/>
            </w:pPr>
            <w:r w:rsidRPr="000554B4">
              <w:t>1.0</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00294B97"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4B458518" w14:textId="77777777" w:rsidR="00426C3A" w:rsidRPr="000554B4" w:rsidRDefault="00426C3A" w:rsidP="00426C3A">
            <w:pPr>
              <w:pStyle w:val="APVMATableText"/>
              <w:jc w:val="right"/>
            </w:pPr>
            <w:r w:rsidRPr="000554B4">
              <w:t>25</w:t>
            </w:r>
          </w:p>
        </w:tc>
        <w:tc>
          <w:tcPr>
            <w:tcW w:w="588" w:type="pct"/>
            <w:tcBorders>
              <w:top w:val="single" w:sz="4" w:space="0" w:color="auto"/>
              <w:left w:val="nil"/>
              <w:bottom w:val="single" w:sz="4" w:space="0" w:color="auto"/>
            </w:tcBorders>
            <w:shd w:val="clear" w:color="auto" w:fill="auto"/>
            <w:vAlign w:val="center"/>
            <w:hideMark/>
          </w:tcPr>
          <w:p w14:paraId="450FCE20"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0A6372C7"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2436E4E8" w14:textId="77777777" w:rsidR="00426C3A" w:rsidRPr="000554B4" w:rsidRDefault="00426C3A" w:rsidP="00426C3A">
            <w:pPr>
              <w:pStyle w:val="APVMATableText"/>
              <w:jc w:val="right"/>
            </w:pPr>
            <w:r w:rsidRPr="000554B4">
              <w:t>350</w:t>
            </w:r>
          </w:p>
        </w:tc>
      </w:tr>
      <w:tr w:rsidR="00426C3A" w:rsidRPr="000554B4" w14:paraId="37483DAC" w14:textId="77777777" w:rsidTr="00426C3A">
        <w:trPr>
          <w:trHeight w:val="70"/>
        </w:trPr>
        <w:tc>
          <w:tcPr>
            <w:tcW w:w="1030" w:type="pct"/>
            <w:vMerge w:val="restart"/>
            <w:tcBorders>
              <w:top w:val="single" w:sz="4" w:space="0" w:color="auto"/>
              <w:bottom w:val="single" w:sz="4" w:space="0" w:color="auto"/>
            </w:tcBorders>
            <w:shd w:val="clear" w:color="auto" w:fill="FFFFFF"/>
            <w:vAlign w:val="center"/>
            <w:hideMark/>
          </w:tcPr>
          <w:p w14:paraId="1B144568" w14:textId="6BC1CC06" w:rsidR="00426C3A" w:rsidRPr="000554B4" w:rsidRDefault="00426C3A" w:rsidP="002B210B">
            <w:pPr>
              <w:pStyle w:val="APVMATableText"/>
            </w:pPr>
            <w:r w:rsidRPr="000554B4">
              <w:t>Up to 3</w:t>
            </w:r>
            <w:r>
              <w:t>,</w:t>
            </w:r>
            <w:r w:rsidRPr="000554B4">
              <w:t>500</w:t>
            </w:r>
            <w:r w:rsidR="00295DF8">
              <w:t> </w:t>
            </w:r>
            <w:r w:rsidRPr="000554B4">
              <w:t>g/ha</w:t>
            </w:r>
            <w:r>
              <w:t xml:space="preserve"> </w:t>
            </w:r>
            <w:r w:rsidRPr="000554B4">
              <w:t>(2</w:t>
            </w:r>
            <w:r>
              <w:t>,</w:t>
            </w:r>
            <w:r w:rsidRPr="000554B4">
              <w:t>800</w:t>
            </w:r>
            <w:r w:rsidR="00295DF8">
              <w:t> </w:t>
            </w:r>
            <w:r w:rsidRPr="000554B4">
              <w:t>g</w:t>
            </w:r>
            <w:r w:rsidR="00295DF8">
              <w:t> </w:t>
            </w:r>
            <w:r w:rsidRPr="000554B4">
              <w:t>ac/ha)</w:t>
            </w:r>
          </w:p>
        </w:tc>
        <w:tc>
          <w:tcPr>
            <w:tcW w:w="956" w:type="pct"/>
            <w:tcBorders>
              <w:top w:val="single" w:sz="4" w:space="0" w:color="auto"/>
              <w:left w:val="nil"/>
              <w:bottom w:val="single" w:sz="4" w:space="0" w:color="auto"/>
            </w:tcBorders>
            <w:shd w:val="clear" w:color="auto" w:fill="auto"/>
            <w:vAlign w:val="center"/>
            <w:hideMark/>
          </w:tcPr>
          <w:p w14:paraId="73B7650B" w14:textId="359B60B9" w:rsidR="00426C3A" w:rsidRPr="000554B4" w:rsidRDefault="00426C3A" w:rsidP="002B210B">
            <w:pPr>
              <w:pStyle w:val="APVMATableText"/>
            </w:pPr>
            <w:r w:rsidRPr="000554B4">
              <w:t>0.5</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5DAC5506"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3746B51A"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auto"/>
            <w:vAlign w:val="center"/>
            <w:hideMark/>
          </w:tcPr>
          <w:p w14:paraId="2E9E6BD5"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0E9B8580"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7F5D3F09" w14:textId="77777777" w:rsidR="00426C3A" w:rsidRPr="000554B4" w:rsidRDefault="00426C3A" w:rsidP="00426C3A">
            <w:pPr>
              <w:pStyle w:val="APVMATableText"/>
              <w:jc w:val="right"/>
            </w:pPr>
            <w:r w:rsidRPr="000554B4">
              <w:t>160</w:t>
            </w:r>
          </w:p>
        </w:tc>
      </w:tr>
      <w:tr w:rsidR="00426C3A" w:rsidRPr="000554B4" w14:paraId="12240EDB" w14:textId="77777777" w:rsidTr="00426C3A">
        <w:trPr>
          <w:trHeight w:val="70"/>
        </w:trPr>
        <w:tc>
          <w:tcPr>
            <w:tcW w:w="1030" w:type="pct"/>
            <w:vMerge/>
            <w:tcBorders>
              <w:top w:val="single" w:sz="4" w:space="0" w:color="auto"/>
              <w:bottom w:val="single" w:sz="4" w:space="0" w:color="auto"/>
            </w:tcBorders>
            <w:shd w:val="clear" w:color="auto" w:fill="FFFFFF"/>
            <w:vAlign w:val="center"/>
            <w:hideMark/>
          </w:tcPr>
          <w:p w14:paraId="6972BDA2" w14:textId="77777777" w:rsidR="00426C3A" w:rsidRPr="000554B4" w:rsidRDefault="00426C3A" w:rsidP="002B210B">
            <w:pPr>
              <w:pStyle w:val="APVMATableText"/>
            </w:pPr>
          </w:p>
        </w:tc>
        <w:tc>
          <w:tcPr>
            <w:tcW w:w="956" w:type="pct"/>
            <w:tcBorders>
              <w:top w:val="single" w:sz="4" w:space="0" w:color="auto"/>
              <w:left w:val="nil"/>
              <w:bottom w:val="single" w:sz="4" w:space="0" w:color="auto"/>
            </w:tcBorders>
            <w:shd w:val="clear" w:color="auto" w:fill="auto"/>
            <w:vAlign w:val="center"/>
            <w:hideMark/>
          </w:tcPr>
          <w:p w14:paraId="71E1DAFF" w14:textId="6B6E05AD" w:rsidR="00426C3A" w:rsidRPr="000554B4" w:rsidRDefault="00426C3A" w:rsidP="002B210B">
            <w:pPr>
              <w:pStyle w:val="APVMATableText"/>
            </w:pPr>
            <w:r w:rsidRPr="000554B4">
              <w:t>1.0</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009B5F1A"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639C22AA" w14:textId="77777777" w:rsidR="00426C3A" w:rsidRPr="000554B4" w:rsidRDefault="00426C3A" w:rsidP="00426C3A">
            <w:pPr>
              <w:pStyle w:val="APVMATableText"/>
              <w:jc w:val="right"/>
            </w:pPr>
            <w:r w:rsidRPr="000554B4">
              <w:t>20</w:t>
            </w:r>
          </w:p>
        </w:tc>
        <w:tc>
          <w:tcPr>
            <w:tcW w:w="588" w:type="pct"/>
            <w:tcBorders>
              <w:top w:val="single" w:sz="4" w:space="0" w:color="auto"/>
              <w:left w:val="nil"/>
              <w:bottom w:val="single" w:sz="4" w:space="0" w:color="auto"/>
            </w:tcBorders>
            <w:shd w:val="clear" w:color="auto" w:fill="auto"/>
            <w:vAlign w:val="center"/>
            <w:hideMark/>
          </w:tcPr>
          <w:p w14:paraId="77EAB2C4"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01D8FACC"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7C1A25AB" w14:textId="77777777" w:rsidR="00426C3A" w:rsidRPr="000554B4" w:rsidRDefault="00426C3A" w:rsidP="00426C3A">
            <w:pPr>
              <w:pStyle w:val="APVMATableText"/>
              <w:jc w:val="right"/>
            </w:pPr>
            <w:r w:rsidRPr="000554B4">
              <w:t>350</w:t>
            </w:r>
          </w:p>
        </w:tc>
      </w:tr>
      <w:tr w:rsidR="00426C3A" w:rsidRPr="000554B4" w14:paraId="03151E9D" w14:textId="77777777" w:rsidTr="00426C3A">
        <w:trPr>
          <w:trHeight w:val="253"/>
        </w:trPr>
        <w:tc>
          <w:tcPr>
            <w:tcW w:w="1030" w:type="pct"/>
            <w:vMerge w:val="restart"/>
            <w:tcBorders>
              <w:top w:val="single" w:sz="4" w:space="0" w:color="auto"/>
              <w:bottom w:val="single" w:sz="4" w:space="0" w:color="auto"/>
            </w:tcBorders>
            <w:shd w:val="clear" w:color="auto" w:fill="FFFFFF"/>
            <w:vAlign w:val="center"/>
            <w:hideMark/>
          </w:tcPr>
          <w:p w14:paraId="0C5AAA2C" w14:textId="31B4630B" w:rsidR="00426C3A" w:rsidRPr="000554B4" w:rsidRDefault="00426C3A" w:rsidP="002B210B">
            <w:pPr>
              <w:pStyle w:val="APVMATableText"/>
            </w:pPr>
            <w:r w:rsidRPr="000554B4">
              <w:t>Up to 1</w:t>
            </w:r>
            <w:r>
              <w:t>,</w:t>
            </w:r>
            <w:r w:rsidRPr="000554B4">
              <w:t>250</w:t>
            </w:r>
            <w:r w:rsidR="00295DF8">
              <w:t> </w:t>
            </w:r>
            <w:r w:rsidRPr="000554B4">
              <w:t>g/ha</w:t>
            </w:r>
            <w:r>
              <w:t xml:space="preserve"> </w:t>
            </w:r>
            <w:r w:rsidRPr="000554B4">
              <w:t>(1</w:t>
            </w:r>
            <w:r>
              <w:t>,</w:t>
            </w:r>
            <w:r w:rsidRPr="000554B4">
              <w:t>000</w:t>
            </w:r>
            <w:r w:rsidR="00295DF8">
              <w:t> </w:t>
            </w:r>
            <w:r w:rsidRPr="000554B4">
              <w:t>g</w:t>
            </w:r>
            <w:r w:rsidR="00295DF8">
              <w:t> </w:t>
            </w:r>
            <w:r w:rsidRPr="000554B4">
              <w:t>ac/ha)</w:t>
            </w:r>
          </w:p>
        </w:tc>
        <w:tc>
          <w:tcPr>
            <w:tcW w:w="956" w:type="pct"/>
            <w:tcBorders>
              <w:top w:val="single" w:sz="4" w:space="0" w:color="auto"/>
              <w:left w:val="nil"/>
              <w:bottom w:val="single" w:sz="4" w:space="0" w:color="auto"/>
            </w:tcBorders>
            <w:shd w:val="clear" w:color="auto" w:fill="auto"/>
            <w:vAlign w:val="center"/>
            <w:hideMark/>
          </w:tcPr>
          <w:p w14:paraId="0D3F1FD2" w14:textId="0AB949D3" w:rsidR="00426C3A" w:rsidRPr="000554B4" w:rsidRDefault="00426C3A" w:rsidP="002B210B">
            <w:pPr>
              <w:pStyle w:val="APVMATableText"/>
            </w:pPr>
            <w:r w:rsidRPr="000554B4">
              <w:t>0.5</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49B479DB"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2BB393BC"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auto"/>
            <w:vAlign w:val="center"/>
            <w:hideMark/>
          </w:tcPr>
          <w:p w14:paraId="23377096"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20E6E371"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54B01B53" w14:textId="77777777" w:rsidR="00426C3A" w:rsidRPr="000554B4" w:rsidRDefault="00426C3A" w:rsidP="00426C3A">
            <w:pPr>
              <w:pStyle w:val="APVMATableText"/>
              <w:jc w:val="right"/>
            </w:pPr>
            <w:r w:rsidRPr="000554B4">
              <w:t>30</w:t>
            </w:r>
          </w:p>
        </w:tc>
      </w:tr>
      <w:tr w:rsidR="00426C3A" w:rsidRPr="000554B4" w14:paraId="138D5B49" w14:textId="77777777" w:rsidTr="00426C3A">
        <w:trPr>
          <w:trHeight w:val="253"/>
        </w:trPr>
        <w:tc>
          <w:tcPr>
            <w:tcW w:w="1030" w:type="pct"/>
            <w:vMerge/>
            <w:tcBorders>
              <w:top w:val="single" w:sz="4" w:space="0" w:color="auto"/>
              <w:bottom w:val="single" w:sz="4" w:space="0" w:color="auto"/>
            </w:tcBorders>
            <w:shd w:val="clear" w:color="auto" w:fill="FFFFFF"/>
            <w:vAlign w:val="center"/>
            <w:hideMark/>
          </w:tcPr>
          <w:p w14:paraId="5C44303F" w14:textId="77777777" w:rsidR="00426C3A" w:rsidRPr="000554B4" w:rsidRDefault="00426C3A" w:rsidP="002B210B">
            <w:pPr>
              <w:pStyle w:val="APVMATableText"/>
            </w:pPr>
          </w:p>
        </w:tc>
        <w:tc>
          <w:tcPr>
            <w:tcW w:w="956" w:type="pct"/>
            <w:tcBorders>
              <w:top w:val="single" w:sz="4" w:space="0" w:color="auto"/>
              <w:left w:val="nil"/>
              <w:bottom w:val="single" w:sz="4" w:space="0" w:color="auto"/>
            </w:tcBorders>
            <w:shd w:val="clear" w:color="auto" w:fill="auto"/>
            <w:vAlign w:val="center"/>
            <w:hideMark/>
          </w:tcPr>
          <w:p w14:paraId="3EFBB81B" w14:textId="3C40D874" w:rsidR="00426C3A" w:rsidRPr="000554B4" w:rsidRDefault="00426C3A" w:rsidP="002B210B">
            <w:pPr>
              <w:pStyle w:val="APVMATableText"/>
            </w:pPr>
            <w:r w:rsidRPr="000554B4">
              <w:t>1.0</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59D2BEC5"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04ED790A" w14:textId="77777777" w:rsidR="00426C3A" w:rsidRPr="000554B4" w:rsidRDefault="00426C3A" w:rsidP="00426C3A">
            <w:pPr>
              <w:pStyle w:val="APVMATableText"/>
              <w:jc w:val="right"/>
            </w:pPr>
            <w:r w:rsidRPr="000554B4">
              <w:t>10</w:t>
            </w:r>
          </w:p>
        </w:tc>
        <w:tc>
          <w:tcPr>
            <w:tcW w:w="588" w:type="pct"/>
            <w:tcBorders>
              <w:top w:val="single" w:sz="4" w:space="0" w:color="auto"/>
              <w:left w:val="nil"/>
              <w:bottom w:val="single" w:sz="4" w:space="0" w:color="auto"/>
            </w:tcBorders>
            <w:shd w:val="clear" w:color="auto" w:fill="auto"/>
            <w:vAlign w:val="center"/>
            <w:hideMark/>
          </w:tcPr>
          <w:p w14:paraId="25493692"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04BF52E3"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3ADB8BC2" w14:textId="77777777" w:rsidR="00426C3A" w:rsidRPr="000554B4" w:rsidRDefault="00426C3A" w:rsidP="00426C3A">
            <w:pPr>
              <w:pStyle w:val="APVMATableText"/>
              <w:jc w:val="right"/>
            </w:pPr>
            <w:r w:rsidRPr="000554B4">
              <w:t>140</w:t>
            </w:r>
          </w:p>
        </w:tc>
      </w:tr>
      <w:tr w:rsidR="00426C3A" w:rsidRPr="000554B4" w14:paraId="4D0881A1" w14:textId="77777777" w:rsidTr="00426C3A">
        <w:trPr>
          <w:trHeight w:val="253"/>
        </w:trPr>
        <w:tc>
          <w:tcPr>
            <w:tcW w:w="1030" w:type="pct"/>
            <w:vMerge w:val="restart"/>
            <w:tcBorders>
              <w:top w:val="single" w:sz="4" w:space="0" w:color="auto"/>
              <w:bottom w:val="single" w:sz="4" w:space="0" w:color="auto"/>
            </w:tcBorders>
            <w:shd w:val="clear" w:color="auto" w:fill="FFFFFF"/>
            <w:vAlign w:val="center"/>
            <w:hideMark/>
          </w:tcPr>
          <w:p w14:paraId="30F3AFC6" w14:textId="208C4065" w:rsidR="00426C3A" w:rsidRPr="000554B4" w:rsidRDefault="00426C3A" w:rsidP="002B210B">
            <w:pPr>
              <w:pStyle w:val="APVMATableText"/>
            </w:pPr>
            <w:r w:rsidRPr="000554B4">
              <w:t>Up to 600</w:t>
            </w:r>
            <w:r w:rsidR="00295DF8">
              <w:t> </w:t>
            </w:r>
            <w:r w:rsidRPr="000554B4">
              <w:t>g/ha</w:t>
            </w:r>
            <w:r>
              <w:t xml:space="preserve"> </w:t>
            </w:r>
            <w:r w:rsidRPr="000554B4">
              <w:t>(480</w:t>
            </w:r>
            <w:r w:rsidR="00295DF8">
              <w:t> </w:t>
            </w:r>
            <w:r w:rsidRPr="000554B4">
              <w:t>g</w:t>
            </w:r>
            <w:r w:rsidR="00295DF8">
              <w:t> </w:t>
            </w:r>
            <w:r w:rsidRPr="000554B4">
              <w:t>ac/ha)</w:t>
            </w:r>
          </w:p>
        </w:tc>
        <w:tc>
          <w:tcPr>
            <w:tcW w:w="956" w:type="pct"/>
            <w:tcBorders>
              <w:top w:val="single" w:sz="4" w:space="0" w:color="auto"/>
              <w:left w:val="nil"/>
              <w:bottom w:val="single" w:sz="4" w:space="0" w:color="auto"/>
            </w:tcBorders>
            <w:shd w:val="clear" w:color="auto" w:fill="auto"/>
            <w:vAlign w:val="center"/>
            <w:hideMark/>
          </w:tcPr>
          <w:p w14:paraId="0FAB17DF" w14:textId="475A4C71" w:rsidR="00426C3A" w:rsidRPr="000554B4" w:rsidRDefault="00426C3A" w:rsidP="002B210B">
            <w:pPr>
              <w:pStyle w:val="APVMATableText"/>
            </w:pPr>
            <w:r w:rsidRPr="000554B4">
              <w:t>0.5</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31BF90CB"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1D2279DD"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auto"/>
            <w:vAlign w:val="center"/>
            <w:hideMark/>
          </w:tcPr>
          <w:p w14:paraId="4EA9DD04"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6590B21A"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7B0D6C81" w14:textId="77777777" w:rsidR="00426C3A" w:rsidRPr="000554B4" w:rsidRDefault="00426C3A" w:rsidP="00426C3A">
            <w:pPr>
              <w:pStyle w:val="APVMATableText"/>
              <w:jc w:val="right"/>
            </w:pPr>
            <w:r w:rsidRPr="000554B4">
              <w:t>10</w:t>
            </w:r>
          </w:p>
        </w:tc>
      </w:tr>
      <w:tr w:rsidR="00426C3A" w:rsidRPr="000554B4" w14:paraId="4FACF20E" w14:textId="77777777" w:rsidTr="00426C3A">
        <w:trPr>
          <w:trHeight w:val="253"/>
        </w:trPr>
        <w:tc>
          <w:tcPr>
            <w:tcW w:w="1030" w:type="pct"/>
            <w:vMerge/>
            <w:tcBorders>
              <w:top w:val="single" w:sz="4" w:space="0" w:color="auto"/>
              <w:bottom w:val="single" w:sz="4" w:space="0" w:color="auto"/>
            </w:tcBorders>
            <w:shd w:val="clear" w:color="auto" w:fill="FFFFFF"/>
            <w:vAlign w:val="center"/>
            <w:hideMark/>
          </w:tcPr>
          <w:p w14:paraId="5A61E590" w14:textId="77777777" w:rsidR="00426C3A" w:rsidRPr="000554B4" w:rsidRDefault="00426C3A" w:rsidP="002B210B">
            <w:pPr>
              <w:pStyle w:val="APVMATableText"/>
            </w:pPr>
          </w:p>
        </w:tc>
        <w:tc>
          <w:tcPr>
            <w:tcW w:w="956" w:type="pct"/>
            <w:tcBorders>
              <w:top w:val="single" w:sz="4" w:space="0" w:color="auto"/>
              <w:left w:val="nil"/>
              <w:bottom w:val="single" w:sz="4" w:space="0" w:color="auto"/>
            </w:tcBorders>
            <w:shd w:val="clear" w:color="auto" w:fill="auto"/>
            <w:vAlign w:val="center"/>
            <w:hideMark/>
          </w:tcPr>
          <w:p w14:paraId="78B0AA9D" w14:textId="44CC2F56" w:rsidR="00426C3A" w:rsidRPr="000554B4" w:rsidRDefault="00426C3A" w:rsidP="002B210B">
            <w:pPr>
              <w:pStyle w:val="APVMATableText"/>
            </w:pPr>
            <w:r w:rsidRPr="000554B4">
              <w:t>1.0</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2C8E390E"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672F96D7"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auto"/>
            <w:vAlign w:val="center"/>
            <w:hideMark/>
          </w:tcPr>
          <w:p w14:paraId="27BA9E42"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3D560FE3"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29AC3D00" w14:textId="77777777" w:rsidR="00426C3A" w:rsidRPr="000554B4" w:rsidRDefault="00426C3A" w:rsidP="00426C3A">
            <w:pPr>
              <w:pStyle w:val="APVMATableText"/>
              <w:jc w:val="right"/>
            </w:pPr>
            <w:r w:rsidRPr="000554B4">
              <w:t>60</w:t>
            </w:r>
          </w:p>
        </w:tc>
      </w:tr>
      <w:tr w:rsidR="00426C3A" w:rsidRPr="000554B4" w14:paraId="38B4E2ED" w14:textId="77777777" w:rsidTr="00426C3A">
        <w:trPr>
          <w:trHeight w:val="282"/>
        </w:trPr>
        <w:tc>
          <w:tcPr>
            <w:tcW w:w="1030" w:type="pct"/>
            <w:vMerge w:val="restart"/>
            <w:tcBorders>
              <w:top w:val="single" w:sz="4" w:space="0" w:color="auto"/>
              <w:bottom w:val="single" w:sz="4" w:space="0" w:color="auto"/>
            </w:tcBorders>
            <w:shd w:val="clear" w:color="auto" w:fill="FFFFFF"/>
            <w:vAlign w:val="center"/>
            <w:hideMark/>
          </w:tcPr>
          <w:p w14:paraId="38CEE0BF" w14:textId="198304D3" w:rsidR="00426C3A" w:rsidRPr="000554B4" w:rsidRDefault="00426C3A" w:rsidP="002B210B">
            <w:pPr>
              <w:pStyle w:val="APVMATableText"/>
            </w:pPr>
            <w:r w:rsidRPr="000554B4">
              <w:t>Up to 300</w:t>
            </w:r>
            <w:r w:rsidR="00295DF8">
              <w:t> </w:t>
            </w:r>
            <w:r w:rsidRPr="000554B4">
              <w:t>g/ha</w:t>
            </w:r>
            <w:r>
              <w:t xml:space="preserve"> </w:t>
            </w:r>
            <w:r w:rsidRPr="000554B4">
              <w:t>(240</w:t>
            </w:r>
            <w:r w:rsidR="00295DF8">
              <w:t> </w:t>
            </w:r>
            <w:r w:rsidRPr="000554B4">
              <w:t>g</w:t>
            </w:r>
            <w:r w:rsidR="00295DF8">
              <w:t> </w:t>
            </w:r>
            <w:r w:rsidRPr="000554B4">
              <w:t>ac/ha)</w:t>
            </w:r>
          </w:p>
        </w:tc>
        <w:tc>
          <w:tcPr>
            <w:tcW w:w="956" w:type="pct"/>
            <w:tcBorders>
              <w:top w:val="single" w:sz="4" w:space="0" w:color="auto"/>
              <w:left w:val="nil"/>
              <w:bottom w:val="single" w:sz="4" w:space="0" w:color="auto"/>
            </w:tcBorders>
            <w:shd w:val="clear" w:color="auto" w:fill="FFFFFF"/>
            <w:vAlign w:val="center"/>
            <w:hideMark/>
          </w:tcPr>
          <w:p w14:paraId="7390DB2C" w14:textId="199E05C0" w:rsidR="00426C3A" w:rsidRPr="000554B4" w:rsidRDefault="00426C3A" w:rsidP="002B210B">
            <w:pPr>
              <w:pStyle w:val="APVMATableText"/>
            </w:pPr>
            <w:r w:rsidRPr="000554B4">
              <w:t>0.5</w:t>
            </w:r>
            <w:r w:rsidR="00295DF8">
              <w:t> </w:t>
            </w:r>
            <w:r w:rsidRPr="000554B4">
              <w:t>m or lower</w:t>
            </w:r>
          </w:p>
        </w:tc>
        <w:tc>
          <w:tcPr>
            <w:tcW w:w="588" w:type="pct"/>
            <w:tcBorders>
              <w:top w:val="single" w:sz="4" w:space="0" w:color="auto"/>
              <w:left w:val="nil"/>
              <w:bottom w:val="single" w:sz="4" w:space="0" w:color="auto"/>
            </w:tcBorders>
            <w:shd w:val="clear" w:color="auto" w:fill="FFFFFF"/>
            <w:vAlign w:val="center"/>
            <w:hideMark/>
          </w:tcPr>
          <w:p w14:paraId="17351462"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FFFFFF"/>
            <w:vAlign w:val="center"/>
            <w:hideMark/>
          </w:tcPr>
          <w:p w14:paraId="6A5BAE91"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FFFFFF"/>
            <w:vAlign w:val="center"/>
            <w:hideMark/>
          </w:tcPr>
          <w:p w14:paraId="5A44EF01"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FFFFFF"/>
            <w:vAlign w:val="center"/>
            <w:hideMark/>
          </w:tcPr>
          <w:p w14:paraId="2191DCA5"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FFFFFF"/>
            <w:vAlign w:val="center"/>
            <w:hideMark/>
          </w:tcPr>
          <w:p w14:paraId="73CA7344" w14:textId="77777777" w:rsidR="00426C3A" w:rsidRPr="000554B4" w:rsidRDefault="00426C3A" w:rsidP="00426C3A">
            <w:pPr>
              <w:pStyle w:val="APVMATableText"/>
              <w:jc w:val="right"/>
            </w:pPr>
            <w:r w:rsidRPr="000554B4">
              <w:t>0</w:t>
            </w:r>
          </w:p>
        </w:tc>
      </w:tr>
      <w:tr w:rsidR="00426C3A" w:rsidRPr="000554B4" w14:paraId="3622CE5D" w14:textId="77777777" w:rsidTr="00426C3A">
        <w:trPr>
          <w:trHeight w:val="282"/>
        </w:trPr>
        <w:tc>
          <w:tcPr>
            <w:tcW w:w="1030" w:type="pct"/>
            <w:vMerge/>
            <w:tcBorders>
              <w:top w:val="single" w:sz="4" w:space="0" w:color="auto"/>
              <w:bottom w:val="single" w:sz="4" w:space="0" w:color="auto"/>
            </w:tcBorders>
            <w:shd w:val="clear" w:color="auto" w:fill="FFFFFF"/>
            <w:vAlign w:val="center"/>
            <w:hideMark/>
          </w:tcPr>
          <w:p w14:paraId="0E72753E" w14:textId="77777777" w:rsidR="00426C3A" w:rsidRPr="000554B4" w:rsidRDefault="00426C3A" w:rsidP="002B210B">
            <w:pPr>
              <w:pStyle w:val="APVMATableText"/>
            </w:pPr>
          </w:p>
        </w:tc>
        <w:tc>
          <w:tcPr>
            <w:tcW w:w="956" w:type="pct"/>
            <w:tcBorders>
              <w:top w:val="single" w:sz="4" w:space="0" w:color="auto"/>
              <w:left w:val="nil"/>
              <w:bottom w:val="single" w:sz="4" w:space="0" w:color="auto"/>
            </w:tcBorders>
            <w:shd w:val="clear" w:color="auto" w:fill="FFFFFF"/>
            <w:vAlign w:val="center"/>
            <w:hideMark/>
          </w:tcPr>
          <w:p w14:paraId="58088884" w14:textId="26E47672" w:rsidR="00426C3A" w:rsidRPr="000554B4" w:rsidRDefault="00426C3A" w:rsidP="002B210B">
            <w:pPr>
              <w:pStyle w:val="APVMATableText"/>
            </w:pPr>
            <w:r w:rsidRPr="000554B4">
              <w:t>1.0</w:t>
            </w:r>
            <w:r w:rsidR="00295DF8">
              <w:t> </w:t>
            </w:r>
            <w:r w:rsidRPr="000554B4">
              <w:t>m or lower</w:t>
            </w:r>
          </w:p>
        </w:tc>
        <w:tc>
          <w:tcPr>
            <w:tcW w:w="588" w:type="pct"/>
            <w:tcBorders>
              <w:top w:val="single" w:sz="4" w:space="0" w:color="auto"/>
              <w:left w:val="nil"/>
              <w:bottom w:val="single" w:sz="4" w:space="0" w:color="auto"/>
            </w:tcBorders>
            <w:shd w:val="clear" w:color="auto" w:fill="FFFFFF"/>
            <w:vAlign w:val="center"/>
            <w:hideMark/>
          </w:tcPr>
          <w:p w14:paraId="5A6A043F"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FFFFFF"/>
            <w:vAlign w:val="center"/>
            <w:hideMark/>
          </w:tcPr>
          <w:p w14:paraId="3031CBFD"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FFFFFF"/>
            <w:vAlign w:val="center"/>
            <w:hideMark/>
          </w:tcPr>
          <w:p w14:paraId="016B805B"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FFFFFF"/>
            <w:vAlign w:val="center"/>
            <w:hideMark/>
          </w:tcPr>
          <w:p w14:paraId="1427D590"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FFFFFF"/>
            <w:vAlign w:val="center"/>
            <w:hideMark/>
          </w:tcPr>
          <w:p w14:paraId="5738B91F" w14:textId="77777777" w:rsidR="00426C3A" w:rsidRPr="000554B4" w:rsidRDefault="00426C3A" w:rsidP="00426C3A">
            <w:pPr>
              <w:pStyle w:val="APVMATableText"/>
              <w:jc w:val="right"/>
            </w:pPr>
            <w:r w:rsidRPr="000554B4">
              <w:t>30</w:t>
            </w:r>
          </w:p>
        </w:tc>
      </w:tr>
    </w:tbl>
    <w:p w14:paraId="1971F2AC" w14:textId="64614C51" w:rsidR="00426C3A" w:rsidRPr="00D05130" w:rsidRDefault="00426C3A" w:rsidP="00D05130">
      <w:pPr>
        <w:pStyle w:val="AppendixH3"/>
      </w:pPr>
      <w:bookmarkStart w:id="140" w:name="_Toc116301581"/>
      <w:r w:rsidRPr="00D05130">
        <w:t>Vertical sprayers</w:t>
      </w:r>
      <w:bookmarkEnd w:id="140"/>
    </w:p>
    <w:p w14:paraId="47ED4498" w14:textId="77777777" w:rsidR="00426C3A" w:rsidRPr="00426C3A" w:rsidRDefault="00426C3A" w:rsidP="00D05130">
      <w:pPr>
        <w:pStyle w:val="APVMAText"/>
      </w:pPr>
      <w:r w:rsidRPr="00426C3A">
        <w:t>DO NOT apply by a vertical sprayer unless the following requirements are met:</w:t>
      </w:r>
    </w:p>
    <w:p w14:paraId="746D5DBF" w14:textId="131E8B4D" w:rsidR="00426C3A" w:rsidRPr="00D05130" w:rsidRDefault="00426C3A" w:rsidP="00D05130">
      <w:pPr>
        <w:pStyle w:val="Bullet1"/>
      </w:pPr>
      <w:r w:rsidRPr="00D05130">
        <w:t>Spray is not directed above the target canopy</w:t>
      </w:r>
    </w:p>
    <w:p w14:paraId="22B2631F" w14:textId="50B3F807" w:rsidR="00426C3A" w:rsidRPr="00D05130" w:rsidRDefault="00426C3A" w:rsidP="00D05130">
      <w:pPr>
        <w:pStyle w:val="Bullet1"/>
      </w:pPr>
      <w:r w:rsidRPr="00D05130">
        <w:t>The outside of the sprayer is turned off when turning at the end of rows and when spraying the outer row on each side of the application site</w:t>
      </w:r>
    </w:p>
    <w:p w14:paraId="3091641F" w14:textId="1CC807DE" w:rsidR="00426C3A" w:rsidRPr="00D05130" w:rsidRDefault="00426C3A" w:rsidP="00D05130">
      <w:pPr>
        <w:pStyle w:val="Bullet1"/>
      </w:pPr>
      <w:r w:rsidRPr="00D05130">
        <w:lastRenderedPageBreak/>
        <w:t>For dilute water rates up to the maximum listed for each type of canopy specified, minimum distances between the application site and downwind sensitive areas (see the ‘Mandatory buffer zones’ section in Table 19) are observed</w:t>
      </w:r>
    </w:p>
    <w:p w14:paraId="6107D4B8" w14:textId="09CFDDC3" w:rsidR="00426C3A" w:rsidRPr="00D05130" w:rsidRDefault="00426C3A" w:rsidP="00D05130">
      <w:pPr>
        <w:pStyle w:val="Caption"/>
      </w:pPr>
      <w:bookmarkStart w:id="141" w:name="_Toc101968015"/>
      <w:bookmarkStart w:id="142" w:name="_Toc116301710"/>
      <w:r w:rsidRPr="00D05130">
        <w:t xml:space="preserve">Table </w:t>
      </w:r>
      <w:fldSimple w:instr=" SEQ Table \* ARABIC ">
        <w:r w:rsidR="00ED7319" w:rsidRPr="00D05130">
          <w:t>19</w:t>
        </w:r>
      </w:fldSimple>
      <w:r w:rsidRPr="00D05130">
        <w:t>:</w:t>
      </w:r>
      <w:r w:rsidRPr="00D05130">
        <w:tab/>
        <w:t>Buffer zones for vertical sprayers (WG 800</w:t>
      </w:r>
      <w:r w:rsidR="00295DF8" w:rsidRPr="00D05130">
        <w:t> </w:t>
      </w:r>
      <w:r w:rsidRPr="00D05130">
        <w:t>g/L procymidone)</w:t>
      </w:r>
      <w:bookmarkEnd w:id="141"/>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256"/>
        <w:gridCol w:w="1276"/>
        <w:gridCol w:w="1276"/>
        <w:gridCol w:w="1276"/>
        <w:gridCol w:w="1276"/>
        <w:gridCol w:w="1278"/>
      </w:tblGrid>
      <w:tr w:rsidR="00426C3A" w:rsidRPr="000554B4" w14:paraId="0EB6E4CD" w14:textId="77777777" w:rsidTr="00426C3A">
        <w:trPr>
          <w:trHeight w:val="291"/>
        </w:trPr>
        <w:tc>
          <w:tcPr>
            <w:tcW w:w="1689" w:type="pct"/>
            <w:vMerge w:val="restart"/>
            <w:tcBorders>
              <w:top w:val="single" w:sz="4" w:space="0" w:color="auto"/>
              <w:left w:val="nil"/>
              <w:bottom w:val="single" w:sz="4" w:space="0" w:color="auto"/>
              <w:right w:val="nil"/>
            </w:tcBorders>
            <w:shd w:val="clear" w:color="auto" w:fill="5C2946"/>
            <w:vAlign w:val="center"/>
          </w:tcPr>
          <w:p w14:paraId="18B1BF05" w14:textId="77777777" w:rsidR="00426C3A" w:rsidRPr="00426C3A" w:rsidRDefault="00426C3A" w:rsidP="00426C3A">
            <w:pPr>
              <w:pStyle w:val="TableHead"/>
              <w:rPr>
                <w:rFonts w:eastAsia="Times"/>
              </w:rPr>
            </w:pPr>
            <w:r w:rsidRPr="00426C3A">
              <w:rPr>
                <w:rFonts w:eastAsia="Times"/>
              </w:rPr>
              <w:t>Type of target canopy and dilute water rate</w:t>
            </w:r>
          </w:p>
        </w:tc>
        <w:tc>
          <w:tcPr>
            <w:tcW w:w="3311" w:type="pct"/>
            <w:gridSpan w:val="5"/>
            <w:tcBorders>
              <w:top w:val="single" w:sz="4" w:space="0" w:color="auto"/>
              <w:left w:val="nil"/>
              <w:bottom w:val="single" w:sz="4" w:space="0" w:color="auto"/>
              <w:right w:val="nil"/>
            </w:tcBorders>
            <w:shd w:val="clear" w:color="auto" w:fill="5C2946"/>
            <w:hideMark/>
          </w:tcPr>
          <w:p w14:paraId="75F9E443" w14:textId="77777777" w:rsidR="00426C3A" w:rsidRPr="00426C3A" w:rsidRDefault="00426C3A" w:rsidP="00426C3A">
            <w:pPr>
              <w:pStyle w:val="TableHead"/>
              <w:jc w:val="center"/>
              <w:rPr>
                <w:rFonts w:eastAsia="Times"/>
              </w:rPr>
            </w:pPr>
            <w:r w:rsidRPr="00426C3A">
              <w:rPr>
                <w:rFonts w:eastAsia="Times"/>
              </w:rPr>
              <w:t xml:space="preserve">Mandatory </w:t>
            </w:r>
            <w:r w:rsidRPr="00426C3A">
              <w:t xml:space="preserve">buffer </w:t>
            </w:r>
            <w:r w:rsidRPr="00426C3A">
              <w:rPr>
                <w:rFonts w:eastAsia="Times"/>
              </w:rPr>
              <w:t>zones</w:t>
            </w:r>
          </w:p>
        </w:tc>
      </w:tr>
      <w:tr w:rsidR="00426C3A" w:rsidRPr="000554B4" w14:paraId="7A595B1E" w14:textId="77777777" w:rsidTr="00426C3A">
        <w:tc>
          <w:tcPr>
            <w:tcW w:w="1689" w:type="pct"/>
            <w:vMerge/>
            <w:tcBorders>
              <w:top w:val="single" w:sz="4" w:space="0" w:color="auto"/>
              <w:left w:val="nil"/>
              <w:bottom w:val="single" w:sz="4" w:space="0" w:color="auto"/>
              <w:right w:val="nil"/>
            </w:tcBorders>
            <w:shd w:val="clear" w:color="auto" w:fill="5C2946"/>
            <w:vAlign w:val="center"/>
            <w:hideMark/>
          </w:tcPr>
          <w:p w14:paraId="1974517C" w14:textId="77777777" w:rsidR="00426C3A" w:rsidRPr="00426C3A" w:rsidRDefault="00426C3A" w:rsidP="00426C3A">
            <w:pPr>
              <w:rPr>
                <w:rFonts w:eastAsia="Times"/>
              </w:rPr>
            </w:pPr>
          </w:p>
        </w:tc>
        <w:tc>
          <w:tcPr>
            <w:tcW w:w="662" w:type="pct"/>
            <w:tcBorders>
              <w:top w:val="single" w:sz="4" w:space="0" w:color="auto"/>
              <w:left w:val="nil"/>
              <w:bottom w:val="single" w:sz="4" w:space="0" w:color="auto"/>
              <w:right w:val="nil"/>
            </w:tcBorders>
            <w:shd w:val="clear" w:color="auto" w:fill="5C2946"/>
            <w:vAlign w:val="center"/>
            <w:hideMark/>
          </w:tcPr>
          <w:p w14:paraId="1E66C0B0"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Bystander areas (metres)</w:t>
            </w:r>
          </w:p>
        </w:tc>
        <w:tc>
          <w:tcPr>
            <w:tcW w:w="662" w:type="pct"/>
            <w:tcBorders>
              <w:top w:val="single" w:sz="4" w:space="0" w:color="auto"/>
              <w:left w:val="nil"/>
              <w:bottom w:val="single" w:sz="4" w:space="0" w:color="auto"/>
              <w:right w:val="nil"/>
            </w:tcBorders>
            <w:shd w:val="clear" w:color="auto" w:fill="5C2946"/>
            <w:vAlign w:val="center"/>
            <w:hideMark/>
          </w:tcPr>
          <w:p w14:paraId="66FAF414"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Natural aquatic areas (metres)</w:t>
            </w:r>
          </w:p>
        </w:tc>
        <w:tc>
          <w:tcPr>
            <w:tcW w:w="662" w:type="pct"/>
            <w:tcBorders>
              <w:top w:val="single" w:sz="4" w:space="0" w:color="auto"/>
              <w:left w:val="nil"/>
              <w:bottom w:val="single" w:sz="4" w:space="0" w:color="auto"/>
              <w:right w:val="nil"/>
            </w:tcBorders>
            <w:shd w:val="clear" w:color="auto" w:fill="5C2946"/>
            <w:vAlign w:val="center"/>
            <w:hideMark/>
          </w:tcPr>
          <w:p w14:paraId="4472A2CB"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Pollinator areas (metres)</w:t>
            </w:r>
          </w:p>
        </w:tc>
        <w:tc>
          <w:tcPr>
            <w:tcW w:w="662" w:type="pct"/>
            <w:tcBorders>
              <w:top w:val="single" w:sz="4" w:space="0" w:color="auto"/>
              <w:left w:val="nil"/>
              <w:bottom w:val="single" w:sz="4" w:space="0" w:color="auto"/>
              <w:right w:val="nil"/>
            </w:tcBorders>
            <w:shd w:val="clear" w:color="auto" w:fill="5C2946"/>
            <w:vAlign w:val="center"/>
            <w:hideMark/>
          </w:tcPr>
          <w:p w14:paraId="7CDC256D"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Vegetation areas (metres)</w:t>
            </w:r>
          </w:p>
        </w:tc>
        <w:tc>
          <w:tcPr>
            <w:tcW w:w="663" w:type="pct"/>
            <w:tcBorders>
              <w:top w:val="single" w:sz="4" w:space="0" w:color="auto"/>
              <w:left w:val="nil"/>
              <w:bottom w:val="single" w:sz="4" w:space="0" w:color="auto"/>
              <w:right w:val="nil"/>
            </w:tcBorders>
            <w:shd w:val="clear" w:color="auto" w:fill="5C2946"/>
            <w:vAlign w:val="center"/>
            <w:hideMark/>
          </w:tcPr>
          <w:p w14:paraId="2494C514"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Livestock areas (metres)</w:t>
            </w:r>
          </w:p>
        </w:tc>
      </w:tr>
      <w:tr w:rsidR="00426C3A" w:rsidRPr="000554B4" w14:paraId="4EAA4438" w14:textId="77777777" w:rsidTr="00426C3A">
        <w:tc>
          <w:tcPr>
            <w:tcW w:w="1689" w:type="pct"/>
            <w:tcBorders>
              <w:top w:val="single" w:sz="4" w:space="0" w:color="auto"/>
              <w:left w:val="nil"/>
              <w:bottom w:val="single" w:sz="4" w:space="0" w:color="auto"/>
              <w:right w:val="nil"/>
            </w:tcBorders>
            <w:hideMark/>
          </w:tcPr>
          <w:p w14:paraId="51097958" w14:textId="61706693" w:rsidR="00426C3A" w:rsidRPr="000554B4" w:rsidRDefault="00426C3A" w:rsidP="002B210B">
            <w:pPr>
              <w:pStyle w:val="APVMATableText"/>
              <w:rPr>
                <w:rFonts w:eastAsia="Times"/>
              </w:rPr>
            </w:pPr>
            <w:r w:rsidRPr="000554B4">
              <w:rPr>
                <w:rFonts w:eastAsia="Times"/>
              </w:rPr>
              <w:t>2 metres tall and shorter, maximum dilute water rate of 1000</w:t>
            </w:r>
            <w:r w:rsidR="00295DF8">
              <w:t> </w:t>
            </w:r>
            <w:r w:rsidRPr="000554B4">
              <w:rPr>
                <w:rFonts w:eastAsia="Times"/>
              </w:rPr>
              <w:t>L/ha</w:t>
            </w:r>
          </w:p>
        </w:tc>
        <w:tc>
          <w:tcPr>
            <w:tcW w:w="662" w:type="pct"/>
            <w:tcBorders>
              <w:top w:val="single" w:sz="4" w:space="0" w:color="auto"/>
              <w:left w:val="nil"/>
              <w:bottom w:val="single" w:sz="4" w:space="0" w:color="auto"/>
              <w:right w:val="nil"/>
            </w:tcBorders>
            <w:vAlign w:val="center"/>
            <w:hideMark/>
          </w:tcPr>
          <w:p w14:paraId="73811116" w14:textId="77777777" w:rsidR="00426C3A" w:rsidRPr="000554B4" w:rsidRDefault="00426C3A" w:rsidP="002B210B">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39797D51" w14:textId="77777777" w:rsidR="00426C3A" w:rsidRPr="000554B4" w:rsidRDefault="00426C3A" w:rsidP="002B210B">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04C95DE0" w14:textId="77777777" w:rsidR="00426C3A" w:rsidRPr="000554B4" w:rsidRDefault="00426C3A" w:rsidP="002B210B">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3C231EDC" w14:textId="77777777" w:rsidR="00426C3A" w:rsidRPr="000554B4" w:rsidRDefault="00426C3A" w:rsidP="002B210B">
            <w:pPr>
              <w:pStyle w:val="APVMATableText"/>
              <w:jc w:val="right"/>
            </w:pPr>
            <w:r w:rsidRPr="000554B4">
              <w:t>0</w:t>
            </w:r>
          </w:p>
        </w:tc>
        <w:tc>
          <w:tcPr>
            <w:tcW w:w="663" w:type="pct"/>
            <w:tcBorders>
              <w:top w:val="single" w:sz="4" w:space="0" w:color="auto"/>
              <w:left w:val="nil"/>
              <w:bottom w:val="single" w:sz="4" w:space="0" w:color="auto"/>
              <w:right w:val="nil"/>
            </w:tcBorders>
            <w:vAlign w:val="center"/>
            <w:hideMark/>
          </w:tcPr>
          <w:p w14:paraId="2A63B883" w14:textId="77777777" w:rsidR="00426C3A" w:rsidRPr="000554B4" w:rsidRDefault="00426C3A" w:rsidP="002B210B">
            <w:pPr>
              <w:pStyle w:val="APVMATableText"/>
              <w:jc w:val="right"/>
            </w:pPr>
            <w:r w:rsidRPr="000554B4">
              <w:t>0</w:t>
            </w:r>
          </w:p>
        </w:tc>
      </w:tr>
      <w:tr w:rsidR="00426C3A" w:rsidRPr="000554B4" w14:paraId="3A7B86C7" w14:textId="77777777" w:rsidTr="00426C3A">
        <w:tc>
          <w:tcPr>
            <w:tcW w:w="1689" w:type="pct"/>
            <w:tcBorders>
              <w:top w:val="single" w:sz="4" w:space="0" w:color="auto"/>
              <w:left w:val="nil"/>
              <w:bottom w:val="single" w:sz="4" w:space="0" w:color="auto"/>
              <w:right w:val="nil"/>
            </w:tcBorders>
            <w:hideMark/>
          </w:tcPr>
          <w:p w14:paraId="7507EEE2" w14:textId="59733BEE" w:rsidR="00426C3A" w:rsidRPr="000554B4" w:rsidRDefault="00426C3A" w:rsidP="002B210B">
            <w:pPr>
              <w:pStyle w:val="APVMATableText"/>
              <w:rPr>
                <w:rFonts w:eastAsia="Times"/>
              </w:rPr>
            </w:pPr>
            <w:r w:rsidRPr="000554B4">
              <w:rPr>
                <w:rFonts w:eastAsia="Times"/>
              </w:rPr>
              <w:t>Taller than 2 metres (not fully foliated), maximum dilute water rate of 1500</w:t>
            </w:r>
            <w:r w:rsidR="00295DF8">
              <w:t> </w:t>
            </w:r>
            <w:r w:rsidRPr="000554B4">
              <w:rPr>
                <w:rFonts w:eastAsia="Times"/>
              </w:rPr>
              <w:t>L/ha</w:t>
            </w:r>
          </w:p>
        </w:tc>
        <w:tc>
          <w:tcPr>
            <w:tcW w:w="662" w:type="pct"/>
            <w:tcBorders>
              <w:top w:val="single" w:sz="4" w:space="0" w:color="auto"/>
              <w:left w:val="nil"/>
              <w:bottom w:val="single" w:sz="4" w:space="0" w:color="auto"/>
              <w:right w:val="nil"/>
            </w:tcBorders>
            <w:vAlign w:val="center"/>
            <w:hideMark/>
          </w:tcPr>
          <w:p w14:paraId="4C644C70" w14:textId="77777777" w:rsidR="00426C3A" w:rsidRPr="000554B4" w:rsidRDefault="00426C3A" w:rsidP="002B210B">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3ED533BD" w14:textId="77777777" w:rsidR="00426C3A" w:rsidRPr="000554B4" w:rsidRDefault="00426C3A" w:rsidP="002B210B">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142EA557" w14:textId="77777777" w:rsidR="00426C3A" w:rsidRPr="000554B4" w:rsidRDefault="00426C3A" w:rsidP="002B210B">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5C89BF9D" w14:textId="77777777" w:rsidR="00426C3A" w:rsidRPr="000554B4" w:rsidRDefault="00426C3A" w:rsidP="002B210B">
            <w:pPr>
              <w:pStyle w:val="APVMATableText"/>
              <w:jc w:val="right"/>
            </w:pPr>
            <w:r w:rsidRPr="000554B4">
              <w:t>0</w:t>
            </w:r>
          </w:p>
        </w:tc>
        <w:tc>
          <w:tcPr>
            <w:tcW w:w="663" w:type="pct"/>
            <w:tcBorders>
              <w:top w:val="single" w:sz="4" w:space="0" w:color="auto"/>
              <w:left w:val="nil"/>
              <w:bottom w:val="single" w:sz="4" w:space="0" w:color="auto"/>
              <w:right w:val="nil"/>
            </w:tcBorders>
            <w:vAlign w:val="center"/>
            <w:hideMark/>
          </w:tcPr>
          <w:p w14:paraId="2B88CF0A" w14:textId="77777777" w:rsidR="00426C3A" w:rsidRPr="000554B4" w:rsidRDefault="00426C3A" w:rsidP="002B210B">
            <w:pPr>
              <w:pStyle w:val="APVMATableText"/>
              <w:jc w:val="right"/>
            </w:pPr>
            <w:r w:rsidRPr="000554B4">
              <w:t>20</w:t>
            </w:r>
          </w:p>
        </w:tc>
      </w:tr>
      <w:tr w:rsidR="00426C3A" w:rsidRPr="000554B4" w14:paraId="098B1E38" w14:textId="77777777" w:rsidTr="00426C3A">
        <w:tc>
          <w:tcPr>
            <w:tcW w:w="1689" w:type="pct"/>
            <w:tcBorders>
              <w:top w:val="single" w:sz="4" w:space="0" w:color="auto"/>
              <w:left w:val="nil"/>
              <w:bottom w:val="single" w:sz="4" w:space="0" w:color="auto"/>
              <w:right w:val="nil"/>
            </w:tcBorders>
            <w:hideMark/>
          </w:tcPr>
          <w:p w14:paraId="2FEE5975" w14:textId="04414CAA" w:rsidR="00426C3A" w:rsidRPr="000554B4" w:rsidRDefault="00426C3A" w:rsidP="002B210B">
            <w:pPr>
              <w:pStyle w:val="APVMATableText"/>
              <w:rPr>
                <w:rFonts w:eastAsia="Times"/>
              </w:rPr>
            </w:pPr>
            <w:r w:rsidRPr="000554B4">
              <w:rPr>
                <w:rFonts w:eastAsia="Times"/>
              </w:rPr>
              <w:t>Taller than 2 metres (fully foliated), maximum dilute water rate of 1500</w:t>
            </w:r>
            <w:r w:rsidR="00295DF8">
              <w:t> </w:t>
            </w:r>
            <w:r w:rsidRPr="000554B4">
              <w:rPr>
                <w:rFonts w:eastAsia="Times"/>
              </w:rPr>
              <w:t>L/ha</w:t>
            </w:r>
          </w:p>
        </w:tc>
        <w:tc>
          <w:tcPr>
            <w:tcW w:w="662" w:type="pct"/>
            <w:tcBorders>
              <w:top w:val="single" w:sz="4" w:space="0" w:color="auto"/>
              <w:left w:val="nil"/>
              <w:bottom w:val="single" w:sz="4" w:space="0" w:color="auto"/>
              <w:right w:val="nil"/>
            </w:tcBorders>
            <w:vAlign w:val="center"/>
            <w:hideMark/>
          </w:tcPr>
          <w:p w14:paraId="65EABD2F" w14:textId="77777777" w:rsidR="00426C3A" w:rsidRPr="000554B4" w:rsidRDefault="00426C3A" w:rsidP="002B210B">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7968B28D" w14:textId="77777777" w:rsidR="00426C3A" w:rsidRPr="000554B4" w:rsidRDefault="00426C3A" w:rsidP="002B210B">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4096BC71" w14:textId="77777777" w:rsidR="00426C3A" w:rsidRPr="000554B4" w:rsidRDefault="00426C3A" w:rsidP="002B210B">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71C80035" w14:textId="77777777" w:rsidR="00426C3A" w:rsidRPr="000554B4" w:rsidRDefault="00426C3A" w:rsidP="002B210B">
            <w:pPr>
              <w:pStyle w:val="APVMATableText"/>
              <w:jc w:val="right"/>
            </w:pPr>
            <w:r w:rsidRPr="000554B4">
              <w:t>0</w:t>
            </w:r>
          </w:p>
        </w:tc>
        <w:tc>
          <w:tcPr>
            <w:tcW w:w="663" w:type="pct"/>
            <w:tcBorders>
              <w:top w:val="single" w:sz="4" w:space="0" w:color="auto"/>
              <w:left w:val="nil"/>
              <w:bottom w:val="single" w:sz="4" w:space="0" w:color="auto"/>
              <w:right w:val="nil"/>
            </w:tcBorders>
            <w:vAlign w:val="center"/>
            <w:hideMark/>
          </w:tcPr>
          <w:p w14:paraId="20BCE432" w14:textId="77777777" w:rsidR="00426C3A" w:rsidRPr="000554B4" w:rsidRDefault="00426C3A" w:rsidP="002B210B">
            <w:pPr>
              <w:pStyle w:val="APVMATableText"/>
              <w:jc w:val="right"/>
            </w:pPr>
            <w:r w:rsidRPr="000554B4">
              <w:t>10</w:t>
            </w:r>
          </w:p>
        </w:tc>
      </w:tr>
    </w:tbl>
    <w:p w14:paraId="03B9BDC2" w14:textId="121881A5" w:rsidR="00426C3A" w:rsidRPr="00D05130" w:rsidRDefault="00426C3A" w:rsidP="00D05130">
      <w:pPr>
        <w:pStyle w:val="AppendixH3"/>
      </w:pPr>
      <w:bookmarkStart w:id="143" w:name="_Toc116301582"/>
      <w:r w:rsidRPr="00D05130">
        <w:t>Aircraft</w:t>
      </w:r>
      <w:bookmarkEnd w:id="143"/>
    </w:p>
    <w:p w14:paraId="31D3D1E3" w14:textId="77777777" w:rsidR="00426C3A" w:rsidRPr="00426C3A" w:rsidRDefault="00426C3A" w:rsidP="00D05130">
      <w:pPr>
        <w:pStyle w:val="APVMAText"/>
      </w:pPr>
      <w:r w:rsidRPr="00426C3A">
        <w:t>DO NOT apply by aircraft unless the following requirements are met:</w:t>
      </w:r>
    </w:p>
    <w:p w14:paraId="2627CBFB" w14:textId="297660A2" w:rsidR="00426C3A" w:rsidRPr="00D05130" w:rsidRDefault="00426C3A" w:rsidP="00D05130">
      <w:pPr>
        <w:pStyle w:val="Bullet1"/>
      </w:pPr>
      <w:r w:rsidRPr="00D05130">
        <w:t>Spray droplets not smaller than a MEDIUM spray droplet size category for lentil application</w:t>
      </w:r>
    </w:p>
    <w:p w14:paraId="5FC91FD8" w14:textId="0AD3F365" w:rsidR="00426C3A" w:rsidRPr="00D05130" w:rsidRDefault="00426C3A" w:rsidP="00D05130">
      <w:pPr>
        <w:pStyle w:val="Bullet1"/>
      </w:pPr>
      <w:r w:rsidRPr="00D05130">
        <w:t>Spray droplets not smaller than a COARSE spray droplet size category for canola application</w:t>
      </w:r>
    </w:p>
    <w:p w14:paraId="41D77C22" w14:textId="3D3E9E79" w:rsidR="00426C3A" w:rsidRPr="00D05130" w:rsidRDefault="00426C3A" w:rsidP="00D05130">
      <w:pPr>
        <w:pStyle w:val="Bullet1"/>
      </w:pPr>
      <w:r w:rsidRPr="00D05130">
        <w:t>For maximum release height above the target canopy of 3 metres or 25% of wingspan or 25% of rotor diameter, whichever is the greatest, minimum distances between the application site and downwind sensitive areas (see the ‘Mandatory buffer zones’ section in Tables 20 and 21) are observed</w:t>
      </w:r>
    </w:p>
    <w:p w14:paraId="44220A4B" w14:textId="179AE81F" w:rsidR="009D452E" w:rsidRPr="00D05130" w:rsidRDefault="00426C3A" w:rsidP="00D05130">
      <w:pPr>
        <w:pStyle w:val="Caption"/>
      </w:pPr>
      <w:bookmarkStart w:id="144" w:name="_Toc101968016"/>
      <w:bookmarkStart w:id="145" w:name="_Toc116301711"/>
      <w:r w:rsidRPr="00D05130">
        <w:t xml:space="preserve">Table </w:t>
      </w:r>
      <w:fldSimple w:instr=" SEQ Table \* ARABIC ">
        <w:r w:rsidR="00ED7319" w:rsidRPr="00D05130">
          <w:t>20</w:t>
        </w:r>
      </w:fldSimple>
      <w:r w:rsidRPr="00D05130">
        <w:t>:</w:t>
      </w:r>
      <w:r w:rsidRPr="00D05130">
        <w:tab/>
        <w:t>Buffer zones for aircraft (MEDIUM spray droplet size, WG 800 g/L procymidone)</w:t>
      </w:r>
      <w:bookmarkEnd w:id="144"/>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57"/>
        <w:gridCol w:w="985"/>
        <w:gridCol w:w="1338"/>
        <w:gridCol w:w="1339"/>
        <w:gridCol w:w="1339"/>
        <w:gridCol w:w="1339"/>
        <w:gridCol w:w="1341"/>
      </w:tblGrid>
      <w:tr w:rsidR="00426C3A" w:rsidRPr="00A469A8" w14:paraId="37D81F25" w14:textId="77777777" w:rsidTr="00426C3A">
        <w:trPr>
          <w:trHeight w:val="282"/>
          <w:tblHeader/>
        </w:trPr>
        <w:tc>
          <w:tcPr>
            <w:tcW w:w="784" w:type="pct"/>
            <w:vMerge w:val="restart"/>
            <w:tcBorders>
              <w:top w:val="single" w:sz="4" w:space="0" w:color="auto"/>
              <w:left w:val="nil"/>
              <w:bottom w:val="single" w:sz="4" w:space="0" w:color="auto"/>
              <w:right w:val="nil"/>
            </w:tcBorders>
            <w:shd w:val="clear" w:color="auto" w:fill="5C2946"/>
            <w:vAlign w:val="center"/>
            <w:hideMark/>
          </w:tcPr>
          <w:p w14:paraId="5DC64AEA" w14:textId="77777777" w:rsidR="00426C3A" w:rsidRPr="00426C3A" w:rsidRDefault="00426C3A" w:rsidP="00426C3A">
            <w:pPr>
              <w:pStyle w:val="TableHead"/>
            </w:pPr>
            <w:r w:rsidRPr="00426C3A">
              <w:t>Application rate</w:t>
            </w:r>
          </w:p>
        </w:tc>
        <w:tc>
          <w:tcPr>
            <w:tcW w:w="550" w:type="pct"/>
            <w:vMerge w:val="restart"/>
            <w:tcBorders>
              <w:top w:val="single" w:sz="4" w:space="0" w:color="auto"/>
              <w:left w:val="nil"/>
              <w:bottom w:val="single" w:sz="4" w:space="0" w:color="auto"/>
              <w:right w:val="nil"/>
            </w:tcBorders>
            <w:shd w:val="clear" w:color="auto" w:fill="5C2946"/>
            <w:vAlign w:val="center"/>
            <w:hideMark/>
          </w:tcPr>
          <w:p w14:paraId="1B34E906" w14:textId="77777777" w:rsidR="00426C3A" w:rsidRPr="00426C3A" w:rsidRDefault="00426C3A" w:rsidP="00426C3A">
            <w:pPr>
              <w:pStyle w:val="TableHead"/>
            </w:pPr>
            <w:r w:rsidRPr="00426C3A">
              <w:t>Type of aircraft</w:t>
            </w:r>
          </w:p>
        </w:tc>
        <w:tc>
          <w:tcPr>
            <w:tcW w:w="3666" w:type="pct"/>
            <w:gridSpan w:val="5"/>
            <w:tcBorders>
              <w:top w:val="single" w:sz="4" w:space="0" w:color="auto"/>
              <w:left w:val="nil"/>
              <w:bottom w:val="single" w:sz="4" w:space="0" w:color="auto"/>
              <w:right w:val="nil"/>
            </w:tcBorders>
            <w:shd w:val="clear" w:color="auto" w:fill="5C2946"/>
            <w:vAlign w:val="center"/>
            <w:hideMark/>
          </w:tcPr>
          <w:p w14:paraId="57DC41E0" w14:textId="77777777" w:rsidR="00426C3A" w:rsidRPr="00426C3A" w:rsidRDefault="00426C3A" w:rsidP="00426C3A">
            <w:pPr>
              <w:pStyle w:val="TableHead"/>
              <w:jc w:val="center"/>
            </w:pPr>
            <w:r w:rsidRPr="00426C3A">
              <w:t>Mandatory buffer zones</w:t>
            </w:r>
          </w:p>
        </w:tc>
      </w:tr>
      <w:tr w:rsidR="00426C3A" w:rsidRPr="00A469A8" w14:paraId="45FEE876" w14:textId="77777777" w:rsidTr="00426C3A">
        <w:trPr>
          <w:trHeight w:val="375"/>
          <w:tblHeader/>
        </w:trPr>
        <w:tc>
          <w:tcPr>
            <w:tcW w:w="784" w:type="pct"/>
            <w:vMerge/>
            <w:tcBorders>
              <w:top w:val="single" w:sz="4" w:space="0" w:color="auto"/>
              <w:left w:val="nil"/>
              <w:bottom w:val="single" w:sz="4" w:space="0" w:color="auto"/>
              <w:right w:val="nil"/>
            </w:tcBorders>
            <w:shd w:val="clear" w:color="auto" w:fill="5C2946"/>
            <w:vAlign w:val="center"/>
            <w:hideMark/>
          </w:tcPr>
          <w:p w14:paraId="792F9013" w14:textId="77777777" w:rsidR="00426C3A" w:rsidRPr="00426C3A" w:rsidRDefault="00426C3A" w:rsidP="00426C3A">
            <w:pPr>
              <w:rPr>
                <w:rFonts w:ascii="Franklin Gothic Medium" w:hAnsi="Franklin Gothic Medium"/>
                <w:color w:val="FFFFFF"/>
                <w:sz w:val="18"/>
                <w:szCs w:val="18"/>
              </w:rPr>
            </w:pPr>
          </w:p>
        </w:tc>
        <w:tc>
          <w:tcPr>
            <w:tcW w:w="550" w:type="pct"/>
            <w:vMerge/>
            <w:tcBorders>
              <w:top w:val="single" w:sz="4" w:space="0" w:color="auto"/>
              <w:left w:val="nil"/>
              <w:bottom w:val="single" w:sz="4" w:space="0" w:color="auto"/>
              <w:right w:val="nil"/>
            </w:tcBorders>
            <w:shd w:val="clear" w:color="auto" w:fill="5C2946"/>
            <w:vAlign w:val="center"/>
            <w:hideMark/>
          </w:tcPr>
          <w:p w14:paraId="30B72D9A" w14:textId="77777777" w:rsidR="00426C3A" w:rsidRPr="00426C3A" w:rsidRDefault="00426C3A" w:rsidP="00426C3A">
            <w:pPr>
              <w:rPr>
                <w:rFonts w:ascii="Franklin Gothic Medium" w:hAnsi="Franklin Gothic Medium"/>
                <w:color w:val="FFFFFF"/>
                <w:sz w:val="18"/>
                <w:szCs w:val="18"/>
              </w:rPr>
            </w:pPr>
          </w:p>
        </w:tc>
        <w:tc>
          <w:tcPr>
            <w:tcW w:w="733" w:type="pct"/>
            <w:tcBorders>
              <w:top w:val="single" w:sz="4" w:space="0" w:color="auto"/>
              <w:left w:val="nil"/>
              <w:bottom w:val="single" w:sz="4" w:space="0" w:color="auto"/>
              <w:right w:val="nil"/>
            </w:tcBorders>
            <w:shd w:val="clear" w:color="auto" w:fill="5C2946"/>
            <w:vAlign w:val="center"/>
            <w:hideMark/>
          </w:tcPr>
          <w:p w14:paraId="7E5D3ACB"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Bystander areas (metres)</w:t>
            </w:r>
          </w:p>
        </w:tc>
        <w:tc>
          <w:tcPr>
            <w:tcW w:w="733" w:type="pct"/>
            <w:tcBorders>
              <w:top w:val="single" w:sz="4" w:space="0" w:color="auto"/>
              <w:left w:val="nil"/>
              <w:bottom w:val="single" w:sz="4" w:space="0" w:color="auto"/>
              <w:right w:val="nil"/>
            </w:tcBorders>
            <w:shd w:val="clear" w:color="auto" w:fill="5C2946"/>
            <w:vAlign w:val="center"/>
            <w:hideMark/>
          </w:tcPr>
          <w:p w14:paraId="59A57362"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 xml:space="preserve">Natural aquatic areas (metres) </w:t>
            </w:r>
          </w:p>
        </w:tc>
        <w:tc>
          <w:tcPr>
            <w:tcW w:w="733" w:type="pct"/>
            <w:tcBorders>
              <w:top w:val="single" w:sz="4" w:space="0" w:color="auto"/>
              <w:left w:val="nil"/>
              <w:bottom w:val="single" w:sz="4" w:space="0" w:color="auto"/>
              <w:right w:val="nil"/>
            </w:tcBorders>
            <w:shd w:val="clear" w:color="auto" w:fill="5C2946"/>
            <w:vAlign w:val="center"/>
            <w:hideMark/>
          </w:tcPr>
          <w:p w14:paraId="3B485756"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Pollinator areas (metres)</w:t>
            </w:r>
          </w:p>
        </w:tc>
        <w:tc>
          <w:tcPr>
            <w:tcW w:w="733" w:type="pct"/>
            <w:tcBorders>
              <w:top w:val="single" w:sz="4" w:space="0" w:color="auto"/>
              <w:left w:val="nil"/>
              <w:bottom w:val="single" w:sz="4" w:space="0" w:color="auto"/>
              <w:right w:val="nil"/>
            </w:tcBorders>
            <w:shd w:val="clear" w:color="auto" w:fill="5C2946"/>
            <w:vAlign w:val="center"/>
            <w:hideMark/>
          </w:tcPr>
          <w:p w14:paraId="614B44D3"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Vegetation areas (metres)</w:t>
            </w:r>
          </w:p>
        </w:tc>
        <w:tc>
          <w:tcPr>
            <w:tcW w:w="734" w:type="pct"/>
            <w:tcBorders>
              <w:top w:val="single" w:sz="4" w:space="0" w:color="auto"/>
              <w:left w:val="nil"/>
              <w:bottom w:val="single" w:sz="4" w:space="0" w:color="auto"/>
              <w:right w:val="nil"/>
            </w:tcBorders>
            <w:shd w:val="clear" w:color="auto" w:fill="5C2946"/>
            <w:vAlign w:val="center"/>
            <w:hideMark/>
          </w:tcPr>
          <w:p w14:paraId="1F9C308A"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Livestock areas (metres)</w:t>
            </w:r>
          </w:p>
        </w:tc>
      </w:tr>
      <w:tr w:rsidR="00426C3A" w:rsidRPr="00A469A8" w14:paraId="3E11FFDF" w14:textId="77777777" w:rsidTr="002B210B">
        <w:tc>
          <w:tcPr>
            <w:tcW w:w="784" w:type="pct"/>
            <w:vMerge w:val="restart"/>
            <w:tcBorders>
              <w:top w:val="single" w:sz="4" w:space="0" w:color="auto"/>
              <w:left w:val="nil"/>
              <w:bottom w:val="single" w:sz="4" w:space="0" w:color="auto"/>
              <w:right w:val="nil"/>
            </w:tcBorders>
            <w:vAlign w:val="center"/>
            <w:hideMark/>
          </w:tcPr>
          <w:p w14:paraId="5F28D7E6" w14:textId="4224BD7D" w:rsidR="00426C3A" w:rsidRPr="000554B4" w:rsidRDefault="00426C3A" w:rsidP="002B210B">
            <w:pPr>
              <w:pStyle w:val="APVMATableText"/>
            </w:pPr>
            <w:r w:rsidRPr="000554B4">
              <w:t>Up to 300</w:t>
            </w:r>
            <w:r w:rsidR="00295DF8">
              <w:t> </w:t>
            </w:r>
            <w:r w:rsidRPr="000554B4">
              <w:t>g/ha</w:t>
            </w:r>
            <w:r w:rsidR="00295DF8">
              <w:t> </w:t>
            </w:r>
            <w:r w:rsidRPr="000554B4">
              <w:t>(240</w:t>
            </w:r>
            <w:r w:rsidR="00295DF8">
              <w:t> </w:t>
            </w:r>
            <w:r w:rsidRPr="000554B4">
              <w:t>g</w:t>
            </w:r>
            <w:r w:rsidR="00295DF8">
              <w:t> </w:t>
            </w:r>
            <w:r w:rsidRPr="000554B4">
              <w:t>ac/ha)</w:t>
            </w:r>
          </w:p>
        </w:tc>
        <w:tc>
          <w:tcPr>
            <w:tcW w:w="550" w:type="pct"/>
            <w:tcBorders>
              <w:top w:val="single" w:sz="4" w:space="0" w:color="auto"/>
              <w:left w:val="nil"/>
              <w:bottom w:val="single" w:sz="4" w:space="0" w:color="auto"/>
              <w:right w:val="nil"/>
            </w:tcBorders>
            <w:hideMark/>
          </w:tcPr>
          <w:p w14:paraId="3CEF7503" w14:textId="77777777" w:rsidR="00426C3A" w:rsidRPr="000554B4" w:rsidRDefault="00426C3A" w:rsidP="002B210B">
            <w:pPr>
              <w:pStyle w:val="APVMATableText"/>
            </w:pPr>
            <w:r w:rsidRPr="000554B4">
              <w:t>Fixed wing</w:t>
            </w:r>
          </w:p>
        </w:tc>
        <w:tc>
          <w:tcPr>
            <w:tcW w:w="733" w:type="pct"/>
            <w:tcBorders>
              <w:top w:val="single" w:sz="4" w:space="0" w:color="auto"/>
              <w:left w:val="nil"/>
              <w:bottom w:val="single" w:sz="4" w:space="0" w:color="auto"/>
              <w:right w:val="nil"/>
            </w:tcBorders>
            <w:vAlign w:val="center"/>
            <w:hideMark/>
          </w:tcPr>
          <w:p w14:paraId="4968C17E" w14:textId="77777777" w:rsidR="00426C3A" w:rsidRPr="000554B4" w:rsidRDefault="00426C3A" w:rsidP="002B210B">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52D3CA9A" w14:textId="77777777" w:rsidR="00426C3A" w:rsidRPr="000554B4" w:rsidRDefault="00426C3A" w:rsidP="002B210B">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221048E5" w14:textId="77777777" w:rsidR="00426C3A" w:rsidRPr="000554B4" w:rsidRDefault="00426C3A" w:rsidP="002B210B">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65C92F96" w14:textId="77777777" w:rsidR="00426C3A" w:rsidRPr="000554B4" w:rsidRDefault="00426C3A" w:rsidP="002B210B">
            <w:pPr>
              <w:pStyle w:val="APVMATableText"/>
              <w:jc w:val="right"/>
            </w:pPr>
            <w:r w:rsidRPr="000554B4">
              <w:t>0</w:t>
            </w:r>
          </w:p>
        </w:tc>
        <w:tc>
          <w:tcPr>
            <w:tcW w:w="734" w:type="pct"/>
            <w:tcBorders>
              <w:top w:val="single" w:sz="4" w:space="0" w:color="auto"/>
              <w:left w:val="nil"/>
              <w:bottom w:val="single" w:sz="4" w:space="0" w:color="auto"/>
              <w:right w:val="nil"/>
            </w:tcBorders>
            <w:vAlign w:val="center"/>
            <w:hideMark/>
          </w:tcPr>
          <w:p w14:paraId="723388BF" w14:textId="77777777" w:rsidR="00426C3A" w:rsidRPr="000554B4" w:rsidRDefault="00426C3A" w:rsidP="002B210B">
            <w:pPr>
              <w:pStyle w:val="APVMATableText"/>
              <w:jc w:val="right"/>
            </w:pPr>
            <w:r w:rsidRPr="000554B4">
              <w:t>220</w:t>
            </w:r>
          </w:p>
        </w:tc>
      </w:tr>
      <w:tr w:rsidR="00426C3A" w:rsidRPr="00A469A8" w14:paraId="4CED3CF4" w14:textId="77777777" w:rsidTr="002B210B">
        <w:tc>
          <w:tcPr>
            <w:tcW w:w="784" w:type="pct"/>
            <w:vMerge/>
            <w:tcBorders>
              <w:top w:val="single" w:sz="4" w:space="0" w:color="auto"/>
              <w:left w:val="nil"/>
              <w:bottom w:val="single" w:sz="4" w:space="0" w:color="auto"/>
              <w:right w:val="nil"/>
            </w:tcBorders>
            <w:vAlign w:val="center"/>
            <w:hideMark/>
          </w:tcPr>
          <w:p w14:paraId="5391EAD9" w14:textId="77777777" w:rsidR="00426C3A" w:rsidRPr="000554B4" w:rsidRDefault="00426C3A" w:rsidP="002B210B">
            <w:pPr>
              <w:pStyle w:val="APVMATableText"/>
            </w:pPr>
          </w:p>
        </w:tc>
        <w:tc>
          <w:tcPr>
            <w:tcW w:w="550" w:type="pct"/>
            <w:tcBorders>
              <w:top w:val="single" w:sz="4" w:space="0" w:color="auto"/>
              <w:left w:val="nil"/>
              <w:bottom w:val="single" w:sz="4" w:space="0" w:color="auto"/>
              <w:right w:val="nil"/>
            </w:tcBorders>
            <w:hideMark/>
          </w:tcPr>
          <w:p w14:paraId="1FEB62B2" w14:textId="77777777" w:rsidR="00426C3A" w:rsidRPr="000554B4" w:rsidRDefault="00426C3A" w:rsidP="00426C3A">
            <w:pPr>
              <w:pStyle w:val="TableText"/>
            </w:pPr>
            <w:r w:rsidRPr="000554B4">
              <w:t>Helicopter</w:t>
            </w:r>
          </w:p>
        </w:tc>
        <w:tc>
          <w:tcPr>
            <w:tcW w:w="733" w:type="pct"/>
            <w:tcBorders>
              <w:top w:val="single" w:sz="4" w:space="0" w:color="auto"/>
              <w:left w:val="nil"/>
              <w:bottom w:val="single" w:sz="4" w:space="0" w:color="auto"/>
              <w:right w:val="nil"/>
            </w:tcBorders>
            <w:vAlign w:val="center"/>
            <w:hideMark/>
          </w:tcPr>
          <w:p w14:paraId="243614AB" w14:textId="77777777" w:rsidR="00426C3A" w:rsidRPr="000554B4" w:rsidRDefault="00426C3A" w:rsidP="002B210B">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49C39AF8" w14:textId="77777777" w:rsidR="00426C3A" w:rsidRPr="000554B4" w:rsidRDefault="00426C3A" w:rsidP="002B210B">
            <w:pPr>
              <w:pStyle w:val="APVMATableText"/>
              <w:jc w:val="right"/>
            </w:pPr>
            <w:r w:rsidRPr="000554B4">
              <w:t>10</w:t>
            </w:r>
          </w:p>
        </w:tc>
        <w:tc>
          <w:tcPr>
            <w:tcW w:w="733" w:type="pct"/>
            <w:tcBorders>
              <w:top w:val="single" w:sz="4" w:space="0" w:color="auto"/>
              <w:left w:val="nil"/>
              <w:bottom w:val="single" w:sz="4" w:space="0" w:color="auto"/>
              <w:right w:val="nil"/>
            </w:tcBorders>
            <w:vAlign w:val="center"/>
            <w:hideMark/>
          </w:tcPr>
          <w:p w14:paraId="701CF46E" w14:textId="77777777" w:rsidR="00426C3A" w:rsidRPr="000554B4" w:rsidRDefault="00426C3A" w:rsidP="002B210B">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21DA2616" w14:textId="77777777" w:rsidR="00426C3A" w:rsidRPr="000554B4" w:rsidRDefault="00426C3A" w:rsidP="002B210B">
            <w:pPr>
              <w:pStyle w:val="APVMATableText"/>
              <w:jc w:val="right"/>
            </w:pPr>
            <w:r w:rsidRPr="000554B4">
              <w:t>0</w:t>
            </w:r>
          </w:p>
        </w:tc>
        <w:tc>
          <w:tcPr>
            <w:tcW w:w="734" w:type="pct"/>
            <w:tcBorders>
              <w:top w:val="single" w:sz="4" w:space="0" w:color="auto"/>
              <w:left w:val="nil"/>
              <w:bottom w:val="single" w:sz="4" w:space="0" w:color="auto"/>
              <w:right w:val="nil"/>
            </w:tcBorders>
            <w:vAlign w:val="center"/>
            <w:hideMark/>
          </w:tcPr>
          <w:p w14:paraId="48F3D2DD" w14:textId="77777777" w:rsidR="00426C3A" w:rsidRPr="000554B4" w:rsidRDefault="00426C3A" w:rsidP="002B210B">
            <w:pPr>
              <w:pStyle w:val="APVMATableText"/>
              <w:jc w:val="right"/>
            </w:pPr>
            <w:r w:rsidRPr="000554B4">
              <w:t>140</w:t>
            </w:r>
          </w:p>
        </w:tc>
      </w:tr>
    </w:tbl>
    <w:p w14:paraId="1C7E90DB" w14:textId="77777777" w:rsidR="00426C3A" w:rsidRDefault="00426C3A" w:rsidP="00426C3A">
      <w:pPr>
        <w:pStyle w:val="NormalText"/>
      </w:pPr>
    </w:p>
    <w:p w14:paraId="0E11A5E6" w14:textId="66FFA548" w:rsidR="00426C3A" w:rsidRPr="00D05130" w:rsidRDefault="00426C3A" w:rsidP="00D05130">
      <w:pPr>
        <w:pStyle w:val="Caption"/>
      </w:pPr>
      <w:bookmarkStart w:id="146" w:name="_Toc101968017"/>
      <w:bookmarkStart w:id="147" w:name="_Toc116301712"/>
      <w:r w:rsidRPr="00D05130">
        <w:lastRenderedPageBreak/>
        <w:t xml:space="preserve">Table </w:t>
      </w:r>
      <w:fldSimple w:instr=" SEQ Table \* ARABIC ">
        <w:r w:rsidR="00ED7319" w:rsidRPr="00D05130">
          <w:t>21</w:t>
        </w:r>
      </w:fldSimple>
      <w:r w:rsidRPr="00D05130">
        <w:t>:</w:t>
      </w:r>
      <w:r w:rsidRPr="00D05130">
        <w:tab/>
        <w:t>Buffer zones for aircraft (Coarse spray droplet size, WG 800 g/L procymidone)</w:t>
      </w:r>
      <w:bookmarkEnd w:id="146"/>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57"/>
        <w:gridCol w:w="985"/>
        <w:gridCol w:w="1338"/>
        <w:gridCol w:w="1339"/>
        <w:gridCol w:w="1339"/>
        <w:gridCol w:w="1339"/>
        <w:gridCol w:w="1341"/>
      </w:tblGrid>
      <w:tr w:rsidR="00426C3A" w:rsidRPr="000554B4" w14:paraId="71583D66" w14:textId="77777777" w:rsidTr="00426C3A">
        <w:trPr>
          <w:tblHeader/>
        </w:trPr>
        <w:tc>
          <w:tcPr>
            <w:tcW w:w="784" w:type="pct"/>
            <w:vMerge w:val="restart"/>
            <w:tcBorders>
              <w:top w:val="single" w:sz="4" w:space="0" w:color="auto"/>
              <w:left w:val="nil"/>
              <w:bottom w:val="single" w:sz="4" w:space="0" w:color="auto"/>
              <w:right w:val="nil"/>
            </w:tcBorders>
            <w:shd w:val="clear" w:color="auto" w:fill="5C2946"/>
            <w:vAlign w:val="center"/>
            <w:hideMark/>
          </w:tcPr>
          <w:p w14:paraId="593BA53B" w14:textId="77777777" w:rsidR="00426C3A" w:rsidRPr="00426C3A" w:rsidRDefault="00426C3A" w:rsidP="00426C3A">
            <w:pPr>
              <w:pStyle w:val="TableHead"/>
            </w:pPr>
            <w:r w:rsidRPr="00426C3A">
              <w:t>Application rate</w:t>
            </w:r>
          </w:p>
        </w:tc>
        <w:tc>
          <w:tcPr>
            <w:tcW w:w="550" w:type="pct"/>
            <w:vMerge w:val="restart"/>
            <w:tcBorders>
              <w:top w:val="single" w:sz="4" w:space="0" w:color="auto"/>
              <w:left w:val="nil"/>
              <w:bottom w:val="single" w:sz="4" w:space="0" w:color="auto"/>
              <w:right w:val="nil"/>
            </w:tcBorders>
            <w:shd w:val="clear" w:color="auto" w:fill="5C2946"/>
            <w:vAlign w:val="center"/>
            <w:hideMark/>
          </w:tcPr>
          <w:p w14:paraId="603EAC29" w14:textId="77777777" w:rsidR="00426C3A" w:rsidRPr="00426C3A" w:rsidRDefault="00426C3A" w:rsidP="00426C3A">
            <w:pPr>
              <w:pStyle w:val="TableHead"/>
            </w:pPr>
            <w:r w:rsidRPr="00426C3A">
              <w:t>Type of aircraft</w:t>
            </w:r>
          </w:p>
        </w:tc>
        <w:tc>
          <w:tcPr>
            <w:tcW w:w="3666" w:type="pct"/>
            <w:gridSpan w:val="5"/>
            <w:tcBorders>
              <w:top w:val="single" w:sz="4" w:space="0" w:color="auto"/>
              <w:left w:val="nil"/>
              <w:bottom w:val="single" w:sz="4" w:space="0" w:color="auto"/>
              <w:right w:val="nil"/>
            </w:tcBorders>
            <w:shd w:val="clear" w:color="auto" w:fill="5C2946"/>
            <w:vAlign w:val="center"/>
            <w:hideMark/>
          </w:tcPr>
          <w:p w14:paraId="5F5F9807" w14:textId="77777777" w:rsidR="00426C3A" w:rsidRPr="00426C3A" w:rsidRDefault="00426C3A" w:rsidP="00426C3A">
            <w:pPr>
              <w:pStyle w:val="TableHead"/>
              <w:jc w:val="center"/>
            </w:pPr>
            <w:r w:rsidRPr="00426C3A">
              <w:t>Mandatory buffer zones</w:t>
            </w:r>
          </w:p>
        </w:tc>
      </w:tr>
      <w:tr w:rsidR="00426C3A" w:rsidRPr="000554B4" w14:paraId="67D8A8A7" w14:textId="77777777" w:rsidTr="00426C3A">
        <w:trPr>
          <w:tblHeader/>
        </w:trPr>
        <w:tc>
          <w:tcPr>
            <w:tcW w:w="784" w:type="pct"/>
            <w:vMerge/>
            <w:tcBorders>
              <w:top w:val="single" w:sz="4" w:space="0" w:color="auto"/>
              <w:left w:val="nil"/>
              <w:bottom w:val="single" w:sz="4" w:space="0" w:color="auto"/>
              <w:right w:val="nil"/>
            </w:tcBorders>
            <w:shd w:val="clear" w:color="auto" w:fill="5C2946"/>
            <w:vAlign w:val="center"/>
            <w:hideMark/>
          </w:tcPr>
          <w:p w14:paraId="613871BB" w14:textId="77777777" w:rsidR="00426C3A" w:rsidRPr="00426C3A" w:rsidRDefault="00426C3A" w:rsidP="00426C3A">
            <w:pPr>
              <w:rPr>
                <w:rFonts w:ascii="Franklin Gothic Medium" w:hAnsi="Franklin Gothic Medium"/>
                <w:color w:val="FFFFFF"/>
                <w:sz w:val="18"/>
                <w:szCs w:val="18"/>
              </w:rPr>
            </w:pPr>
          </w:p>
        </w:tc>
        <w:tc>
          <w:tcPr>
            <w:tcW w:w="550" w:type="pct"/>
            <w:vMerge/>
            <w:tcBorders>
              <w:top w:val="single" w:sz="4" w:space="0" w:color="auto"/>
              <w:left w:val="nil"/>
              <w:bottom w:val="single" w:sz="4" w:space="0" w:color="auto"/>
              <w:right w:val="nil"/>
            </w:tcBorders>
            <w:shd w:val="clear" w:color="auto" w:fill="5C2946"/>
            <w:vAlign w:val="center"/>
            <w:hideMark/>
          </w:tcPr>
          <w:p w14:paraId="4D70008E" w14:textId="77777777" w:rsidR="00426C3A" w:rsidRPr="00426C3A" w:rsidRDefault="00426C3A" w:rsidP="00426C3A">
            <w:pPr>
              <w:rPr>
                <w:rFonts w:ascii="Franklin Gothic Medium" w:hAnsi="Franklin Gothic Medium"/>
                <w:color w:val="FFFFFF"/>
                <w:sz w:val="18"/>
                <w:szCs w:val="18"/>
              </w:rPr>
            </w:pPr>
          </w:p>
        </w:tc>
        <w:tc>
          <w:tcPr>
            <w:tcW w:w="733" w:type="pct"/>
            <w:tcBorders>
              <w:top w:val="single" w:sz="4" w:space="0" w:color="auto"/>
              <w:left w:val="nil"/>
              <w:bottom w:val="single" w:sz="4" w:space="0" w:color="auto"/>
              <w:right w:val="nil"/>
            </w:tcBorders>
            <w:shd w:val="clear" w:color="auto" w:fill="5C2946"/>
            <w:vAlign w:val="center"/>
            <w:hideMark/>
          </w:tcPr>
          <w:p w14:paraId="5CD21775"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Bystander areas (metres)</w:t>
            </w:r>
          </w:p>
        </w:tc>
        <w:tc>
          <w:tcPr>
            <w:tcW w:w="733" w:type="pct"/>
            <w:tcBorders>
              <w:top w:val="single" w:sz="4" w:space="0" w:color="auto"/>
              <w:left w:val="nil"/>
              <w:bottom w:val="single" w:sz="4" w:space="0" w:color="auto"/>
              <w:right w:val="nil"/>
            </w:tcBorders>
            <w:shd w:val="clear" w:color="auto" w:fill="5C2946"/>
            <w:vAlign w:val="center"/>
            <w:hideMark/>
          </w:tcPr>
          <w:p w14:paraId="02DAD579"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Natural aquatic areas (metres)</w:t>
            </w:r>
          </w:p>
        </w:tc>
        <w:tc>
          <w:tcPr>
            <w:tcW w:w="733" w:type="pct"/>
            <w:tcBorders>
              <w:top w:val="single" w:sz="4" w:space="0" w:color="auto"/>
              <w:left w:val="nil"/>
              <w:bottom w:val="single" w:sz="4" w:space="0" w:color="auto"/>
              <w:right w:val="nil"/>
            </w:tcBorders>
            <w:shd w:val="clear" w:color="auto" w:fill="5C2946"/>
            <w:vAlign w:val="center"/>
            <w:hideMark/>
          </w:tcPr>
          <w:p w14:paraId="203C4100"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Pollinator areas (metres)</w:t>
            </w:r>
          </w:p>
        </w:tc>
        <w:tc>
          <w:tcPr>
            <w:tcW w:w="733" w:type="pct"/>
            <w:tcBorders>
              <w:top w:val="single" w:sz="4" w:space="0" w:color="auto"/>
              <w:left w:val="nil"/>
              <w:bottom w:val="single" w:sz="4" w:space="0" w:color="auto"/>
              <w:right w:val="nil"/>
            </w:tcBorders>
            <w:shd w:val="clear" w:color="auto" w:fill="5C2946"/>
            <w:vAlign w:val="center"/>
            <w:hideMark/>
          </w:tcPr>
          <w:p w14:paraId="42965FC3"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Vegetation areas (metres)</w:t>
            </w:r>
          </w:p>
        </w:tc>
        <w:tc>
          <w:tcPr>
            <w:tcW w:w="734" w:type="pct"/>
            <w:tcBorders>
              <w:top w:val="single" w:sz="4" w:space="0" w:color="auto"/>
              <w:left w:val="nil"/>
              <w:bottom w:val="single" w:sz="4" w:space="0" w:color="auto"/>
              <w:right w:val="nil"/>
            </w:tcBorders>
            <w:shd w:val="clear" w:color="auto" w:fill="5C2946"/>
            <w:vAlign w:val="center"/>
            <w:hideMark/>
          </w:tcPr>
          <w:p w14:paraId="1DE4A69D"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Livestock areas (metres)</w:t>
            </w:r>
          </w:p>
        </w:tc>
      </w:tr>
      <w:tr w:rsidR="00426C3A" w:rsidRPr="000554B4" w14:paraId="2E0C9B43" w14:textId="77777777" w:rsidTr="00426C3A">
        <w:tc>
          <w:tcPr>
            <w:tcW w:w="784" w:type="pct"/>
            <w:vMerge w:val="restart"/>
            <w:tcBorders>
              <w:top w:val="single" w:sz="4" w:space="0" w:color="auto"/>
              <w:left w:val="nil"/>
              <w:bottom w:val="single" w:sz="4" w:space="0" w:color="auto"/>
              <w:right w:val="nil"/>
            </w:tcBorders>
            <w:vAlign w:val="center"/>
            <w:hideMark/>
          </w:tcPr>
          <w:p w14:paraId="7DCB03C7" w14:textId="13183AFE" w:rsidR="00426C3A" w:rsidRPr="000554B4" w:rsidRDefault="00426C3A" w:rsidP="002B210B">
            <w:pPr>
              <w:pStyle w:val="APVMATableText"/>
            </w:pPr>
            <w:r w:rsidRPr="000554B4">
              <w:t>Up to 600</w:t>
            </w:r>
            <w:r w:rsidR="00295DF8">
              <w:t> </w:t>
            </w:r>
            <w:r w:rsidRPr="000554B4">
              <w:t>g/ha</w:t>
            </w:r>
            <w:r w:rsidR="00295DF8">
              <w:t> </w:t>
            </w:r>
            <w:r w:rsidRPr="000554B4">
              <w:t>(480</w:t>
            </w:r>
            <w:r w:rsidR="00295DF8">
              <w:t> </w:t>
            </w:r>
            <w:r w:rsidRPr="000554B4">
              <w:t>g</w:t>
            </w:r>
            <w:r w:rsidR="00295DF8">
              <w:t> </w:t>
            </w:r>
            <w:r w:rsidRPr="000554B4">
              <w:t>ac/ha)</w:t>
            </w:r>
          </w:p>
        </w:tc>
        <w:tc>
          <w:tcPr>
            <w:tcW w:w="550" w:type="pct"/>
            <w:tcBorders>
              <w:top w:val="single" w:sz="4" w:space="0" w:color="auto"/>
              <w:left w:val="nil"/>
              <w:bottom w:val="single" w:sz="4" w:space="0" w:color="auto"/>
              <w:right w:val="nil"/>
            </w:tcBorders>
            <w:hideMark/>
          </w:tcPr>
          <w:p w14:paraId="705CE5D2" w14:textId="77777777" w:rsidR="00426C3A" w:rsidRPr="000554B4" w:rsidRDefault="00426C3A" w:rsidP="002B210B">
            <w:pPr>
              <w:pStyle w:val="APVMATableText"/>
            </w:pPr>
            <w:r w:rsidRPr="000554B4">
              <w:t>Fixed wing</w:t>
            </w:r>
          </w:p>
        </w:tc>
        <w:tc>
          <w:tcPr>
            <w:tcW w:w="733" w:type="pct"/>
            <w:tcBorders>
              <w:top w:val="single" w:sz="4" w:space="0" w:color="auto"/>
              <w:left w:val="nil"/>
              <w:bottom w:val="single" w:sz="4" w:space="0" w:color="auto"/>
              <w:right w:val="nil"/>
            </w:tcBorders>
            <w:vAlign w:val="center"/>
            <w:hideMark/>
          </w:tcPr>
          <w:p w14:paraId="36E9A54C" w14:textId="77777777" w:rsidR="00426C3A" w:rsidRPr="000554B4" w:rsidRDefault="00426C3A" w:rsidP="002B210B">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3C771FC3" w14:textId="77777777" w:rsidR="00426C3A" w:rsidRPr="000554B4" w:rsidRDefault="00426C3A" w:rsidP="002B210B">
            <w:pPr>
              <w:pStyle w:val="APVMATableText"/>
              <w:jc w:val="right"/>
            </w:pPr>
            <w:r w:rsidRPr="000554B4">
              <w:t>5</w:t>
            </w:r>
          </w:p>
        </w:tc>
        <w:tc>
          <w:tcPr>
            <w:tcW w:w="733" w:type="pct"/>
            <w:tcBorders>
              <w:top w:val="single" w:sz="4" w:space="0" w:color="auto"/>
              <w:left w:val="nil"/>
              <w:bottom w:val="single" w:sz="4" w:space="0" w:color="auto"/>
              <w:right w:val="nil"/>
            </w:tcBorders>
            <w:vAlign w:val="center"/>
            <w:hideMark/>
          </w:tcPr>
          <w:p w14:paraId="410A5CCC" w14:textId="77777777" w:rsidR="00426C3A" w:rsidRPr="000554B4" w:rsidRDefault="00426C3A" w:rsidP="002B210B">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4596D999" w14:textId="77777777" w:rsidR="00426C3A" w:rsidRPr="000554B4" w:rsidRDefault="00426C3A" w:rsidP="002B210B">
            <w:pPr>
              <w:pStyle w:val="APVMATableText"/>
              <w:jc w:val="right"/>
            </w:pPr>
            <w:r w:rsidRPr="000554B4">
              <w:t>0</w:t>
            </w:r>
          </w:p>
        </w:tc>
        <w:tc>
          <w:tcPr>
            <w:tcW w:w="734" w:type="pct"/>
            <w:tcBorders>
              <w:top w:val="single" w:sz="4" w:space="0" w:color="auto"/>
              <w:left w:val="nil"/>
              <w:bottom w:val="single" w:sz="4" w:space="0" w:color="auto"/>
              <w:right w:val="nil"/>
            </w:tcBorders>
            <w:vAlign w:val="center"/>
            <w:hideMark/>
          </w:tcPr>
          <w:p w14:paraId="4726941B" w14:textId="77777777" w:rsidR="00426C3A" w:rsidRPr="000554B4" w:rsidRDefault="00426C3A" w:rsidP="002B210B">
            <w:pPr>
              <w:pStyle w:val="APVMATableText"/>
              <w:jc w:val="right"/>
            </w:pPr>
            <w:r w:rsidRPr="000554B4">
              <w:t>180</w:t>
            </w:r>
          </w:p>
        </w:tc>
      </w:tr>
      <w:tr w:rsidR="00426C3A" w:rsidRPr="000554B4" w14:paraId="3EBEE04B" w14:textId="77777777" w:rsidTr="00426C3A">
        <w:tc>
          <w:tcPr>
            <w:tcW w:w="784" w:type="pct"/>
            <w:vMerge/>
            <w:tcBorders>
              <w:top w:val="single" w:sz="4" w:space="0" w:color="auto"/>
              <w:left w:val="nil"/>
              <w:bottom w:val="single" w:sz="4" w:space="0" w:color="auto"/>
              <w:right w:val="nil"/>
            </w:tcBorders>
            <w:vAlign w:val="center"/>
            <w:hideMark/>
          </w:tcPr>
          <w:p w14:paraId="34AD2FCF" w14:textId="77777777" w:rsidR="00426C3A" w:rsidRPr="000554B4" w:rsidRDefault="00426C3A" w:rsidP="002B210B">
            <w:pPr>
              <w:pStyle w:val="APVMATableText"/>
            </w:pPr>
          </w:p>
        </w:tc>
        <w:tc>
          <w:tcPr>
            <w:tcW w:w="550" w:type="pct"/>
            <w:tcBorders>
              <w:top w:val="single" w:sz="4" w:space="0" w:color="auto"/>
              <w:left w:val="nil"/>
              <w:bottom w:val="single" w:sz="4" w:space="0" w:color="auto"/>
              <w:right w:val="nil"/>
            </w:tcBorders>
            <w:hideMark/>
          </w:tcPr>
          <w:p w14:paraId="730FE333" w14:textId="77777777" w:rsidR="00426C3A" w:rsidRPr="000554B4" w:rsidRDefault="00426C3A" w:rsidP="002B210B">
            <w:pPr>
              <w:pStyle w:val="APVMATableText"/>
            </w:pPr>
            <w:r w:rsidRPr="000554B4">
              <w:t>Helicopter</w:t>
            </w:r>
          </w:p>
        </w:tc>
        <w:tc>
          <w:tcPr>
            <w:tcW w:w="733" w:type="pct"/>
            <w:tcBorders>
              <w:top w:val="single" w:sz="4" w:space="0" w:color="auto"/>
              <w:left w:val="nil"/>
              <w:bottom w:val="single" w:sz="4" w:space="0" w:color="auto"/>
              <w:right w:val="nil"/>
            </w:tcBorders>
            <w:vAlign w:val="center"/>
            <w:hideMark/>
          </w:tcPr>
          <w:p w14:paraId="438C14E9" w14:textId="77777777" w:rsidR="00426C3A" w:rsidRPr="000554B4" w:rsidRDefault="00426C3A" w:rsidP="002B210B">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700B125F" w14:textId="77777777" w:rsidR="00426C3A" w:rsidRPr="000554B4" w:rsidRDefault="00426C3A" w:rsidP="002B210B">
            <w:pPr>
              <w:pStyle w:val="APVMATableText"/>
              <w:jc w:val="right"/>
            </w:pPr>
            <w:r w:rsidRPr="000554B4">
              <w:t>15</w:t>
            </w:r>
          </w:p>
        </w:tc>
        <w:tc>
          <w:tcPr>
            <w:tcW w:w="733" w:type="pct"/>
            <w:tcBorders>
              <w:top w:val="single" w:sz="4" w:space="0" w:color="auto"/>
              <w:left w:val="nil"/>
              <w:bottom w:val="single" w:sz="4" w:space="0" w:color="auto"/>
              <w:right w:val="nil"/>
            </w:tcBorders>
            <w:vAlign w:val="center"/>
            <w:hideMark/>
          </w:tcPr>
          <w:p w14:paraId="73CCBDA5" w14:textId="77777777" w:rsidR="00426C3A" w:rsidRPr="000554B4" w:rsidRDefault="00426C3A" w:rsidP="002B210B">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10945BF4" w14:textId="77777777" w:rsidR="00426C3A" w:rsidRPr="000554B4" w:rsidRDefault="00426C3A" w:rsidP="002B210B">
            <w:pPr>
              <w:pStyle w:val="APVMATableText"/>
              <w:jc w:val="right"/>
            </w:pPr>
            <w:r w:rsidRPr="000554B4">
              <w:t>0</w:t>
            </w:r>
          </w:p>
        </w:tc>
        <w:tc>
          <w:tcPr>
            <w:tcW w:w="734" w:type="pct"/>
            <w:tcBorders>
              <w:top w:val="single" w:sz="4" w:space="0" w:color="auto"/>
              <w:left w:val="nil"/>
              <w:bottom w:val="single" w:sz="4" w:space="0" w:color="auto"/>
              <w:right w:val="nil"/>
            </w:tcBorders>
            <w:vAlign w:val="center"/>
            <w:hideMark/>
          </w:tcPr>
          <w:p w14:paraId="2698609B" w14:textId="77777777" w:rsidR="00426C3A" w:rsidRPr="000554B4" w:rsidRDefault="00426C3A" w:rsidP="002B210B">
            <w:pPr>
              <w:pStyle w:val="APVMATableText"/>
              <w:jc w:val="right"/>
            </w:pPr>
            <w:r w:rsidRPr="000554B4">
              <w:t>110</w:t>
            </w:r>
          </w:p>
        </w:tc>
      </w:tr>
    </w:tbl>
    <w:p w14:paraId="1027176E" w14:textId="77777777" w:rsidR="0041501F" w:rsidRDefault="0041501F" w:rsidP="0041501F">
      <w:pPr>
        <w:pStyle w:val="APVMAText"/>
        <w:sectPr w:rsidR="0041501F">
          <w:headerReference w:type="default" r:id="rId40"/>
          <w:pgSz w:w="11906" w:h="16838" w:code="9"/>
          <w:pgMar w:top="2835" w:right="1134" w:bottom="1134" w:left="1134" w:header="1701" w:footer="680" w:gutter="0"/>
          <w:cols w:space="708"/>
          <w:docGrid w:linePitch="360"/>
        </w:sectPr>
      </w:pPr>
      <w:bookmarkStart w:id="148" w:name="_Appendix_B_–"/>
      <w:bookmarkStart w:id="149" w:name="_Toc116301583"/>
      <w:bookmarkEnd w:id="148"/>
    </w:p>
    <w:p w14:paraId="564AF11F" w14:textId="3CD1816B" w:rsidR="00EE358A" w:rsidRPr="00D05130" w:rsidRDefault="00EE358A" w:rsidP="00D05130">
      <w:pPr>
        <w:pStyle w:val="Heading1"/>
      </w:pPr>
      <w:r w:rsidRPr="00D05130">
        <w:lastRenderedPageBreak/>
        <w:t xml:space="preserve">Appendix </w:t>
      </w:r>
      <w:r w:rsidR="002A4475" w:rsidRPr="00D05130">
        <w:t xml:space="preserve">B – </w:t>
      </w:r>
      <w:r w:rsidR="00421C26" w:rsidRPr="00D05130">
        <w:t>Public consultation</w:t>
      </w:r>
      <w:bookmarkEnd w:id="149"/>
    </w:p>
    <w:p w14:paraId="38FC4C26" w14:textId="24615969" w:rsidR="00FE24F5" w:rsidRPr="00D05130" w:rsidRDefault="00421C26" w:rsidP="00D05130">
      <w:pPr>
        <w:pStyle w:val="APVMAText"/>
      </w:pPr>
      <w:r w:rsidRPr="00D05130">
        <w:t>The APVMA received 3 submissions in response to the</w:t>
      </w:r>
      <w:r w:rsidR="00FE24F5" w:rsidRPr="00D05130">
        <w:t xml:space="preserve"> publication of the proposed regulatory decision</w:t>
      </w:r>
      <w:r w:rsidRPr="00D05130">
        <w:t>. Details of the submissions are</w:t>
      </w:r>
      <w:r w:rsidR="00FE24F5" w:rsidRPr="00D05130">
        <w:t xml:space="preserve"> listed in Table 2</w:t>
      </w:r>
      <w:r w:rsidRPr="00D05130">
        <w:t>2 and the</w:t>
      </w:r>
      <w:r w:rsidR="00FE24F5" w:rsidRPr="00D05130">
        <w:t xml:space="preserve"> APVMA’s response are summarised below.</w:t>
      </w:r>
    </w:p>
    <w:p w14:paraId="1FE999B3" w14:textId="45AFCC1D" w:rsidR="00EE358A" w:rsidRPr="00D05130" w:rsidRDefault="00D05130" w:rsidP="00D05130">
      <w:pPr>
        <w:pStyle w:val="Caption"/>
      </w:pPr>
      <w:bookmarkStart w:id="150" w:name="_Toc116301713"/>
      <w:r w:rsidRPr="00D05130">
        <w:t xml:space="preserve">Table </w:t>
      </w:r>
      <w:fldSimple w:instr=" SEQ Table \* ARABIC ">
        <w:r w:rsidRPr="00D05130">
          <w:t>22</w:t>
        </w:r>
      </w:fldSimple>
      <w:r w:rsidRPr="00D05130">
        <w:t>:</w:t>
      </w:r>
      <w:r w:rsidRPr="00D05130">
        <w:tab/>
      </w:r>
      <w:r w:rsidR="00EE358A" w:rsidRPr="00D05130">
        <w:t>Submissions in response to the proposed regulatory decisions on the reconsideration of procymidone</w:t>
      </w:r>
      <w:bookmarkEnd w:id="150"/>
    </w:p>
    <w:tbl>
      <w:tblPr>
        <w:tblW w:w="5000" w:type="pct"/>
        <w:tblBorders>
          <w:bottom w:val="dotted" w:sz="2" w:space="0" w:color="auto"/>
          <w:insideH w:val="dotted" w:sz="2" w:space="0" w:color="auto"/>
        </w:tblBorders>
        <w:tblLook w:val="01E0" w:firstRow="1" w:lastRow="1" w:firstColumn="1" w:lastColumn="1" w:noHBand="0" w:noVBand="0"/>
      </w:tblPr>
      <w:tblGrid>
        <w:gridCol w:w="3261"/>
        <w:gridCol w:w="6377"/>
      </w:tblGrid>
      <w:tr w:rsidR="00EE358A" w14:paraId="55718D27" w14:textId="77777777" w:rsidTr="0087271E">
        <w:trPr>
          <w:cantSplit/>
          <w:tblHeader/>
        </w:trPr>
        <w:tc>
          <w:tcPr>
            <w:tcW w:w="1692" w:type="pct"/>
            <w:tcBorders>
              <w:top w:val="single" w:sz="4" w:space="0" w:color="auto"/>
              <w:bottom w:val="single" w:sz="4" w:space="0" w:color="auto"/>
            </w:tcBorders>
            <w:shd w:val="clear" w:color="auto" w:fill="5C2946"/>
            <w:vAlign w:val="bottom"/>
          </w:tcPr>
          <w:p w14:paraId="5FBA2E02" w14:textId="77777777" w:rsidR="00EE358A" w:rsidRPr="00FB0015" w:rsidRDefault="00EE358A" w:rsidP="0087271E">
            <w:pPr>
              <w:pStyle w:val="TableHead"/>
            </w:pPr>
            <w:r>
              <w:t>Submitter</w:t>
            </w:r>
          </w:p>
        </w:tc>
        <w:tc>
          <w:tcPr>
            <w:tcW w:w="3308" w:type="pct"/>
            <w:tcBorders>
              <w:top w:val="single" w:sz="4" w:space="0" w:color="auto"/>
              <w:bottom w:val="single" w:sz="4" w:space="0" w:color="auto"/>
            </w:tcBorders>
            <w:shd w:val="clear" w:color="auto" w:fill="5C2946"/>
            <w:vAlign w:val="bottom"/>
          </w:tcPr>
          <w:p w14:paraId="0483F598" w14:textId="77777777" w:rsidR="00EE358A" w:rsidRPr="00FB0015" w:rsidRDefault="00EE358A" w:rsidP="0087271E">
            <w:pPr>
              <w:pStyle w:val="TableHead"/>
            </w:pPr>
            <w:r>
              <w:t>Comments</w:t>
            </w:r>
          </w:p>
        </w:tc>
      </w:tr>
      <w:tr w:rsidR="00EE358A" w14:paraId="7632B552" w14:textId="77777777" w:rsidTr="0087271E">
        <w:trPr>
          <w:cantSplit/>
        </w:trPr>
        <w:tc>
          <w:tcPr>
            <w:tcW w:w="1692" w:type="pct"/>
            <w:tcBorders>
              <w:top w:val="single" w:sz="4" w:space="0" w:color="auto"/>
              <w:bottom w:val="single" w:sz="4" w:space="0" w:color="auto"/>
            </w:tcBorders>
          </w:tcPr>
          <w:p w14:paraId="0040EF35" w14:textId="77777777" w:rsidR="00EE358A" w:rsidRDefault="00EE358A" w:rsidP="0087271E">
            <w:pPr>
              <w:pStyle w:val="TableText"/>
            </w:pPr>
            <w:r>
              <w:t>Grain Producers Australia (GPA)</w:t>
            </w:r>
          </w:p>
        </w:tc>
        <w:tc>
          <w:tcPr>
            <w:tcW w:w="3308" w:type="pct"/>
            <w:tcBorders>
              <w:top w:val="single" w:sz="4" w:space="0" w:color="auto"/>
              <w:bottom w:val="single" w:sz="4" w:space="0" w:color="auto"/>
            </w:tcBorders>
          </w:tcPr>
          <w:p w14:paraId="56257628" w14:textId="16B7F979" w:rsidR="00EE358A" w:rsidRDefault="00EE358A" w:rsidP="0087271E">
            <w:pPr>
              <w:pStyle w:val="TableText"/>
            </w:pPr>
            <w:r>
              <w:t xml:space="preserve">Provided information regarding the necessity of the use of procymidone on </w:t>
            </w:r>
            <w:proofErr w:type="spellStart"/>
            <w:r>
              <w:t>faba</w:t>
            </w:r>
            <w:proofErr w:type="spellEnd"/>
            <w:r>
              <w:t xml:space="preserve"> beans</w:t>
            </w:r>
            <w:r w:rsidR="00FE24F5">
              <w:t>.</w:t>
            </w:r>
          </w:p>
        </w:tc>
      </w:tr>
      <w:tr w:rsidR="00EE358A" w14:paraId="0E950BA1" w14:textId="77777777" w:rsidTr="0087271E">
        <w:trPr>
          <w:cantSplit/>
        </w:trPr>
        <w:tc>
          <w:tcPr>
            <w:tcW w:w="1692" w:type="pct"/>
            <w:tcBorders>
              <w:top w:val="single" w:sz="4" w:space="0" w:color="auto"/>
              <w:bottom w:val="single" w:sz="4" w:space="0" w:color="auto"/>
            </w:tcBorders>
          </w:tcPr>
          <w:p w14:paraId="1262FC62" w14:textId="77777777" w:rsidR="00EE358A" w:rsidRDefault="00EE358A" w:rsidP="0087271E">
            <w:pPr>
              <w:pStyle w:val="TableText"/>
            </w:pPr>
            <w:r>
              <w:t>Grains Research and Development Corporation (GRDC)</w:t>
            </w:r>
          </w:p>
        </w:tc>
        <w:tc>
          <w:tcPr>
            <w:tcW w:w="3308" w:type="pct"/>
            <w:tcBorders>
              <w:top w:val="single" w:sz="4" w:space="0" w:color="auto"/>
              <w:bottom w:val="single" w:sz="4" w:space="0" w:color="auto"/>
            </w:tcBorders>
          </w:tcPr>
          <w:p w14:paraId="7A78FD29" w14:textId="38C1EC84" w:rsidR="00EE358A" w:rsidRDefault="00EE358A" w:rsidP="0087271E">
            <w:pPr>
              <w:pStyle w:val="TableText"/>
            </w:pPr>
            <w:r>
              <w:t xml:space="preserve">Support for retaining uses of procymidone on </w:t>
            </w:r>
            <w:proofErr w:type="spellStart"/>
            <w:r>
              <w:t>faba</w:t>
            </w:r>
            <w:proofErr w:type="spellEnd"/>
            <w:r>
              <w:t xml:space="preserve"> beans and navy beans. Signal intent to conduct residue trials on behalf of industry to allow affirmatio</w:t>
            </w:r>
            <w:r w:rsidR="00EA7C06">
              <w:t>n</w:t>
            </w:r>
            <w:r>
              <w:t xml:space="preserve"> of those uses.</w:t>
            </w:r>
          </w:p>
        </w:tc>
      </w:tr>
      <w:tr w:rsidR="00EE358A" w14:paraId="4C6B872E" w14:textId="77777777" w:rsidTr="0087271E">
        <w:trPr>
          <w:cantSplit/>
        </w:trPr>
        <w:tc>
          <w:tcPr>
            <w:tcW w:w="1692" w:type="pct"/>
            <w:tcBorders>
              <w:top w:val="single" w:sz="4" w:space="0" w:color="auto"/>
              <w:bottom w:val="single" w:sz="4" w:space="0" w:color="auto"/>
            </w:tcBorders>
          </w:tcPr>
          <w:p w14:paraId="06EBCB2D" w14:textId="77777777" w:rsidR="00EE358A" w:rsidRDefault="00EE358A" w:rsidP="0087271E">
            <w:pPr>
              <w:pStyle w:val="TableText"/>
            </w:pPr>
            <w:r>
              <w:t>Horticulture Innovation Australia Limited (</w:t>
            </w:r>
            <w:proofErr w:type="spellStart"/>
            <w:r>
              <w:t>Hort</w:t>
            </w:r>
            <w:proofErr w:type="spellEnd"/>
            <w:r>
              <w:t xml:space="preserve"> Innovation)</w:t>
            </w:r>
          </w:p>
        </w:tc>
        <w:tc>
          <w:tcPr>
            <w:tcW w:w="3308" w:type="pct"/>
            <w:tcBorders>
              <w:top w:val="single" w:sz="4" w:space="0" w:color="auto"/>
              <w:bottom w:val="single" w:sz="4" w:space="0" w:color="auto"/>
            </w:tcBorders>
          </w:tcPr>
          <w:p w14:paraId="1EDE2CDB" w14:textId="46CD9182" w:rsidR="00EE358A" w:rsidRDefault="00EE358A" w:rsidP="0087271E">
            <w:pPr>
              <w:pStyle w:val="TableText"/>
            </w:pPr>
            <w:r>
              <w:t>Requested clarification of spray-drift restraints, growth stages for application of procymidone, resistance management strategies and regions where use is permitted.</w:t>
            </w:r>
          </w:p>
        </w:tc>
      </w:tr>
    </w:tbl>
    <w:p w14:paraId="56F7C469" w14:textId="57540177" w:rsidR="00675D15" w:rsidRPr="00D05130" w:rsidRDefault="00675D15" w:rsidP="00D05130">
      <w:pPr>
        <w:pStyle w:val="APVMAText"/>
      </w:pPr>
      <w:r w:rsidRPr="00D05130">
        <w:rPr>
          <w:b/>
          <w:bCs/>
        </w:rPr>
        <w:t>Grain Producers Australia (GPA)</w:t>
      </w:r>
      <w:r w:rsidRPr="00D05130">
        <w:t xml:space="preserve"> and the </w:t>
      </w:r>
      <w:r w:rsidRPr="00D05130">
        <w:rPr>
          <w:b/>
          <w:bCs/>
        </w:rPr>
        <w:t>Grains Research and Development Corporation (GRDC)</w:t>
      </w:r>
      <w:r w:rsidRPr="00D05130">
        <w:t xml:space="preserve"> </w:t>
      </w:r>
      <w:r w:rsidR="00525157" w:rsidRPr="00D05130">
        <w:t xml:space="preserve">highlighted the importance of procymidone in control of fungal diseases on </w:t>
      </w:r>
      <w:proofErr w:type="spellStart"/>
      <w:r w:rsidR="00525157" w:rsidRPr="00D05130">
        <w:t>faba</w:t>
      </w:r>
      <w:proofErr w:type="spellEnd"/>
      <w:r w:rsidR="00525157" w:rsidRPr="00D05130">
        <w:t xml:space="preserve"> bean and navy beans, with limited effective alternatives.</w:t>
      </w:r>
      <w:r w:rsidR="006A3E7B" w:rsidRPr="00D05130">
        <w:t xml:space="preserve"> GPA objected to the reclassif</w:t>
      </w:r>
      <w:r w:rsidR="00E24C4B" w:rsidRPr="00D05130">
        <w:t xml:space="preserve">ication of </w:t>
      </w:r>
      <w:proofErr w:type="spellStart"/>
      <w:r w:rsidR="006A3E7B" w:rsidRPr="00D05130">
        <w:t>faba</w:t>
      </w:r>
      <w:proofErr w:type="spellEnd"/>
      <w:r w:rsidR="006A3E7B" w:rsidRPr="00D05130">
        <w:t xml:space="preserve"> beans </w:t>
      </w:r>
      <w:r w:rsidR="00421C26" w:rsidRPr="00D05130">
        <w:t>to</w:t>
      </w:r>
      <w:r w:rsidR="006A3E7B" w:rsidRPr="00D05130">
        <w:t xml:space="preserve"> a new crop subgroup</w:t>
      </w:r>
      <w:r w:rsidR="00E24C4B" w:rsidRPr="00D05130">
        <w:t xml:space="preserve"> </w:t>
      </w:r>
      <w:r w:rsidR="00591192" w:rsidRPr="00D05130">
        <w:t xml:space="preserve">which occurred </w:t>
      </w:r>
      <w:r w:rsidR="00421C26" w:rsidRPr="00D05130">
        <w:t xml:space="preserve">during the reconsideration </w:t>
      </w:r>
      <w:r w:rsidR="00E24C4B" w:rsidRPr="00D05130">
        <w:t xml:space="preserve">and </w:t>
      </w:r>
      <w:r w:rsidR="00591192" w:rsidRPr="00D05130">
        <w:t xml:space="preserve">the </w:t>
      </w:r>
      <w:r w:rsidR="00E24C4B" w:rsidRPr="00D05130">
        <w:t xml:space="preserve">subsequent proposal to remove use of procymidone on </w:t>
      </w:r>
      <w:proofErr w:type="spellStart"/>
      <w:r w:rsidR="00E24C4B" w:rsidRPr="00D05130">
        <w:t>faba</w:t>
      </w:r>
      <w:proofErr w:type="spellEnd"/>
      <w:r w:rsidR="00E24C4B" w:rsidRPr="00D05130">
        <w:t xml:space="preserve"> beans</w:t>
      </w:r>
      <w:r w:rsidR="006A3E7B" w:rsidRPr="00D05130">
        <w:t xml:space="preserve">. </w:t>
      </w:r>
      <w:r w:rsidR="00525157" w:rsidRPr="00D05130">
        <w:t xml:space="preserve">Both </w:t>
      </w:r>
      <w:r w:rsidR="00421C26" w:rsidRPr="00D05130">
        <w:t>GRDC and GPA</w:t>
      </w:r>
      <w:r w:rsidR="00525157" w:rsidRPr="00D05130">
        <w:t xml:space="preserve"> </w:t>
      </w:r>
      <w:r w:rsidR="00421C26" w:rsidRPr="00D05130">
        <w:t xml:space="preserve">submissions </w:t>
      </w:r>
      <w:r w:rsidR="00525157" w:rsidRPr="00D05130">
        <w:t xml:space="preserve">noted the </w:t>
      </w:r>
      <w:r w:rsidR="00421C26" w:rsidRPr="00D05130">
        <w:t xml:space="preserve">low risk presented by the use based on the </w:t>
      </w:r>
      <w:r w:rsidR="00525157" w:rsidRPr="00D05130">
        <w:t>absence of detections of procymidone</w:t>
      </w:r>
      <w:r w:rsidR="006A3E7B" w:rsidRPr="00D05130">
        <w:t xml:space="preserve"> above half the current MRL</w:t>
      </w:r>
      <w:r w:rsidR="00525157" w:rsidRPr="00D05130">
        <w:t xml:space="preserve"> in monitoring carried out by the National Residues </w:t>
      </w:r>
      <w:r w:rsidR="007339E9" w:rsidRPr="00D05130">
        <w:t xml:space="preserve">Survey </w:t>
      </w:r>
      <w:r w:rsidR="00591192" w:rsidRPr="00D05130">
        <w:t xml:space="preserve">over the </w:t>
      </w:r>
      <w:r w:rsidR="00516066" w:rsidRPr="00D05130">
        <w:t xml:space="preserve">last three years </w:t>
      </w:r>
      <w:r w:rsidR="00591192" w:rsidRPr="00D05130">
        <w:t>(</w:t>
      </w:r>
      <w:hyperlink r:id="rId41" w:history="1">
        <w:r w:rsidR="00591192" w:rsidRPr="00D05130">
          <w:rPr>
            <w:rStyle w:val="Hyperlink"/>
            <w:color w:val="auto"/>
            <w:u w:val="none"/>
          </w:rPr>
          <w:t>https://www.agriculture.gov.au/agriculture-land/farm-food-drought/food/nrs/nrs-results-publications</w:t>
        </w:r>
      </w:hyperlink>
      <w:r w:rsidR="00591192" w:rsidRPr="00D05130">
        <w:t xml:space="preserve"> ) </w:t>
      </w:r>
      <w:r w:rsidR="007339E9" w:rsidRPr="00D05130">
        <w:t xml:space="preserve">and requested that the APVMA allow the current use patterns for procymidone on </w:t>
      </w:r>
      <w:proofErr w:type="spellStart"/>
      <w:r w:rsidR="007339E9" w:rsidRPr="00D05130">
        <w:t>faba</w:t>
      </w:r>
      <w:proofErr w:type="spellEnd"/>
      <w:r w:rsidR="007339E9" w:rsidRPr="00D05130">
        <w:t xml:space="preserve"> beans and navy beans to remain in place.</w:t>
      </w:r>
    </w:p>
    <w:p w14:paraId="4C21CA10" w14:textId="36BA638D" w:rsidR="005D76F1" w:rsidRPr="00D05130" w:rsidRDefault="005D76F1" w:rsidP="00D05130">
      <w:pPr>
        <w:pStyle w:val="Quotes"/>
      </w:pPr>
      <w:r w:rsidRPr="00D05130">
        <w:t xml:space="preserve">The APVMA noted </w:t>
      </w:r>
      <w:r w:rsidR="003567C2" w:rsidRPr="00D05130">
        <w:t xml:space="preserve">the need for effective fungicides and </w:t>
      </w:r>
      <w:r w:rsidR="00591192" w:rsidRPr="00D05130">
        <w:t xml:space="preserve">the </w:t>
      </w:r>
      <w:r w:rsidR="003567C2" w:rsidRPr="00D05130">
        <w:t xml:space="preserve">request to maintain the use patterns for procymidone on </w:t>
      </w:r>
      <w:proofErr w:type="spellStart"/>
      <w:r w:rsidR="003567C2" w:rsidRPr="00D05130">
        <w:t>faba</w:t>
      </w:r>
      <w:proofErr w:type="spellEnd"/>
      <w:r w:rsidR="003567C2" w:rsidRPr="00D05130">
        <w:t xml:space="preserve"> beans and navy beans. However, as outlined in the </w:t>
      </w:r>
      <w:hyperlink w:anchor="_Residues_and_trade" w:history="1">
        <w:r w:rsidR="003567C2" w:rsidRPr="00E456D9">
          <w:rPr>
            <w:rStyle w:val="Hyperlink"/>
          </w:rPr>
          <w:t>residues section</w:t>
        </w:r>
      </w:hyperlink>
      <w:r w:rsidR="003567C2" w:rsidRPr="00D05130">
        <w:t xml:space="preserve"> </w:t>
      </w:r>
      <w:r w:rsidR="00421C26" w:rsidRPr="00D05130">
        <w:t>of this document</w:t>
      </w:r>
      <w:r w:rsidR="003567C2" w:rsidRPr="00D05130">
        <w:t xml:space="preserve">, there is no </w:t>
      </w:r>
      <w:r w:rsidR="00421C26" w:rsidRPr="00D05130">
        <w:t xml:space="preserve">supporting </w:t>
      </w:r>
      <w:r w:rsidR="003567C2" w:rsidRPr="00D05130">
        <w:t xml:space="preserve">data for </w:t>
      </w:r>
      <w:proofErr w:type="spellStart"/>
      <w:r w:rsidR="003567C2" w:rsidRPr="00D05130">
        <w:t>faba</w:t>
      </w:r>
      <w:proofErr w:type="spellEnd"/>
      <w:r w:rsidR="003567C2" w:rsidRPr="00D05130">
        <w:t xml:space="preserve"> beans (or other pulses) reflective of the current GAP (250 g ai/ha, </w:t>
      </w:r>
      <w:r w:rsidR="009C471D" w:rsidRPr="00D05130">
        <w:t>9-day</w:t>
      </w:r>
      <w:r w:rsidR="003567C2" w:rsidRPr="00D05130">
        <w:t xml:space="preserve"> WHP) and </w:t>
      </w:r>
      <w:r w:rsidR="00421C26" w:rsidRPr="00D05130">
        <w:t xml:space="preserve">there </w:t>
      </w:r>
      <w:r w:rsidR="003567C2" w:rsidRPr="00D05130">
        <w:t xml:space="preserve">is insufficient data for </w:t>
      </w:r>
      <w:proofErr w:type="spellStart"/>
      <w:r w:rsidR="003567C2" w:rsidRPr="00D05130">
        <w:t>faba</w:t>
      </w:r>
      <w:proofErr w:type="spellEnd"/>
      <w:r w:rsidR="003567C2" w:rsidRPr="00D05130">
        <w:t xml:space="preserve"> bean forage and fodder</w:t>
      </w:r>
      <w:r w:rsidR="00421C26" w:rsidRPr="00D05130">
        <w:t xml:space="preserve"> to establish </w:t>
      </w:r>
      <w:proofErr w:type="spellStart"/>
      <w:r w:rsidR="00421C26" w:rsidRPr="00D05130">
        <w:t>faba</w:t>
      </w:r>
      <w:proofErr w:type="spellEnd"/>
      <w:r w:rsidR="00421C26" w:rsidRPr="00D05130">
        <w:t xml:space="preserve"> bean forage or fodder MRLs or a Grazing Withholding Periods</w:t>
      </w:r>
      <w:r w:rsidR="003567C2" w:rsidRPr="00D05130">
        <w:t>.</w:t>
      </w:r>
      <w:r w:rsidR="00185CF6" w:rsidRPr="00D05130">
        <w:t xml:space="preserve"> </w:t>
      </w:r>
      <w:r w:rsidR="00421C26" w:rsidRPr="00D05130">
        <w:t>Likewise, there is</w:t>
      </w:r>
      <w:r w:rsidR="00185CF6" w:rsidRPr="00D05130">
        <w:t xml:space="preserve"> insufficient dat</w:t>
      </w:r>
      <w:r w:rsidR="00421C26" w:rsidRPr="00D05130">
        <w:t>a</w:t>
      </w:r>
      <w:r w:rsidR="00185CF6" w:rsidRPr="00D05130">
        <w:t xml:space="preserve"> for navy beans.</w:t>
      </w:r>
    </w:p>
    <w:p w14:paraId="03790958" w14:textId="24085AC2" w:rsidR="00023BD8" w:rsidRPr="00D05130" w:rsidRDefault="00421C26" w:rsidP="00D05130">
      <w:pPr>
        <w:pStyle w:val="APVMAText"/>
      </w:pPr>
      <w:r w:rsidRPr="00D05130">
        <w:t>Horticulture Innovation Australia Limited (</w:t>
      </w:r>
      <w:proofErr w:type="spellStart"/>
      <w:r w:rsidRPr="00D05130">
        <w:t>Hort</w:t>
      </w:r>
      <w:proofErr w:type="spellEnd"/>
      <w:r w:rsidRPr="00D05130">
        <w:t xml:space="preserve"> Innovation) </w:t>
      </w:r>
      <w:r w:rsidR="0088709A" w:rsidRPr="00D05130">
        <w:t>commented</w:t>
      </w:r>
      <w:r w:rsidR="003567C2" w:rsidRPr="00D05130">
        <w:t xml:space="preserve"> on several matters in the proposed decisions</w:t>
      </w:r>
      <w:r w:rsidRPr="00D05130">
        <w:t>, each is addressed separately below</w:t>
      </w:r>
      <w:r w:rsidR="0088709A" w:rsidRPr="00D05130">
        <w:t>:</w:t>
      </w:r>
    </w:p>
    <w:p w14:paraId="47CE9A54" w14:textId="239BD8A1" w:rsidR="00D2734E" w:rsidRPr="00D05130" w:rsidRDefault="00421C26" w:rsidP="00D05130">
      <w:pPr>
        <w:pStyle w:val="APVMAText"/>
      </w:pPr>
      <w:proofErr w:type="spellStart"/>
      <w:r w:rsidRPr="00D05130">
        <w:t>Hort</w:t>
      </w:r>
      <w:proofErr w:type="spellEnd"/>
      <w:r w:rsidRPr="00D05130">
        <w:t xml:space="preserve"> Innovation n</w:t>
      </w:r>
      <w:r w:rsidR="00023BD8" w:rsidRPr="00D05130">
        <w:t xml:space="preserve">oted that the definition of “livestock areas” in the </w:t>
      </w:r>
      <w:hyperlink r:id="rId42" w:history="1">
        <w:r w:rsidR="00023BD8" w:rsidRPr="00D05130">
          <w:rPr>
            <w:rStyle w:val="Hyperlink"/>
            <w:color w:val="auto"/>
            <w:u w:val="none"/>
          </w:rPr>
          <w:t>spray-drift guidance material</w:t>
        </w:r>
      </w:hyperlink>
      <w:r w:rsidR="00023BD8" w:rsidRPr="00D05130">
        <w:t xml:space="preserve"> is those areas where livestock are grazing</w:t>
      </w:r>
      <w:r w:rsidRPr="00D05130">
        <w:t xml:space="preserve"> and </w:t>
      </w:r>
      <w:r w:rsidR="00023BD8" w:rsidRPr="00D05130">
        <w:t>queried whether there is</w:t>
      </w:r>
      <w:r w:rsidR="00D2734E" w:rsidRPr="00D05130">
        <w:t>, or should be,</w:t>
      </w:r>
      <w:r w:rsidR="00023BD8" w:rsidRPr="00D05130">
        <w:t xml:space="preserve"> a re-entry period during which livestock should be excluded from the </w:t>
      </w:r>
      <w:r w:rsidR="00D2734E" w:rsidRPr="00D05130">
        <w:t xml:space="preserve">buffer zone area. </w:t>
      </w:r>
    </w:p>
    <w:p w14:paraId="0B18B635" w14:textId="3A6B3A50" w:rsidR="00CA2603" w:rsidRPr="00D05130" w:rsidRDefault="00421C26" w:rsidP="00D05130">
      <w:pPr>
        <w:pStyle w:val="Quotes"/>
      </w:pPr>
      <w:r w:rsidRPr="00D05130">
        <w:t>The APVMA noted that t</w:t>
      </w:r>
      <w:r w:rsidR="00CA2603" w:rsidRPr="00D05130">
        <w:t>he potential need for re-entry periods for livestock to areas affected by spray-drift is not currently assessed when establishing RALs</w:t>
      </w:r>
      <w:r w:rsidR="007E1C0B" w:rsidRPr="00D05130">
        <w:t xml:space="preserve"> and is part of a broader spray drift policy question</w:t>
      </w:r>
      <w:r w:rsidR="00CA2603" w:rsidRPr="00D05130">
        <w:t xml:space="preserve">. </w:t>
      </w:r>
      <w:r w:rsidRPr="00D05130">
        <w:t>The risk of r</w:t>
      </w:r>
      <w:r w:rsidR="00CA2603" w:rsidRPr="00D05130">
        <w:t>esidues</w:t>
      </w:r>
      <w:r w:rsidR="00E602D5" w:rsidRPr="00D05130">
        <w:t xml:space="preserve"> above </w:t>
      </w:r>
      <w:r w:rsidR="007E1C0B" w:rsidRPr="00D05130">
        <w:t xml:space="preserve">international </w:t>
      </w:r>
      <w:r w:rsidR="00E602D5" w:rsidRPr="00D05130">
        <w:t>MRLs</w:t>
      </w:r>
      <w:r w:rsidR="00CA2603" w:rsidRPr="00D05130">
        <w:t xml:space="preserve"> in animal commodities whe</w:t>
      </w:r>
      <w:r w:rsidRPr="00D05130">
        <w:t>re</w:t>
      </w:r>
      <w:r w:rsidR="00CA2603" w:rsidRPr="00D05130">
        <w:t xml:space="preserve"> animals access pasture potentially affected by spray drift</w:t>
      </w:r>
      <w:r w:rsidRPr="00D05130">
        <w:t>,</w:t>
      </w:r>
      <w:r w:rsidR="00E602D5" w:rsidRPr="00D05130">
        <w:t xml:space="preserve"> </w:t>
      </w:r>
      <w:r w:rsidRPr="00D05130">
        <w:t>following a spray drift event, is expected to be low</w:t>
      </w:r>
      <w:r w:rsidR="00516066" w:rsidRPr="00D05130">
        <w:t xml:space="preserve"> for procymidone</w:t>
      </w:r>
      <w:r w:rsidR="00591192" w:rsidRPr="00D05130">
        <w:t>.</w:t>
      </w:r>
      <w:r w:rsidR="00516066" w:rsidRPr="00D05130">
        <w:t xml:space="preserve"> As discussed in the Residue-related aspects of trade section of this RTR, </w:t>
      </w:r>
      <w:r w:rsidR="00516066" w:rsidRPr="00D05130">
        <w:lastRenderedPageBreak/>
        <w:t>procymidone residues above the Limit or Reporting (LOR) of 0.02 mg/kg were not observed in cattle or sheep fat in the 3 years of NRS monitoring data from 2017–18 to 2019–20. Export Slaughter Intervals have not been established for directly treated forages on current labels and are not proposed as a review outcome. It is noted that potential livestock exposure to procymidone residues is higher for directly treated forages such as canola or lentil forage with an MRL of 5 mg ac/kg than that associated with spray drift (t</w:t>
      </w:r>
      <w:r w:rsidR="00591192" w:rsidRPr="00D05130">
        <w:t>he procymidone RAL for livestock areas was determined to be 1.2 mg ac/kg</w:t>
      </w:r>
      <w:r w:rsidR="00516066" w:rsidRPr="00D05130">
        <w:t>)</w:t>
      </w:r>
      <w:r w:rsidR="006137A3" w:rsidRPr="00D05130">
        <w:t>.</w:t>
      </w:r>
    </w:p>
    <w:p w14:paraId="6689D236" w14:textId="35F6F458" w:rsidR="00595C90" w:rsidRPr="00D05130" w:rsidRDefault="00421C26" w:rsidP="00D05130">
      <w:pPr>
        <w:pStyle w:val="APVMAText"/>
      </w:pPr>
      <w:proofErr w:type="spellStart"/>
      <w:r w:rsidRPr="00D05130">
        <w:t>Hort</w:t>
      </w:r>
      <w:proofErr w:type="spellEnd"/>
      <w:r w:rsidRPr="00D05130">
        <w:t xml:space="preserve"> Innovation r</w:t>
      </w:r>
      <w:r w:rsidR="00D2734E" w:rsidRPr="00D05130">
        <w:t xml:space="preserve">ecommended </w:t>
      </w:r>
      <w:r w:rsidRPr="00D05130">
        <w:t xml:space="preserve">the </w:t>
      </w:r>
      <w:r w:rsidR="00D2734E" w:rsidRPr="00D05130">
        <w:t>inclusion of the</w:t>
      </w:r>
      <w:r w:rsidR="0088709A" w:rsidRPr="00D05130">
        <w:t xml:space="preserve"> BBCH crop growth stages in the critical comments for improved clarity of the application timings</w:t>
      </w:r>
      <w:r w:rsidR="00004675" w:rsidRPr="00D05130">
        <w:t xml:space="preserve">, with the example given for stone fruit “Apply at 10% blossom (BBCH 61), full bloom (BBCH 65), late petal fall (BBCH 69) and shuck fall (BBCH 72). DO NOT apply after shuck fall. If weather conditions particularly favour blossom blight use higher rate. NSW, SA, Qld, Tas and WA only. Where </w:t>
      </w:r>
      <w:proofErr w:type="spellStart"/>
      <w:r w:rsidR="00004675" w:rsidRPr="00D05130">
        <w:t>Monilinia</w:t>
      </w:r>
      <w:proofErr w:type="spellEnd"/>
      <w:r w:rsidR="00004675" w:rsidRPr="00D05130">
        <w:t xml:space="preserve"> </w:t>
      </w:r>
      <w:proofErr w:type="spellStart"/>
      <w:r w:rsidR="00004675" w:rsidRPr="00D05130">
        <w:t>laxa</w:t>
      </w:r>
      <w:proofErr w:type="spellEnd"/>
      <w:r w:rsidR="00004675" w:rsidRPr="00D05130">
        <w:t xml:space="preserve"> is known to occur apply an additional early spray at pink bud (BBCH 57).”</w:t>
      </w:r>
    </w:p>
    <w:p w14:paraId="0B6CE231" w14:textId="1C65E560" w:rsidR="006137A3" w:rsidRDefault="00565D3B" w:rsidP="00D05130">
      <w:pPr>
        <w:pStyle w:val="Quotes"/>
      </w:pPr>
      <w:r>
        <w:t xml:space="preserve">APVMA: </w:t>
      </w:r>
      <w:r w:rsidR="006A1802">
        <w:t>When considering whether the instructions for use of the product are appropriate, the APVMA requires t</w:t>
      </w:r>
      <w:r w:rsidR="006A1802" w:rsidRPr="006A1802">
        <w:t>iming statements which allow accurate use of the product for all purposes indicated. The BBCH codes are an acceptable means of referencing crop growth stage, as are phenological event descriptions, such as bud break and petal fall, etc</w:t>
      </w:r>
      <w:r w:rsidR="006A1802">
        <w:t xml:space="preserve">. </w:t>
      </w:r>
      <w:r w:rsidR="009C5354">
        <w:t>Since a</w:t>
      </w:r>
      <w:r w:rsidR="00004675">
        <w:t>ddition of the BBCH stages is not required for</w:t>
      </w:r>
      <w:r w:rsidR="00D957E2">
        <w:t xml:space="preserve"> the APVMA</w:t>
      </w:r>
      <w:r w:rsidR="00004675">
        <w:t xml:space="preserve"> to</w:t>
      </w:r>
      <w:r w:rsidR="00D957E2">
        <w:t xml:space="preserve"> remain satisfied </w:t>
      </w:r>
      <w:r w:rsidR="00376071">
        <w:t>that</w:t>
      </w:r>
      <w:r w:rsidR="00D957E2">
        <w:t xml:space="preserve"> the current instructions for use</w:t>
      </w:r>
      <w:r w:rsidR="00376071">
        <w:t xml:space="preserve"> meet the labelling criteria</w:t>
      </w:r>
      <w:r w:rsidR="00D957E2">
        <w:t xml:space="preserve">, no changes </w:t>
      </w:r>
      <w:r w:rsidR="00004675">
        <w:t xml:space="preserve">are </w:t>
      </w:r>
      <w:r w:rsidR="00421C26">
        <w:t>required, however registrants may choose to update their labels to include the relevant BBCH stages</w:t>
      </w:r>
      <w:r w:rsidR="00D957E2">
        <w:t xml:space="preserve">. </w:t>
      </w:r>
    </w:p>
    <w:p w14:paraId="1881E306" w14:textId="5773D06A" w:rsidR="009C5354" w:rsidRDefault="009C5354" w:rsidP="00D05130">
      <w:pPr>
        <w:pStyle w:val="Quotes"/>
      </w:pPr>
      <w:r>
        <w:t xml:space="preserve">The “DO NOT apply after shuck fall” instruction was applied to labels to address potential residue concerns at the outset of the reconsideration in 2004. </w:t>
      </w:r>
      <w:r w:rsidR="00037F0C">
        <w:t xml:space="preserve">These concerns have been addressed by the assessments </w:t>
      </w:r>
      <w:r w:rsidR="008E41A0">
        <w:t>outlined in this report, therefore this critical comment is no longer required.</w:t>
      </w:r>
    </w:p>
    <w:p w14:paraId="34AD0A4C" w14:textId="758526B5" w:rsidR="0088709A" w:rsidRPr="00D05130" w:rsidRDefault="00421C26" w:rsidP="00D05130">
      <w:pPr>
        <w:pStyle w:val="APVMAText"/>
      </w:pPr>
      <w:proofErr w:type="spellStart"/>
      <w:r w:rsidRPr="00D05130">
        <w:t>Hort</w:t>
      </w:r>
      <w:proofErr w:type="spellEnd"/>
      <w:r w:rsidRPr="00D05130">
        <w:t xml:space="preserve"> Innovation r</w:t>
      </w:r>
      <w:r w:rsidR="0088709A" w:rsidRPr="00D05130">
        <w:t>ecommended inclusion of fungicide resistance management guidelines on the product labels</w:t>
      </w:r>
      <w:r w:rsidR="000302D0" w:rsidRPr="00D05130">
        <w:t xml:space="preserve"> with critical comments</w:t>
      </w:r>
      <w:r w:rsidR="0088709A" w:rsidRPr="00D05130">
        <w:t>, in addition to the resistance management statement</w:t>
      </w:r>
      <w:r w:rsidR="005D19CA" w:rsidRPr="00D05130">
        <w:t xml:space="preserve"> required by the Ag Labelling Code</w:t>
      </w:r>
      <w:r w:rsidR="0088709A" w:rsidRPr="00D05130">
        <w:t>.</w:t>
      </w:r>
    </w:p>
    <w:p w14:paraId="753782F9" w14:textId="79D7CC36" w:rsidR="005858AA" w:rsidRDefault="00565D3B" w:rsidP="00D05130">
      <w:pPr>
        <w:pStyle w:val="Quotes"/>
      </w:pPr>
      <w:r>
        <w:t xml:space="preserve">APVMA: </w:t>
      </w:r>
      <w:r w:rsidR="007C41E4">
        <w:t>Inclusion of resistance management information, beyond what is indicated in the Ag Labelling Code, is not required</w:t>
      </w:r>
      <w:r w:rsidR="005D19CA">
        <w:t xml:space="preserve"> for the APVMA to be satisfied that the products meet the statutory criteria in the Agvet code. However, to </w:t>
      </w:r>
      <w:r w:rsidR="00A6343F">
        <w:t xml:space="preserve">support sustainable use of procymidone addition of the following information to the resistance warning “Specific resistance management strategies for dicarboximide fungicides can be found on the </w:t>
      </w:r>
      <w:proofErr w:type="spellStart"/>
      <w:r w:rsidR="00A6343F">
        <w:t>Croplife</w:t>
      </w:r>
      <w:proofErr w:type="spellEnd"/>
      <w:r w:rsidR="00A6343F">
        <w:t xml:space="preserve"> Australia website” is recommended.</w:t>
      </w:r>
    </w:p>
    <w:p w14:paraId="0DDAF0DD" w14:textId="3CDCF462" w:rsidR="005D19CA" w:rsidRDefault="00421C26" w:rsidP="00D05130">
      <w:pPr>
        <w:pStyle w:val="APVMAText"/>
      </w:pPr>
      <w:proofErr w:type="spellStart"/>
      <w:r w:rsidRPr="00421C26">
        <w:t>Hort</w:t>
      </w:r>
      <w:proofErr w:type="spellEnd"/>
      <w:r w:rsidRPr="00421C26">
        <w:t xml:space="preserve"> Innovation</w:t>
      </w:r>
      <w:r>
        <w:t xml:space="preserve"> r</w:t>
      </w:r>
      <w:r w:rsidR="0088709A">
        <w:t xml:space="preserve">equested </w:t>
      </w:r>
      <w:r w:rsidR="005B1414">
        <w:t>confirmation that</w:t>
      </w:r>
      <w:r w:rsidR="0088709A">
        <w:t xml:space="preserve"> the </w:t>
      </w:r>
      <w:r w:rsidR="005B1414">
        <w:t xml:space="preserve">removal of the </w:t>
      </w:r>
      <w:r w:rsidR="0088709A">
        <w:t xml:space="preserve">State and Territory based </w:t>
      </w:r>
      <w:r w:rsidR="005B1414">
        <w:t>restrictions on some use patterns means that all use patterns are supported in all jurisdictions.</w:t>
      </w:r>
    </w:p>
    <w:p w14:paraId="69E3BC73" w14:textId="3C14A9D5" w:rsidR="0088709A" w:rsidRPr="00426C3A" w:rsidRDefault="00565D3B" w:rsidP="00D05130">
      <w:pPr>
        <w:pStyle w:val="Quotes"/>
        <w:sectPr w:rsidR="0088709A" w:rsidRPr="00426C3A">
          <w:headerReference w:type="default" r:id="rId43"/>
          <w:pgSz w:w="11906" w:h="16838" w:code="9"/>
          <w:pgMar w:top="2835" w:right="1134" w:bottom="1134" w:left="1134" w:header="1701" w:footer="680" w:gutter="0"/>
          <w:cols w:space="708"/>
          <w:docGrid w:linePitch="360"/>
        </w:sectPr>
      </w:pPr>
      <w:r>
        <w:t xml:space="preserve">APVMA: </w:t>
      </w:r>
      <w:r w:rsidR="0051258E">
        <w:t xml:space="preserve">State and Territory specific instructions for use of procymidone are derived from the historical registration of products in particular jurisdictions. </w:t>
      </w:r>
      <w:r w:rsidR="00421C26">
        <w:t>As t</w:t>
      </w:r>
      <w:r w:rsidR="003A7137">
        <w:t>here are</w:t>
      </w:r>
      <w:r w:rsidR="0051258E">
        <w:t xml:space="preserve"> no</w:t>
      </w:r>
      <w:r w:rsidR="003A7137">
        <w:t xml:space="preserve"> instructions </w:t>
      </w:r>
      <w:r w:rsidR="00900251">
        <w:t xml:space="preserve">for use of procymidone products </w:t>
      </w:r>
      <w:r w:rsidR="00AF15D7">
        <w:t>that require</w:t>
      </w:r>
      <w:r w:rsidR="0051258E">
        <w:t xml:space="preserve"> </w:t>
      </w:r>
      <w:r w:rsidR="00900251">
        <w:t>restriction to specific geographical regions</w:t>
      </w:r>
      <w:r w:rsidR="00421C26">
        <w:t xml:space="preserve"> it is considered acceptable for the previous State and Territory specific instruction to be replaced by instructions which apply to all states and territories.</w:t>
      </w:r>
      <w:r w:rsidR="00900251">
        <w:t xml:space="preserve"> </w:t>
      </w:r>
    </w:p>
    <w:p w14:paraId="3CE4C5F0" w14:textId="532AE014" w:rsidR="002E20AC" w:rsidRPr="00D05130" w:rsidRDefault="008B550C" w:rsidP="00D05130">
      <w:pPr>
        <w:pStyle w:val="GlossaryRefH1"/>
      </w:pPr>
      <w:bookmarkStart w:id="151" w:name="_Toc116301584"/>
      <w:bookmarkEnd w:id="116"/>
      <w:r w:rsidRPr="00D05130">
        <w:lastRenderedPageBreak/>
        <w:t>Acronyms and abbreviations</w:t>
      </w:r>
      <w:bookmarkEnd w:id="151"/>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8B550C" w14:paraId="2C49B9E9" w14:textId="77777777" w:rsidTr="008B550C">
        <w:trPr>
          <w:tblHeader/>
        </w:trPr>
        <w:tc>
          <w:tcPr>
            <w:tcW w:w="1111" w:type="pct"/>
            <w:shd w:val="clear" w:color="auto" w:fill="5C2946"/>
            <w:vAlign w:val="bottom"/>
          </w:tcPr>
          <w:p w14:paraId="2F8A4E79" w14:textId="77777777" w:rsidR="008B550C" w:rsidRDefault="008B550C" w:rsidP="008B550C">
            <w:pPr>
              <w:pStyle w:val="TableHead"/>
            </w:pPr>
            <w:r>
              <w:t>Shortened term</w:t>
            </w:r>
          </w:p>
        </w:tc>
        <w:tc>
          <w:tcPr>
            <w:tcW w:w="3889" w:type="pct"/>
            <w:shd w:val="clear" w:color="auto" w:fill="5C2946"/>
            <w:vAlign w:val="bottom"/>
          </w:tcPr>
          <w:p w14:paraId="67F139F7" w14:textId="77777777" w:rsidR="008B550C" w:rsidRDefault="008B550C" w:rsidP="008B550C">
            <w:pPr>
              <w:pStyle w:val="TableHead"/>
            </w:pPr>
            <w:r>
              <w:t>Full term</w:t>
            </w:r>
          </w:p>
        </w:tc>
      </w:tr>
      <w:tr w:rsidR="00426C3A" w14:paraId="17F5A2E8" w14:textId="77777777" w:rsidTr="002A3239">
        <w:tc>
          <w:tcPr>
            <w:tcW w:w="1111" w:type="pct"/>
          </w:tcPr>
          <w:p w14:paraId="236DD8D1" w14:textId="29A2A30B" w:rsidR="00426C3A" w:rsidRDefault="00426C3A" w:rsidP="00426C3A">
            <w:pPr>
              <w:pStyle w:val="TableText"/>
            </w:pPr>
            <w:r w:rsidRPr="000554B4">
              <w:t>ac</w:t>
            </w:r>
          </w:p>
        </w:tc>
        <w:tc>
          <w:tcPr>
            <w:tcW w:w="3889" w:type="pct"/>
          </w:tcPr>
          <w:p w14:paraId="4823941B" w14:textId="0D120508" w:rsidR="00426C3A" w:rsidRDefault="00E456D9" w:rsidP="00426C3A">
            <w:pPr>
              <w:pStyle w:val="TableText"/>
            </w:pPr>
            <w:r w:rsidRPr="000554B4">
              <w:t xml:space="preserve">Active </w:t>
            </w:r>
            <w:r w:rsidR="00426C3A" w:rsidRPr="000554B4">
              <w:t>constituent</w:t>
            </w:r>
          </w:p>
        </w:tc>
      </w:tr>
      <w:tr w:rsidR="00426C3A" w14:paraId="2D810998" w14:textId="77777777" w:rsidTr="002A3239">
        <w:tc>
          <w:tcPr>
            <w:tcW w:w="1111" w:type="pct"/>
          </w:tcPr>
          <w:p w14:paraId="4577629E" w14:textId="74E9D1B5" w:rsidR="00426C3A" w:rsidRDefault="00426C3A" w:rsidP="00426C3A">
            <w:pPr>
              <w:pStyle w:val="TableText"/>
            </w:pPr>
            <w:r w:rsidRPr="000554B4">
              <w:t>ADI</w:t>
            </w:r>
          </w:p>
        </w:tc>
        <w:tc>
          <w:tcPr>
            <w:tcW w:w="3889" w:type="pct"/>
          </w:tcPr>
          <w:p w14:paraId="100F140E" w14:textId="491EFAAC" w:rsidR="00426C3A" w:rsidRDefault="00426C3A" w:rsidP="00426C3A">
            <w:pPr>
              <w:pStyle w:val="TableText"/>
            </w:pPr>
            <w:r w:rsidRPr="000554B4">
              <w:t>Acceptable daily intake (for humans)</w:t>
            </w:r>
          </w:p>
        </w:tc>
      </w:tr>
      <w:tr w:rsidR="00426C3A" w14:paraId="4299EB8E" w14:textId="77777777" w:rsidTr="002A3239">
        <w:tc>
          <w:tcPr>
            <w:tcW w:w="1111" w:type="pct"/>
          </w:tcPr>
          <w:p w14:paraId="4A59E203" w14:textId="4483844E" w:rsidR="00426C3A" w:rsidRDefault="00426C3A" w:rsidP="00426C3A">
            <w:pPr>
              <w:pStyle w:val="TableText"/>
            </w:pPr>
            <w:proofErr w:type="spellStart"/>
            <w:r w:rsidRPr="000554B4">
              <w:t>ARfD</w:t>
            </w:r>
            <w:proofErr w:type="spellEnd"/>
          </w:p>
        </w:tc>
        <w:tc>
          <w:tcPr>
            <w:tcW w:w="3889" w:type="pct"/>
          </w:tcPr>
          <w:p w14:paraId="7540661A" w14:textId="04778CCA" w:rsidR="00426C3A" w:rsidRDefault="00426C3A" w:rsidP="00426C3A">
            <w:pPr>
              <w:pStyle w:val="TableText"/>
            </w:pPr>
            <w:r w:rsidRPr="000554B4">
              <w:t>Acute reference dose</w:t>
            </w:r>
          </w:p>
        </w:tc>
      </w:tr>
      <w:tr w:rsidR="00426C3A" w14:paraId="0D6F41D6" w14:textId="77777777" w:rsidTr="002A3239">
        <w:tc>
          <w:tcPr>
            <w:tcW w:w="1111" w:type="pct"/>
          </w:tcPr>
          <w:p w14:paraId="25EE8705" w14:textId="7960DCCC" w:rsidR="00426C3A" w:rsidRDefault="00426C3A" w:rsidP="00426C3A">
            <w:pPr>
              <w:pStyle w:val="TableText"/>
            </w:pPr>
            <w:proofErr w:type="spellStart"/>
            <w:r w:rsidRPr="000554B4">
              <w:t>bw</w:t>
            </w:r>
            <w:proofErr w:type="spellEnd"/>
          </w:p>
        </w:tc>
        <w:tc>
          <w:tcPr>
            <w:tcW w:w="3889" w:type="pct"/>
          </w:tcPr>
          <w:p w14:paraId="4ABE9BE3" w14:textId="14037FE3" w:rsidR="00426C3A" w:rsidRDefault="00426C3A" w:rsidP="00426C3A">
            <w:pPr>
              <w:pStyle w:val="TableText"/>
            </w:pPr>
            <w:r w:rsidRPr="000554B4">
              <w:t>Bodyweight</w:t>
            </w:r>
          </w:p>
        </w:tc>
      </w:tr>
      <w:tr w:rsidR="00426C3A" w14:paraId="7BB5E5AE" w14:textId="77777777" w:rsidTr="002A3239">
        <w:tc>
          <w:tcPr>
            <w:tcW w:w="1111" w:type="pct"/>
          </w:tcPr>
          <w:p w14:paraId="003D7794" w14:textId="654DF204" w:rsidR="00426C3A" w:rsidRDefault="00426C3A" w:rsidP="00426C3A">
            <w:pPr>
              <w:pStyle w:val="TableText"/>
            </w:pPr>
            <w:r w:rsidRPr="000554B4">
              <w:t>d</w:t>
            </w:r>
          </w:p>
        </w:tc>
        <w:tc>
          <w:tcPr>
            <w:tcW w:w="3889" w:type="pct"/>
          </w:tcPr>
          <w:p w14:paraId="51210B28" w14:textId="7A4A7963" w:rsidR="00426C3A" w:rsidRDefault="00426C3A" w:rsidP="00426C3A">
            <w:pPr>
              <w:pStyle w:val="TableText"/>
            </w:pPr>
            <w:r w:rsidRPr="000554B4">
              <w:t>Day</w:t>
            </w:r>
          </w:p>
        </w:tc>
      </w:tr>
      <w:tr w:rsidR="00426C3A" w14:paraId="730BCA0F" w14:textId="77777777" w:rsidTr="002A3239">
        <w:tc>
          <w:tcPr>
            <w:tcW w:w="1111" w:type="pct"/>
          </w:tcPr>
          <w:p w14:paraId="0C393EDF" w14:textId="161FC76C" w:rsidR="00426C3A" w:rsidRDefault="00426C3A" w:rsidP="00426C3A">
            <w:pPr>
              <w:pStyle w:val="TableText"/>
            </w:pPr>
            <w:r w:rsidRPr="000554B4">
              <w:t>DAF</w:t>
            </w:r>
          </w:p>
        </w:tc>
        <w:tc>
          <w:tcPr>
            <w:tcW w:w="3889" w:type="pct"/>
          </w:tcPr>
          <w:p w14:paraId="0B2DB1D4" w14:textId="4DA11F90" w:rsidR="00426C3A" w:rsidRDefault="00E456D9" w:rsidP="00426C3A">
            <w:pPr>
              <w:pStyle w:val="TableText"/>
            </w:pPr>
            <w:r w:rsidRPr="000554B4">
              <w:t>Dermal absorption factor</w:t>
            </w:r>
          </w:p>
        </w:tc>
      </w:tr>
      <w:tr w:rsidR="00426C3A" w14:paraId="3FBE834D" w14:textId="77777777" w:rsidTr="002A3239">
        <w:tc>
          <w:tcPr>
            <w:tcW w:w="1111" w:type="pct"/>
          </w:tcPr>
          <w:p w14:paraId="26539C8F" w14:textId="102101FA" w:rsidR="00426C3A" w:rsidRDefault="00426C3A" w:rsidP="00426C3A">
            <w:pPr>
              <w:pStyle w:val="TableText"/>
            </w:pPr>
            <w:r w:rsidRPr="000554B4">
              <w:t>DALA</w:t>
            </w:r>
          </w:p>
        </w:tc>
        <w:tc>
          <w:tcPr>
            <w:tcW w:w="3889" w:type="pct"/>
          </w:tcPr>
          <w:p w14:paraId="70A9DE35" w14:textId="1C1BED88" w:rsidR="00426C3A" w:rsidRDefault="00E456D9" w:rsidP="00426C3A">
            <w:pPr>
              <w:pStyle w:val="TableText"/>
            </w:pPr>
            <w:r w:rsidRPr="000554B4">
              <w:t>Days after last application</w:t>
            </w:r>
          </w:p>
        </w:tc>
      </w:tr>
      <w:tr w:rsidR="00426C3A" w14:paraId="32052620" w14:textId="77777777" w:rsidTr="002A3239">
        <w:tc>
          <w:tcPr>
            <w:tcW w:w="1111" w:type="pct"/>
          </w:tcPr>
          <w:p w14:paraId="0ABFF81E" w14:textId="35C9B98F" w:rsidR="00426C3A" w:rsidRDefault="00426C3A" w:rsidP="00426C3A">
            <w:pPr>
              <w:pStyle w:val="TableText"/>
            </w:pPr>
            <w:r w:rsidRPr="000554B4">
              <w:t>FAO</w:t>
            </w:r>
          </w:p>
        </w:tc>
        <w:tc>
          <w:tcPr>
            <w:tcW w:w="3889" w:type="pct"/>
          </w:tcPr>
          <w:p w14:paraId="019E53E5" w14:textId="16E065DD" w:rsidR="00426C3A" w:rsidRDefault="00426C3A" w:rsidP="00426C3A">
            <w:pPr>
              <w:pStyle w:val="TableText"/>
            </w:pPr>
            <w:r w:rsidRPr="000554B4">
              <w:t>Food and Agriculture Organization of the United Nations</w:t>
            </w:r>
          </w:p>
        </w:tc>
      </w:tr>
      <w:tr w:rsidR="00426C3A" w14:paraId="69FFBB15" w14:textId="77777777" w:rsidTr="002A3239">
        <w:tc>
          <w:tcPr>
            <w:tcW w:w="1111" w:type="pct"/>
          </w:tcPr>
          <w:p w14:paraId="0A945A5E" w14:textId="39B08AA1" w:rsidR="00426C3A" w:rsidRDefault="00426C3A" w:rsidP="00426C3A">
            <w:pPr>
              <w:pStyle w:val="TableText"/>
            </w:pPr>
            <w:r w:rsidRPr="000554B4">
              <w:t>FTD</w:t>
            </w:r>
          </w:p>
        </w:tc>
        <w:tc>
          <w:tcPr>
            <w:tcW w:w="3889" w:type="pct"/>
          </w:tcPr>
          <w:p w14:paraId="785B84BA" w14:textId="44C316EF" w:rsidR="00426C3A" w:rsidRDefault="00426C3A" w:rsidP="00426C3A">
            <w:pPr>
              <w:pStyle w:val="TableText"/>
            </w:pPr>
            <w:r w:rsidRPr="000554B4">
              <w:t>flame thermionic detector</w:t>
            </w:r>
          </w:p>
        </w:tc>
      </w:tr>
      <w:tr w:rsidR="00426C3A" w14:paraId="523B089A" w14:textId="77777777" w:rsidTr="002A3239">
        <w:tc>
          <w:tcPr>
            <w:tcW w:w="1111" w:type="pct"/>
          </w:tcPr>
          <w:p w14:paraId="12B8FF41" w14:textId="0B539D81" w:rsidR="00426C3A" w:rsidRDefault="00426C3A" w:rsidP="00426C3A">
            <w:pPr>
              <w:pStyle w:val="TableText"/>
            </w:pPr>
            <w:r w:rsidRPr="000554B4">
              <w:t>g</w:t>
            </w:r>
          </w:p>
        </w:tc>
        <w:tc>
          <w:tcPr>
            <w:tcW w:w="3889" w:type="pct"/>
          </w:tcPr>
          <w:p w14:paraId="5E25264C" w14:textId="21CE06B4" w:rsidR="00426C3A" w:rsidRDefault="00426C3A" w:rsidP="00426C3A">
            <w:pPr>
              <w:pStyle w:val="TableText"/>
            </w:pPr>
            <w:r w:rsidRPr="000554B4">
              <w:t>Gram</w:t>
            </w:r>
          </w:p>
        </w:tc>
      </w:tr>
      <w:tr w:rsidR="00426C3A" w14:paraId="68BB6524" w14:textId="77777777" w:rsidTr="002A3239">
        <w:tc>
          <w:tcPr>
            <w:tcW w:w="1111" w:type="pct"/>
          </w:tcPr>
          <w:p w14:paraId="3DC5D15D" w14:textId="77E3DAA3" w:rsidR="00426C3A" w:rsidRDefault="00426C3A" w:rsidP="00426C3A">
            <w:pPr>
              <w:pStyle w:val="TableText"/>
            </w:pPr>
            <w:r w:rsidRPr="000554B4">
              <w:t>GAP</w:t>
            </w:r>
          </w:p>
        </w:tc>
        <w:tc>
          <w:tcPr>
            <w:tcW w:w="3889" w:type="pct"/>
          </w:tcPr>
          <w:p w14:paraId="68FDB952" w14:textId="7AD59328" w:rsidR="00426C3A" w:rsidRDefault="00426C3A" w:rsidP="00426C3A">
            <w:pPr>
              <w:pStyle w:val="TableText"/>
            </w:pPr>
            <w:r w:rsidRPr="000554B4">
              <w:t xml:space="preserve">Good </w:t>
            </w:r>
            <w:r w:rsidR="00E456D9" w:rsidRPr="000554B4">
              <w:t>agricultural practice</w:t>
            </w:r>
          </w:p>
        </w:tc>
      </w:tr>
      <w:tr w:rsidR="00426C3A" w14:paraId="7E8F109A" w14:textId="77777777" w:rsidTr="002A3239">
        <w:tc>
          <w:tcPr>
            <w:tcW w:w="1111" w:type="pct"/>
          </w:tcPr>
          <w:p w14:paraId="7823F48F" w14:textId="07200D96" w:rsidR="00426C3A" w:rsidRDefault="00426C3A" w:rsidP="00426C3A">
            <w:pPr>
              <w:pStyle w:val="TableText"/>
            </w:pPr>
            <w:r w:rsidRPr="000554B4">
              <w:t>GC</w:t>
            </w:r>
          </w:p>
        </w:tc>
        <w:tc>
          <w:tcPr>
            <w:tcW w:w="3889" w:type="pct"/>
          </w:tcPr>
          <w:p w14:paraId="166A1407" w14:textId="73B5E145" w:rsidR="00426C3A" w:rsidRDefault="00426C3A" w:rsidP="00426C3A">
            <w:pPr>
              <w:pStyle w:val="TableText"/>
            </w:pPr>
            <w:r w:rsidRPr="000554B4">
              <w:t>gas chromatography</w:t>
            </w:r>
          </w:p>
        </w:tc>
      </w:tr>
      <w:tr w:rsidR="00426C3A" w14:paraId="0F2DAC1E" w14:textId="77777777" w:rsidTr="002A3239">
        <w:tc>
          <w:tcPr>
            <w:tcW w:w="1111" w:type="pct"/>
          </w:tcPr>
          <w:p w14:paraId="38F26EC7" w14:textId="6630B976" w:rsidR="00426C3A" w:rsidRPr="000554B4" w:rsidRDefault="00426C3A" w:rsidP="00426C3A">
            <w:pPr>
              <w:pStyle w:val="TableText"/>
            </w:pPr>
            <w:r w:rsidRPr="000554B4">
              <w:t>GLP</w:t>
            </w:r>
          </w:p>
        </w:tc>
        <w:tc>
          <w:tcPr>
            <w:tcW w:w="3889" w:type="pct"/>
          </w:tcPr>
          <w:p w14:paraId="47908AE7" w14:textId="6386B7F6" w:rsidR="00426C3A" w:rsidRPr="000554B4" w:rsidRDefault="00E456D9" w:rsidP="00426C3A">
            <w:pPr>
              <w:pStyle w:val="TableText"/>
            </w:pPr>
            <w:r w:rsidRPr="000554B4">
              <w:t>Good laboratory practice</w:t>
            </w:r>
          </w:p>
        </w:tc>
      </w:tr>
      <w:tr w:rsidR="00426C3A" w14:paraId="776D76C1" w14:textId="77777777" w:rsidTr="002A3239">
        <w:tc>
          <w:tcPr>
            <w:tcW w:w="1111" w:type="pct"/>
          </w:tcPr>
          <w:p w14:paraId="753AAD8D" w14:textId="3D71CB24" w:rsidR="00426C3A" w:rsidRPr="000554B4" w:rsidRDefault="00426C3A" w:rsidP="00426C3A">
            <w:pPr>
              <w:pStyle w:val="TableText"/>
            </w:pPr>
            <w:r w:rsidRPr="000554B4">
              <w:t>ha</w:t>
            </w:r>
          </w:p>
        </w:tc>
        <w:tc>
          <w:tcPr>
            <w:tcW w:w="3889" w:type="pct"/>
          </w:tcPr>
          <w:p w14:paraId="6720FBEC" w14:textId="518AF5D3" w:rsidR="00426C3A" w:rsidRPr="000554B4" w:rsidRDefault="00426C3A" w:rsidP="00426C3A">
            <w:pPr>
              <w:pStyle w:val="TableText"/>
            </w:pPr>
            <w:r w:rsidRPr="000554B4">
              <w:t>Hectare</w:t>
            </w:r>
          </w:p>
        </w:tc>
      </w:tr>
      <w:tr w:rsidR="00426C3A" w14:paraId="231761BF" w14:textId="77777777" w:rsidTr="002A3239">
        <w:tc>
          <w:tcPr>
            <w:tcW w:w="1111" w:type="pct"/>
          </w:tcPr>
          <w:p w14:paraId="6CC2F34A" w14:textId="530D9362" w:rsidR="00426C3A" w:rsidRPr="000554B4" w:rsidRDefault="00426C3A" w:rsidP="00426C3A">
            <w:pPr>
              <w:pStyle w:val="TableText"/>
            </w:pPr>
            <w:r w:rsidRPr="000554B4">
              <w:t>HR</w:t>
            </w:r>
          </w:p>
        </w:tc>
        <w:tc>
          <w:tcPr>
            <w:tcW w:w="3889" w:type="pct"/>
          </w:tcPr>
          <w:p w14:paraId="0DFC4CB5" w14:textId="4ADBFCE1" w:rsidR="00426C3A" w:rsidRPr="000554B4" w:rsidRDefault="00426C3A" w:rsidP="00426C3A">
            <w:pPr>
              <w:pStyle w:val="TableText"/>
            </w:pPr>
            <w:r w:rsidRPr="000554B4">
              <w:t>Highest Residue</w:t>
            </w:r>
          </w:p>
        </w:tc>
      </w:tr>
      <w:tr w:rsidR="00426C3A" w14:paraId="2DF055FB" w14:textId="77777777" w:rsidTr="002A3239">
        <w:tc>
          <w:tcPr>
            <w:tcW w:w="1111" w:type="pct"/>
          </w:tcPr>
          <w:p w14:paraId="3CF0378B" w14:textId="781F3D1F" w:rsidR="00426C3A" w:rsidRPr="000554B4" w:rsidRDefault="00426C3A" w:rsidP="00426C3A">
            <w:pPr>
              <w:pStyle w:val="TableText"/>
            </w:pPr>
            <w:r w:rsidRPr="000554B4">
              <w:t>HR-P</w:t>
            </w:r>
          </w:p>
        </w:tc>
        <w:tc>
          <w:tcPr>
            <w:tcW w:w="3889" w:type="pct"/>
          </w:tcPr>
          <w:p w14:paraId="668F9913" w14:textId="00516B61" w:rsidR="00426C3A" w:rsidRPr="000554B4" w:rsidRDefault="00426C3A" w:rsidP="00426C3A">
            <w:pPr>
              <w:pStyle w:val="TableText"/>
            </w:pPr>
            <w:r w:rsidRPr="000554B4">
              <w:t xml:space="preserve">Highest </w:t>
            </w:r>
            <w:r w:rsidR="00E456D9">
              <w:t>r</w:t>
            </w:r>
            <w:r w:rsidRPr="000554B4">
              <w:t>esidue in a processed commodity</w:t>
            </w:r>
          </w:p>
        </w:tc>
      </w:tr>
      <w:tr w:rsidR="00426C3A" w14:paraId="2A99B489" w14:textId="77777777" w:rsidTr="002A3239">
        <w:tc>
          <w:tcPr>
            <w:tcW w:w="1111" w:type="pct"/>
          </w:tcPr>
          <w:p w14:paraId="04CDFA2C" w14:textId="65AFA3E4" w:rsidR="00426C3A" w:rsidRPr="000554B4" w:rsidRDefault="00426C3A" w:rsidP="00426C3A">
            <w:pPr>
              <w:pStyle w:val="TableText"/>
            </w:pPr>
            <w:r w:rsidRPr="000554B4">
              <w:t>kg</w:t>
            </w:r>
          </w:p>
        </w:tc>
        <w:tc>
          <w:tcPr>
            <w:tcW w:w="3889" w:type="pct"/>
          </w:tcPr>
          <w:p w14:paraId="6D031717" w14:textId="1E2F3D8B" w:rsidR="00426C3A" w:rsidRPr="000554B4" w:rsidRDefault="00426C3A" w:rsidP="00426C3A">
            <w:pPr>
              <w:pStyle w:val="TableText"/>
            </w:pPr>
            <w:r w:rsidRPr="000554B4">
              <w:t>Kilogram</w:t>
            </w:r>
          </w:p>
        </w:tc>
      </w:tr>
      <w:tr w:rsidR="00426C3A" w14:paraId="0A1E4EFA" w14:textId="77777777" w:rsidTr="002A3239">
        <w:tc>
          <w:tcPr>
            <w:tcW w:w="1111" w:type="pct"/>
          </w:tcPr>
          <w:p w14:paraId="581BD302" w14:textId="47C88FCE" w:rsidR="00426C3A" w:rsidRPr="000554B4" w:rsidRDefault="00426C3A" w:rsidP="00426C3A">
            <w:pPr>
              <w:pStyle w:val="TableText"/>
            </w:pPr>
            <w:r w:rsidRPr="000554B4">
              <w:t>L</w:t>
            </w:r>
          </w:p>
        </w:tc>
        <w:tc>
          <w:tcPr>
            <w:tcW w:w="3889" w:type="pct"/>
          </w:tcPr>
          <w:p w14:paraId="3E7ADA87" w14:textId="7441BA82" w:rsidR="00426C3A" w:rsidRPr="000554B4" w:rsidRDefault="00426C3A" w:rsidP="00426C3A">
            <w:pPr>
              <w:pStyle w:val="TableText"/>
            </w:pPr>
            <w:r w:rsidRPr="000554B4">
              <w:t>Litre</w:t>
            </w:r>
          </w:p>
        </w:tc>
      </w:tr>
      <w:tr w:rsidR="00426C3A" w14:paraId="53E8AFA4" w14:textId="77777777" w:rsidTr="002A3239">
        <w:tc>
          <w:tcPr>
            <w:tcW w:w="1111" w:type="pct"/>
          </w:tcPr>
          <w:p w14:paraId="1231C621" w14:textId="20A6FABA" w:rsidR="00426C3A" w:rsidRPr="000554B4" w:rsidRDefault="00426C3A" w:rsidP="00426C3A">
            <w:pPr>
              <w:pStyle w:val="TableText"/>
            </w:pPr>
            <w:r w:rsidRPr="000554B4">
              <w:t>LD</w:t>
            </w:r>
            <w:r w:rsidRPr="00CC4A3F">
              <w:rPr>
                <w:rStyle w:val="APVMASubscript"/>
              </w:rPr>
              <w:t>50</w:t>
            </w:r>
          </w:p>
        </w:tc>
        <w:tc>
          <w:tcPr>
            <w:tcW w:w="3889" w:type="pct"/>
          </w:tcPr>
          <w:p w14:paraId="1A8AA500" w14:textId="40ED645F" w:rsidR="00426C3A" w:rsidRPr="000554B4" w:rsidRDefault="00426C3A" w:rsidP="00426C3A">
            <w:pPr>
              <w:pStyle w:val="TableText"/>
            </w:pPr>
            <w:r w:rsidRPr="000554B4">
              <w:t>Lethal Dose</w:t>
            </w:r>
            <w:r w:rsidRPr="00E456D9">
              <w:rPr>
                <w:vertAlign w:val="superscript"/>
              </w:rPr>
              <w:t>50</w:t>
            </w:r>
            <w:r w:rsidRPr="000554B4">
              <w:t xml:space="preserve"> </w:t>
            </w:r>
            <w:r>
              <w:t xml:space="preserve">– </w:t>
            </w:r>
            <w:r w:rsidRPr="000554B4">
              <w:t>dosage of chemical that kills 50% of the test population of organisms</w:t>
            </w:r>
          </w:p>
        </w:tc>
      </w:tr>
      <w:tr w:rsidR="00426C3A" w14:paraId="7DE6F6F4" w14:textId="77777777" w:rsidTr="002A3239">
        <w:tc>
          <w:tcPr>
            <w:tcW w:w="1111" w:type="pct"/>
          </w:tcPr>
          <w:p w14:paraId="4CF6C302" w14:textId="209CE508" w:rsidR="00426C3A" w:rsidRPr="000554B4" w:rsidRDefault="00426C3A" w:rsidP="00426C3A">
            <w:pPr>
              <w:pStyle w:val="TableText"/>
            </w:pPr>
            <w:r w:rsidRPr="000554B4">
              <w:t>LOAEL</w:t>
            </w:r>
          </w:p>
        </w:tc>
        <w:tc>
          <w:tcPr>
            <w:tcW w:w="3889" w:type="pct"/>
          </w:tcPr>
          <w:p w14:paraId="31A40F2D" w14:textId="2E266112" w:rsidR="00426C3A" w:rsidRPr="000554B4" w:rsidRDefault="00426C3A" w:rsidP="00426C3A">
            <w:pPr>
              <w:pStyle w:val="TableText"/>
            </w:pPr>
            <w:r w:rsidRPr="000554B4">
              <w:t xml:space="preserve">Lowest </w:t>
            </w:r>
            <w:r w:rsidR="00E456D9" w:rsidRPr="000554B4">
              <w:t>observed adverse effect level</w:t>
            </w:r>
          </w:p>
        </w:tc>
      </w:tr>
      <w:tr w:rsidR="00426C3A" w14:paraId="17CF871C" w14:textId="77777777" w:rsidTr="002A3239">
        <w:tc>
          <w:tcPr>
            <w:tcW w:w="1111" w:type="pct"/>
          </w:tcPr>
          <w:p w14:paraId="073DFFB5" w14:textId="0F7EF05A" w:rsidR="00426C3A" w:rsidRPr="000554B4" w:rsidRDefault="00426C3A" w:rsidP="00426C3A">
            <w:pPr>
              <w:pStyle w:val="TableText"/>
            </w:pPr>
            <w:r w:rsidRPr="000554B4">
              <w:t>LOQ</w:t>
            </w:r>
          </w:p>
        </w:tc>
        <w:tc>
          <w:tcPr>
            <w:tcW w:w="3889" w:type="pct"/>
          </w:tcPr>
          <w:p w14:paraId="7087763A" w14:textId="2EBE661F" w:rsidR="00426C3A" w:rsidRPr="000554B4" w:rsidRDefault="00426C3A" w:rsidP="00426C3A">
            <w:pPr>
              <w:pStyle w:val="TableText"/>
            </w:pPr>
            <w:r w:rsidRPr="000554B4">
              <w:t xml:space="preserve">Limit of </w:t>
            </w:r>
            <w:r w:rsidR="00E456D9" w:rsidRPr="000554B4">
              <w:t>quantification</w:t>
            </w:r>
          </w:p>
        </w:tc>
      </w:tr>
      <w:tr w:rsidR="00426C3A" w14:paraId="34AA67D7" w14:textId="77777777" w:rsidTr="002A3239">
        <w:tc>
          <w:tcPr>
            <w:tcW w:w="1111" w:type="pct"/>
          </w:tcPr>
          <w:p w14:paraId="370632BF" w14:textId="085E7156" w:rsidR="00426C3A" w:rsidRPr="000554B4" w:rsidRDefault="00426C3A" w:rsidP="00426C3A">
            <w:pPr>
              <w:pStyle w:val="TableText"/>
            </w:pPr>
            <w:r w:rsidRPr="000554B4">
              <w:t>mg</w:t>
            </w:r>
          </w:p>
        </w:tc>
        <w:tc>
          <w:tcPr>
            <w:tcW w:w="3889" w:type="pct"/>
          </w:tcPr>
          <w:p w14:paraId="03D59B10" w14:textId="2A2E95A2" w:rsidR="00426C3A" w:rsidRPr="000554B4" w:rsidRDefault="00426C3A" w:rsidP="00426C3A">
            <w:pPr>
              <w:pStyle w:val="TableText"/>
            </w:pPr>
            <w:r w:rsidRPr="000554B4">
              <w:t>Milligram</w:t>
            </w:r>
          </w:p>
        </w:tc>
      </w:tr>
      <w:tr w:rsidR="00426C3A" w14:paraId="7EBB83EF" w14:textId="77777777" w:rsidTr="002A3239">
        <w:tc>
          <w:tcPr>
            <w:tcW w:w="1111" w:type="pct"/>
          </w:tcPr>
          <w:p w14:paraId="3D9B4813" w14:textId="7AC1682C" w:rsidR="00426C3A" w:rsidRPr="000554B4" w:rsidRDefault="00426C3A" w:rsidP="00426C3A">
            <w:pPr>
              <w:pStyle w:val="TableText"/>
            </w:pPr>
            <w:r w:rsidRPr="000554B4">
              <w:t>mL</w:t>
            </w:r>
          </w:p>
        </w:tc>
        <w:tc>
          <w:tcPr>
            <w:tcW w:w="3889" w:type="pct"/>
          </w:tcPr>
          <w:p w14:paraId="0928D68D" w14:textId="68C66607" w:rsidR="00426C3A" w:rsidRPr="000554B4" w:rsidRDefault="00426C3A" w:rsidP="00426C3A">
            <w:pPr>
              <w:pStyle w:val="TableText"/>
            </w:pPr>
            <w:r w:rsidRPr="000554B4">
              <w:t>Millilitre</w:t>
            </w:r>
          </w:p>
        </w:tc>
      </w:tr>
      <w:tr w:rsidR="00426C3A" w14:paraId="320F7B84" w14:textId="77777777" w:rsidTr="002A3239">
        <w:tc>
          <w:tcPr>
            <w:tcW w:w="1111" w:type="pct"/>
          </w:tcPr>
          <w:p w14:paraId="5449763E" w14:textId="17023BE4" w:rsidR="00426C3A" w:rsidRPr="000554B4" w:rsidRDefault="00426C3A" w:rsidP="00426C3A">
            <w:pPr>
              <w:pStyle w:val="TableText"/>
            </w:pPr>
            <w:r w:rsidRPr="000554B4">
              <w:t>MRL</w:t>
            </w:r>
          </w:p>
        </w:tc>
        <w:tc>
          <w:tcPr>
            <w:tcW w:w="3889" w:type="pct"/>
          </w:tcPr>
          <w:p w14:paraId="214A14DF" w14:textId="6326E8C3" w:rsidR="00426C3A" w:rsidRPr="000554B4" w:rsidRDefault="00426C3A" w:rsidP="00426C3A">
            <w:pPr>
              <w:pStyle w:val="TableText"/>
            </w:pPr>
            <w:r w:rsidRPr="000554B4">
              <w:t xml:space="preserve">Maximum </w:t>
            </w:r>
            <w:r w:rsidR="00E456D9" w:rsidRPr="000554B4">
              <w:t>residue limit</w:t>
            </w:r>
          </w:p>
        </w:tc>
      </w:tr>
      <w:tr w:rsidR="00426C3A" w14:paraId="668B70F9" w14:textId="77777777" w:rsidTr="002A3239">
        <w:tc>
          <w:tcPr>
            <w:tcW w:w="1111" w:type="pct"/>
          </w:tcPr>
          <w:p w14:paraId="254F397B" w14:textId="0E79FDAA" w:rsidR="00426C3A" w:rsidRPr="000554B4" w:rsidRDefault="00426C3A" w:rsidP="00426C3A">
            <w:pPr>
              <w:pStyle w:val="TableText"/>
            </w:pPr>
            <w:r w:rsidRPr="000554B4">
              <w:t>NEDI</w:t>
            </w:r>
          </w:p>
        </w:tc>
        <w:tc>
          <w:tcPr>
            <w:tcW w:w="3889" w:type="pct"/>
          </w:tcPr>
          <w:p w14:paraId="6B5CEA0A" w14:textId="6329144B" w:rsidR="00426C3A" w:rsidRPr="000554B4" w:rsidRDefault="00426C3A" w:rsidP="00426C3A">
            <w:pPr>
              <w:pStyle w:val="TableText"/>
            </w:pPr>
            <w:r w:rsidRPr="000554B4">
              <w:t xml:space="preserve">National </w:t>
            </w:r>
            <w:r w:rsidR="00E456D9" w:rsidRPr="000554B4">
              <w:t>estimated daily intake</w:t>
            </w:r>
          </w:p>
        </w:tc>
      </w:tr>
      <w:tr w:rsidR="00426C3A" w14:paraId="0221B2C7" w14:textId="77777777" w:rsidTr="002A3239">
        <w:tc>
          <w:tcPr>
            <w:tcW w:w="1111" w:type="pct"/>
          </w:tcPr>
          <w:p w14:paraId="40B410C8" w14:textId="61D434B6" w:rsidR="00426C3A" w:rsidRPr="000554B4" w:rsidRDefault="00426C3A" w:rsidP="00426C3A">
            <w:pPr>
              <w:pStyle w:val="TableText"/>
            </w:pPr>
            <w:r w:rsidRPr="000554B4">
              <w:lastRenderedPageBreak/>
              <w:t>NOEC/NOEL</w:t>
            </w:r>
          </w:p>
        </w:tc>
        <w:tc>
          <w:tcPr>
            <w:tcW w:w="3889" w:type="pct"/>
          </w:tcPr>
          <w:p w14:paraId="56F4A318" w14:textId="2613350E" w:rsidR="00426C3A" w:rsidRPr="000554B4" w:rsidRDefault="00426C3A" w:rsidP="00426C3A">
            <w:pPr>
              <w:pStyle w:val="TableText"/>
            </w:pPr>
            <w:r w:rsidRPr="000554B4">
              <w:t xml:space="preserve">No </w:t>
            </w:r>
            <w:r w:rsidR="00E456D9" w:rsidRPr="000554B4">
              <w:t>observable effect concentration level</w:t>
            </w:r>
          </w:p>
        </w:tc>
      </w:tr>
      <w:tr w:rsidR="00426C3A" w14:paraId="1BF092F6" w14:textId="77777777" w:rsidTr="002A3239">
        <w:tc>
          <w:tcPr>
            <w:tcW w:w="1111" w:type="pct"/>
          </w:tcPr>
          <w:p w14:paraId="24D01452" w14:textId="7742B4C4" w:rsidR="00426C3A" w:rsidRPr="000554B4" w:rsidRDefault="00426C3A" w:rsidP="00426C3A">
            <w:pPr>
              <w:pStyle w:val="TableText"/>
            </w:pPr>
            <w:r w:rsidRPr="000554B4">
              <w:t>NOAEL</w:t>
            </w:r>
          </w:p>
        </w:tc>
        <w:tc>
          <w:tcPr>
            <w:tcW w:w="3889" w:type="pct"/>
          </w:tcPr>
          <w:p w14:paraId="5DA84875" w14:textId="4494EA38" w:rsidR="00426C3A" w:rsidRPr="000554B4" w:rsidRDefault="00426C3A" w:rsidP="00426C3A">
            <w:pPr>
              <w:pStyle w:val="TableText"/>
            </w:pPr>
            <w:r w:rsidRPr="000554B4">
              <w:t xml:space="preserve">No </w:t>
            </w:r>
            <w:r w:rsidR="00E456D9" w:rsidRPr="000554B4">
              <w:t>observed adverse effect level</w:t>
            </w:r>
          </w:p>
        </w:tc>
      </w:tr>
      <w:tr w:rsidR="00426C3A" w14:paraId="37F43090" w14:textId="77777777" w:rsidTr="002A3239">
        <w:tc>
          <w:tcPr>
            <w:tcW w:w="1111" w:type="pct"/>
          </w:tcPr>
          <w:p w14:paraId="4664B6DD" w14:textId="2DF7E0ED" w:rsidR="00426C3A" w:rsidRPr="000554B4" w:rsidRDefault="00426C3A" w:rsidP="00426C3A">
            <w:pPr>
              <w:pStyle w:val="TableText"/>
            </w:pPr>
            <w:r w:rsidRPr="000554B4">
              <w:t>OECD</w:t>
            </w:r>
          </w:p>
        </w:tc>
        <w:tc>
          <w:tcPr>
            <w:tcW w:w="3889" w:type="pct"/>
          </w:tcPr>
          <w:p w14:paraId="20C81C58" w14:textId="7998D223" w:rsidR="00426C3A" w:rsidRPr="000554B4" w:rsidRDefault="00426C3A" w:rsidP="00426C3A">
            <w:pPr>
              <w:pStyle w:val="TableText"/>
            </w:pPr>
            <w:r w:rsidRPr="000554B4">
              <w:t xml:space="preserve">Organisation for </w:t>
            </w:r>
            <w:r w:rsidR="00E456D9" w:rsidRPr="000554B4">
              <w:t>economic co-operation and development</w:t>
            </w:r>
          </w:p>
        </w:tc>
      </w:tr>
      <w:tr w:rsidR="00426C3A" w14:paraId="55CA2FC5" w14:textId="77777777" w:rsidTr="002A3239">
        <w:tc>
          <w:tcPr>
            <w:tcW w:w="1111" w:type="pct"/>
          </w:tcPr>
          <w:p w14:paraId="57B17E30" w14:textId="48976DC2" w:rsidR="00426C3A" w:rsidRPr="000554B4" w:rsidRDefault="00426C3A" w:rsidP="00426C3A">
            <w:pPr>
              <w:pStyle w:val="TableText"/>
            </w:pPr>
            <w:r w:rsidRPr="000554B4">
              <w:t>PHI</w:t>
            </w:r>
          </w:p>
        </w:tc>
        <w:tc>
          <w:tcPr>
            <w:tcW w:w="3889" w:type="pct"/>
          </w:tcPr>
          <w:p w14:paraId="4F42EEA6" w14:textId="2113E539" w:rsidR="00426C3A" w:rsidRPr="000554B4" w:rsidRDefault="00426C3A" w:rsidP="00426C3A">
            <w:pPr>
              <w:pStyle w:val="TableText"/>
            </w:pPr>
            <w:r w:rsidRPr="000554B4">
              <w:t>Post-</w:t>
            </w:r>
            <w:r w:rsidR="00E456D9" w:rsidRPr="000554B4">
              <w:t>harvest interval</w:t>
            </w:r>
          </w:p>
        </w:tc>
      </w:tr>
      <w:tr w:rsidR="00426C3A" w14:paraId="53E53AD8" w14:textId="77777777" w:rsidTr="002A3239">
        <w:tc>
          <w:tcPr>
            <w:tcW w:w="1111" w:type="pct"/>
          </w:tcPr>
          <w:p w14:paraId="790F4498" w14:textId="1C0F51BA" w:rsidR="00426C3A" w:rsidRPr="000554B4" w:rsidRDefault="00426C3A" w:rsidP="00426C3A">
            <w:pPr>
              <w:pStyle w:val="TableText"/>
            </w:pPr>
            <w:r w:rsidRPr="000554B4">
              <w:t>PPE</w:t>
            </w:r>
          </w:p>
        </w:tc>
        <w:tc>
          <w:tcPr>
            <w:tcW w:w="3889" w:type="pct"/>
          </w:tcPr>
          <w:p w14:paraId="59C77520" w14:textId="1E589C9C" w:rsidR="00426C3A" w:rsidRPr="000554B4" w:rsidRDefault="00426C3A" w:rsidP="00426C3A">
            <w:pPr>
              <w:pStyle w:val="TableText"/>
            </w:pPr>
            <w:r w:rsidRPr="000554B4">
              <w:t xml:space="preserve">Personal </w:t>
            </w:r>
            <w:r w:rsidR="00E456D9" w:rsidRPr="000554B4">
              <w:t>protective equipment</w:t>
            </w:r>
          </w:p>
        </w:tc>
      </w:tr>
      <w:tr w:rsidR="00426C3A" w14:paraId="7DC2C940" w14:textId="77777777" w:rsidTr="002A3239">
        <w:tc>
          <w:tcPr>
            <w:tcW w:w="1111" w:type="pct"/>
          </w:tcPr>
          <w:p w14:paraId="19490BBA" w14:textId="34AF8646" w:rsidR="00426C3A" w:rsidRPr="000554B4" w:rsidRDefault="00426C3A" w:rsidP="00426C3A">
            <w:pPr>
              <w:pStyle w:val="TableText"/>
            </w:pPr>
            <w:r w:rsidRPr="000554B4">
              <w:t>ppm</w:t>
            </w:r>
          </w:p>
        </w:tc>
        <w:tc>
          <w:tcPr>
            <w:tcW w:w="3889" w:type="pct"/>
          </w:tcPr>
          <w:p w14:paraId="2253A3E2" w14:textId="75687D86" w:rsidR="00426C3A" w:rsidRPr="000554B4" w:rsidRDefault="00E456D9" w:rsidP="00426C3A">
            <w:pPr>
              <w:pStyle w:val="TableText"/>
            </w:pPr>
            <w:r>
              <w:t>P</w:t>
            </w:r>
            <w:r w:rsidR="00426C3A" w:rsidRPr="000554B4">
              <w:t>arts per million</w:t>
            </w:r>
          </w:p>
        </w:tc>
      </w:tr>
      <w:tr w:rsidR="00426C3A" w14:paraId="30C3A4C3" w14:textId="77777777" w:rsidTr="002A3239">
        <w:tc>
          <w:tcPr>
            <w:tcW w:w="1111" w:type="pct"/>
          </w:tcPr>
          <w:p w14:paraId="4D790061" w14:textId="5C949DD6" w:rsidR="00426C3A" w:rsidRPr="000554B4" w:rsidRDefault="00426C3A" w:rsidP="00426C3A">
            <w:pPr>
              <w:pStyle w:val="TableText"/>
            </w:pPr>
            <w:r w:rsidRPr="000554B4">
              <w:t>µg</w:t>
            </w:r>
          </w:p>
        </w:tc>
        <w:tc>
          <w:tcPr>
            <w:tcW w:w="3889" w:type="pct"/>
          </w:tcPr>
          <w:p w14:paraId="36107775" w14:textId="4C780225" w:rsidR="00426C3A" w:rsidRPr="000554B4" w:rsidRDefault="00426C3A" w:rsidP="00426C3A">
            <w:pPr>
              <w:pStyle w:val="TableText"/>
            </w:pPr>
            <w:r w:rsidRPr="000554B4">
              <w:t>Microgram</w:t>
            </w:r>
          </w:p>
        </w:tc>
      </w:tr>
    </w:tbl>
    <w:p w14:paraId="517CEFC3" w14:textId="77777777" w:rsidR="009D452E" w:rsidRDefault="009D452E">
      <w:pPr>
        <w:pStyle w:val="NormalText"/>
        <w:tabs>
          <w:tab w:val="left" w:pos="1361"/>
        </w:tabs>
        <w:sectPr w:rsidR="009D452E">
          <w:headerReference w:type="even" r:id="rId44"/>
          <w:headerReference w:type="default" r:id="rId45"/>
          <w:pgSz w:w="11906" w:h="16838" w:code="9"/>
          <w:pgMar w:top="2835" w:right="1134" w:bottom="1134" w:left="1134" w:header="1701" w:footer="680" w:gutter="0"/>
          <w:cols w:space="708"/>
          <w:docGrid w:linePitch="360"/>
        </w:sectPr>
      </w:pPr>
    </w:p>
    <w:p w14:paraId="26E1F57C" w14:textId="10DBC4A6" w:rsidR="009D452E" w:rsidRPr="00D05130" w:rsidRDefault="002E20AC" w:rsidP="00D05130">
      <w:pPr>
        <w:pStyle w:val="GlossaryRefH1"/>
      </w:pPr>
      <w:bookmarkStart w:id="152" w:name="_Toc231963196"/>
      <w:bookmarkStart w:id="153" w:name="_Toc414373850"/>
      <w:bookmarkStart w:id="154" w:name="_Toc116301585"/>
      <w:bookmarkEnd w:id="117"/>
      <w:r w:rsidRPr="00D05130">
        <w:lastRenderedPageBreak/>
        <w:t>Reference</w:t>
      </w:r>
      <w:bookmarkEnd w:id="152"/>
      <w:bookmarkEnd w:id="153"/>
      <w:r w:rsidR="002A3239" w:rsidRPr="00D05130">
        <w:t>s</w:t>
      </w:r>
      <w:bookmarkEnd w:id="154"/>
    </w:p>
    <w:p w14:paraId="5A13E0E1" w14:textId="33D0C90C" w:rsidR="00426C3A" w:rsidRPr="00D05130" w:rsidRDefault="00426C3A" w:rsidP="00D05130">
      <w:pPr>
        <w:pStyle w:val="AppendixH2"/>
      </w:pPr>
      <w:bookmarkStart w:id="155" w:name="_Toc116301586"/>
      <w:r w:rsidRPr="00D05130">
        <w:t>Environment</w:t>
      </w:r>
      <w:bookmarkEnd w:id="155"/>
    </w:p>
    <w:p w14:paraId="7CECDD9B" w14:textId="00305FEF" w:rsidR="00426C3A" w:rsidRPr="00D05130" w:rsidRDefault="00426C3A" w:rsidP="00D05130">
      <w:pPr>
        <w:pStyle w:val="APVMAText"/>
      </w:pPr>
      <w:r w:rsidRPr="00D05130">
        <w:t>Bell</w:t>
      </w:r>
      <w:r w:rsidR="00A955AD">
        <w:t>,</w:t>
      </w:r>
      <w:r w:rsidRPr="00D05130">
        <w:t xml:space="preserve"> G</w:t>
      </w:r>
      <w:r w:rsidR="00A955AD">
        <w:t>.</w:t>
      </w:r>
      <w:r w:rsidRPr="00D05130">
        <w:t xml:space="preserve">, </w:t>
      </w:r>
      <w:r w:rsidR="00E456D9">
        <w:t xml:space="preserve">and </w:t>
      </w:r>
      <w:r w:rsidRPr="00D05130">
        <w:t>Barrett</w:t>
      </w:r>
      <w:r w:rsidR="00A955AD">
        <w:t>,</w:t>
      </w:r>
      <w:r w:rsidRPr="00D05130">
        <w:t xml:space="preserve"> K</w:t>
      </w:r>
      <w:r w:rsidR="00A955AD">
        <w:t>.</w:t>
      </w:r>
      <w:r w:rsidRPr="00D05130">
        <w:t xml:space="preserve"> </w:t>
      </w:r>
      <w:r w:rsidR="005E3AB5">
        <w:t>(</w:t>
      </w:r>
      <w:r w:rsidRPr="00D05130">
        <w:t>1996</w:t>
      </w:r>
      <w:r w:rsidR="00852F7D">
        <w:t>)</w:t>
      </w:r>
      <w:r w:rsidRPr="00D05130">
        <w:t xml:space="preserve"> </w:t>
      </w:r>
      <w:r w:rsidRPr="00E456D9">
        <w:rPr>
          <w:i/>
          <w:iCs/>
        </w:rPr>
        <w:t xml:space="preserve">Procymidone TG: acute toxicity to </w:t>
      </w:r>
      <w:r w:rsidR="00E456D9" w:rsidRPr="00E456D9">
        <w:rPr>
          <w:i/>
          <w:iCs/>
        </w:rPr>
        <w:t>honeybees</w:t>
      </w:r>
      <w:r w:rsidRPr="00E456D9">
        <w:rPr>
          <w:i/>
          <w:iCs/>
        </w:rPr>
        <w:t xml:space="preserve"> (</w:t>
      </w:r>
      <w:proofErr w:type="spellStart"/>
      <w:r w:rsidRPr="00E456D9">
        <w:rPr>
          <w:i/>
          <w:iCs/>
        </w:rPr>
        <w:t>Apis</w:t>
      </w:r>
      <w:proofErr w:type="spellEnd"/>
      <w:r w:rsidRPr="00E456D9">
        <w:rPr>
          <w:i/>
          <w:iCs/>
        </w:rPr>
        <w:t xml:space="preserve"> mellifera</w:t>
      </w:r>
      <w:r w:rsidR="00E456D9">
        <w:rPr>
          <w:i/>
          <w:iCs/>
        </w:rPr>
        <w:t>),</w:t>
      </w:r>
      <w:r w:rsidRPr="00D05130">
        <w:t xml:space="preserve"> </w:t>
      </w:r>
      <w:r w:rsidR="00E456D9" w:rsidRPr="00D05130">
        <w:t>report</w:t>
      </w:r>
      <w:r w:rsidRPr="00D05130">
        <w:t xml:space="preserve"> no. BW-0054</w:t>
      </w:r>
      <w:r w:rsidR="00E456D9">
        <w:t>,</w:t>
      </w:r>
      <w:r w:rsidRPr="00D05130">
        <w:t xml:space="preserve"> </w:t>
      </w:r>
      <w:r w:rsidR="00E456D9" w:rsidRPr="00D05130">
        <w:t>unpublished</w:t>
      </w:r>
      <w:r w:rsidRPr="00D05130">
        <w:t>, Sumitomo Chemical Australia Pty Ltd</w:t>
      </w:r>
    </w:p>
    <w:p w14:paraId="25FE86E2" w14:textId="5ADD0101" w:rsidR="00426C3A" w:rsidRPr="00D05130" w:rsidRDefault="00426C3A" w:rsidP="00D05130">
      <w:pPr>
        <w:pStyle w:val="APVMAText"/>
      </w:pPr>
      <w:proofErr w:type="spellStart"/>
      <w:r w:rsidRPr="00A955AD">
        <w:t>Benwell</w:t>
      </w:r>
      <w:proofErr w:type="spellEnd"/>
      <w:r w:rsidR="00A955AD">
        <w:t>,</w:t>
      </w:r>
      <w:r w:rsidRPr="00A955AD">
        <w:t xml:space="preserve"> L</w:t>
      </w:r>
      <w:r w:rsidR="00A955AD">
        <w:t>.</w:t>
      </w:r>
      <w:r w:rsidRPr="00A955AD">
        <w:t xml:space="preserve"> </w:t>
      </w:r>
      <w:r w:rsidR="005E3AB5">
        <w:t>(</w:t>
      </w:r>
      <w:r w:rsidRPr="00A955AD">
        <w:t>1999</w:t>
      </w:r>
      <w:r w:rsidR="00852F7D">
        <w:t>)</w:t>
      </w:r>
      <w:r w:rsidRPr="00A955AD">
        <w:t xml:space="preserve"> </w:t>
      </w:r>
      <w:r w:rsidRPr="00A955AD">
        <w:rPr>
          <w:i/>
          <w:iCs/>
        </w:rPr>
        <w:t>Procymidone: dissipation from 6 field soils</w:t>
      </w:r>
      <w:r w:rsidRPr="00A955AD">
        <w:t xml:space="preserve">, </w:t>
      </w:r>
      <w:r w:rsidR="00E456D9" w:rsidRPr="00A955AD">
        <w:t>report</w:t>
      </w:r>
      <w:r w:rsidRPr="00A955AD">
        <w:t xml:space="preserve"> </w:t>
      </w:r>
      <w:r w:rsidR="00A955AD">
        <w:t>n</w:t>
      </w:r>
      <w:r w:rsidRPr="00A955AD">
        <w:t xml:space="preserve">o. BR-0504, </w:t>
      </w:r>
      <w:r w:rsidR="00E456D9" w:rsidRPr="00A955AD">
        <w:t>unpublished</w:t>
      </w:r>
      <w:r w:rsidRPr="00A955AD">
        <w:t>, Sumitomo Chemical Australia Pty Ltd</w:t>
      </w:r>
    </w:p>
    <w:p w14:paraId="30896471" w14:textId="6B7C7182" w:rsidR="00426C3A" w:rsidRPr="00D05130" w:rsidRDefault="00426C3A" w:rsidP="00D05130">
      <w:pPr>
        <w:pStyle w:val="APVMAText"/>
      </w:pPr>
      <w:proofErr w:type="spellStart"/>
      <w:r w:rsidRPr="00D05130">
        <w:t>Betteley</w:t>
      </w:r>
      <w:proofErr w:type="spellEnd"/>
      <w:r w:rsidR="00A955AD">
        <w:t>,</w:t>
      </w:r>
      <w:r w:rsidRPr="00D05130">
        <w:t xml:space="preserve"> J</w:t>
      </w:r>
      <w:r w:rsidR="00A955AD">
        <w:t>.</w:t>
      </w:r>
      <w:r w:rsidRPr="00D05130">
        <w:t>M</w:t>
      </w:r>
      <w:r w:rsidR="00A955AD">
        <w:t>.</w:t>
      </w:r>
      <w:r w:rsidRPr="00D05130">
        <w:t>T</w:t>
      </w:r>
      <w:r w:rsidR="00A955AD">
        <w:t>.</w:t>
      </w:r>
      <w:r w:rsidRPr="00D05130">
        <w:t xml:space="preserve"> </w:t>
      </w:r>
      <w:r w:rsidR="005E3AB5">
        <w:t>(</w:t>
      </w:r>
      <w:r w:rsidRPr="00D05130">
        <w:t>1996</w:t>
      </w:r>
      <w:r w:rsidR="00852F7D">
        <w:t>)</w:t>
      </w:r>
      <w:r w:rsidRPr="00D05130">
        <w:t xml:space="preserve"> </w:t>
      </w:r>
      <w:r w:rsidRPr="00E456D9">
        <w:rPr>
          <w:i/>
          <w:iCs/>
        </w:rPr>
        <w:t>Procymidone: physico</w:t>
      </w:r>
      <w:r w:rsidR="00F93778" w:rsidRPr="00E456D9">
        <w:rPr>
          <w:i/>
          <w:iCs/>
        </w:rPr>
        <w:t>c</w:t>
      </w:r>
      <w:r w:rsidRPr="00E456D9">
        <w:rPr>
          <w:i/>
          <w:iCs/>
        </w:rPr>
        <w:t>hemical properties</w:t>
      </w:r>
      <w:r w:rsidR="00E456D9">
        <w:rPr>
          <w:i/>
          <w:iCs/>
        </w:rPr>
        <w:t>,</w:t>
      </w:r>
      <w:r w:rsidRPr="00D05130">
        <w:t xml:space="preserve"> </w:t>
      </w:r>
      <w:r w:rsidR="00E456D9" w:rsidRPr="00D05130">
        <w:t>report</w:t>
      </w:r>
      <w:r w:rsidRPr="00D05130">
        <w:t xml:space="preserve"> no. BP-0050. </w:t>
      </w:r>
      <w:r w:rsidR="00E456D9" w:rsidRPr="00D05130">
        <w:t>Unpublished</w:t>
      </w:r>
      <w:r w:rsidRPr="00D05130">
        <w:t>, Sumitomo Chemical Australia Pty Ltd</w:t>
      </w:r>
    </w:p>
    <w:p w14:paraId="21DF22D0" w14:textId="201B70E7" w:rsidR="00426C3A" w:rsidRPr="00D05130" w:rsidRDefault="00426C3A" w:rsidP="00D05130">
      <w:pPr>
        <w:pStyle w:val="APVMAText"/>
      </w:pPr>
      <w:r w:rsidRPr="00D05130">
        <w:t>Brodsky</w:t>
      </w:r>
      <w:r w:rsidR="00A955AD">
        <w:t>,</w:t>
      </w:r>
      <w:r w:rsidRPr="00D05130">
        <w:t xml:space="preserve"> J</w:t>
      </w:r>
      <w:r w:rsidR="00A955AD">
        <w:t>.</w:t>
      </w:r>
      <w:r w:rsidRPr="00D05130">
        <w:t xml:space="preserve"> </w:t>
      </w:r>
      <w:r w:rsidR="005E3AB5">
        <w:t>(</w:t>
      </w:r>
      <w:r w:rsidRPr="00D05130">
        <w:t>1997</w:t>
      </w:r>
      <w:r w:rsidR="00852F7D">
        <w:t>)</w:t>
      </w:r>
      <w:r w:rsidRPr="00D05130">
        <w:t xml:space="preserve"> </w:t>
      </w:r>
      <w:r w:rsidRPr="00E456D9">
        <w:rPr>
          <w:i/>
          <w:iCs/>
        </w:rPr>
        <w:t xml:space="preserve">Determination of the direct </w:t>
      </w:r>
      <w:proofErr w:type="spellStart"/>
      <w:r w:rsidRPr="00E456D9">
        <w:rPr>
          <w:i/>
          <w:iCs/>
        </w:rPr>
        <w:t>phototransformation</w:t>
      </w:r>
      <w:proofErr w:type="spellEnd"/>
      <w:r w:rsidRPr="00E456D9">
        <w:rPr>
          <w:i/>
          <w:iCs/>
        </w:rPr>
        <w:t xml:space="preserve"> of procymidone in water</w:t>
      </w:r>
      <w:r w:rsidR="00E456D9">
        <w:rPr>
          <w:i/>
          <w:iCs/>
        </w:rPr>
        <w:t>,</w:t>
      </w:r>
      <w:r w:rsidRPr="00D05130">
        <w:t xml:space="preserve"> </w:t>
      </w:r>
      <w:r w:rsidR="00A955AD">
        <w:t>r</w:t>
      </w:r>
      <w:r w:rsidRPr="00D05130">
        <w:t xml:space="preserve">eport no. BP-0053. </w:t>
      </w:r>
      <w:r w:rsidR="00E456D9" w:rsidRPr="00D05130">
        <w:t>Unpublished</w:t>
      </w:r>
      <w:r w:rsidRPr="00D05130">
        <w:t>, Sumitomo Chemical Australia Pty Ltd</w:t>
      </w:r>
    </w:p>
    <w:p w14:paraId="08473E49" w14:textId="57C71E51" w:rsidR="00426C3A" w:rsidRPr="00D05130" w:rsidRDefault="00426C3A" w:rsidP="00D05130">
      <w:pPr>
        <w:pStyle w:val="APVMAText"/>
      </w:pPr>
      <w:r w:rsidRPr="00D05130">
        <w:t>Lewis</w:t>
      </w:r>
      <w:r w:rsidR="00A955AD">
        <w:t>,</w:t>
      </w:r>
      <w:r w:rsidRPr="00D05130">
        <w:t xml:space="preserve"> C</w:t>
      </w:r>
      <w:r w:rsidR="00A955AD">
        <w:t>.</w:t>
      </w:r>
      <w:r w:rsidRPr="00D05130">
        <w:t>H</w:t>
      </w:r>
      <w:r w:rsidR="00A955AD">
        <w:t>.</w:t>
      </w:r>
      <w:r w:rsidRPr="00D05130">
        <w:t xml:space="preserve"> </w:t>
      </w:r>
      <w:r w:rsidR="005E3AB5">
        <w:t>(</w:t>
      </w:r>
      <w:r w:rsidRPr="00D05130">
        <w:t>2003</w:t>
      </w:r>
      <w:r w:rsidR="00852F7D">
        <w:t>)</w:t>
      </w:r>
      <w:r w:rsidRPr="00D05130">
        <w:t xml:space="preserve"> </w:t>
      </w:r>
      <w:r w:rsidRPr="00E456D9">
        <w:rPr>
          <w:i/>
          <w:iCs/>
        </w:rPr>
        <w:t>[</w:t>
      </w:r>
      <w:r w:rsidR="00E456D9">
        <w:rPr>
          <w:i/>
          <w:iCs/>
        </w:rPr>
        <w:t>C</w:t>
      </w:r>
      <w:r w:rsidRPr="00E456D9">
        <w:rPr>
          <w:i/>
          <w:iCs/>
        </w:rPr>
        <w:t>arbonyl-14C]-</w:t>
      </w:r>
      <w:r w:rsidR="00E456D9">
        <w:rPr>
          <w:i/>
          <w:iCs/>
        </w:rPr>
        <w:t>p</w:t>
      </w:r>
      <w:r w:rsidRPr="00E456D9">
        <w:rPr>
          <w:i/>
          <w:iCs/>
        </w:rPr>
        <w:t>rocymidone: degradation and retention in water-sediment systems</w:t>
      </w:r>
      <w:r w:rsidR="00E456D9">
        <w:rPr>
          <w:i/>
          <w:iCs/>
        </w:rPr>
        <w:t>,</w:t>
      </w:r>
      <w:r w:rsidRPr="00D05130">
        <w:t xml:space="preserve"> </w:t>
      </w:r>
      <w:r w:rsidR="00A955AD">
        <w:t>r</w:t>
      </w:r>
      <w:r w:rsidRPr="00D05130">
        <w:t xml:space="preserve">eport no. BM-0081. </w:t>
      </w:r>
      <w:r w:rsidR="00E456D9" w:rsidRPr="00D05130">
        <w:t>Unpublished</w:t>
      </w:r>
      <w:r w:rsidRPr="00D05130">
        <w:t>, Sumitomo Chemical Australia Pty Ltd</w:t>
      </w:r>
    </w:p>
    <w:p w14:paraId="302D3D41" w14:textId="0CE2DF72" w:rsidR="00426C3A" w:rsidRPr="00D05130" w:rsidRDefault="00426C3A" w:rsidP="00D05130">
      <w:pPr>
        <w:pStyle w:val="APVMAText"/>
      </w:pPr>
      <w:r w:rsidRPr="00D05130">
        <w:t>Lewis</w:t>
      </w:r>
      <w:r w:rsidR="00A955AD">
        <w:t>,</w:t>
      </w:r>
      <w:r w:rsidRPr="00D05130">
        <w:t xml:space="preserve"> C</w:t>
      </w:r>
      <w:r w:rsidR="00A955AD">
        <w:t>.</w:t>
      </w:r>
      <w:r w:rsidRPr="00D05130">
        <w:t>J</w:t>
      </w:r>
      <w:r w:rsidR="00A955AD">
        <w:t>.</w:t>
      </w:r>
      <w:r w:rsidRPr="00D05130">
        <w:t xml:space="preserve"> </w:t>
      </w:r>
      <w:r w:rsidR="005E3AB5">
        <w:t>(</w:t>
      </w:r>
      <w:r w:rsidRPr="00D05130">
        <w:t>1996</w:t>
      </w:r>
      <w:r w:rsidR="00852F7D">
        <w:t>)</w:t>
      </w:r>
      <w:r w:rsidRPr="00D05130">
        <w:t xml:space="preserve"> </w:t>
      </w:r>
      <w:r w:rsidRPr="00E456D9">
        <w:rPr>
          <w:i/>
          <w:iCs/>
        </w:rPr>
        <w:t>14C-</w:t>
      </w:r>
      <w:r w:rsidR="00E456D9" w:rsidRPr="00E456D9">
        <w:rPr>
          <w:i/>
          <w:iCs/>
        </w:rPr>
        <w:t>P</w:t>
      </w:r>
      <w:r w:rsidRPr="00E456D9">
        <w:rPr>
          <w:i/>
          <w:iCs/>
        </w:rPr>
        <w:t>rocymidone: degradation and retention in water-sediment systems</w:t>
      </w:r>
      <w:r w:rsidR="00E456D9">
        <w:rPr>
          <w:i/>
          <w:iCs/>
        </w:rPr>
        <w:t>,</w:t>
      </w:r>
      <w:r w:rsidRPr="00D05130">
        <w:t xml:space="preserve"> </w:t>
      </w:r>
      <w:r w:rsidR="00A955AD">
        <w:t>r</w:t>
      </w:r>
      <w:r w:rsidRPr="00D05130">
        <w:t xml:space="preserve">eport no. BM-0060. </w:t>
      </w:r>
      <w:r w:rsidR="00E456D9" w:rsidRPr="00D05130">
        <w:t>Unpublished</w:t>
      </w:r>
      <w:r w:rsidRPr="00D05130">
        <w:t>, Sumitomo Chemical Australia Pty Ltd</w:t>
      </w:r>
    </w:p>
    <w:p w14:paraId="5293AC12" w14:textId="76A2DFF8" w:rsidR="00426C3A" w:rsidRPr="00D05130" w:rsidRDefault="00426C3A" w:rsidP="00D05130">
      <w:pPr>
        <w:pStyle w:val="APVMAText"/>
      </w:pPr>
      <w:r w:rsidRPr="00D05130">
        <w:t>Nagasawa</w:t>
      </w:r>
      <w:r w:rsidR="00A955AD">
        <w:t>,</w:t>
      </w:r>
      <w:r w:rsidRPr="00D05130">
        <w:t xml:space="preserve"> S</w:t>
      </w:r>
      <w:r w:rsidR="00A955AD">
        <w:t>. and</w:t>
      </w:r>
      <w:r w:rsidRPr="00D05130">
        <w:t xml:space="preserve"> Kikuchi</w:t>
      </w:r>
      <w:r w:rsidR="00A955AD">
        <w:t>,</w:t>
      </w:r>
      <w:r w:rsidRPr="00D05130">
        <w:t xml:space="preserve"> R</w:t>
      </w:r>
      <w:r w:rsidR="00A955AD">
        <w:t>.</w:t>
      </w:r>
      <w:r w:rsidRPr="00D05130">
        <w:t xml:space="preserve"> </w:t>
      </w:r>
      <w:r w:rsidR="005E3AB5">
        <w:t>(</w:t>
      </w:r>
      <w:r w:rsidRPr="00D05130">
        <w:t>1976</w:t>
      </w:r>
      <w:r w:rsidR="00852F7D">
        <w:t>)</w:t>
      </w:r>
      <w:r w:rsidRPr="00D05130">
        <w:t xml:space="preserve"> </w:t>
      </w:r>
      <w:r w:rsidRPr="00E456D9">
        <w:rPr>
          <w:i/>
          <w:iCs/>
        </w:rPr>
        <w:t>Biodegradability of procymidone</w:t>
      </w:r>
      <w:r w:rsidR="00E456D9">
        <w:rPr>
          <w:i/>
          <w:iCs/>
        </w:rPr>
        <w:t>,</w:t>
      </w:r>
      <w:r w:rsidRPr="00D05130">
        <w:t xml:space="preserve"> </w:t>
      </w:r>
      <w:r w:rsidR="00A955AD">
        <w:t>r</w:t>
      </w:r>
      <w:r w:rsidRPr="00D05130">
        <w:t xml:space="preserve">eport no. BM-0043. </w:t>
      </w:r>
      <w:r w:rsidR="00E456D9" w:rsidRPr="00D05130">
        <w:t>Unpublished</w:t>
      </w:r>
      <w:r w:rsidRPr="00D05130">
        <w:t>, Sumitomo Chemical Australia Pty Ltd</w:t>
      </w:r>
    </w:p>
    <w:p w14:paraId="063D16FE" w14:textId="617718D7" w:rsidR="00426C3A" w:rsidRPr="00D05130" w:rsidRDefault="00426C3A" w:rsidP="00D05130">
      <w:pPr>
        <w:pStyle w:val="APVMAText"/>
      </w:pPr>
      <w:r w:rsidRPr="00D05130">
        <w:t>Purser</w:t>
      </w:r>
      <w:r w:rsidR="00A955AD">
        <w:t>,</w:t>
      </w:r>
      <w:r w:rsidRPr="00D05130">
        <w:t xml:space="preserve"> D</w:t>
      </w:r>
      <w:r w:rsidR="00A955AD">
        <w:t>.</w:t>
      </w:r>
      <w:r w:rsidRPr="00D05130">
        <w:t xml:space="preserve"> </w:t>
      </w:r>
      <w:r w:rsidR="005E3AB5">
        <w:t>(</w:t>
      </w:r>
      <w:r w:rsidRPr="00D05130">
        <w:t>1996</w:t>
      </w:r>
      <w:r w:rsidR="00852F7D">
        <w:t>)</w:t>
      </w:r>
      <w:r w:rsidRPr="00D05130">
        <w:t xml:space="preserve"> </w:t>
      </w:r>
      <w:r w:rsidRPr="00E456D9">
        <w:rPr>
          <w:i/>
          <w:iCs/>
        </w:rPr>
        <w:t>Procymidone: photodegradation on a soil surface</w:t>
      </w:r>
      <w:r w:rsidR="00E456D9">
        <w:rPr>
          <w:i/>
          <w:iCs/>
        </w:rPr>
        <w:t>,</w:t>
      </w:r>
      <w:r w:rsidRPr="00D05130">
        <w:t xml:space="preserve"> </w:t>
      </w:r>
      <w:r w:rsidR="00A955AD">
        <w:t>r</w:t>
      </w:r>
      <w:r w:rsidRPr="00D05130">
        <w:t xml:space="preserve">eport no. BM-0061. </w:t>
      </w:r>
      <w:r w:rsidR="00E456D9" w:rsidRPr="00D05130">
        <w:t>Unpublished</w:t>
      </w:r>
      <w:r w:rsidRPr="00D05130">
        <w:t>, Sumitomo Chemical Australia Pty Ltd</w:t>
      </w:r>
    </w:p>
    <w:p w14:paraId="70A7C9B0" w14:textId="3100D1BD" w:rsidR="00426C3A" w:rsidRPr="00D05130" w:rsidRDefault="00426C3A" w:rsidP="00D05130">
      <w:pPr>
        <w:pStyle w:val="APVMAText"/>
      </w:pPr>
      <w:r w:rsidRPr="00D05130">
        <w:t>Purser</w:t>
      </w:r>
      <w:r w:rsidR="00A955AD">
        <w:t>,</w:t>
      </w:r>
      <w:r w:rsidRPr="00D05130">
        <w:t xml:space="preserve"> D</w:t>
      </w:r>
      <w:r w:rsidR="00A955AD">
        <w:t>.</w:t>
      </w:r>
      <w:r w:rsidRPr="00D05130">
        <w:t xml:space="preserve"> </w:t>
      </w:r>
      <w:r w:rsidR="005E3AB5">
        <w:t>(</w:t>
      </w:r>
      <w:r w:rsidRPr="00D05130">
        <w:t>1999</w:t>
      </w:r>
      <w:r w:rsidR="00852F7D">
        <w:t>)</w:t>
      </w:r>
      <w:r w:rsidRPr="00D05130">
        <w:t xml:space="preserve"> </w:t>
      </w:r>
      <w:r w:rsidRPr="00E456D9">
        <w:rPr>
          <w:i/>
          <w:iCs/>
        </w:rPr>
        <w:t>14C-procymidone: soil metabolism and degradation</w:t>
      </w:r>
      <w:r w:rsidR="00E456D9">
        <w:rPr>
          <w:i/>
          <w:iCs/>
        </w:rPr>
        <w:t>,</w:t>
      </w:r>
      <w:r w:rsidRPr="00D05130">
        <w:t xml:space="preserve"> </w:t>
      </w:r>
      <w:r w:rsidR="00A955AD">
        <w:t>r</w:t>
      </w:r>
      <w:r w:rsidRPr="00D05130">
        <w:t xml:space="preserve">eport no. BM-0068. </w:t>
      </w:r>
      <w:r w:rsidR="00E456D9">
        <w:t>U</w:t>
      </w:r>
      <w:r w:rsidR="00E456D9" w:rsidRPr="00D05130">
        <w:t>npublished</w:t>
      </w:r>
      <w:r w:rsidRPr="00D05130">
        <w:t>, Sumitomo Chemical Australia Pty Ltd</w:t>
      </w:r>
    </w:p>
    <w:p w14:paraId="6FF166B6" w14:textId="077B0D24" w:rsidR="00426C3A" w:rsidRPr="00D05130" w:rsidRDefault="00426C3A" w:rsidP="00D05130">
      <w:pPr>
        <w:pStyle w:val="APVMAText"/>
      </w:pPr>
      <w:r w:rsidRPr="00D05130">
        <w:t>Putt</w:t>
      </w:r>
      <w:r w:rsidR="00A955AD">
        <w:t>,</w:t>
      </w:r>
      <w:r w:rsidRPr="00D05130">
        <w:t xml:space="preserve"> A</w:t>
      </w:r>
      <w:r w:rsidR="00A955AD">
        <w:t>.</w:t>
      </w:r>
      <w:r w:rsidRPr="00D05130">
        <w:t>E</w:t>
      </w:r>
      <w:r w:rsidR="00A955AD">
        <w:t>.</w:t>
      </w:r>
      <w:r w:rsidRPr="00D05130">
        <w:t xml:space="preserve"> </w:t>
      </w:r>
      <w:r w:rsidR="005E3AB5">
        <w:t>(</w:t>
      </w:r>
      <w:r w:rsidRPr="00D05130">
        <w:t>1996</w:t>
      </w:r>
      <w:r w:rsidR="00852F7D">
        <w:t>)</w:t>
      </w:r>
      <w:r w:rsidRPr="00D05130">
        <w:t xml:space="preserve"> </w:t>
      </w:r>
      <w:r w:rsidRPr="00E456D9">
        <w:rPr>
          <w:i/>
          <w:iCs/>
        </w:rPr>
        <w:t>Procymidone TG: the full life-cycle toxicity test with water fleas (Daphnia magna) under flow-through conditions</w:t>
      </w:r>
      <w:r w:rsidR="00E456D9">
        <w:rPr>
          <w:i/>
          <w:iCs/>
        </w:rPr>
        <w:t>,</w:t>
      </w:r>
      <w:r w:rsidRPr="00D05130">
        <w:t xml:space="preserve"> </w:t>
      </w:r>
      <w:r w:rsidR="00A955AD">
        <w:t>r</w:t>
      </w:r>
      <w:r w:rsidRPr="00D05130">
        <w:t>eport no. BW-0056. Unpublished, Sumitomo Chemical Australia Pty Ltd</w:t>
      </w:r>
    </w:p>
    <w:p w14:paraId="1AFE4509" w14:textId="16B3CA83" w:rsidR="00426C3A" w:rsidRPr="00D05130" w:rsidRDefault="00426C3A" w:rsidP="00D05130">
      <w:pPr>
        <w:pStyle w:val="APVMAText"/>
      </w:pPr>
      <w:r w:rsidRPr="00D05130">
        <w:t>Putt</w:t>
      </w:r>
      <w:r w:rsidR="00A955AD">
        <w:t>,</w:t>
      </w:r>
      <w:r w:rsidRPr="00D05130">
        <w:t xml:space="preserve"> A</w:t>
      </w:r>
      <w:r w:rsidR="00A955AD">
        <w:t>.</w:t>
      </w:r>
      <w:r w:rsidRPr="00D05130">
        <w:t>E</w:t>
      </w:r>
      <w:r w:rsidR="00A955AD">
        <w:t>.</w:t>
      </w:r>
      <w:r w:rsidRPr="00D05130">
        <w:t xml:space="preserve"> </w:t>
      </w:r>
      <w:r w:rsidR="005E3AB5">
        <w:t>(</w:t>
      </w:r>
      <w:r w:rsidRPr="00D05130">
        <w:t>2003</w:t>
      </w:r>
      <w:r w:rsidR="00852F7D">
        <w:t>)</w:t>
      </w:r>
      <w:r w:rsidRPr="00D05130">
        <w:t xml:space="preserve"> </w:t>
      </w:r>
      <w:r w:rsidRPr="00E456D9">
        <w:rPr>
          <w:i/>
          <w:iCs/>
        </w:rPr>
        <w:t xml:space="preserve">Procymidone: the full life cycle toxicity to midge (Chironomus </w:t>
      </w:r>
      <w:proofErr w:type="spellStart"/>
      <w:r w:rsidRPr="00E456D9">
        <w:rPr>
          <w:i/>
          <w:iCs/>
        </w:rPr>
        <w:t>riparius</w:t>
      </w:r>
      <w:proofErr w:type="spellEnd"/>
      <w:r w:rsidRPr="00E456D9">
        <w:rPr>
          <w:i/>
          <w:iCs/>
        </w:rPr>
        <w:t>) under static conditions</w:t>
      </w:r>
      <w:r w:rsidR="00E456D9">
        <w:rPr>
          <w:i/>
          <w:iCs/>
        </w:rPr>
        <w:t>,</w:t>
      </w:r>
      <w:r w:rsidRPr="00D05130">
        <w:t xml:space="preserve"> </w:t>
      </w:r>
      <w:r w:rsidR="00A955AD">
        <w:t>r</w:t>
      </w:r>
      <w:r w:rsidRPr="00D05130">
        <w:t>eport no. BW-0082. Unpublished, Sumitomo Chemical Australia Pty Ltd</w:t>
      </w:r>
    </w:p>
    <w:p w14:paraId="27AB39EC" w14:textId="0A6CD26B" w:rsidR="00426C3A" w:rsidRPr="00D05130" w:rsidRDefault="00426C3A" w:rsidP="00D05130">
      <w:pPr>
        <w:pStyle w:val="APVMAText"/>
      </w:pPr>
      <w:proofErr w:type="spellStart"/>
      <w:r w:rsidRPr="00D05130">
        <w:t>Schnoder</w:t>
      </w:r>
      <w:proofErr w:type="spellEnd"/>
      <w:r w:rsidR="00A955AD">
        <w:t>,</w:t>
      </w:r>
      <w:r w:rsidRPr="00D05130">
        <w:t xml:space="preserve"> F</w:t>
      </w:r>
      <w:r w:rsidR="00A955AD">
        <w:t>.</w:t>
      </w:r>
      <w:r w:rsidRPr="00D05130">
        <w:t xml:space="preserve"> </w:t>
      </w:r>
      <w:r w:rsidR="005E3AB5">
        <w:t>(</w:t>
      </w:r>
      <w:r w:rsidRPr="00D05130">
        <w:t>2002</w:t>
      </w:r>
      <w:r w:rsidR="00852F7D">
        <w:t>)</w:t>
      </w:r>
      <w:r w:rsidRPr="00D05130">
        <w:t xml:space="preserve"> </w:t>
      </w:r>
      <w:r w:rsidRPr="00E456D9">
        <w:rPr>
          <w:i/>
          <w:iCs/>
        </w:rPr>
        <w:t>14C-procymidone: lysimeter study according to BBA guideline IV 4-3 1990</w:t>
      </w:r>
      <w:r w:rsidR="00E456D9">
        <w:rPr>
          <w:i/>
          <w:iCs/>
        </w:rPr>
        <w:t>,</w:t>
      </w:r>
      <w:r w:rsidRPr="00D05130">
        <w:t xml:space="preserve"> </w:t>
      </w:r>
      <w:r w:rsidR="00A955AD">
        <w:t>r</w:t>
      </w:r>
      <w:r w:rsidRPr="00D05130">
        <w:t>eport no. BM-0074. Unpublished, Sumitomo Chemical Australia Pty Ltd</w:t>
      </w:r>
    </w:p>
    <w:p w14:paraId="6ED9C96E" w14:textId="0BD109A6" w:rsidR="00426C3A" w:rsidRPr="00D05130" w:rsidRDefault="00426C3A" w:rsidP="00D05130">
      <w:pPr>
        <w:pStyle w:val="APVMAText"/>
      </w:pPr>
      <w:r w:rsidRPr="00D05130">
        <w:t>Sousa</w:t>
      </w:r>
      <w:r w:rsidR="00A955AD">
        <w:t>,</w:t>
      </w:r>
      <w:r w:rsidRPr="00D05130">
        <w:t xml:space="preserve"> J</w:t>
      </w:r>
      <w:r w:rsidR="00A955AD">
        <w:t>.</w:t>
      </w:r>
      <w:r w:rsidRPr="00D05130">
        <w:t>V</w:t>
      </w:r>
      <w:r w:rsidR="00A955AD">
        <w:t>.</w:t>
      </w:r>
      <w:r w:rsidRPr="00D05130">
        <w:t xml:space="preserve"> </w:t>
      </w:r>
      <w:r w:rsidR="005E3AB5">
        <w:t>(</w:t>
      </w:r>
      <w:r w:rsidRPr="00D05130">
        <w:t>1996</w:t>
      </w:r>
      <w:r w:rsidR="00852F7D">
        <w:t>)</w:t>
      </w:r>
      <w:r w:rsidRPr="00D05130">
        <w:t xml:space="preserve"> </w:t>
      </w:r>
      <w:r w:rsidRPr="00E456D9">
        <w:rPr>
          <w:i/>
          <w:iCs/>
        </w:rPr>
        <w:t>Procymidone TG: early life stage toxicity test with rainbow trout (Oncorhynchus mykiss)</w:t>
      </w:r>
      <w:r w:rsidR="00E456D9">
        <w:rPr>
          <w:i/>
          <w:iCs/>
        </w:rPr>
        <w:t>,</w:t>
      </w:r>
      <w:r w:rsidRPr="00D05130">
        <w:t xml:space="preserve"> </w:t>
      </w:r>
      <w:r w:rsidR="00A955AD">
        <w:t>r</w:t>
      </w:r>
      <w:r w:rsidRPr="00D05130">
        <w:t>eport no. BW-0055. Unpublished, Sumitomo Chemical Australia Pty Ltd</w:t>
      </w:r>
    </w:p>
    <w:p w14:paraId="341171BB" w14:textId="6D6BD050" w:rsidR="00426C3A" w:rsidRPr="00D05130" w:rsidRDefault="00426C3A" w:rsidP="00D05130">
      <w:pPr>
        <w:pStyle w:val="APVMAText"/>
      </w:pPr>
      <w:r w:rsidRPr="00D05130">
        <w:t>Wimbush</w:t>
      </w:r>
      <w:r w:rsidR="00A955AD">
        <w:t>,</w:t>
      </w:r>
      <w:r w:rsidRPr="00D05130">
        <w:t xml:space="preserve"> J</w:t>
      </w:r>
      <w:r w:rsidR="00A955AD">
        <w:t>.</w:t>
      </w:r>
      <w:r w:rsidRPr="00D05130">
        <w:t xml:space="preserve"> </w:t>
      </w:r>
      <w:r w:rsidR="005E3AB5">
        <w:t>(</w:t>
      </w:r>
      <w:r w:rsidRPr="00D05130">
        <w:t>2002</w:t>
      </w:r>
      <w:r w:rsidR="00852F7D">
        <w:t>)</w:t>
      </w:r>
      <w:r w:rsidRPr="00D05130">
        <w:t xml:space="preserve"> </w:t>
      </w:r>
      <w:r w:rsidRPr="00E456D9">
        <w:rPr>
          <w:i/>
          <w:iCs/>
        </w:rPr>
        <w:t>PCM-NH-COOH: degradation in 3 soils</w:t>
      </w:r>
      <w:r w:rsidR="00E456D9">
        <w:rPr>
          <w:i/>
          <w:iCs/>
        </w:rPr>
        <w:t>,</w:t>
      </w:r>
      <w:r w:rsidRPr="00D05130">
        <w:t xml:space="preserve"> </w:t>
      </w:r>
      <w:r w:rsidR="00A955AD">
        <w:t>r</w:t>
      </w:r>
      <w:r w:rsidRPr="00D05130">
        <w:t>eport no. BM-0077. Unpublished, Sumitomo Chemical Australia Pty Ltd</w:t>
      </w:r>
    </w:p>
    <w:p w14:paraId="6BBD8E46" w14:textId="00DB3810" w:rsidR="00426C3A" w:rsidRPr="00D05130" w:rsidRDefault="00426C3A" w:rsidP="00D05130">
      <w:pPr>
        <w:pStyle w:val="AppendixH2"/>
      </w:pPr>
      <w:bookmarkStart w:id="156" w:name="_Toc116301587"/>
      <w:r w:rsidRPr="00D05130">
        <w:lastRenderedPageBreak/>
        <w:t>Chemistry and manufacture</w:t>
      </w:r>
      <w:bookmarkEnd w:id="156"/>
    </w:p>
    <w:p w14:paraId="5AF8A309" w14:textId="5C2370F1" w:rsidR="00426C3A" w:rsidRPr="00426C3A" w:rsidRDefault="00426C3A" w:rsidP="00D05130">
      <w:pPr>
        <w:pStyle w:val="APVMAText"/>
      </w:pPr>
      <w:proofErr w:type="spellStart"/>
      <w:r w:rsidRPr="00426C3A">
        <w:t>Jaszewski</w:t>
      </w:r>
      <w:proofErr w:type="spellEnd"/>
      <w:r w:rsidRPr="00426C3A">
        <w:t>, A</w:t>
      </w:r>
      <w:r w:rsidR="00A955AD">
        <w:t>.</w:t>
      </w:r>
      <w:r w:rsidRPr="00426C3A">
        <w:t xml:space="preserve"> </w:t>
      </w:r>
      <w:r w:rsidR="005E3AB5">
        <w:t>(</w:t>
      </w:r>
      <w:r w:rsidRPr="00426C3A">
        <w:t>2021</w:t>
      </w:r>
      <w:r w:rsidR="00852F7D">
        <w:t>)</w:t>
      </w:r>
      <w:r w:rsidRPr="00426C3A">
        <w:t xml:space="preserve"> </w:t>
      </w:r>
      <w:r w:rsidRPr="00E456D9">
        <w:rPr>
          <w:i/>
          <w:iCs/>
        </w:rPr>
        <w:t>Declaration of Composition</w:t>
      </w:r>
      <w:r w:rsidRPr="00426C3A">
        <w:t xml:space="preserve">, </w:t>
      </w:r>
      <w:r w:rsidR="00A955AD">
        <w:t>u</w:t>
      </w:r>
      <w:r w:rsidRPr="00426C3A">
        <w:t xml:space="preserve">npublished, </w:t>
      </w:r>
      <w:r w:rsidR="00A955AD">
        <w:t>s</w:t>
      </w:r>
      <w:r w:rsidRPr="00426C3A">
        <w:t xml:space="preserve">tudy number </w:t>
      </w:r>
      <w:proofErr w:type="spellStart"/>
      <w:r w:rsidRPr="00426C3A">
        <w:t>DoC</w:t>
      </w:r>
      <w:proofErr w:type="spellEnd"/>
      <w:r w:rsidRPr="00426C3A">
        <w:t>, Sumitomo Chemical Australia Pty Ltd</w:t>
      </w:r>
      <w:r w:rsidR="00A955AD">
        <w:t>.</w:t>
      </w:r>
    </w:p>
    <w:p w14:paraId="0F937CEB" w14:textId="56B0AC56" w:rsidR="00426C3A" w:rsidRPr="00426C3A" w:rsidRDefault="00426C3A" w:rsidP="00D05130">
      <w:pPr>
        <w:pStyle w:val="APVMAText"/>
      </w:pPr>
      <w:r w:rsidRPr="00426C3A">
        <w:t>Katayama, Y</w:t>
      </w:r>
      <w:r w:rsidR="00A955AD">
        <w:t xml:space="preserve">. </w:t>
      </w:r>
      <w:r w:rsidR="005E3AB5">
        <w:t>(</w:t>
      </w:r>
      <w:r w:rsidRPr="00426C3A">
        <w:t>2009</w:t>
      </w:r>
      <w:r w:rsidR="00852F7D">
        <w:t>)</w:t>
      </w:r>
      <w:r w:rsidRPr="00426C3A">
        <w:t xml:space="preserve"> </w:t>
      </w:r>
      <w:r w:rsidRPr="00E456D9">
        <w:rPr>
          <w:i/>
          <w:iCs/>
        </w:rPr>
        <w:t>Manufacturing process of Procymidone Technical grade and Discussion of Impurities</w:t>
      </w:r>
      <w:r w:rsidRPr="00426C3A">
        <w:t xml:space="preserve">, </w:t>
      </w:r>
      <w:r w:rsidR="00A955AD">
        <w:t>u</w:t>
      </w:r>
      <w:r w:rsidRPr="00426C3A">
        <w:t xml:space="preserve">npublished, </w:t>
      </w:r>
      <w:r w:rsidR="00A955AD">
        <w:t>s</w:t>
      </w:r>
      <w:r w:rsidRPr="00426C3A">
        <w:t>tudy number BP-0078, Sumitomo Chemical Australia Pty Ltd</w:t>
      </w:r>
      <w:r w:rsidR="00A955AD">
        <w:t>.</w:t>
      </w:r>
    </w:p>
    <w:p w14:paraId="282C0562" w14:textId="52D03077" w:rsidR="00426C3A" w:rsidRPr="00426C3A" w:rsidRDefault="00426C3A" w:rsidP="00D05130">
      <w:pPr>
        <w:pStyle w:val="APVMAText"/>
      </w:pPr>
      <w:r w:rsidRPr="00426C3A">
        <w:t>Matsue, T</w:t>
      </w:r>
      <w:r w:rsidR="00A955AD">
        <w:t>.</w:t>
      </w:r>
      <w:r w:rsidRPr="00426C3A">
        <w:t xml:space="preserve"> </w:t>
      </w:r>
      <w:r w:rsidR="005E3AB5">
        <w:t>(</w:t>
      </w:r>
      <w:r w:rsidRPr="00426C3A">
        <w:t>2021</w:t>
      </w:r>
      <w:r w:rsidR="00852F7D">
        <w:t>)</w:t>
      </w:r>
      <w:r w:rsidRPr="00426C3A">
        <w:t xml:space="preserve"> </w:t>
      </w:r>
      <w:r w:rsidRPr="00E456D9">
        <w:rPr>
          <w:i/>
          <w:iCs/>
        </w:rPr>
        <w:t>Certificates of Analysis</w:t>
      </w:r>
      <w:r w:rsidRPr="00426C3A">
        <w:t xml:space="preserve">, </w:t>
      </w:r>
      <w:r w:rsidR="00A955AD" w:rsidRPr="00426C3A">
        <w:t xml:space="preserve">unpublished, study number </w:t>
      </w:r>
      <w:r w:rsidRPr="00426C3A">
        <w:t>5CoA, Sumitomo Chemical Australia Pty Ltd</w:t>
      </w:r>
      <w:r w:rsidR="00A955AD">
        <w:t>.</w:t>
      </w:r>
    </w:p>
    <w:p w14:paraId="3BD75B6A" w14:textId="17E01B2D" w:rsidR="00426C3A" w:rsidRPr="00426C3A" w:rsidRDefault="00426C3A" w:rsidP="00D05130">
      <w:pPr>
        <w:pStyle w:val="APVMAText"/>
      </w:pPr>
      <w:r w:rsidRPr="00426C3A">
        <w:t>Miyakawa, K</w:t>
      </w:r>
      <w:r w:rsidR="00A955AD">
        <w:t xml:space="preserve">. </w:t>
      </w:r>
      <w:r w:rsidR="005E3AB5">
        <w:t>(</w:t>
      </w:r>
      <w:r w:rsidRPr="00426C3A">
        <w:t>2021</w:t>
      </w:r>
      <w:r w:rsidR="00852F7D">
        <w:t>)</w:t>
      </w:r>
      <w:r w:rsidRPr="00426C3A">
        <w:t xml:space="preserve"> </w:t>
      </w:r>
      <w:r w:rsidRPr="00E456D9">
        <w:rPr>
          <w:i/>
          <w:iCs/>
        </w:rPr>
        <w:t>Enforcement of Analytical Methods for Procymidone Technical Grade</w:t>
      </w:r>
      <w:r w:rsidRPr="00426C3A">
        <w:t xml:space="preserve">, </w:t>
      </w:r>
      <w:r w:rsidR="00A955AD" w:rsidRPr="00426C3A">
        <w:t>unpublished, study n</w:t>
      </w:r>
      <w:r w:rsidRPr="00426C3A">
        <w:t>umber BA-0105, Sumitomo Chemical Australia Pty Ltd</w:t>
      </w:r>
      <w:r w:rsidR="00A955AD">
        <w:t>.</w:t>
      </w:r>
    </w:p>
    <w:p w14:paraId="7502696B" w14:textId="16BD5BA7" w:rsidR="00426C3A" w:rsidRPr="00D05130" w:rsidRDefault="00426C3A" w:rsidP="00D05130">
      <w:pPr>
        <w:pStyle w:val="AppendixH2"/>
      </w:pPr>
      <w:bookmarkStart w:id="157" w:name="_Toc116301588"/>
      <w:r w:rsidRPr="00D05130">
        <w:t>Residues and trade</w:t>
      </w:r>
      <w:bookmarkEnd w:id="157"/>
    </w:p>
    <w:p w14:paraId="22AA78F6" w14:textId="0B7F4DF0" w:rsidR="00426C3A" w:rsidRPr="00426C3A" w:rsidRDefault="00426C3A" w:rsidP="00D05130">
      <w:pPr>
        <w:pStyle w:val="APVMAText"/>
      </w:pPr>
      <w:proofErr w:type="spellStart"/>
      <w:r w:rsidRPr="00426C3A">
        <w:t>Agrocros</w:t>
      </w:r>
      <w:proofErr w:type="spellEnd"/>
      <w:r w:rsidRPr="00426C3A">
        <w:t xml:space="preserve">, S.A. </w:t>
      </w:r>
      <w:r w:rsidR="005E3AB5">
        <w:t>(</w:t>
      </w:r>
      <w:r w:rsidRPr="00426C3A">
        <w:t>1977</w:t>
      </w:r>
      <w:r w:rsidR="00852F7D">
        <w:t>)</w:t>
      </w:r>
      <w:r w:rsidRPr="00426C3A">
        <w:t xml:space="preserve"> </w:t>
      </w:r>
      <w:r w:rsidRPr="00E456D9">
        <w:rPr>
          <w:i/>
          <w:iCs/>
        </w:rPr>
        <w:t xml:space="preserve">Botrytis </w:t>
      </w:r>
      <w:proofErr w:type="spellStart"/>
      <w:r w:rsidRPr="00E456D9">
        <w:rPr>
          <w:i/>
          <w:iCs/>
        </w:rPr>
        <w:t>Cineva</w:t>
      </w:r>
      <w:proofErr w:type="spellEnd"/>
      <w:r w:rsidRPr="00E456D9">
        <w:rPr>
          <w:i/>
          <w:iCs/>
        </w:rPr>
        <w:t xml:space="preserve"> (Analysis of Must Completely Fermented)</w:t>
      </w:r>
      <w:r w:rsidRPr="00426C3A">
        <w:t xml:space="preserve">, </w:t>
      </w:r>
      <w:r w:rsidR="00A955AD" w:rsidRPr="00426C3A">
        <w:t xml:space="preserve">unpublished, study </w:t>
      </w:r>
      <w:r w:rsidR="00A955AD">
        <w:t>n</w:t>
      </w:r>
      <w:r w:rsidRPr="00426C3A">
        <w:t>umber BR-0042, Sumitomo Chemical Australia Pty Ltd</w:t>
      </w:r>
      <w:r w:rsidR="00A955AD">
        <w:t>.</w:t>
      </w:r>
    </w:p>
    <w:p w14:paraId="00EF30A4" w14:textId="2DDDB9B2" w:rsidR="00426C3A" w:rsidRPr="00426C3A" w:rsidRDefault="00426C3A" w:rsidP="00D05130">
      <w:pPr>
        <w:pStyle w:val="APVMAText"/>
      </w:pPr>
      <w:proofErr w:type="spellStart"/>
      <w:r w:rsidRPr="00426C3A">
        <w:t>Ambrus</w:t>
      </w:r>
      <w:proofErr w:type="spellEnd"/>
      <w:r w:rsidRPr="00426C3A">
        <w:t>, A.</w:t>
      </w:r>
      <w:r w:rsidR="00A955AD">
        <w:t xml:space="preserve"> and </w:t>
      </w:r>
      <w:proofErr w:type="spellStart"/>
      <w:r w:rsidRPr="00426C3A">
        <w:t>Kadenczki</w:t>
      </w:r>
      <w:proofErr w:type="spellEnd"/>
      <w:r w:rsidRPr="00426C3A">
        <w:t xml:space="preserve">, L. </w:t>
      </w:r>
      <w:r w:rsidR="005E3AB5">
        <w:t>(</w:t>
      </w:r>
      <w:r w:rsidRPr="00426C3A">
        <w:t>1992</w:t>
      </w:r>
      <w:r w:rsidR="00E456D9">
        <w:t>–</w:t>
      </w:r>
      <w:r w:rsidRPr="00426C3A">
        <w:t>93</w:t>
      </w:r>
      <w:r w:rsidR="00852F7D">
        <w:t>)</w:t>
      </w:r>
      <w:r w:rsidRPr="00426C3A">
        <w:t xml:space="preserve"> </w:t>
      </w:r>
      <w:r w:rsidRPr="00E456D9">
        <w:rPr>
          <w:i/>
          <w:iCs/>
        </w:rPr>
        <w:t>Determination of Storage Stability of Procymidone Residues in Sour Cherry</w:t>
      </w:r>
      <w:r w:rsidRPr="00426C3A">
        <w:t xml:space="preserve">, </w:t>
      </w:r>
      <w:r w:rsidR="00A955AD" w:rsidRPr="00426C3A">
        <w:t xml:space="preserve">unpublished, study number </w:t>
      </w:r>
      <w:r w:rsidRPr="00426C3A">
        <w:t>BR-0470, Sumitomo Chemical Australia Pty Ltd</w:t>
      </w:r>
      <w:r w:rsidR="00A955AD">
        <w:t>.</w:t>
      </w:r>
    </w:p>
    <w:p w14:paraId="7329AAB0" w14:textId="2E299C69" w:rsidR="00426C3A" w:rsidRPr="00426C3A" w:rsidRDefault="00426C3A" w:rsidP="00D05130">
      <w:pPr>
        <w:pStyle w:val="APVMAText"/>
      </w:pPr>
      <w:r w:rsidRPr="00426C3A">
        <w:t xml:space="preserve">Anonymous </w:t>
      </w:r>
      <w:r w:rsidR="005E3AB5">
        <w:t>(</w:t>
      </w:r>
      <w:r w:rsidRPr="00426C3A">
        <w:t>1986</w:t>
      </w:r>
      <w:r w:rsidR="00852F7D">
        <w:t>)</w:t>
      </w:r>
      <w:r w:rsidRPr="00426C3A">
        <w:t xml:space="preserve"> </w:t>
      </w:r>
      <w:r w:rsidRPr="00E456D9">
        <w:rPr>
          <w:i/>
          <w:iCs/>
        </w:rPr>
        <w:t>Determination of Procymidone in Wine Grapes, Must and Wine</w:t>
      </w:r>
      <w:r w:rsidRPr="00426C3A">
        <w:t xml:space="preserve">, </w:t>
      </w:r>
      <w:r w:rsidR="00A955AD" w:rsidRPr="00426C3A">
        <w:t>unpublished, study number</w:t>
      </w:r>
      <w:r w:rsidRPr="00426C3A">
        <w:t xml:space="preserve"> BR-0193 and </w:t>
      </w:r>
      <w:r w:rsidR="00A955AD" w:rsidRPr="00426C3A">
        <w:t>report nos</w:t>
      </w:r>
      <w:r w:rsidRPr="00426C3A">
        <w:t>. 9800, 9805/76 and 9800-9802/77, Sumitomo Chemical Australia Pty Ltd</w:t>
      </w:r>
      <w:r w:rsidR="00A955AD">
        <w:t>.</w:t>
      </w:r>
    </w:p>
    <w:p w14:paraId="20861B1A" w14:textId="0D622B35" w:rsidR="00426C3A" w:rsidRPr="00426C3A" w:rsidRDefault="00426C3A" w:rsidP="00D05130">
      <w:pPr>
        <w:pStyle w:val="APVMAText"/>
      </w:pPr>
      <w:r w:rsidRPr="00426C3A">
        <w:t xml:space="preserve">Bennet, J. </w:t>
      </w:r>
      <w:r w:rsidR="005E3AB5">
        <w:t>(</w:t>
      </w:r>
      <w:r w:rsidRPr="00426C3A">
        <w:t>2001</w:t>
      </w:r>
      <w:r w:rsidR="00852F7D">
        <w:t>)</w:t>
      </w:r>
      <w:r w:rsidRPr="00426C3A">
        <w:t xml:space="preserve"> </w:t>
      </w:r>
      <w:r w:rsidRPr="00E456D9">
        <w:rPr>
          <w:i/>
          <w:iCs/>
        </w:rPr>
        <w:t>Residues of Procymidone in Canola Crops</w:t>
      </w:r>
      <w:r w:rsidRPr="00426C3A">
        <w:t xml:space="preserve">, </w:t>
      </w:r>
      <w:r w:rsidR="00A955AD" w:rsidRPr="00426C3A">
        <w:t xml:space="preserve">unpublished, study number </w:t>
      </w:r>
      <w:r w:rsidRPr="00426C3A">
        <w:t>1L00932 (</w:t>
      </w:r>
      <w:proofErr w:type="spellStart"/>
      <w:r w:rsidRPr="00426C3A">
        <w:t>Amdel</w:t>
      </w:r>
      <w:proofErr w:type="spellEnd"/>
      <w:r w:rsidRPr="00426C3A">
        <w:t>), Sumitomo Chemical Australia Pty Ltd</w:t>
      </w:r>
      <w:r w:rsidR="00A955AD">
        <w:t>.</w:t>
      </w:r>
    </w:p>
    <w:p w14:paraId="53CA6885" w14:textId="62713642" w:rsidR="00426C3A" w:rsidRPr="00426C3A" w:rsidRDefault="00426C3A" w:rsidP="00D05130">
      <w:pPr>
        <w:pStyle w:val="APVMAText"/>
      </w:pPr>
      <w:r w:rsidRPr="00426C3A">
        <w:t xml:space="preserve">Brookman, D.J., Curry, K. </w:t>
      </w:r>
      <w:proofErr w:type="gramStart"/>
      <w:r w:rsidRPr="00426C3A">
        <w:t>K.</w:t>
      </w:r>
      <w:proofErr w:type="gramEnd"/>
      <w:r w:rsidR="00A955AD">
        <w:t xml:space="preserve"> and </w:t>
      </w:r>
      <w:r w:rsidRPr="00426C3A">
        <w:t xml:space="preserve">Jovanovich, A.P. </w:t>
      </w:r>
      <w:r w:rsidRPr="00E456D9">
        <w:rPr>
          <w:i/>
          <w:iCs/>
        </w:rPr>
        <w:t>et al</w:t>
      </w:r>
      <w:r w:rsidRPr="00426C3A">
        <w:t xml:space="preserve">, </w:t>
      </w:r>
      <w:r w:rsidR="005E3AB5">
        <w:t>(</w:t>
      </w:r>
      <w:r w:rsidRPr="00426C3A">
        <w:t>1993</w:t>
      </w:r>
      <w:r w:rsidR="00852F7D">
        <w:t>)</w:t>
      </w:r>
      <w:r w:rsidRPr="00426C3A">
        <w:t xml:space="preserve"> </w:t>
      </w:r>
      <w:r w:rsidRPr="00E456D9">
        <w:rPr>
          <w:i/>
          <w:iCs/>
        </w:rPr>
        <w:t>Procymidone: Magnitude of Residues in Grapes and Processed Commodities of Grapes (1991 Australian Trials)</w:t>
      </w:r>
      <w:r w:rsidRPr="00426C3A">
        <w:t xml:space="preserve">, </w:t>
      </w:r>
      <w:r w:rsidR="00A955AD" w:rsidRPr="00426C3A">
        <w:t xml:space="preserve">unpublished, study number </w:t>
      </w:r>
      <w:r w:rsidRPr="00426C3A">
        <w:t>BR-0293, Sumitomo Chemical Australia Pty Ltd</w:t>
      </w:r>
      <w:r w:rsidR="00A955AD">
        <w:t>.</w:t>
      </w:r>
    </w:p>
    <w:p w14:paraId="17189960" w14:textId="0A20598A" w:rsidR="00426C3A" w:rsidRPr="00426C3A" w:rsidRDefault="00426C3A" w:rsidP="00D05130">
      <w:pPr>
        <w:pStyle w:val="APVMAText"/>
      </w:pPr>
      <w:r w:rsidRPr="00426C3A">
        <w:t>Brookman, D.J., Curry, K. K.</w:t>
      </w:r>
      <w:r w:rsidR="00A955AD">
        <w:t xml:space="preserve"> and </w:t>
      </w:r>
      <w:r w:rsidRPr="00426C3A">
        <w:t xml:space="preserve">Norwood, C. </w:t>
      </w:r>
      <w:r w:rsidRPr="00E456D9">
        <w:rPr>
          <w:i/>
          <w:iCs/>
        </w:rPr>
        <w:t>et al</w:t>
      </w:r>
      <w:r w:rsidRPr="00426C3A">
        <w:t xml:space="preserve"> </w:t>
      </w:r>
      <w:r w:rsidR="005E3AB5">
        <w:t>(</w:t>
      </w:r>
      <w:r w:rsidRPr="00426C3A">
        <w:t>1992</w:t>
      </w:r>
      <w:r w:rsidR="00852F7D">
        <w:t>)</w:t>
      </w:r>
      <w:r w:rsidRPr="00426C3A">
        <w:t xml:space="preserve"> </w:t>
      </w:r>
      <w:r w:rsidRPr="00A955AD">
        <w:rPr>
          <w:i/>
          <w:iCs/>
        </w:rPr>
        <w:t xml:space="preserve">Statistical Analysis, </w:t>
      </w:r>
      <w:proofErr w:type="gramStart"/>
      <w:r w:rsidRPr="00A955AD">
        <w:rPr>
          <w:i/>
          <w:iCs/>
        </w:rPr>
        <w:t>Summary</w:t>
      </w:r>
      <w:proofErr w:type="gramEnd"/>
      <w:r w:rsidRPr="00A955AD">
        <w:rPr>
          <w:i/>
          <w:iCs/>
        </w:rPr>
        <w:t xml:space="preserve"> </w:t>
      </w:r>
      <w:r w:rsidR="00295DF8" w:rsidRPr="00A955AD">
        <w:rPr>
          <w:i/>
          <w:iCs/>
        </w:rPr>
        <w:t>and</w:t>
      </w:r>
      <w:r w:rsidRPr="00A955AD">
        <w:rPr>
          <w:i/>
          <w:iCs/>
        </w:rPr>
        <w:t xml:space="preserve"> Interpretation </w:t>
      </w:r>
      <w:r w:rsidR="00A955AD" w:rsidRPr="00A955AD">
        <w:rPr>
          <w:i/>
          <w:iCs/>
        </w:rPr>
        <w:t>of</w:t>
      </w:r>
      <w:r w:rsidRPr="00A955AD">
        <w:rPr>
          <w:i/>
          <w:iCs/>
        </w:rPr>
        <w:t xml:space="preserve"> </w:t>
      </w:r>
      <w:r w:rsidR="00A955AD">
        <w:rPr>
          <w:i/>
          <w:iCs/>
        </w:rPr>
        <w:t>t</w:t>
      </w:r>
      <w:r w:rsidRPr="00A955AD">
        <w:rPr>
          <w:i/>
          <w:iCs/>
        </w:rPr>
        <w:t xml:space="preserve">he 1991 Residue Field Trials </w:t>
      </w:r>
      <w:r w:rsidR="00A955AD">
        <w:rPr>
          <w:i/>
          <w:iCs/>
        </w:rPr>
        <w:t>i</w:t>
      </w:r>
      <w:r w:rsidRPr="00A955AD">
        <w:rPr>
          <w:i/>
          <w:iCs/>
        </w:rPr>
        <w:t>n Europe</w:t>
      </w:r>
      <w:r w:rsidRPr="00426C3A">
        <w:t xml:space="preserve">, </w:t>
      </w:r>
      <w:r w:rsidR="00A955AD">
        <w:t>u</w:t>
      </w:r>
      <w:r w:rsidRPr="00426C3A">
        <w:t xml:space="preserve">npublished, </w:t>
      </w:r>
      <w:r w:rsidR="00A955AD">
        <w:t>s</w:t>
      </w:r>
      <w:r w:rsidRPr="00426C3A">
        <w:t xml:space="preserve">tudy </w:t>
      </w:r>
      <w:r w:rsidR="00A955AD">
        <w:t>n</w:t>
      </w:r>
      <w:r w:rsidRPr="00426C3A">
        <w:t>umber BR-0289, Sumitomo Chemical Australia Pty Ltd</w:t>
      </w:r>
      <w:r w:rsidR="00A955AD">
        <w:t>.</w:t>
      </w:r>
    </w:p>
    <w:p w14:paraId="25C0B04C" w14:textId="1617A8F9" w:rsidR="00426C3A" w:rsidRPr="00426C3A" w:rsidRDefault="00426C3A" w:rsidP="00D05130">
      <w:pPr>
        <w:pStyle w:val="APVMAText"/>
      </w:pPr>
      <w:r w:rsidRPr="00426C3A">
        <w:t>Brookman, D.J.</w:t>
      </w:r>
      <w:r w:rsidR="00A955AD">
        <w:t xml:space="preserve"> and </w:t>
      </w:r>
      <w:r w:rsidRPr="00426C3A">
        <w:t xml:space="preserve">O'Toole, S.J. </w:t>
      </w:r>
      <w:r w:rsidR="005E3AB5">
        <w:t>(</w:t>
      </w:r>
      <w:r w:rsidRPr="00426C3A">
        <w:t>1992</w:t>
      </w:r>
      <w:r w:rsidR="00852F7D">
        <w:t>)</w:t>
      </w:r>
      <w:r w:rsidRPr="00426C3A">
        <w:t xml:space="preserve"> </w:t>
      </w:r>
      <w:r w:rsidRPr="00A955AD">
        <w:rPr>
          <w:i/>
          <w:iCs/>
        </w:rPr>
        <w:t xml:space="preserve">Procymidone: Magnitude </w:t>
      </w:r>
      <w:r w:rsidR="00295DF8" w:rsidRPr="00A955AD">
        <w:rPr>
          <w:i/>
          <w:iCs/>
        </w:rPr>
        <w:t>of</w:t>
      </w:r>
      <w:r w:rsidRPr="00A955AD">
        <w:rPr>
          <w:i/>
          <w:iCs/>
        </w:rPr>
        <w:t xml:space="preserve"> Residues </w:t>
      </w:r>
      <w:r w:rsidR="00A955AD" w:rsidRPr="00A955AD">
        <w:rPr>
          <w:i/>
          <w:iCs/>
        </w:rPr>
        <w:t>in</w:t>
      </w:r>
      <w:r w:rsidRPr="00A955AD">
        <w:rPr>
          <w:i/>
          <w:iCs/>
        </w:rPr>
        <w:t xml:space="preserve"> Grapes </w:t>
      </w:r>
      <w:r w:rsidR="00A955AD" w:rsidRPr="00A955AD">
        <w:rPr>
          <w:i/>
          <w:iCs/>
        </w:rPr>
        <w:t>a</w:t>
      </w:r>
      <w:r w:rsidRPr="00A955AD">
        <w:rPr>
          <w:i/>
          <w:iCs/>
        </w:rPr>
        <w:t xml:space="preserve">nd Processed Commodities </w:t>
      </w:r>
      <w:r w:rsidR="00A955AD" w:rsidRPr="00A955AD">
        <w:rPr>
          <w:i/>
          <w:iCs/>
        </w:rPr>
        <w:t>o</w:t>
      </w:r>
      <w:r w:rsidRPr="00A955AD">
        <w:rPr>
          <w:i/>
          <w:iCs/>
        </w:rPr>
        <w:t>f Grapes – 1990 European Trials</w:t>
      </w:r>
      <w:r w:rsidRPr="00426C3A">
        <w:t xml:space="preserve">, </w:t>
      </w:r>
      <w:r w:rsidR="00A955AD">
        <w:t>u</w:t>
      </w:r>
      <w:r w:rsidRPr="00426C3A">
        <w:t xml:space="preserve">npublished, </w:t>
      </w:r>
      <w:r w:rsidR="00A955AD" w:rsidRPr="00426C3A">
        <w:t xml:space="preserve">study number </w:t>
      </w:r>
      <w:r w:rsidRPr="00426C3A">
        <w:t>BR-0259, Sumitomo Chemical Australia Pty Ltd</w:t>
      </w:r>
      <w:r w:rsidR="00A955AD">
        <w:t>.</w:t>
      </w:r>
    </w:p>
    <w:p w14:paraId="6C3824D4" w14:textId="24BA27E2" w:rsidR="00426C3A" w:rsidRPr="00426C3A" w:rsidRDefault="00426C3A" w:rsidP="00D05130">
      <w:pPr>
        <w:pStyle w:val="APVMAText"/>
      </w:pPr>
      <w:r w:rsidRPr="00426C3A">
        <w:t xml:space="preserve">Carrasco, J. </w:t>
      </w:r>
      <w:r w:rsidR="005E3AB5">
        <w:t>(</w:t>
      </w:r>
      <w:r w:rsidRPr="00426C3A">
        <w:t>1976</w:t>
      </w:r>
      <w:r w:rsidR="00852F7D">
        <w:t>)</w:t>
      </w:r>
      <w:r w:rsidRPr="00426C3A">
        <w:t xml:space="preserve"> </w:t>
      </w:r>
      <w:r w:rsidRPr="00A955AD">
        <w:rPr>
          <w:i/>
          <w:iCs/>
        </w:rPr>
        <w:t>Study of the Evaluation of S-7131 Residues in Grape and Grape Must</w:t>
      </w:r>
      <w:r w:rsidRPr="00426C3A">
        <w:t xml:space="preserve">, </w:t>
      </w:r>
      <w:r w:rsidR="00A955AD">
        <w:t>u</w:t>
      </w:r>
      <w:r w:rsidRPr="00426C3A">
        <w:t xml:space="preserve">npublished, </w:t>
      </w:r>
      <w:r w:rsidR="00A955AD" w:rsidRPr="00426C3A">
        <w:t xml:space="preserve">study number </w:t>
      </w:r>
      <w:r w:rsidRPr="00426C3A">
        <w:t>BR-0003, Sumitomo Chemical Australia Pty Ltd</w:t>
      </w:r>
      <w:r w:rsidR="00A955AD">
        <w:t>.</w:t>
      </w:r>
    </w:p>
    <w:p w14:paraId="40E9D552" w14:textId="1498D143" w:rsidR="00426C3A" w:rsidRPr="00426C3A" w:rsidRDefault="00426C3A" w:rsidP="00D05130">
      <w:pPr>
        <w:pStyle w:val="APVMAText"/>
      </w:pPr>
      <w:r w:rsidRPr="00426C3A">
        <w:t xml:space="preserve">Carrasco, J. </w:t>
      </w:r>
      <w:r w:rsidR="005E3AB5">
        <w:t>(</w:t>
      </w:r>
      <w:r w:rsidRPr="00426C3A">
        <w:t>1977</w:t>
      </w:r>
      <w:r w:rsidR="00852F7D">
        <w:t>)</w:t>
      </w:r>
      <w:r w:rsidRPr="00426C3A">
        <w:t xml:space="preserve"> </w:t>
      </w:r>
      <w:r w:rsidRPr="00A955AD">
        <w:rPr>
          <w:i/>
          <w:iCs/>
        </w:rPr>
        <w:t xml:space="preserve">Residue Analysis of Grapes, Must and Wine </w:t>
      </w:r>
      <w:r w:rsidR="00295DF8" w:rsidRPr="00A955AD">
        <w:rPr>
          <w:i/>
          <w:iCs/>
        </w:rPr>
        <w:t>from</w:t>
      </w:r>
      <w:r w:rsidRPr="00A955AD">
        <w:rPr>
          <w:i/>
          <w:iCs/>
        </w:rPr>
        <w:t xml:space="preserve"> Treatments against Botrytis of Wine Yard</w:t>
      </w:r>
      <w:r w:rsidRPr="00426C3A">
        <w:t xml:space="preserve">, </w:t>
      </w:r>
      <w:r w:rsidR="00A955AD" w:rsidRPr="00426C3A">
        <w:t xml:space="preserve">unpublished, study number </w:t>
      </w:r>
      <w:r w:rsidRPr="00426C3A">
        <w:t>BR-0041, Sumitomo Chemical Australia Pty Ltd</w:t>
      </w:r>
      <w:r w:rsidR="00A955AD">
        <w:t>.</w:t>
      </w:r>
    </w:p>
    <w:p w14:paraId="65A991D0" w14:textId="45A0A7BE" w:rsidR="00426C3A" w:rsidRPr="00426C3A" w:rsidRDefault="00426C3A" w:rsidP="00D05130">
      <w:pPr>
        <w:pStyle w:val="APVMAText"/>
      </w:pPr>
      <w:proofErr w:type="spellStart"/>
      <w:r w:rsidRPr="00426C3A">
        <w:lastRenderedPageBreak/>
        <w:t>Cawthron</w:t>
      </w:r>
      <w:proofErr w:type="spellEnd"/>
      <w:r w:rsidRPr="00426C3A">
        <w:t xml:space="preserve"> Technical Group </w:t>
      </w:r>
      <w:r w:rsidR="005E3AB5">
        <w:t>(</w:t>
      </w:r>
      <w:r w:rsidRPr="00426C3A">
        <w:t>1980</w:t>
      </w:r>
      <w:r w:rsidR="00852F7D">
        <w:t>)</w:t>
      </w:r>
      <w:r w:rsidRPr="00426C3A">
        <w:t xml:space="preserve"> </w:t>
      </w:r>
      <w:r w:rsidRPr="00A955AD">
        <w:rPr>
          <w:i/>
          <w:iCs/>
        </w:rPr>
        <w:t>Residue Data (Nectarines)</w:t>
      </w:r>
      <w:r w:rsidRPr="00426C3A">
        <w:t xml:space="preserve">, </w:t>
      </w:r>
      <w:r w:rsidR="00A955AD" w:rsidRPr="00426C3A">
        <w:t xml:space="preserve">unpublished, study number </w:t>
      </w:r>
      <w:r w:rsidRPr="00426C3A">
        <w:t>BR-0091, Sumitomo Chemical Australia Pty Ltd</w:t>
      </w:r>
    </w:p>
    <w:p w14:paraId="354BCF66" w14:textId="3F500AE6" w:rsidR="00426C3A" w:rsidRPr="00426C3A" w:rsidRDefault="00426C3A" w:rsidP="00D05130">
      <w:pPr>
        <w:pStyle w:val="APVMAText"/>
      </w:pPr>
      <w:proofErr w:type="spellStart"/>
      <w:r w:rsidRPr="00426C3A">
        <w:t>Cawthron</w:t>
      </w:r>
      <w:proofErr w:type="spellEnd"/>
      <w:r w:rsidRPr="00426C3A">
        <w:t xml:space="preserve"> Technical Group </w:t>
      </w:r>
      <w:r w:rsidR="005E3AB5">
        <w:t>(</w:t>
      </w:r>
      <w:r w:rsidRPr="00426C3A">
        <w:t>1980</w:t>
      </w:r>
      <w:r w:rsidR="00852F7D">
        <w:t>)</w:t>
      </w:r>
      <w:r w:rsidRPr="00426C3A">
        <w:t xml:space="preserve"> </w:t>
      </w:r>
      <w:r w:rsidRPr="00A955AD">
        <w:rPr>
          <w:i/>
          <w:iCs/>
        </w:rPr>
        <w:t>Residue Data (Peaches)</w:t>
      </w:r>
      <w:r w:rsidRPr="00426C3A">
        <w:t xml:space="preserve">, </w:t>
      </w:r>
      <w:r w:rsidR="00A955AD" w:rsidRPr="00426C3A">
        <w:t xml:space="preserve">unpublished, study number </w:t>
      </w:r>
      <w:r w:rsidRPr="00426C3A">
        <w:t>BR-0092, Sumitomo Chemical Australia Pty Ltd</w:t>
      </w:r>
      <w:r w:rsidR="00A955AD">
        <w:t>.</w:t>
      </w:r>
    </w:p>
    <w:p w14:paraId="3860590B" w14:textId="7CBF0273" w:rsidR="00426C3A" w:rsidRPr="00426C3A" w:rsidRDefault="00426C3A" w:rsidP="00D05130">
      <w:pPr>
        <w:pStyle w:val="APVMAText"/>
      </w:pPr>
      <w:r w:rsidRPr="00426C3A">
        <w:t xml:space="preserve">Cheval </w:t>
      </w:r>
      <w:proofErr w:type="spellStart"/>
      <w:r w:rsidRPr="00426C3A">
        <w:t>Laboratorium</w:t>
      </w:r>
      <w:proofErr w:type="spellEnd"/>
      <w:r w:rsidRPr="00426C3A">
        <w:t xml:space="preserve"> B.V. </w:t>
      </w:r>
      <w:r w:rsidR="005E3AB5">
        <w:t>(</w:t>
      </w:r>
      <w:r w:rsidRPr="00426C3A">
        <w:t>1984</w:t>
      </w:r>
      <w:r w:rsidR="00852F7D">
        <w:t>)</w:t>
      </w:r>
      <w:r w:rsidRPr="00426C3A">
        <w:t xml:space="preserve"> </w:t>
      </w:r>
      <w:r w:rsidRPr="00A955AD">
        <w:rPr>
          <w:i/>
          <w:iCs/>
        </w:rPr>
        <w:t>Determination of Residue of Procymidone in Onions</w:t>
      </w:r>
      <w:r w:rsidRPr="00426C3A">
        <w:t xml:space="preserve">, </w:t>
      </w:r>
      <w:r w:rsidR="00A955AD">
        <w:t>u</w:t>
      </w:r>
      <w:r w:rsidRPr="00426C3A">
        <w:t xml:space="preserve">npublished, </w:t>
      </w:r>
      <w:r w:rsidR="00A955AD">
        <w:t>s</w:t>
      </w:r>
      <w:r w:rsidRPr="00426C3A">
        <w:t xml:space="preserve">tudy </w:t>
      </w:r>
      <w:r w:rsidR="00A955AD">
        <w:t>n</w:t>
      </w:r>
      <w:r w:rsidRPr="00426C3A">
        <w:t>umber BR-0145, Sumitomo Chemical Australia Pty Ltd</w:t>
      </w:r>
      <w:r w:rsidR="00A955AD">
        <w:t>.</w:t>
      </w:r>
    </w:p>
    <w:p w14:paraId="6344BE6E" w14:textId="46CE015E" w:rsidR="00426C3A" w:rsidRPr="00426C3A" w:rsidRDefault="00426C3A" w:rsidP="00D05130">
      <w:pPr>
        <w:pStyle w:val="APVMAText"/>
      </w:pPr>
      <w:r w:rsidRPr="00426C3A">
        <w:t>Christopher, D.H</w:t>
      </w:r>
      <w:r w:rsidR="00A955AD">
        <w:t>.</w:t>
      </w:r>
      <w:r w:rsidRPr="00426C3A">
        <w:t xml:space="preserve"> </w:t>
      </w:r>
      <w:r w:rsidR="005E3AB5">
        <w:t>(</w:t>
      </w:r>
      <w:r w:rsidRPr="00426C3A">
        <w:t>1976</w:t>
      </w:r>
      <w:r w:rsidR="00852F7D">
        <w:t>)</w:t>
      </w:r>
      <w:r w:rsidRPr="00426C3A">
        <w:t xml:space="preserve"> </w:t>
      </w:r>
      <w:r w:rsidRPr="00A955AD">
        <w:rPr>
          <w:i/>
          <w:iCs/>
        </w:rPr>
        <w:t>The Determination of Residues of S-7131 in Must and Wine</w:t>
      </w:r>
      <w:r w:rsidRPr="00426C3A">
        <w:t xml:space="preserve">, </w:t>
      </w:r>
      <w:r w:rsidR="00A955AD" w:rsidRPr="00426C3A">
        <w:t xml:space="preserve">unpublished, study number </w:t>
      </w:r>
      <w:r w:rsidRPr="00426C3A">
        <w:t>BR-0001, Sumitomo Chemical Australia Pty Ltd</w:t>
      </w:r>
      <w:r w:rsidR="00A955AD">
        <w:t>.</w:t>
      </w:r>
    </w:p>
    <w:p w14:paraId="5F4A6E15" w14:textId="68175C45" w:rsidR="00426C3A" w:rsidRPr="00426C3A" w:rsidRDefault="00426C3A" w:rsidP="00D05130">
      <w:pPr>
        <w:pStyle w:val="APVMAText"/>
      </w:pPr>
      <w:r w:rsidRPr="00426C3A">
        <w:t>Cous, W.D.</w:t>
      </w:r>
      <w:r w:rsidR="00A955AD">
        <w:t xml:space="preserve"> and </w:t>
      </w:r>
      <w:proofErr w:type="spellStart"/>
      <w:r w:rsidRPr="00426C3A">
        <w:t>Prangley</w:t>
      </w:r>
      <w:proofErr w:type="spellEnd"/>
      <w:r w:rsidRPr="00426C3A">
        <w:t xml:space="preserve">, P.R. </w:t>
      </w:r>
      <w:r w:rsidR="005E3AB5">
        <w:t>(</w:t>
      </w:r>
      <w:r w:rsidRPr="00426C3A">
        <w:t>1981</w:t>
      </w:r>
      <w:r w:rsidR="00852F7D">
        <w:t>)</w:t>
      </w:r>
      <w:r w:rsidRPr="00426C3A">
        <w:t xml:space="preserve"> </w:t>
      </w:r>
      <w:proofErr w:type="spellStart"/>
      <w:r w:rsidRPr="00A955AD">
        <w:rPr>
          <w:i/>
          <w:iCs/>
        </w:rPr>
        <w:t>Sumisclex</w:t>
      </w:r>
      <w:proofErr w:type="spellEnd"/>
      <w:r w:rsidRPr="00A955AD">
        <w:rPr>
          <w:i/>
          <w:iCs/>
        </w:rPr>
        <w:t xml:space="preserve"> Residues on Peaches</w:t>
      </w:r>
      <w:r w:rsidRPr="00426C3A">
        <w:t xml:space="preserve">, </w:t>
      </w:r>
      <w:r w:rsidR="00A955AD" w:rsidRPr="00426C3A">
        <w:t xml:space="preserve">unpublished, study number </w:t>
      </w:r>
      <w:r w:rsidRPr="00426C3A">
        <w:t>BR-0131, Sumitomo Chemical Australia Pty Ltd</w:t>
      </w:r>
      <w:r w:rsidR="00A955AD">
        <w:t>.</w:t>
      </w:r>
    </w:p>
    <w:p w14:paraId="456DF997" w14:textId="633BBD33" w:rsidR="00426C3A" w:rsidRPr="00426C3A" w:rsidRDefault="00426C3A" w:rsidP="00D05130">
      <w:pPr>
        <w:pStyle w:val="APVMAText"/>
      </w:pPr>
      <w:r w:rsidRPr="00426C3A">
        <w:t>Croucher, A</w:t>
      </w:r>
      <w:r w:rsidR="00A955AD">
        <w:t xml:space="preserve">. and </w:t>
      </w:r>
      <w:r w:rsidRPr="00426C3A">
        <w:t xml:space="preserve">Hill, A. </w:t>
      </w:r>
      <w:r w:rsidR="005E3AB5">
        <w:t>(</w:t>
      </w:r>
      <w:r w:rsidRPr="00426C3A">
        <w:t>1996</w:t>
      </w:r>
      <w:r w:rsidR="00852F7D">
        <w:t>)</w:t>
      </w:r>
      <w:r w:rsidRPr="00426C3A">
        <w:t xml:space="preserve"> </w:t>
      </w:r>
      <w:r w:rsidRPr="00A955AD">
        <w:rPr>
          <w:i/>
          <w:iCs/>
        </w:rPr>
        <w:t>Procymidone: Metabolism in Lettuce</w:t>
      </w:r>
      <w:r w:rsidRPr="00426C3A">
        <w:t xml:space="preserve">, </w:t>
      </w:r>
      <w:r w:rsidR="00A955AD" w:rsidRPr="00426C3A">
        <w:t xml:space="preserve">unpublished, study number </w:t>
      </w:r>
      <w:r w:rsidRPr="00426C3A">
        <w:t>BM-0062, Sumitomo Chemical Australia Pty Ltd</w:t>
      </w:r>
      <w:r w:rsidR="00A955AD">
        <w:t>.</w:t>
      </w:r>
    </w:p>
    <w:p w14:paraId="270CE728" w14:textId="05D62A38" w:rsidR="00426C3A" w:rsidRPr="00426C3A" w:rsidRDefault="00426C3A" w:rsidP="00D05130">
      <w:pPr>
        <w:pStyle w:val="APVMAText"/>
      </w:pPr>
      <w:proofErr w:type="spellStart"/>
      <w:r w:rsidRPr="00426C3A">
        <w:t>Culoto</w:t>
      </w:r>
      <w:proofErr w:type="spellEnd"/>
      <w:r w:rsidRPr="00426C3A">
        <w:t xml:space="preserve">, B. </w:t>
      </w:r>
      <w:r w:rsidR="005E3AB5">
        <w:t>(</w:t>
      </w:r>
      <w:r w:rsidRPr="00426C3A">
        <w:t>1977</w:t>
      </w:r>
      <w:r w:rsidR="00852F7D">
        <w:t>)</w:t>
      </w:r>
      <w:r w:rsidRPr="00426C3A">
        <w:t xml:space="preserve"> </w:t>
      </w:r>
      <w:r w:rsidRPr="00A955AD">
        <w:rPr>
          <w:i/>
          <w:iCs/>
        </w:rPr>
        <w:t xml:space="preserve">Residue Analysis of </w:t>
      </w:r>
      <w:proofErr w:type="spellStart"/>
      <w:r w:rsidRPr="00A955AD">
        <w:rPr>
          <w:i/>
          <w:iCs/>
        </w:rPr>
        <w:t>Sp</w:t>
      </w:r>
      <w:proofErr w:type="spellEnd"/>
      <w:r w:rsidRPr="00A955AD">
        <w:rPr>
          <w:i/>
          <w:iCs/>
        </w:rPr>
        <w:t xml:space="preserve"> 75 10 11 on Wine and Must</w:t>
      </w:r>
      <w:r w:rsidRPr="00426C3A">
        <w:t xml:space="preserve">, </w:t>
      </w:r>
      <w:r w:rsidR="00A955AD" w:rsidRPr="00426C3A">
        <w:t xml:space="preserve">unpublished, study number </w:t>
      </w:r>
      <w:r w:rsidRPr="00426C3A">
        <w:t>BR-0437, Sumitomo Chemical Australia Pty Ltd</w:t>
      </w:r>
      <w:r w:rsidR="00A955AD">
        <w:t>.</w:t>
      </w:r>
    </w:p>
    <w:p w14:paraId="350CA014" w14:textId="041E4DE9" w:rsidR="00426C3A" w:rsidRPr="00426C3A" w:rsidRDefault="00426C3A" w:rsidP="00D05130">
      <w:pPr>
        <w:pStyle w:val="APVMAText"/>
      </w:pPr>
      <w:proofErr w:type="spellStart"/>
      <w:r w:rsidRPr="00426C3A">
        <w:t>Culoto</w:t>
      </w:r>
      <w:proofErr w:type="spellEnd"/>
      <w:r w:rsidRPr="00426C3A">
        <w:t xml:space="preserve">, B. </w:t>
      </w:r>
      <w:r w:rsidR="005E3AB5">
        <w:t>(</w:t>
      </w:r>
      <w:r w:rsidRPr="00426C3A">
        <w:t>1979</w:t>
      </w:r>
      <w:r w:rsidR="00852F7D">
        <w:t>)</w:t>
      </w:r>
      <w:r w:rsidRPr="00426C3A">
        <w:t xml:space="preserve"> </w:t>
      </w:r>
      <w:r w:rsidRPr="00A955AD">
        <w:rPr>
          <w:i/>
          <w:iCs/>
        </w:rPr>
        <w:t>Residue Analysis of Procymidone in Peach for Storage</w:t>
      </w:r>
      <w:r w:rsidRPr="00426C3A">
        <w:t xml:space="preserve">, </w:t>
      </w:r>
      <w:r w:rsidR="00A955AD" w:rsidRPr="00426C3A">
        <w:t>unpublished, study number</w:t>
      </w:r>
      <w:r w:rsidRPr="00426C3A">
        <w:t xml:space="preserve"> BR-0441, Sumitomo Chemical Australia Pty Ltd</w:t>
      </w:r>
      <w:r w:rsidR="00A955AD">
        <w:t>.</w:t>
      </w:r>
    </w:p>
    <w:p w14:paraId="40660219" w14:textId="1B2CA9C9" w:rsidR="00426C3A" w:rsidRPr="00426C3A" w:rsidRDefault="00426C3A" w:rsidP="00D05130">
      <w:pPr>
        <w:pStyle w:val="APVMAText"/>
      </w:pPr>
      <w:proofErr w:type="spellStart"/>
      <w:r w:rsidRPr="00426C3A">
        <w:t>Culoto</w:t>
      </w:r>
      <w:proofErr w:type="spellEnd"/>
      <w:r w:rsidRPr="00426C3A">
        <w:t>, B.</w:t>
      </w:r>
      <w:r w:rsidR="00A955AD">
        <w:t xml:space="preserve"> and </w:t>
      </w:r>
      <w:proofErr w:type="spellStart"/>
      <w:r w:rsidRPr="00426C3A">
        <w:t>Mallmann</w:t>
      </w:r>
      <w:proofErr w:type="spellEnd"/>
      <w:r w:rsidRPr="00426C3A">
        <w:t xml:space="preserve">, R.J., </w:t>
      </w:r>
      <w:r w:rsidR="005E3AB5">
        <w:t>(</w:t>
      </w:r>
      <w:r w:rsidRPr="00426C3A">
        <w:t>1981</w:t>
      </w:r>
      <w:r w:rsidR="00852F7D">
        <w:t>)</w:t>
      </w:r>
      <w:r w:rsidRPr="00426C3A">
        <w:t xml:space="preserve"> </w:t>
      </w:r>
      <w:r w:rsidRPr="00A955AD">
        <w:rPr>
          <w:i/>
          <w:iCs/>
        </w:rPr>
        <w:t>Residues of Procymidone on Oil Seed Rape</w:t>
      </w:r>
      <w:r w:rsidRPr="00426C3A">
        <w:t xml:space="preserve">, </w:t>
      </w:r>
      <w:r w:rsidR="00A955AD" w:rsidRPr="00426C3A">
        <w:t xml:space="preserve">unpublished, study number </w:t>
      </w:r>
      <w:r w:rsidRPr="00426C3A">
        <w:t>BR-0432, Sumitomo Chemical Australia Pty Ltd</w:t>
      </w:r>
      <w:r w:rsidR="00A955AD">
        <w:t>.</w:t>
      </w:r>
    </w:p>
    <w:p w14:paraId="246B42F7" w14:textId="199F9387" w:rsidR="00426C3A" w:rsidRPr="00426C3A" w:rsidRDefault="00426C3A" w:rsidP="00D05130">
      <w:pPr>
        <w:pStyle w:val="APVMAText"/>
      </w:pPr>
      <w:proofErr w:type="spellStart"/>
      <w:r w:rsidRPr="00426C3A">
        <w:t>Culoto</w:t>
      </w:r>
      <w:proofErr w:type="spellEnd"/>
      <w:r w:rsidRPr="00426C3A">
        <w:t>, B.</w:t>
      </w:r>
      <w:r w:rsidR="00A955AD">
        <w:t xml:space="preserve"> and </w:t>
      </w:r>
      <w:proofErr w:type="spellStart"/>
      <w:r w:rsidRPr="00426C3A">
        <w:t>Mallmann</w:t>
      </w:r>
      <w:proofErr w:type="spellEnd"/>
      <w:r w:rsidRPr="00426C3A">
        <w:t xml:space="preserve">, R.J. </w:t>
      </w:r>
      <w:r w:rsidR="005E3AB5">
        <w:t>(</w:t>
      </w:r>
      <w:r w:rsidRPr="00426C3A">
        <w:t>1982</w:t>
      </w:r>
      <w:r w:rsidR="00852F7D">
        <w:t>)</w:t>
      </w:r>
      <w:r w:rsidRPr="00426C3A">
        <w:t xml:space="preserve"> </w:t>
      </w:r>
      <w:r w:rsidRPr="00A955AD">
        <w:rPr>
          <w:i/>
          <w:iCs/>
        </w:rPr>
        <w:t xml:space="preserve">Study of Procymidone Behaviour During Oil Process </w:t>
      </w:r>
      <w:r w:rsidR="00295DF8" w:rsidRPr="00A955AD">
        <w:rPr>
          <w:i/>
          <w:iCs/>
        </w:rPr>
        <w:t>from</w:t>
      </w:r>
      <w:r w:rsidRPr="00A955AD">
        <w:rPr>
          <w:i/>
          <w:iCs/>
        </w:rPr>
        <w:t xml:space="preserve"> Oil Seed-Rape</w:t>
      </w:r>
      <w:r w:rsidRPr="00426C3A">
        <w:t xml:space="preserve">, </w:t>
      </w:r>
      <w:r w:rsidR="00A955AD" w:rsidRPr="00426C3A">
        <w:t xml:space="preserve">unpublished, study number </w:t>
      </w:r>
      <w:r w:rsidRPr="00426C3A">
        <w:t>BR-0123, Sumitomo Chemical Australia Pty Ltd</w:t>
      </w:r>
      <w:r w:rsidR="00A955AD">
        <w:t>.</w:t>
      </w:r>
    </w:p>
    <w:p w14:paraId="41F4B4F4" w14:textId="19EB5825" w:rsidR="00426C3A" w:rsidRPr="00426C3A" w:rsidRDefault="005E3AB5" w:rsidP="00D05130">
      <w:pPr>
        <w:pStyle w:val="APVMAText"/>
      </w:pPr>
      <w:r w:rsidRPr="00426C3A">
        <w:t>Collins,</w:t>
      </w:r>
      <w:r>
        <w:t xml:space="preserve"> </w:t>
      </w:r>
      <w:r w:rsidR="00426C3A" w:rsidRPr="00426C3A">
        <w:t xml:space="preserve">Emmons H. and </w:t>
      </w:r>
      <w:proofErr w:type="spellStart"/>
      <w:r w:rsidRPr="00426C3A">
        <w:t>Toia</w:t>
      </w:r>
      <w:proofErr w:type="spellEnd"/>
      <w:r w:rsidRPr="00426C3A">
        <w:t>,</w:t>
      </w:r>
      <w:r>
        <w:t xml:space="preserve"> </w:t>
      </w:r>
      <w:r w:rsidR="00426C3A" w:rsidRPr="00426C3A">
        <w:t xml:space="preserve">Robert F. </w:t>
      </w:r>
      <w:r>
        <w:t>(</w:t>
      </w:r>
      <w:r w:rsidR="00426C3A" w:rsidRPr="00426C3A">
        <w:t>1994</w:t>
      </w:r>
      <w:r w:rsidR="00852F7D">
        <w:t>)</w:t>
      </w:r>
      <w:r w:rsidR="00426C3A" w:rsidRPr="00426C3A">
        <w:t xml:space="preserve"> </w:t>
      </w:r>
      <w:r w:rsidR="00426C3A" w:rsidRPr="00A955AD">
        <w:rPr>
          <w:i/>
          <w:iCs/>
        </w:rPr>
        <w:t xml:space="preserve">Supplemental Data </w:t>
      </w:r>
      <w:r w:rsidR="00A955AD" w:rsidRPr="00A955AD">
        <w:rPr>
          <w:i/>
          <w:iCs/>
        </w:rPr>
        <w:t>for</w:t>
      </w:r>
      <w:r w:rsidR="00426C3A" w:rsidRPr="00A955AD">
        <w:rPr>
          <w:i/>
          <w:iCs/>
        </w:rPr>
        <w:t xml:space="preserve"> </w:t>
      </w:r>
      <w:r w:rsidR="00A955AD" w:rsidRPr="00A955AD">
        <w:rPr>
          <w:i/>
          <w:iCs/>
        </w:rPr>
        <w:t>t</w:t>
      </w:r>
      <w:r w:rsidR="00426C3A" w:rsidRPr="00A955AD">
        <w:rPr>
          <w:i/>
          <w:iCs/>
        </w:rPr>
        <w:t xml:space="preserve">he Studies Titled: Metabolism </w:t>
      </w:r>
      <w:r w:rsidR="00A955AD" w:rsidRPr="00A955AD">
        <w:rPr>
          <w:i/>
          <w:iCs/>
        </w:rPr>
        <w:t>o</w:t>
      </w:r>
      <w:r w:rsidR="00426C3A" w:rsidRPr="00A955AD">
        <w:rPr>
          <w:i/>
          <w:iCs/>
        </w:rPr>
        <w:t>f [14C-Phenyl] – Procymidone in Grape and Grape Commodities, Grape Metabolism Study (</w:t>
      </w:r>
      <w:proofErr w:type="spellStart"/>
      <w:r w:rsidR="00426C3A" w:rsidRPr="00A955AD">
        <w:rPr>
          <w:i/>
          <w:iCs/>
        </w:rPr>
        <w:t>Ptrl</w:t>
      </w:r>
      <w:proofErr w:type="spellEnd"/>
      <w:r w:rsidR="00426C3A" w:rsidRPr="00A955AD">
        <w:rPr>
          <w:i/>
          <w:iCs/>
        </w:rPr>
        <w:t xml:space="preserve"> Project N0266w) and Metabolism of [14C-Carbonyl]-Procymidone in Grapes</w:t>
      </w:r>
      <w:r w:rsidR="00426C3A" w:rsidRPr="00426C3A">
        <w:t xml:space="preserve">, </w:t>
      </w:r>
      <w:r w:rsidR="00A955AD" w:rsidRPr="00426C3A">
        <w:t xml:space="preserve">unpublished, study number </w:t>
      </w:r>
      <w:r w:rsidR="00426C3A" w:rsidRPr="00426C3A">
        <w:t>BM-0042, Sumitomo Chemical Australia Pty Ltd</w:t>
      </w:r>
      <w:r w:rsidR="00A955AD">
        <w:t>.</w:t>
      </w:r>
    </w:p>
    <w:p w14:paraId="63CEC975" w14:textId="74A13C75" w:rsidR="00426C3A" w:rsidRPr="00426C3A" w:rsidRDefault="005E3AB5" w:rsidP="00D05130">
      <w:pPr>
        <w:pStyle w:val="APVMAText"/>
      </w:pPr>
      <w:r w:rsidRPr="00426C3A">
        <w:t>Collins,</w:t>
      </w:r>
      <w:r>
        <w:t xml:space="preserve"> </w:t>
      </w:r>
      <w:r w:rsidRPr="00426C3A">
        <w:t xml:space="preserve">Emmons H. and </w:t>
      </w:r>
      <w:proofErr w:type="spellStart"/>
      <w:r w:rsidRPr="00426C3A">
        <w:t>Toia</w:t>
      </w:r>
      <w:proofErr w:type="spellEnd"/>
      <w:r w:rsidRPr="00426C3A">
        <w:t>,</w:t>
      </w:r>
      <w:r>
        <w:t xml:space="preserve"> </w:t>
      </w:r>
      <w:r w:rsidRPr="00426C3A">
        <w:t>Robert F.</w:t>
      </w:r>
      <w:r w:rsidR="00426C3A" w:rsidRPr="00426C3A">
        <w:t xml:space="preserve"> </w:t>
      </w:r>
      <w:r>
        <w:t>(</w:t>
      </w:r>
      <w:r w:rsidR="00426C3A" w:rsidRPr="00426C3A">
        <w:t>1995</w:t>
      </w:r>
      <w:r w:rsidR="00852F7D">
        <w:t>)</w:t>
      </w:r>
      <w:r w:rsidR="00426C3A" w:rsidRPr="00426C3A">
        <w:t xml:space="preserve"> </w:t>
      </w:r>
      <w:r w:rsidR="00426C3A" w:rsidRPr="00A955AD">
        <w:rPr>
          <w:i/>
          <w:iCs/>
        </w:rPr>
        <w:t xml:space="preserve">Supplemental Data for the Studies Titled: ''Metabolism </w:t>
      </w:r>
      <w:r w:rsidR="00A955AD" w:rsidRPr="00A955AD">
        <w:rPr>
          <w:i/>
          <w:iCs/>
        </w:rPr>
        <w:t>o</w:t>
      </w:r>
      <w:r w:rsidR="00426C3A" w:rsidRPr="00A955AD">
        <w:rPr>
          <w:i/>
          <w:iCs/>
        </w:rPr>
        <w:t>f [140-Phenyl]-Procymidone in Grapes and Grape Commodities: Grape Metabolism Study" And "Metabolism of [14C-Carbonyl]-Procymidone in Grapes and Grape Commodities: Grape Metabolism Study”</w:t>
      </w:r>
      <w:r w:rsidR="00426C3A" w:rsidRPr="00426C3A">
        <w:t xml:space="preserve">, </w:t>
      </w:r>
      <w:r w:rsidR="00A955AD" w:rsidRPr="00426C3A">
        <w:t xml:space="preserve">unpublished, study number </w:t>
      </w:r>
      <w:r w:rsidR="00426C3A" w:rsidRPr="00426C3A">
        <w:t>BM-0059, Sumitomo Chemical Australia Pty Ltd</w:t>
      </w:r>
      <w:r w:rsidR="00A955AD">
        <w:t>.</w:t>
      </w:r>
    </w:p>
    <w:p w14:paraId="0F137F06" w14:textId="68995D78" w:rsidR="00426C3A" w:rsidRPr="00426C3A" w:rsidRDefault="00426C3A" w:rsidP="00D05130">
      <w:pPr>
        <w:pStyle w:val="APVMAText"/>
      </w:pPr>
      <w:r w:rsidRPr="00426C3A">
        <w:t xml:space="preserve">Fujisawa, T. </w:t>
      </w:r>
      <w:r w:rsidR="005E3AB5">
        <w:t>(</w:t>
      </w:r>
      <w:r w:rsidRPr="00426C3A">
        <w:t>1994</w:t>
      </w:r>
      <w:r w:rsidR="00852F7D">
        <w:t>)</w:t>
      </w:r>
      <w:r w:rsidRPr="00426C3A">
        <w:t xml:space="preserve"> </w:t>
      </w:r>
      <w:r w:rsidRPr="00A955AD">
        <w:rPr>
          <w:i/>
          <w:iCs/>
        </w:rPr>
        <w:t xml:space="preserve">A Metabolism Study </w:t>
      </w:r>
      <w:r w:rsidR="00A955AD" w:rsidRPr="00A955AD">
        <w:rPr>
          <w:i/>
          <w:iCs/>
        </w:rPr>
        <w:t>with</w:t>
      </w:r>
      <w:r w:rsidRPr="00A955AD">
        <w:rPr>
          <w:i/>
          <w:iCs/>
        </w:rPr>
        <w:t xml:space="preserve"> Unlabelled-[14C-Phenyl] - </w:t>
      </w:r>
      <w:r w:rsidR="00A955AD" w:rsidRPr="00A955AD">
        <w:rPr>
          <w:i/>
          <w:iCs/>
        </w:rPr>
        <w:t>and</w:t>
      </w:r>
      <w:r w:rsidRPr="00A955AD">
        <w:rPr>
          <w:i/>
          <w:iCs/>
        </w:rPr>
        <w:t xml:space="preserve"> [14C- Carbonyl] - Procymidone on Grapes</w:t>
      </w:r>
      <w:r w:rsidRPr="00426C3A">
        <w:t xml:space="preserve">, </w:t>
      </w:r>
      <w:r w:rsidR="00A955AD" w:rsidRPr="00426C3A">
        <w:t xml:space="preserve">unpublished, study number </w:t>
      </w:r>
      <w:r w:rsidRPr="00426C3A">
        <w:t>BM-0041, Sumitomo Chemical Australia Pty Ltd</w:t>
      </w:r>
      <w:r w:rsidR="00A955AD">
        <w:t>.</w:t>
      </w:r>
    </w:p>
    <w:p w14:paraId="79FCC3C5" w14:textId="5EA3C64B" w:rsidR="00426C3A" w:rsidRPr="00426C3A" w:rsidRDefault="00426C3A" w:rsidP="00D05130">
      <w:pPr>
        <w:pStyle w:val="APVMAText"/>
      </w:pPr>
      <w:proofErr w:type="spellStart"/>
      <w:r w:rsidRPr="00426C3A">
        <w:t>Grolleau</w:t>
      </w:r>
      <w:proofErr w:type="spellEnd"/>
      <w:r w:rsidRPr="00426C3A">
        <w:t>, G</w:t>
      </w:r>
      <w:r w:rsidR="00A955AD">
        <w:t>.</w:t>
      </w:r>
      <w:r w:rsidRPr="00426C3A">
        <w:t xml:space="preserve"> </w:t>
      </w:r>
      <w:r w:rsidR="005E3AB5">
        <w:t>(</w:t>
      </w:r>
      <w:r w:rsidRPr="00426C3A">
        <w:t>2001</w:t>
      </w:r>
      <w:r w:rsidR="00852F7D">
        <w:t>)</w:t>
      </w:r>
      <w:r w:rsidRPr="00426C3A">
        <w:t xml:space="preserve"> </w:t>
      </w:r>
      <w:r w:rsidRPr="00A955AD">
        <w:rPr>
          <w:i/>
          <w:iCs/>
        </w:rPr>
        <w:t>Magnitude of the Residue of Procymidone in Table Grapes Raw Agricultural Commodity Southern Europe</w:t>
      </w:r>
      <w:r w:rsidRPr="00426C3A">
        <w:t xml:space="preserve">, </w:t>
      </w:r>
      <w:r w:rsidR="00A955AD" w:rsidRPr="00426C3A">
        <w:t xml:space="preserve">unpublished, study number </w:t>
      </w:r>
      <w:r w:rsidRPr="00426C3A">
        <w:t>BR-0524, Sumitomo Chemical Australia Pty Ltd</w:t>
      </w:r>
      <w:r w:rsidR="00A955AD">
        <w:t>.</w:t>
      </w:r>
    </w:p>
    <w:p w14:paraId="70EF5E6A" w14:textId="4BFB1532" w:rsidR="00426C3A" w:rsidRPr="00426C3A" w:rsidRDefault="00426C3A" w:rsidP="00D05130">
      <w:pPr>
        <w:pStyle w:val="APVMAText"/>
      </w:pPr>
      <w:proofErr w:type="spellStart"/>
      <w:r w:rsidRPr="00426C3A">
        <w:lastRenderedPageBreak/>
        <w:t>Grolleau</w:t>
      </w:r>
      <w:proofErr w:type="spellEnd"/>
      <w:r w:rsidRPr="00426C3A">
        <w:t xml:space="preserve">, G. </w:t>
      </w:r>
      <w:r w:rsidR="005E3AB5">
        <w:t>(</w:t>
      </w:r>
      <w:r w:rsidRPr="00426C3A">
        <w:t>2003</w:t>
      </w:r>
      <w:r w:rsidR="00852F7D">
        <w:t>)</w:t>
      </w:r>
      <w:r w:rsidRPr="00426C3A">
        <w:t xml:space="preserve"> </w:t>
      </w:r>
      <w:r w:rsidRPr="005E3AB5">
        <w:rPr>
          <w:i/>
          <w:iCs/>
        </w:rPr>
        <w:t xml:space="preserve">Magnitude </w:t>
      </w:r>
      <w:r w:rsidR="005E3AB5" w:rsidRPr="005E3AB5">
        <w:rPr>
          <w:i/>
          <w:iCs/>
        </w:rPr>
        <w:t>o</w:t>
      </w:r>
      <w:r w:rsidRPr="005E3AB5">
        <w:rPr>
          <w:i/>
          <w:iCs/>
        </w:rPr>
        <w:t xml:space="preserve">f </w:t>
      </w:r>
      <w:r w:rsidR="005E3AB5" w:rsidRPr="005E3AB5">
        <w:rPr>
          <w:i/>
          <w:iCs/>
        </w:rPr>
        <w:t>t</w:t>
      </w:r>
      <w:r w:rsidRPr="005E3AB5">
        <w:rPr>
          <w:i/>
          <w:iCs/>
        </w:rPr>
        <w:t xml:space="preserve">he Residue </w:t>
      </w:r>
      <w:r w:rsidR="005E3AB5" w:rsidRPr="005E3AB5">
        <w:rPr>
          <w:i/>
          <w:iCs/>
        </w:rPr>
        <w:t>o</w:t>
      </w:r>
      <w:r w:rsidRPr="005E3AB5">
        <w:rPr>
          <w:i/>
          <w:iCs/>
        </w:rPr>
        <w:t xml:space="preserve">f Procymidone </w:t>
      </w:r>
      <w:r w:rsidR="005E3AB5" w:rsidRPr="005E3AB5">
        <w:rPr>
          <w:i/>
          <w:iCs/>
        </w:rPr>
        <w:t xml:space="preserve">and its </w:t>
      </w:r>
      <w:r w:rsidRPr="005E3AB5">
        <w:rPr>
          <w:i/>
          <w:iCs/>
        </w:rPr>
        <w:t xml:space="preserve">Metabolites </w:t>
      </w:r>
      <w:r w:rsidR="005E3AB5" w:rsidRPr="005E3AB5">
        <w:rPr>
          <w:i/>
          <w:iCs/>
        </w:rPr>
        <w:t>in</w:t>
      </w:r>
      <w:r w:rsidRPr="005E3AB5">
        <w:rPr>
          <w:i/>
          <w:iCs/>
        </w:rPr>
        <w:t xml:space="preserve"> Plum Raw Agricultural Commodity </w:t>
      </w:r>
      <w:r w:rsidR="005E3AB5" w:rsidRPr="005E3AB5">
        <w:rPr>
          <w:i/>
          <w:iCs/>
        </w:rPr>
        <w:t>a</w:t>
      </w:r>
      <w:r w:rsidRPr="005E3AB5">
        <w:rPr>
          <w:i/>
          <w:iCs/>
        </w:rPr>
        <w:t xml:space="preserve">nd Processed Fractions, </w:t>
      </w:r>
      <w:r w:rsidR="005E3AB5" w:rsidRPr="005E3AB5">
        <w:rPr>
          <w:i/>
          <w:iCs/>
        </w:rPr>
        <w:t>a</w:t>
      </w:r>
      <w:r w:rsidRPr="005E3AB5">
        <w:rPr>
          <w:i/>
          <w:iCs/>
        </w:rPr>
        <w:t xml:space="preserve">nd </w:t>
      </w:r>
      <w:r w:rsidR="005E3AB5" w:rsidRPr="005E3AB5">
        <w:rPr>
          <w:i/>
          <w:iCs/>
        </w:rPr>
        <w:t>o</w:t>
      </w:r>
      <w:r w:rsidRPr="005E3AB5">
        <w:rPr>
          <w:i/>
          <w:iCs/>
        </w:rPr>
        <w:t xml:space="preserve">f Procymidone </w:t>
      </w:r>
      <w:r w:rsidR="005E3AB5" w:rsidRPr="005E3AB5">
        <w:rPr>
          <w:i/>
          <w:iCs/>
        </w:rPr>
        <w:t>i</w:t>
      </w:r>
      <w:r w:rsidRPr="005E3AB5">
        <w:rPr>
          <w:i/>
          <w:iCs/>
        </w:rPr>
        <w:t xml:space="preserve">n Weeds </w:t>
      </w:r>
      <w:r w:rsidR="005E3AB5" w:rsidRPr="005E3AB5">
        <w:rPr>
          <w:i/>
          <w:iCs/>
        </w:rPr>
        <w:t xml:space="preserve">at the </w:t>
      </w:r>
      <w:r w:rsidRPr="005E3AB5">
        <w:rPr>
          <w:i/>
          <w:iCs/>
        </w:rPr>
        <w:t>Orchard, Northern &amp; Southern France – 2003</w:t>
      </w:r>
      <w:r w:rsidRPr="00426C3A">
        <w:t xml:space="preserve">, </w:t>
      </w:r>
      <w:r w:rsidR="005E3AB5" w:rsidRPr="00426C3A">
        <w:t xml:space="preserve">unpublished, study number </w:t>
      </w:r>
      <w:r w:rsidRPr="00426C3A">
        <w:t>BR-0548, Sumitomo Chemical Australia Pty Ltd</w:t>
      </w:r>
      <w:r w:rsidR="005E3AB5">
        <w:t>.</w:t>
      </w:r>
    </w:p>
    <w:p w14:paraId="2A060078" w14:textId="7A68F2DB" w:rsidR="00426C3A" w:rsidRPr="00426C3A" w:rsidRDefault="00426C3A" w:rsidP="00D05130">
      <w:pPr>
        <w:pStyle w:val="APVMAText"/>
      </w:pPr>
      <w:proofErr w:type="spellStart"/>
      <w:r w:rsidRPr="00426C3A">
        <w:t>Grolleau</w:t>
      </w:r>
      <w:proofErr w:type="spellEnd"/>
      <w:r w:rsidRPr="00426C3A">
        <w:t xml:space="preserve">, G. </w:t>
      </w:r>
      <w:r w:rsidR="005E3AB5">
        <w:t>(</w:t>
      </w:r>
      <w:r w:rsidRPr="00426C3A">
        <w:t>2003</w:t>
      </w:r>
      <w:r w:rsidR="00852F7D">
        <w:t>)</w:t>
      </w:r>
      <w:r w:rsidRPr="00426C3A">
        <w:t xml:space="preserve"> </w:t>
      </w:r>
      <w:r w:rsidRPr="005E3AB5">
        <w:rPr>
          <w:i/>
          <w:iCs/>
        </w:rPr>
        <w:t>Magnitude of the Residue of Procymidone in Wine Grapes Raw Agricultural Commodity and Processed Fractions</w:t>
      </w:r>
      <w:r w:rsidRPr="00426C3A">
        <w:t xml:space="preserve">, </w:t>
      </w:r>
      <w:r w:rsidR="005E3AB5" w:rsidRPr="00426C3A">
        <w:t xml:space="preserve">unpublished, study number </w:t>
      </w:r>
      <w:r w:rsidRPr="00426C3A">
        <w:t>BR-0533, Sumitomo Chemical Australia Pty Ltd</w:t>
      </w:r>
      <w:r w:rsidR="005E3AB5">
        <w:t>.</w:t>
      </w:r>
    </w:p>
    <w:p w14:paraId="434CCE17" w14:textId="2739B7A4" w:rsidR="00426C3A" w:rsidRPr="00426C3A" w:rsidRDefault="00426C3A" w:rsidP="00D05130">
      <w:pPr>
        <w:pStyle w:val="APVMAText"/>
      </w:pPr>
      <w:proofErr w:type="spellStart"/>
      <w:r w:rsidRPr="00426C3A">
        <w:t>Hascoet</w:t>
      </w:r>
      <w:proofErr w:type="spellEnd"/>
      <w:r w:rsidRPr="00426C3A">
        <w:t xml:space="preserve">, M. </w:t>
      </w:r>
      <w:r w:rsidR="005E3AB5">
        <w:t>(</w:t>
      </w:r>
      <w:r w:rsidRPr="00426C3A">
        <w:t>1979</w:t>
      </w:r>
      <w:r w:rsidR="00852F7D">
        <w:t>)</w:t>
      </w:r>
      <w:r w:rsidRPr="00426C3A">
        <w:t xml:space="preserve"> </w:t>
      </w:r>
      <w:proofErr w:type="spellStart"/>
      <w:r w:rsidRPr="005E3AB5">
        <w:rPr>
          <w:i/>
          <w:iCs/>
        </w:rPr>
        <w:t>Sumisclex</w:t>
      </w:r>
      <w:proofErr w:type="spellEnd"/>
      <w:r w:rsidRPr="005E3AB5">
        <w:rPr>
          <w:i/>
          <w:iCs/>
        </w:rPr>
        <w:t xml:space="preserve"> (Procymidone) Analysis in Dessert Grapes, Must and Wine</w:t>
      </w:r>
      <w:r w:rsidRPr="00426C3A">
        <w:t xml:space="preserve">, </w:t>
      </w:r>
      <w:r w:rsidR="005E3AB5" w:rsidRPr="00426C3A">
        <w:t>unpublished, study number</w:t>
      </w:r>
      <w:r w:rsidRPr="00426C3A">
        <w:t xml:space="preserve"> BR-0442, Sumitomo Chemical Australia Pty Ltd</w:t>
      </w:r>
      <w:r w:rsidR="005E3AB5">
        <w:t>.</w:t>
      </w:r>
    </w:p>
    <w:p w14:paraId="748B21AB" w14:textId="6C46E09F" w:rsidR="00426C3A" w:rsidRPr="00426C3A" w:rsidRDefault="00426C3A" w:rsidP="00D05130">
      <w:pPr>
        <w:pStyle w:val="APVMAText"/>
      </w:pPr>
      <w:r w:rsidRPr="00426C3A">
        <w:t xml:space="preserve">Hillier, G.R. </w:t>
      </w:r>
      <w:r w:rsidR="005E3AB5">
        <w:t>(</w:t>
      </w:r>
      <w:r w:rsidRPr="00426C3A">
        <w:t>1982</w:t>
      </w:r>
      <w:r w:rsidR="005E3AB5">
        <w:t>)</w:t>
      </w:r>
      <w:r w:rsidRPr="00426C3A">
        <w:t xml:space="preserve"> </w:t>
      </w:r>
      <w:proofErr w:type="spellStart"/>
      <w:r w:rsidRPr="005E3AB5">
        <w:rPr>
          <w:i/>
          <w:iCs/>
        </w:rPr>
        <w:t>Sum</w:t>
      </w:r>
      <w:r w:rsidR="005E3AB5" w:rsidRPr="005E3AB5">
        <w:rPr>
          <w:i/>
          <w:iCs/>
        </w:rPr>
        <w:t>i</w:t>
      </w:r>
      <w:r w:rsidRPr="005E3AB5">
        <w:rPr>
          <w:i/>
          <w:iCs/>
        </w:rPr>
        <w:t>sclex</w:t>
      </w:r>
      <w:proofErr w:type="spellEnd"/>
      <w:r w:rsidRPr="005E3AB5">
        <w:rPr>
          <w:i/>
          <w:iCs/>
        </w:rPr>
        <w:t xml:space="preserve"> Residue Trial on Mataro Grapes Tmag-0470/82B</w:t>
      </w:r>
      <w:r w:rsidRPr="00426C3A">
        <w:t xml:space="preserve">, </w:t>
      </w:r>
      <w:r w:rsidR="005E3AB5" w:rsidRPr="00426C3A">
        <w:t>unpublished, study number</w:t>
      </w:r>
      <w:r w:rsidRPr="00426C3A">
        <w:t xml:space="preserve"> BR-0172, Sumitomo Chemical Australia Pty Ltd</w:t>
      </w:r>
      <w:r w:rsidR="005E3AB5">
        <w:t>.</w:t>
      </w:r>
    </w:p>
    <w:p w14:paraId="18978ABE" w14:textId="76242FFD" w:rsidR="00426C3A" w:rsidRPr="00426C3A" w:rsidRDefault="00426C3A" w:rsidP="00D05130">
      <w:pPr>
        <w:pStyle w:val="APVMAText"/>
      </w:pPr>
      <w:r w:rsidRPr="00426C3A">
        <w:t xml:space="preserve">Huntingdon Research Centre Ltd </w:t>
      </w:r>
      <w:r w:rsidR="005E3AB5">
        <w:t>(</w:t>
      </w:r>
      <w:r w:rsidRPr="00426C3A">
        <w:t>1992</w:t>
      </w:r>
      <w:r w:rsidR="005E3AB5">
        <w:t>)</w:t>
      </w:r>
      <w:r w:rsidRPr="00426C3A">
        <w:t xml:space="preserve"> </w:t>
      </w:r>
      <w:r w:rsidRPr="005E3AB5">
        <w:rPr>
          <w:i/>
          <w:iCs/>
        </w:rPr>
        <w:t xml:space="preserve">Procymidone </w:t>
      </w:r>
      <w:r w:rsidR="005E3AB5" w:rsidRPr="005E3AB5">
        <w:rPr>
          <w:i/>
          <w:iCs/>
        </w:rPr>
        <w:t>a</w:t>
      </w:r>
      <w:r w:rsidRPr="005E3AB5">
        <w:rPr>
          <w:i/>
          <w:iCs/>
        </w:rPr>
        <w:t>nd 3,5-Dichloroaniline Determination of Stability of Residues in Grapes and Wine (Interim Report)</w:t>
      </w:r>
      <w:r w:rsidRPr="00426C3A">
        <w:t xml:space="preserve">, </w:t>
      </w:r>
      <w:r w:rsidR="005E3AB5" w:rsidRPr="00426C3A">
        <w:t xml:space="preserve">unpublished, study number </w:t>
      </w:r>
      <w:r w:rsidRPr="00426C3A">
        <w:t>BR-0306, Sumitomo Chemical Australia Pty Ltd</w:t>
      </w:r>
      <w:r w:rsidR="005E3AB5">
        <w:t>.</w:t>
      </w:r>
    </w:p>
    <w:p w14:paraId="08B26AFA" w14:textId="1659886C" w:rsidR="00426C3A" w:rsidRPr="00426C3A" w:rsidRDefault="00426C3A" w:rsidP="00D05130">
      <w:pPr>
        <w:pStyle w:val="APVMAText"/>
      </w:pPr>
      <w:r w:rsidRPr="00426C3A">
        <w:t xml:space="preserve">ICI Crop Care </w:t>
      </w:r>
      <w:r w:rsidR="00852F7D">
        <w:t>(</w:t>
      </w:r>
      <w:r w:rsidRPr="00426C3A">
        <w:t>1989</w:t>
      </w:r>
      <w:r w:rsidR="005E3AB5">
        <w:t>)</w:t>
      </w:r>
      <w:r w:rsidRPr="00426C3A">
        <w:t xml:space="preserve"> </w:t>
      </w:r>
      <w:r w:rsidRPr="005E3AB5">
        <w:rPr>
          <w:i/>
          <w:iCs/>
        </w:rPr>
        <w:t>Residue Data Sheet (Garlic)</w:t>
      </w:r>
      <w:r w:rsidRPr="00426C3A">
        <w:t xml:space="preserve">, </w:t>
      </w:r>
      <w:r w:rsidR="005E3AB5" w:rsidRPr="00426C3A">
        <w:t xml:space="preserve">unpublished, study number </w:t>
      </w:r>
      <w:r w:rsidRPr="00426C3A">
        <w:t>BR-0578, Sumitomo Chemical Australia Pty Ltd</w:t>
      </w:r>
      <w:r w:rsidR="005E3AB5">
        <w:t>.</w:t>
      </w:r>
    </w:p>
    <w:p w14:paraId="3FBEA507" w14:textId="03D35055" w:rsidR="00426C3A" w:rsidRPr="00426C3A" w:rsidRDefault="00426C3A" w:rsidP="00D05130">
      <w:pPr>
        <w:pStyle w:val="APVMAText"/>
      </w:pPr>
      <w:r w:rsidRPr="00426C3A">
        <w:t xml:space="preserve">ICI-Australia Operations P/L </w:t>
      </w:r>
      <w:r w:rsidR="005E3AB5">
        <w:t>(</w:t>
      </w:r>
      <w:r w:rsidRPr="00426C3A">
        <w:t>1985</w:t>
      </w:r>
      <w:r w:rsidR="005E3AB5">
        <w:t>)</w:t>
      </w:r>
      <w:r w:rsidRPr="00426C3A">
        <w:t xml:space="preserve"> </w:t>
      </w:r>
      <w:r w:rsidRPr="005E3AB5">
        <w:rPr>
          <w:i/>
          <w:iCs/>
        </w:rPr>
        <w:t>Residue Data Sheet (Peaches)</w:t>
      </w:r>
      <w:r w:rsidRPr="00426C3A">
        <w:t xml:space="preserve">, </w:t>
      </w:r>
      <w:r w:rsidR="005E3AB5" w:rsidRPr="00426C3A">
        <w:t xml:space="preserve">unpublished, study number </w:t>
      </w:r>
      <w:r w:rsidRPr="00426C3A">
        <w:t>BR-0209, Sumitomo Chemical Australia Pty Ltd</w:t>
      </w:r>
      <w:r w:rsidR="005E3AB5">
        <w:t>.</w:t>
      </w:r>
    </w:p>
    <w:p w14:paraId="0FCDDDD4" w14:textId="6F4D9992" w:rsidR="00426C3A" w:rsidRPr="00426C3A" w:rsidRDefault="00426C3A" w:rsidP="00D05130">
      <w:pPr>
        <w:pStyle w:val="APVMAText"/>
      </w:pPr>
      <w:r w:rsidRPr="00426C3A">
        <w:t xml:space="preserve">ICI-Australia Operations P/L </w:t>
      </w:r>
      <w:r w:rsidR="005E3AB5">
        <w:t>(</w:t>
      </w:r>
      <w:r w:rsidRPr="00426C3A">
        <w:t>1985</w:t>
      </w:r>
      <w:r w:rsidR="005E3AB5">
        <w:t xml:space="preserve">) </w:t>
      </w:r>
      <w:r w:rsidRPr="00426C3A">
        <w:t>Residue Data Sheet (Peaches), Unpublished, Study Number BR-0210, Sumitomo Chemical Australia Pty Ltd</w:t>
      </w:r>
    </w:p>
    <w:p w14:paraId="67C3D126" w14:textId="0F09605E" w:rsidR="00426C3A" w:rsidRPr="00426C3A" w:rsidRDefault="00426C3A" w:rsidP="00D05130">
      <w:pPr>
        <w:pStyle w:val="APVMAText"/>
      </w:pPr>
      <w:proofErr w:type="spellStart"/>
      <w:r w:rsidRPr="00426C3A">
        <w:t>Kadooka</w:t>
      </w:r>
      <w:proofErr w:type="spellEnd"/>
      <w:r w:rsidRPr="00426C3A">
        <w:t xml:space="preserve">, O., </w:t>
      </w:r>
      <w:proofErr w:type="spellStart"/>
      <w:r w:rsidRPr="00426C3A">
        <w:t>Hirota</w:t>
      </w:r>
      <w:proofErr w:type="spellEnd"/>
      <w:r w:rsidRPr="00426C3A">
        <w:t>, M.</w:t>
      </w:r>
      <w:r w:rsidR="005E3AB5">
        <w:t xml:space="preserve"> and </w:t>
      </w:r>
      <w:r w:rsidRPr="00426C3A">
        <w:t xml:space="preserve">Ohnishi, J., </w:t>
      </w:r>
      <w:r w:rsidRPr="00E456D9">
        <w:rPr>
          <w:i/>
          <w:iCs/>
        </w:rPr>
        <w:t>et al</w:t>
      </w:r>
      <w:r w:rsidRPr="00426C3A">
        <w:t xml:space="preserve"> </w:t>
      </w:r>
      <w:r w:rsidR="005E3AB5">
        <w:t>(</w:t>
      </w:r>
      <w:r w:rsidRPr="00426C3A">
        <w:t>1990</w:t>
      </w:r>
      <w:r w:rsidR="005E3AB5">
        <w:t>)</w:t>
      </w:r>
      <w:r w:rsidRPr="00426C3A">
        <w:t xml:space="preserve"> </w:t>
      </w:r>
      <w:r w:rsidRPr="005E3AB5">
        <w:rPr>
          <w:i/>
          <w:iCs/>
        </w:rPr>
        <w:t xml:space="preserve">Storage Stability Study </w:t>
      </w:r>
      <w:r w:rsidR="005E3AB5" w:rsidRPr="005E3AB5">
        <w:rPr>
          <w:i/>
          <w:iCs/>
        </w:rPr>
        <w:t>for</w:t>
      </w:r>
      <w:r w:rsidRPr="005E3AB5">
        <w:rPr>
          <w:i/>
          <w:iCs/>
        </w:rPr>
        <w:t xml:space="preserve"> Procymidone </w:t>
      </w:r>
      <w:r w:rsidR="005E3AB5" w:rsidRPr="005E3AB5">
        <w:rPr>
          <w:i/>
          <w:iCs/>
        </w:rPr>
        <w:t>i</w:t>
      </w:r>
      <w:r w:rsidRPr="005E3AB5">
        <w:rPr>
          <w:i/>
          <w:iCs/>
        </w:rPr>
        <w:t xml:space="preserve">n Grape </w:t>
      </w:r>
      <w:r w:rsidR="005E3AB5" w:rsidRPr="005E3AB5">
        <w:rPr>
          <w:i/>
          <w:iCs/>
        </w:rPr>
        <w:t>a</w:t>
      </w:r>
      <w:r w:rsidRPr="005E3AB5">
        <w:rPr>
          <w:i/>
          <w:iCs/>
        </w:rPr>
        <w:t>nd Wine (Interim Report)</w:t>
      </w:r>
      <w:r w:rsidRPr="00426C3A">
        <w:t xml:space="preserve">, </w:t>
      </w:r>
      <w:r w:rsidR="005E3AB5" w:rsidRPr="00426C3A">
        <w:t xml:space="preserve">unpublished, study number </w:t>
      </w:r>
      <w:r w:rsidRPr="00426C3A">
        <w:t>BR-0227, Sumitomo Chemical Australia Pty Ltd</w:t>
      </w:r>
      <w:r w:rsidR="005E3AB5">
        <w:t>.</w:t>
      </w:r>
    </w:p>
    <w:p w14:paraId="5E3B956A" w14:textId="75C2A008" w:rsidR="00426C3A" w:rsidRPr="00426C3A" w:rsidRDefault="00426C3A" w:rsidP="00D05130">
      <w:pPr>
        <w:pStyle w:val="APVMAText"/>
      </w:pPr>
      <w:r w:rsidRPr="00426C3A">
        <w:t xml:space="preserve">Kato, S. </w:t>
      </w:r>
      <w:r w:rsidR="005E3AB5">
        <w:t>(</w:t>
      </w:r>
      <w:r w:rsidRPr="00426C3A">
        <w:t>1977</w:t>
      </w:r>
      <w:r w:rsidR="005E3AB5">
        <w:t>)</w:t>
      </w:r>
      <w:r w:rsidRPr="00426C3A">
        <w:t xml:space="preserve"> </w:t>
      </w:r>
      <w:r w:rsidRPr="005E3AB5">
        <w:rPr>
          <w:i/>
          <w:iCs/>
        </w:rPr>
        <w:t xml:space="preserve">Residue Data of </w:t>
      </w:r>
      <w:proofErr w:type="spellStart"/>
      <w:r w:rsidRPr="005E3AB5">
        <w:rPr>
          <w:i/>
          <w:iCs/>
        </w:rPr>
        <w:t>Sumilex</w:t>
      </w:r>
      <w:proofErr w:type="spellEnd"/>
      <w:r w:rsidRPr="005E3AB5">
        <w:rPr>
          <w:i/>
          <w:iCs/>
        </w:rPr>
        <w:t xml:space="preserve"> 50WP in Potato (Trial in </w:t>
      </w:r>
      <w:proofErr w:type="spellStart"/>
      <w:r w:rsidRPr="005E3AB5">
        <w:rPr>
          <w:i/>
          <w:iCs/>
        </w:rPr>
        <w:t>Hokkaidou</w:t>
      </w:r>
      <w:proofErr w:type="spellEnd"/>
      <w:r w:rsidRPr="005E3AB5">
        <w:rPr>
          <w:i/>
          <w:iCs/>
        </w:rPr>
        <w:t>)</w:t>
      </w:r>
      <w:r w:rsidRPr="00426C3A">
        <w:t xml:space="preserve">, </w:t>
      </w:r>
      <w:r w:rsidR="005E3AB5" w:rsidRPr="00426C3A">
        <w:t xml:space="preserve">unpublished, study number </w:t>
      </w:r>
      <w:r w:rsidRPr="00426C3A">
        <w:t>BR-0256, Sumitomo Chemical Australia Pty Ltd</w:t>
      </w:r>
      <w:r w:rsidR="005E3AB5">
        <w:t>.</w:t>
      </w:r>
    </w:p>
    <w:p w14:paraId="2EDFF1F4" w14:textId="4682415A" w:rsidR="00426C3A" w:rsidRPr="00426C3A" w:rsidRDefault="00426C3A" w:rsidP="00D05130">
      <w:pPr>
        <w:pStyle w:val="APVMAText"/>
      </w:pPr>
      <w:r w:rsidRPr="00426C3A">
        <w:t xml:space="preserve">Kato, T. </w:t>
      </w:r>
      <w:r w:rsidR="005E3AB5">
        <w:t>(</w:t>
      </w:r>
      <w:r w:rsidRPr="00426C3A">
        <w:t>1977</w:t>
      </w:r>
      <w:r w:rsidR="005E3AB5">
        <w:t>)</w:t>
      </w:r>
      <w:r w:rsidRPr="00426C3A">
        <w:t xml:space="preserve"> </w:t>
      </w:r>
      <w:r w:rsidRPr="005E3AB5">
        <w:rPr>
          <w:i/>
          <w:iCs/>
        </w:rPr>
        <w:t>Residue Data for Procymidone in Potatoes</w:t>
      </w:r>
      <w:r w:rsidRPr="00426C3A">
        <w:t xml:space="preserve">, </w:t>
      </w:r>
      <w:r w:rsidR="005E3AB5" w:rsidRPr="00426C3A">
        <w:t xml:space="preserve">unpublished, study number </w:t>
      </w:r>
      <w:r w:rsidRPr="00426C3A">
        <w:t>BR-0100, Sumitomo Chemical Australia Pty Ltd</w:t>
      </w:r>
      <w:r w:rsidR="005E3AB5">
        <w:t>.</w:t>
      </w:r>
    </w:p>
    <w:p w14:paraId="6051ED70" w14:textId="0E11E9A6" w:rsidR="00426C3A" w:rsidRPr="00426C3A" w:rsidRDefault="00426C3A" w:rsidP="00D05130">
      <w:pPr>
        <w:pStyle w:val="APVMAText"/>
      </w:pPr>
      <w:r w:rsidRPr="00426C3A">
        <w:t xml:space="preserve">Kato, T. </w:t>
      </w:r>
      <w:r w:rsidR="005E3AB5">
        <w:t>(</w:t>
      </w:r>
      <w:r w:rsidRPr="00426C3A">
        <w:t>1977</w:t>
      </w:r>
      <w:r w:rsidR="005E3AB5">
        <w:t>)</w:t>
      </w:r>
      <w:r w:rsidRPr="00426C3A">
        <w:t xml:space="preserve"> </w:t>
      </w:r>
      <w:r w:rsidRPr="005E3AB5">
        <w:rPr>
          <w:i/>
          <w:iCs/>
        </w:rPr>
        <w:t xml:space="preserve">Residue Data of </w:t>
      </w:r>
      <w:proofErr w:type="spellStart"/>
      <w:r w:rsidRPr="005E3AB5">
        <w:rPr>
          <w:i/>
          <w:iCs/>
        </w:rPr>
        <w:t>Sumilex</w:t>
      </w:r>
      <w:proofErr w:type="spellEnd"/>
      <w:r w:rsidRPr="005E3AB5">
        <w:rPr>
          <w:i/>
          <w:iCs/>
        </w:rPr>
        <w:t xml:space="preserve"> 50WP in Potato (Trial in Hokkaido)</w:t>
      </w:r>
      <w:r w:rsidRPr="00426C3A">
        <w:t xml:space="preserve">, </w:t>
      </w:r>
      <w:r w:rsidR="005E3AB5" w:rsidRPr="00426C3A">
        <w:t xml:space="preserve">unpublished, study number </w:t>
      </w:r>
      <w:r w:rsidRPr="00426C3A">
        <w:t>BR-0257, Sumitomo Chemical Australia Pty Ltd</w:t>
      </w:r>
      <w:r w:rsidR="005E3AB5">
        <w:t>.</w:t>
      </w:r>
    </w:p>
    <w:p w14:paraId="420ECCAF" w14:textId="603D3183" w:rsidR="00426C3A" w:rsidRPr="00426C3A" w:rsidRDefault="00426C3A" w:rsidP="00D05130">
      <w:pPr>
        <w:pStyle w:val="APVMAText"/>
      </w:pPr>
      <w:r w:rsidRPr="00426C3A">
        <w:t xml:space="preserve">Kato, T. </w:t>
      </w:r>
      <w:r w:rsidR="005E3AB5">
        <w:t>(</w:t>
      </w:r>
      <w:r w:rsidRPr="00426C3A">
        <w:t>1977</w:t>
      </w:r>
      <w:r w:rsidR="005E3AB5">
        <w:t>)</w:t>
      </w:r>
      <w:r w:rsidRPr="00426C3A">
        <w:t xml:space="preserve"> </w:t>
      </w:r>
      <w:proofErr w:type="spellStart"/>
      <w:r w:rsidRPr="005E3AB5">
        <w:rPr>
          <w:i/>
          <w:iCs/>
        </w:rPr>
        <w:t>Sumisclex</w:t>
      </w:r>
      <w:proofErr w:type="spellEnd"/>
      <w:r w:rsidRPr="005E3AB5">
        <w:rPr>
          <w:i/>
          <w:iCs/>
        </w:rPr>
        <w:t xml:space="preserve"> Residues on Cherry</w:t>
      </w:r>
      <w:r w:rsidRPr="00426C3A">
        <w:t xml:space="preserve">, </w:t>
      </w:r>
      <w:r w:rsidR="005E3AB5" w:rsidRPr="00426C3A">
        <w:t xml:space="preserve">unpublished, study number </w:t>
      </w:r>
      <w:r w:rsidRPr="00426C3A">
        <w:t>BR-0135, Sumitomo Chemical Australia Pty Ltd</w:t>
      </w:r>
      <w:r w:rsidR="005E3AB5">
        <w:t>.</w:t>
      </w:r>
    </w:p>
    <w:p w14:paraId="4CCF3E19" w14:textId="26A14EE0" w:rsidR="00426C3A" w:rsidRPr="00426C3A" w:rsidRDefault="00426C3A" w:rsidP="00D05130">
      <w:pPr>
        <w:pStyle w:val="APVMAText"/>
      </w:pPr>
      <w:r w:rsidRPr="00426C3A">
        <w:t xml:space="preserve">Kimura, K., Shiba, K. and </w:t>
      </w:r>
      <w:proofErr w:type="spellStart"/>
      <w:r w:rsidRPr="00426C3A">
        <w:t>Iba</w:t>
      </w:r>
      <w:proofErr w:type="spellEnd"/>
      <w:r w:rsidRPr="00426C3A">
        <w:t xml:space="preserve">, K. </w:t>
      </w:r>
      <w:r w:rsidR="005E3AB5">
        <w:t>(</w:t>
      </w:r>
      <w:r w:rsidRPr="00426C3A">
        <w:t>1988</w:t>
      </w:r>
      <w:r w:rsidR="005E3AB5">
        <w:t>)</w:t>
      </w:r>
      <w:r w:rsidRPr="00426C3A">
        <w:t xml:space="preserve"> </w:t>
      </w:r>
      <w:r w:rsidRPr="005E3AB5">
        <w:rPr>
          <w:i/>
          <w:iCs/>
        </w:rPr>
        <w:t>Comparative Metabolism of Procymidone in Rats and Mice</w:t>
      </w:r>
      <w:r w:rsidRPr="00426C3A">
        <w:t xml:space="preserve">, </w:t>
      </w:r>
      <w:r w:rsidR="005E3AB5" w:rsidRPr="00426C3A">
        <w:t xml:space="preserve">unpublished, study number </w:t>
      </w:r>
      <w:r w:rsidRPr="00426C3A">
        <w:t>BM-0019, Sumitomo Chemical Australia Pty Ltd</w:t>
      </w:r>
      <w:r w:rsidR="005E3AB5">
        <w:t>.</w:t>
      </w:r>
    </w:p>
    <w:p w14:paraId="458E2DD5" w14:textId="155BAA84" w:rsidR="00426C3A" w:rsidRPr="00426C3A" w:rsidRDefault="00426C3A" w:rsidP="00D05130">
      <w:pPr>
        <w:pStyle w:val="APVMAText"/>
      </w:pPr>
      <w:r w:rsidRPr="00426C3A">
        <w:t>Macdonald, I.A.</w:t>
      </w:r>
      <w:r w:rsidR="005E3AB5">
        <w:t xml:space="preserve"> and </w:t>
      </w:r>
      <w:r w:rsidRPr="00426C3A">
        <w:t xml:space="preserve">Gillis, N.A. </w:t>
      </w:r>
      <w:r w:rsidR="005E3AB5">
        <w:t>(</w:t>
      </w:r>
      <w:r w:rsidRPr="00426C3A">
        <w:t>1992</w:t>
      </w:r>
      <w:r w:rsidR="005E3AB5">
        <w:t>)</w:t>
      </w:r>
      <w:r w:rsidRPr="00426C3A">
        <w:t xml:space="preserve"> </w:t>
      </w:r>
      <w:r w:rsidRPr="005E3AB5">
        <w:rPr>
          <w:i/>
          <w:iCs/>
        </w:rPr>
        <w:t>Procymidone Determination of the Storage Stability in Grapes and Wine</w:t>
      </w:r>
      <w:r w:rsidRPr="00426C3A">
        <w:t xml:space="preserve">, </w:t>
      </w:r>
      <w:r w:rsidR="005E3AB5" w:rsidRPr="00426C3A">
        <w:t xml:space="preserve">unpublished, study number </w:t>
      </w:r>
      <w:r w:rsidRPr="00426C3A">
        <w:t>BR-0326, Sumitomo Chemical Australia Pty Ltd</w:t>
      </w:r>
      <w:r w:rsidR="005E3AB5">
        <w:t>.</w:t>
      </w:r>
    </w:p>
    <w:p w14:paraId="7A811BAB" w14:textId="78A933D6" w:rsidR="00426C3A" w:rsidRPr="00426C3A" w:rsidRDefault="00426C3A" w:rsidP="00D05130">
      <w:pPr>
        <w:pStyle w:val="APVMAText"/>
      </w:pPr>
      <w:r w:rsidRPr="00426C3A">
        <w:lastRenderedPageBreak/>
        <w:t>Macdonald, I.A., Gillis, N.A.</w:t>
      </w:r>
      <w:r w:rsidR="005E3AB5">
        <w:t xml:space="preserve"> and </w:t>
      </w:r>
      <w:r w:rsidRPr="00426C3A">
        <w:t xml:space="preserve">Burgin, M.J. </w:t>
      </w:r>
      <w:r w:rsidR="005E3AB5">
        <w:t>(</w:t>
      </w:r>
      <w:r w:rsidRPr="00426C3A">
        <w:t>1992</w:t>
      </w:r>
      <w:r w:rsidR="005E3AB5">
        <w:t>)</w:t>
      </w:r>
      <w:r w:rsidRPr="00426C3A">
        <w:t xml:space="preserve"> </w:t>
      </w:r>
      <w:r w:rsidRPr="005E3AB5">
        <w:rPr>
          <w:i/>
          <w:iCs/>
        </w:rPr>
        <w:t>3,5-Dichloroaniline Determination of Residual Concentrations in Stored Wine</w:t>
      </w:r>
      <w:r w:rsidRPr="00426C3A">
        <w:t xml:space="preserve">, </w:t>
      </w:r>
      <w:r w:rsidR="005E3AB5" w:rsidRPr="00426C3A">
        <w:t xml:space="preserve">unpublished, study number </w:t>
      </w:r>
      <w:r w:rsidRPr="00426C3A">
        <w:t>BR-0319, Sumitomo Chemical Australia Pty Ltd</w:t>
      </w:r>
      <w:r w:rsidR="005E3AB5">
        <w:t>.</w:t>
      </w:r>
    </w:p>
    <w:p w14:paraId="460F606A" w14:textId="0E368731" w:rsidR="00426C3A" w:rsidRPr="00426C3A" w:rsidRDefault="00426C3A" w:rsidP="00D05130">
      <w:pPr>
        <w:pStyle w:val="APVMAText"/>
      </w:pPr>
      <w:r w:rsidRPr="00426C3A">
        <w:t>Macdonald, I.A., Gillis, N.A.</w:t>
      </w:r>
      <w:r w:rsidR="005E3AB5">
        <w:t xml:space="preserve"> and </w:t>
      </w:r>
      <w:r w:rsidRPr="00426C3A">
        <w:t xml:space="preserve">Howie, D. </w:t>
      </w:r>
      <w:r w:rsidR="005E3AB5">
        <w:t>(</w:t>
      </w:r>
      <w:r w:rsidRPr="00426C3A">
        <w:t>1992</w:t>
      </w:r>
      <w:r w:rsidR="005E3AB5">
        <w:t>)</w:t>
      </w:r>
      <w:r w:rsidRPr="00426C3A">
        <w:t xml:space="preserve"> </w:t>
      </w:r>
      <w:r w:rsidRPr="005E3AB5">
        <w:rPr>
          <w:i/>
          <w:iCs/>
        </w:rPr>
        <w:t>Procymidone Determination of Residual Concentrations in Grape, Wine, Must and Pomace from Field Trials in Italy (Study A)</w:t>
      </w:r>
      <w:r w:rsidRPr="00426C3A">
        <w:t xml:space="preserve">, </w:t>
      </w:r>
      <w:r w:rsidR="005E3AB5" w:rsidRPr="00426C3A">
        <w:t xml:space="preserve">unpublished, study number </w:t>
      </w:r>
      <w:r w:rsidRPr="00426C3A">
        <w:t>BR-0298, Sumitomo Chemical Australia Pty Ltd</w:t>
      </w:r>
      <w:r w:rsidR="005E3AB5">
        <w:t>.</w:t>
      </w:r>
    </w:p>
    <w:p w14:paraId="56F28E8F" w14:textId="5CED0C62" w:rsidR="00426C3A" w:rsidRPr="00426C3A" w:rsidRDefault="00426C3A" w:rsidP="00D05130">
      <w:pPr>
        <w:pStyle w:val="APVMAText"/>
      </w:pPr>
      <w:r w:rsidRPr="00426C3A">
        <w:t>Macdonald, I.A., Gillis, N.A.</w:t>
      </w:r>
      <w:r w:rsidR="005E3AB5">
        <w:t xml:space="preserve"> and</w:t>
      </w:r>
      <w:r w:rsidRPr="00426C3A">
        <w:t xml:space="preserve"> Howie, D. </w:t>
      </w:r>
      <w:r w:rsidR="005E3AB5">
        <w:t>(</w:t>
      </w:r>
      <w:r w:rsidRPr="00426C3A">
        <w:t>1992</w:t>
      </w:r>
      <w:r w:rsidR="005E3AB5">
        <w:t>.</w:t>
      </w:r>
      <w:r w:rsidRPr="00426C3A">
        <w:t xml:space="preserve"> </w:t>
      </w:r>
      <w:r w:rsidRPr="005E3AB5">
        <w:rPr>
          <w:i/>
          <w:iCs/>
        </w:rPr>
        <w:t>Procymidone Determination of Residual Concentrations in Grape, Wine, Must and Pomace from Field Trials in Italy (Study B)</w:t>
      </w:r>
      <w:r w:rsidRPr="00426C3A">
        <w:t xml:space="preserve">, </w:t>
      </w:r>
      <w:r w:rsidR="005E3AB5" w:rsidRPr="00426C3A">
        <w:t xml:space="preserve">unpublished, study number </w:t>
      </w:r>
      <w:r w:rsidRPr="00426C3A">
        <w:t>BR-0302, Sumitomo Chemical Australia Pty Ltd</w:t>
      </w:r>
      <w:r w:rsidR="005E3AB5">
        <w:t>.</w:t>
      </w:r>
    </w:p>
    <w:p w14:paraId="3253EBCD" w14:textId="0D01048A" w:rsidR="00426C3A" w:rsidRPr="00426C3A" w:rsidRDefault="00426C3A" w:rsidP="00D05130">
      <w:pPr>
        <w:pStyle w:val="APVMAText"/>
      </w:pPr>
      <w:r w:rsidRPr="00426C3A">
        <w:t>Macdonald, I.A., Gillis, N.A.</w:t>
      </w:r>
      <w:r w:rsidR="005E3AB5">
        <w:t xml:space="preserve"> and</w:t>
      </w:r>
      <w:r w:rsidRPr="00426C3A">
        <w:t xml:space="preserve"> Howie, D. </w:t>
      </w:r>
      <w:r w:rsidR="005E3AB5">
        <w:t>(</w:t>
      </w:r>
      <w:r w:rsidRPr="00426C3A">
        <w:t>1992</w:t>
      </w:r>
      <w:r w:rsidR="005E3AB5">
        <w:t xml:space="preserve">) </w:t>
      </w:r>
      <w:r w:rsidRPr="005E3AB5">
        <w:rPr>
          <w:i/>
          <w:iCs/>
        </w:rPr>
        <w:t>Procymidone Determination of Residual Concentrations in Grapes, Wine, Must and Pomace from Field Trials in France (Study B)</w:t>
      </w:r>
      <w:r w:rsidRPr="00426C3A">
        <w:t xml:space="preserve">, </w:t>
      </w:r>
      <w:r w:rsidR="005E3AB5" w:rsidRPr="00426C3A">
        <w:t xml:space="preserve">unpublished, study number </w:t>
      </w:r>
      <w:r w:rsidRPr="00426C3A">
        <w:t>BR-0301, Sumitomo Chemical Australia Pty Ltd</w:t>
      </w:r>
      <w:r w:rsidR="005E3AB5">
        <w:t>.</w:t>
      </w:r>
    </w:p>
    <w:p w14:paraId="5889E7DF" w14:textId="7B17DC0D" w:rsidR="00426C3A" w:rsidRPr="00426C3A" w:rsidRDefault="00426C3A" w:rsidP="00D05130">
      <w:pPr>
        <w:pStyle w:val="APVMAText"/>
      </w:pPr>
      <w:r w:rsidRPr="00426C3A">
        <w:t>Macdonald, I.A., Gillis, N.A.</w:t>
      </w:r>
      <w:r w:rsidR="005E3AB5">
        <w:t xml:space="preserve"> and </w:t>
      </w:r>
      <w:r w:rsidRPr="00426C3A">
        <w:t xml:space="preserve">Howie, D. </w:t>
      </w:r>
      <w:r w:rsidR="005E3AB5">
        <w:t>(</w:t>
      </w:r>
      <w:r w:rsidRPr="00426C3A">
        <w:t>1992</w:t>
      </w:r>
      <w:r w:rsidR="005E3AB5">
        <w:t>)</w:t>
      </w:r>
      <w:r w:rsidRPr="00426C3A">
        <w:t xml:space="preserve"> </w:t>
      </w:r>
      <w:r w:rsidRPr="005E3AB5">
        <w:rPr>
          <w:i/>
          <w:iCs/>
        </w:rPr>
        <w:t>Procymidone Determination of Storage Stability at Residue Levels in Must and Pomace</w:t>
      </w:r>
      <w:r w:rsidRPr="00426C3A">
        <w:t xml:space="preserve">, </w:t>
      </w:r>
      <w:r w:rsidR="005E3AB5" w:rsidRPr="00426C3A">
        <w:t xml:space="preserve">unpublished, study number </w:t>
      </w:r>
      <w:r w:rsidRPr="00426C3A">
        <w:t>BR-0318, Sumitomo Chemical Australia Pty Ltd</w:t>
      </w:r>
      <w:r w:rsidR="005E3AB5">
        <w:t>.</w:t>
      </w:r>
    </w:p>
    <w:p w14:paraId="3D912C08" w14:textId="5D61C838" w:rsidR="00426C3A" w:rsidRPr="00426C3A" w:rsidRDefault="00426C3A" w:rsidP="00D05130">
      <w:pPr>
        <w:pStyle w:val="APVMAText"/>
      </w:pPr>
      <w:r w:rsidRPr="00426C3A">
        <w:t>Macdonald, I.A., Gillis, N.A.</w:t>
      </w:r>
      <w:r w:rsidR="005E3AB5">
        <w:t xml:space="preserve"> and</w:t>
      </w:r>
      <w:r w:rsidRPr="00426C3A">
        <w:t xml:space="preserve"> Howie, D. </w:t>
      </w:r>
      <w:r w:rsidR="005E3AB5">
        <w:t>(</w:t>
      </w:r>
      <w:r w:rsidRPr="00426C3A">
        <w:t>1992</w:t>
      </w:r>
      <w:r w:rsidR="005E3AB5">
        <w:t>.</w:t>
      </w:r>
      <w:r w:rsidRPr="00426C3A">
        <w:t xml:space="preserve"> </w:t>
      </w:r>
      <w:r w:rsidRPr="005E3AB5">
        <w:rPr>
          <w:i/>
          <w:iCs/>
        </w:rPr>
        <w:t xml:space="preserve">Procymidone Determination of Residual Concentrations in Grapes and Wine from Field Trials in France, </w:t>
      </w:r>
      <w:proofErr w:type="gramStart"/>
      <w:r w:rsidRPr="005E3AB5">
        <w:rPr>
          <w:i/>
          <w:iCs/>
        </w:rPr>
        <w:t>Italy</w:t>
      </w:r>
      <w:proofErr w:type="gramEnd"/>
      <w:r w:rsidRPr="005E3AB5">
        <w:rPr>
          <w:i/>
          <w:iCs/>
        </w:rPr>
        <w:t xml:space="preserve"> and Bulgaria (Study B)</w:t>
      </w:r>
      <w:r w:rsidRPr="00426C3A">
        <w:t xml:space="preserve">, </w:t>
      </w:r>
      <w:r w:rsidR="005E3AB5" w:rsidRPr="00426C3A">
        <w:t xml:space="preserve">unpublished, study number </w:t>
      </w:r>
      <w:r w:rsidRPr="00426C3A">
        <w:t>BR-0327, Sumitomo Chemical Australia Pty Ltd</w:t>
      </w:r>
      <w:r w:rsidR="005E3AB5">
        <w:t>.</w:t>
      </w:r>
    </w:p>
    <w:p w14:paraId="0552F677" w14:textId="0B4B02F5" w:rsidR="00426C3A" w:rsidRPr="00426C3A" w:rsidRDefault="00426C3A" w:rsidP="00D05130">
      <w:pPr>
        <w:pStyle w:val="APVMAText"/>
      </w:pPr>
      <w:r w:rsidRPr="00426C3A">
        <w:t>Macdonald, I.A., Gillis, N.A.</w:t>
      </w:r>
      <w:r w:rsidR="005E3AB5">
        <w:t xml:space="preserve"> and</w:t>
      </w:r>
      <w:r w:rsidRPr="00426C3A">
        <w:t xml:space="preserve"> Howie, D. </w:t>
      </w:r>
      <w:r w:rsidR="005E3AB5">
        <w:t>(</w:t>
      </w:r>
      <w:r w:rsidRPr="00426C3A">
        <w:t>1995</w:t>
      </w:r>
      <w:r w:rsidR="005E3AB5">
        <w:t>)</w:t>
      </w:r>
      <w:r w:rsidRPr="00426C3A">
        <w:t xml:space="preserve"> </w:t>
      </w:r>
      <w:r w:rsidRPr="005E3AB5">
        <w:rPr>
          <w:i/>
          <w:iCs/>
        </w:rPr>
        <w:t xml:space="preserve">3,5-Dichloroaniline / Comparison </w:t>
      </w:r>
      <w:proofErr w:type="gramStart"/>
      <w:r w:rsidRPr="005E3AB5">
        <w:rPr>
          <w:i/>
          <w:iCs/>
        </w:rPr>
        <w:t>Of</w:t>
      </w:r>
      <w:proofErr w:type="gramEnd"/>
      <w:r w:rsidRPr="005E3AB5">
        <w:rPr>
          <w:i/>
          <w:iCs/>
        </w:rPr>
        <w:t xml:space="preserve"> Methods Of Analysis Used </w:t>
      </w:r>
      <w:r w:rsidR="005E3AB5" w:rsidRPr="005E3AB5">
        <w:rPr>
          <w:i/>
          <w:iCs/>
        </w:rPr>
        <w:t>i</w:t>
      </w:r>
      <w:r w:rsidRPr="005E3AB5">
        <w:rPr>
          <w:i/>
          <w:iCs/>
        </w:rPr>
        <w:t xml:space="preserve">n </w:t>
      </w:r>
      <w:r w:rsidR="005E3AB5" w:rsidRPr="005E3AB5">
        <w:rPr>
          <w:i/>
          <w:iCs/>
        </w:rPr>
        <w:t>t</w:t>
      </w:r>
      <w:r w:rsidRPr="005E3AB5">
        <w:rPr>
          <w:i/>
          <w:iCs/>
        </w:rPr>
        <w:t xml:space="preserve">he Determination </w:t>
      </w:r>
      <w:r w:rsidR="005E3AB5" w:rsidRPr="005E3AB5">
        <w:rPr>
          <w:i/>
          <w:iCs/>
        </w:rPr>
        <w:t>o</w:t>
      </w:r>
      <w:r w:rsidRPr="005E3AB5">
        <w:rPr>
          <w:i/>
          <w:iCs/>
        </w:rPr>
        <w:t xml:space="preserve">f 3,5-Dichloroaniline </w:t>
      </w:r>
      <w:r w:rsidR="005E3AB5" w:rsidRPr="005E3AB5">
        <w:rPr>
          <w:i/>
          <w:iCs/>
        </w:rPr>
        <w:t>i</w:t>
      </w:r>
      <w:r w:rsidRPr="005E3AB5">
        <w:rPr>
          <w:i/>
          <w:iCs/>
        </w:rPr>
        <w:t xml:space="preserve">n Wine, </w:t>
      </w:r>
      <w:r w:rsidR="005E3AB5" w:rsidRPr="005E3AB5">
        <w:rPr>
          <w:i/>
          <w:iCs/>
        </w:rPr>
        <w:t>a</w:t>
      </w:r>
      <w:r w:rsidRPr="005E3AB5">
        <w:rPr>
          <w:i/>
          <w:iCs/>
        </w:rPr>
        <w:t xml:space="preserve">nd </w:t>
      </w:r>
      <w:r w:rsidR="005E3AB5" w:rsidRPr="005E3AB5">
        <w:rPr>
          <w:i/>
          <w:iCs/>
        </w:rPr>
        <w:t>t</w:t>
      </w:r>
      <w:r w:rsidRPr="005E3AB5">
        <w:rPr>
          <w:i/>
          <w:iCs/>
        </w:rPr>
        <w:t xml:space="preserve">he Analysis </w:t>
      </w:r>
      <w:r w:rsidR="005E3AB5" w:rsidRPr="005E3AB5">
        <w:rPr>
          <w:i/>
          <w:iCs/>
        </w:rPr>
        <w:t>o</w:t>
      </w:r>
      <w:r w:rsidRPr="005E3AB5">
        <w:rPr>
          <w:i/>
          <w:iCs/>
        </w:rPr>
        <w:t xml:space="preserve">f 36 Month Aged Wine </w:t>
      </w:r>
      <w:r w:rsidR="005E3AB5" w:rsidRPr="005E3AB5">
        <w:rPr>
          <w:i/>
          <w:iCs/>
        </w:rPr>
        <w:t>b</w:t>
      </w:r>
      <w:r w:rsidRPr="005E3AB5">
        <w:rPr>
          <w:i/>
          <w:iCs/>
        </w:rPr>
        <w:t xml:space="preserve">y 2 Separate Methods </w:t>
      </w:r>
      <w:r w:rsidR="005E3AB5" w:rsidRPr="005E3AB5">
        <w:rPr>
          <w:i/>
          <w:iCs/>
        </w:rPr>
        <w:t>o</w:t>
      </w:r>
      <w:r w:rsidRPr="005E3AB5">
        <w:rPr>
          <w:i/>
          <w:iCs/>
        </w:rPr>
        <w:t>f Analysis</w:t>
      </w:r>
      <w:r w:rsidRPr="00426C3A">
        <w:t xml:space="preserve">, </w:t>
      </w:r>
      <w:r w:rsidR="005E3AB5" w:rsidRPr="00426C3A">
        <w:t xml:space="preserve">unpublished, study number </w:t>
      </w:r>
      <w:r w:rsidRPr="00426C3A">
        <w:t>BR-0468, Sumitomo Chemical Australia Pty Ltd</w:t>
      </w:r>
      <w:r w:rsidR="005E3AB5">
        <w:t>.</w:t>
      </w:r>
    </w:p>
    <w:p w14:paraId="5AC5F89D" w14:textId="1143D0CB" w:rsidR="00426C3A" w:rsidRPr="00426C3A" w:rsidRDefault="00426C3A" w:rsidP="00D05130">
      <w:pPr>
        <w:pStyle w:val="APVMAText"/>
      </w:pPr>
      <w:r w:rsidRPr="00426C3A">
        <w:t>Macdonald, I.A., Gillis, N.A.</w:t>
      </w:r>
      <w:r w:rsidR="005E3AB5">
        <w:t xml:space="preserve"> and</w:t>
      </w:r>
      <w:r w:rsidRPr="00426C3A">
        <w:t xml:space="preserve"> Howie, D. </w:t>
      </w:r>
      <w:r w:rsidR="005E3AB5">
        <w:t>(</w:t>
      </w:r>
      <w:r w:rsidRPr="00426C3A">
        <w:t>1995</w:t>
      </w:r>
      <w:r w:rsidR="005E3AB5">
        <w:t>)</w:t>
      </w:r>
      <w:r w:rsidRPr="00426C3A">
        <w:t xml:space="preserve"> </w:t>
      </w:r>
      <w:r w:rsidRPr="005E3AB5">
        <w:rPr>
          <w:i/>
          <w:iCs/>
        </w:rPr>
        <w:t>Determination of Residual Concentration in Cellar Stored Wine Following Field Trials in Europe (1990 Trials)</w:t>
      </w:r>
      <w:r w:rsidRPr="00426C3A">
        <w:t xml:space="preserve">, </w:t>
      </w:r>
      <w:r w:rsidR="005E3AB5" w:rsidRPr="00426C3A">
        <w:t xml:space="preserve">unpublished, study number </w:t>
      </w:r>
      <w:r w:rsidRPr="00426C3A">
        <w:t>BR-0471, Sumitomo Chemical Australia Pty Ltd</w:t>
      </w:r>
      <w:r w:rsidR="005E3AB5">
        <w:t>.</w:t>
      </w:r>
    </w:p>
    <w:p w14:paraId="77DF8084" w14:textId="57BD3915" w:rsidR="00426C3A" w:rsidRPr="00426C3A" w:rsidRDefault="00426C3A" w:rsidP="00D05130">
      <w:pPr>
        <w:pStyle w:val="APVMAText"/>
      </w:pPr>
      <w:r w:rsidRPr="00426C3A">
        <w:t>Macdonald, I.A., Gillis, N.A.</w:t>
      </w:r>
      <w:r w:rsidR="005E3AB5">
        <w:t xml:space="preserve"> and</w:t>
      </w:r>
      <w:r w:rsidRPr="00426C3A">
        <w:t xml:space="preserve"> Howie, D. </w:t>
      </w:r>
      <w:r w:rsidRPr="00E456D9">
        <w:rPr>
          <w:i/>
          <w:iCs/>
        </w:rPr>
        <w:t>et al</w:t>
      </w:r>
      <w:r w:rsidRPr="00426C3A">
        <w:t xml:space="preserve">. </w:t>
      </w:r>
      <w:r w:rsidR="005E3AB5">
        <w:t>(</w:t>
      </w:r>
      <w:r w:rsidRPr="00426C3A">
        <w:t>1992</w:t>
      </w:r>
      <w:r w:rsidR="005E3AB5">
        <w:t>)</w:t>
      </w:r>
      <w:r w:rsidRPr="00426C3A">
        <w:t xml:space="preserve"> </w:t>
      </w:r>
      <w:r w:rsidRPr="005E3AB5">
        <w:rPr>
          <w:i/>
          <w:iCs/>
        </w:rPr>
        <w:t>Procymidone Determination of Residual Concentrations in Grape, Wine, Must and Pomace from Field Trials in France (Study A)</w:t>
      </w:r>
      <w:r w:rsidRPr="00426C3A">
        <w:t xml:space="preserve">, </w:t>
      </w:r>
      <w:r w:rsidR="005E3AB5" w:rsidRPr="00426C3A">
        <w:t>unpublished, study number</w:t>
      </w:r>
      <w:r w:rsidRPr="00426C3A">
        <w:t xml:space="preserve"> BR-0297, Sumitomo Chemical Australia Pty Ltd</w:t>
      </w:r>
      <w:r w:rsidR="005E3AB5">
        <w:t>.</w:t>
      </w:r>
    </w:p>
    <w:p w14:paraId="54522DDB" w14:textId="08675CA1" w:rsidR="00426C3A" w:rsidRPr="00426C3A" w:rsidRDefault="00426C3A" w:rsidP="00D05130">
      <w:pPr>
        <w:pStyle w:val="APVMAText"/>
      </w:pPr>
      <w:r w:rsidRPr="00426C3A">
        <w:t>Macleod, S</w:t>
      </w:r>
      <w:r w:rsidR="005E3AB5">
        <w:t>.</w:t>
      </w:r>
      <w:r w:rsidRPr="00426C3A">
        <w:t xml:space="preserve">C. </w:t>
      </w:r>
      <w:r w:rsidR="005E3AB5">
        <w:t>(</w:t>
      </w:r>
      <w:r w:rsidRPr="00426C3A">
        <w:t>2003</w:t>
      </w:r>
      <w:r w:rsidR="005E3AB5">
        <w:t>)</w:t>
      </w:r>
      <w:r w:rsidRPr="00426C3A">
        <w:t xml:space="preserve"> </w:t>
      </w:r>
      <w:r w:rsidRPr="005E3AB5">
        <w:rPr>
          <w:i/>
          <w:iCs/>
        </w:rPr>
        <w:t xml:space="preserve">Determination </w:t>
      </w:r>
      <w:r w:rsidR="00852F7D" w:rsidRPr="005E3AB5">
        <w:rPr>
          <w:i/>
          <w:iCs/>
        </w:rPr>
        <w:t>of</w:t>
      </w:r>
      <w:r w:rsidRPr="005E3AB5">
        <w:rPr>
          <w:i/>
          <w:iCs/>
        </w:rPr>
        <w:t xml:space="preserve"> Procymidone Residues </w:t>
      </w:r>
      <w:r w:rsidR="005E3AB5" w:rsidRPr="005E3AB5">
        <w:rPr>
          <w:i/>
          <w:iCs/>
        </w:rPr>
        <w:t>in</w:t>
      </w:r>
      <w:r w:rsidRPr="005E3AB5">
        <w:rPr>
          <w:i/>
          <w:iCs/>
        </w:rPr>
        <w:t xml:space="preserve"> </w:t>
      </w:r>
      <w:proofErr w:type="spellStart"/>
      <w:r w:rsidRPr="005E3AB5">
        <w:rPr>
          <w:i/>
          <w:iCs/>
        </w:rPr>
        <w:t>Cassab</w:t>
      </w:r>
      <w:proofErr w:type="spellEnd"/>
      <w:r w:rsidRPr="005E3AB5">
        <w:rPr>
          <w:i/>
          <w:iCs/>
        </w:rPr>
        <w:t xml:space="preserve"> Lentil Grain </w:t>
      </w:r>
      <w:r w:rsidR="005E3AB5" w:rsidRPr="005E3AB5">
        <w:rPr>
          <w:i/>
          <w:iCs/>
        </w:rPr>
        <w:t>a</w:t>
      </w:r>
      <w:r w:rsidRPr="005E3AB5">
        <w:rPr>
          <w:i/>
          <w:iCs/>
        </w:rPr>
        <w:t xml:space="preserve">nd Straw Following 2 Applications </w:t>
      </w:r>
      <w:r w:rsidR="005E3AB5" w:rsidRPr="005E3AB5">
        <w:rPr>
          <w:i/>
          <w:iCs/>
        </w:rPr>
        <w:t>o</w:t>
      </w:r>
      <w:r w:rsidRPr="005E3AB5">
        <w:rPr>
          <w:i/>
          <w:iCs/>
        </w:rPr>
        <w:t xml:space="preserve">f </w:t>
      </w:r>
      <w:proofErr w:type="spellStart"/>
      <w:r w:rsidRPr="005E3AB5">
        <w:rPr>
          <w:i/>
          <w:iCs/>
        </w:rPr>
        <w:t>Sumisciex</w:t>
      </w:r>
      <w:proofErr w:type="spellEnd"/>
      <w:r w:rsidRPr="005E3AB5">
        <w:rPr>
          <w:i/>
          <w:iCs/>
        </w:rPr>
        <w:t xml:space="preserve"> 500 SC Fungicide </w:t>
      </w:r>
      <w:r w:rsidR="005E3AB5" w:rsidRPr="005E3AB5">
        <w:rPr>
          <w:i/>
          <w:iCs/>
        </w:rPr>
        <w:t>w</w:t>
      </w:r>
      <w:r w:rsidRPr="005E3AB5">
        <w:rPr>
          <w:i/>
          <w:iCs/>
        </w:rPr>
        <w:t xml:space="preserve">ith BS 1000, Applied </w:t>
      </w:r>
      <w:r w:rsidR="005E3AB5" w:rsidRPr="005E3AB5">
        <w:rPr>
          <w:i/>
          <w:iCs/>
        </w:rPr>
        <w:t>a</w:t>
      </w:r>
      <w:r w:rsidRPr="005E3AB5">
        <w:rPr>
          <w:i/>
          <w:iCs/>
        </w:rPr>
        <w:t xml:space="preserve">s 132 </w:t>
      </w:r>
      <w:r w:rsidR="005E3AB5" w:rsidRPr="005E3AB5">
        <w:rPr>
          <w:i/>
          <w:iCs/>
        </w:rPr>
        <w:t>a</w:t>
      </w:r>
      <w:r w:rsidRPr="005E3AB5">
        <w:rPr>
          <w:i/>
          <w:iCs/>
        </w:rPr>
        <w:t>nd 139 L/Ha Foliar Sprays – Natimuk, Victoria 2002</w:t>
      </w:r>
      <w:r w:rsidRPr="00426C3A">
        <w:t xml:space="preserve">, </w:t>
      </w:r>
      <w:r w:rsidR="005E3AB5" w:rsidRPr="00426C3A">
        <w:t xml:space="preserve">unpublished, study number </w:t>
      </w:r>
      <w:r w:rsidRPr="00426C3A">
        <w:t>SUM02431#1, Sumitomo Chemical Australia Pty Ltd</w:t>
      </w:r>
      <w:r w:rsidR="005E3AB5">
        <w:t>.</w:t>
      </w:r>
    </w:p>
    <w:p w14:paraId="6FB60598" w14:textId="78F52F8C" w:rsidR="00426C3A" w:rsidRPr="00426C3A" w:rsidRDefault="00426C3A" w:rsidP="00D05130">
      <w:pPr>
        <w:pStyle w:val="APVMAText"/>
      </w:pPr>
      <w:r w:rsidRPr="00426C3A">
        <w:t>Macleod, S</w:t>
      </w:r>
      <w:r w:rsidR="005E3AB5">
        <w:t>.</w:t>
      </w:r>
      <w:r w:rsidRPr="00426C3A">
        <w:t xml:space="preserve">C. </w:t>
      </w:r>
      <w:r w:rsidR="005E3AB5">
        <w:t>(</w:t>
      </w:r>
      <w:r w:rsidRPr="00426C3A">
        <w:t>2003</w:t>
      </w:r>
      <w:r w:rsidR="005E3AB5">
        <w:t>)</w:t>
      </w:r>
      <w:r w:rsidRPr="00426C3A">
        <w:t xml:space="preserve"> </w:t>
      </w:r>
      <w:r w:rsidRPr="005E3AB5">
        <w:rPr>
          <w:i/>
          <w:iCs/>
        </w:rPr>
        <w:t xml:space="preserve">Determination </w:t>
      </w:r>
      <w:r w:rsidR="00852F7D" w:rsidRPr="005E3AB5">
        <w:rPr>
          <w:i/>
          <w:iCs/>
        </w:rPr>
        <w:t>of</w:t>
      </w:r>
      <w:r w:rsidRPr="005E3AB5">
        <w:rPr>
          <w:i/>
          <w:iCs/>
        </w:rPr>
        <w:t xml:space="preserve"> Procymidone Residues </w:t>
      </w:r>
      <w:r w:rsidR="005E3AB5" w:rsidRPr="005E3AB5">
        <w:rPr>
          <w:i/>
          <w:iCs/>
        </w:rPr>
        <w:t>in</w:t>
      </w:r>
      <w:r w:rsidRPr="005E3AB5">
        <w:rPr>
          <w:i/>
          <w:iCs/>
        </w:rPr>
        <w:t xml:space="preserve"> Digger Lentil Grain </w:t>
      </w:r>
      <w:r w:rsidR="005E3AB5" w:rsidRPr="005E3AB5">
        <w:rPr>
          <w:i/>
          <w:iCs/>
        </w:rPr>
        <w:t>a</w:t>
      </w:r>
      <w:r w:rsidRPr="005E3AB5">
        <w:rPr>
          <w:i/>
          <w:iCs/>
        </w:rPr>
        <w:t xml:space="preserve">nd Straw Following 2 Applications </w:t>
      </w:r>
      <w:r w:rsidR="005E3AB5" w:rsidRPr="005E3AB5">
        <w:rPr>
          <w:i/>
          <w:iCs/>
        </w:rPr>
        <w:t>o</w:t>
      </w:r>
      <w:r w:rsidRPr="005E3AB5">
        <w:rPr>
          <w:i/>
          <w:iCs/>
        </w:rPr>
        <w:t xml:space="preserve">f </w:t>
      </w:r>
      <w:proofErr w:type="spellStart"/>
      <w:r w:rsidRPr="005E3AB5">
        <w:rPr>
          <w:i/>
          <w:iCs/>
        </w:rPr>
        <w:t>Sumisclex</w:t>
      </w:r>
      <w:proofErr w:type="spellEnd"/>
      <w:r w:rsidRPr="005E3AB5">
        <w:rPr>
          <w:i/>
          <w:iCs/>
        </w:rPr>
        <w:t xml:space="preserve"> 500 SC Fungicide </w:t>
      </w:r>
      <w:r w:rsidR="005E3AB5" w:rsidRPr="005E3AB5">
        <w:rPr>
          <w:i/>
          <w:iCs/>
        </w:rPr>
        <w:t>w</w:t>
      </w:r>
      <w:r w:rsidRPr="005E3AB5">
        <w:rPr>
          <w:i/>
          <w:iCs/>
        </w:rPr>
        <w:t xml:space="preserve">ith BS 1000, Applied </w:t>
      </w:r>
      <w:r w:rsidR="005E3AB5" w:rsidRPr="005E3AB5">
        <w:rPr>
          <w:i/>
          <w:iCs/>
        </w:rPr>
        <w:t>a</w:t>
      </w:r>
      <w:r w:rsidRPr="005E3AB5">
        <w:rPr>
          <w:i/>
          <w:iCs/>
        </w:rPr>
        <w:t>s 139 L/Ha Foliar Sprays – Naracoorte, S</w:t>
      </w:r>
      <w:r w:rsidR="005E3AB5" w:rsidRPr="005E3AB5">
        <w:rPr>
          <w:i/>
          <w:iCs/>
        </w:rPr>
        <w:t>A</w:t>
      </w:r>
      <w:r w:rsidRPr="005E3AB5">
        <w:rPr>
          <w:i/>
          <w:iCs/>
        </w:rPr>
        <w:t xml:space="preserve"> 2002</w:t>
      </w:r>
      <w:r w:rsidRPr="00426C3A">
        <w:t xml:space="preserve">, </w:t>
      </w:r>
      <w:r w:rsidR="005E3AB5" w:rsidRPr="00426C3A">
        <w:t xml:space="preserve">unpublished, study number </w:t>
      </w:r>
      <w:r w:rsidRPr="00426C3A">
        <w:t>SUM02431#2, Sumitomo Chemical Australia Pty Ltd</w:t>
      </w:r>
      <w:r w:rsidR="005E3AB5">
        <w:t>.</w:t>
      </w:r>
    </w:p>
    <w:p w14:paraId="35018CA9" w14:textId="101D6D85" w:rsidR="00426C3A" w:rsidRPr="00426C3A" w:rsidRDefault="00426C3A" w:rsidP="00D05130">
      <w:pPr>
        <w:pStyle w:val="APVMAText"/>
      </w:pPr>
      <w:r w:rsidRPr="00426C3A">
        <w:t>Macleod, S</w:t>
      </w:r>
      <w:r w:rsidR="005E3AB5">
        <w:t>.</w:t>
      </w:r>
      <w:r w:rsidRPr="00426C3A">
        <w:t xml:space="preserve">C. </w:t>
      </w:r>
      <w:r w:rsidR="005E3AB5">
        <w:t>(</w:t>
      </w:r>
      <w:r w:rsidRPr="00426C3A">
        <w:t>2003</w:t>
      </w:r>
      <w:r w:rsidR="005E3AB5">
        <w:t>)</w:t>
      </w:r>
      <w:r w:rsidRPr="00426C3A">
        <w:t xml:space="preserve"> </w:t>
      </w:r>
      <w:r w:rsidRPr="005E3AB5">
        <w:rPr>
          <w:i/>
          <w:iCs/>
        </w:rPr>
        <w:t xml:space="preserve">Determination </w:t>
      </w:r>
      <w:r w:rsidR="00852F7D" w:rsidRPr="005E3AB5">
        <w:rPr>
          <w:i/>
          <w:iCs/>
        </w:rPr>
        <w:t>of</w:t>
      </w:r>
      <w:r w:rsidRPr="005E3AB5">
        <w:rPr>
          <w:i/>
          <w:iCs/>
        </w:rPr>
        <w:t xml:space="preserve"> Procymidone Residues </w:t>
      </w:r>
      <w:r w:rsidR="005E3AB5" w:rsidRPr="005E3AB5">
        <w:rPr>
          <w:i/>
          <w:iCs/>
        </w:rPr>
        <w:t>in</w:t>
      </w:r>
      <w:r w:rsidRPr="005E3AB5">
        <w:rPr>
          <w:i/>
          <w:iCs/>
        </w:rPr>
        <w:t xml:space="preserve"> Matilda Lentil Grain </w:t>
      </w:r>
      <w:r w:rsidR="005E3AB5" w:rsidRPr="005E3AB5">
        <w:rPr>
          <w:i/>
          <w:iCs/>
        </w:rPr>
        <w:t>a</w:t>
      </w:r>
      <w:r w:rsidRPr="005E3AB5">
        <w:rPr>
          <w:i/>
          <w:iCs/>
        </w:rPr>
        <w:t xml:space="preserve">nd Straw Following 2 Applications </w:t>
      </w:r>
      <w:r w:rsidR="005E3AB5" w:rsidRPr="005E3AB5">
        <w:rPr>
          <w:i/>
          <w:iCs/>
        </w:rPr>
        <w:t>o</w:t>
      </w:r>
      <w:r w:rsidRPr="005E3AB5">
        <w:rPr>
          <w:i/>
          <w:iCs/>
        </w:rPr>
        <w:t xml:space="preserve">f </w:t>
      </w:r>
      <w:proofErr w:type="spellStart"/>
      <w:r w:rsidRPr="005E3AB5">
        <w:rPr>
          <w:i/>
          <w:iCs/>
        </w:rPr>
        <w:t>Sumisciex</w:t>
      </w:r>
      <w:proofErr w:type="spellEnd"/>
      <w:r w:rsidRPr="005E3AB5">
        <w:rPr>
          <w:i/>
          <w:iCs/>
        </w:rPr>
        <w:t xml:space="preserve"> 500 SC Fungicide </w:t>
      </w:r>
      <w:r w:rsidR="005E3AB5" w:rsidRPr="005E3AB5">
        <w:rPr>
          <w:i/>
          <w:iCs/>
        </w:rPr>
        <w:t>w</w:t>
      </w:r>
      <w:r w:rsidRPr="005E3AB5">
        <w:rPr>
          <w:i/>
          <w:iCs/>
        </w:rPr>
        <w:t xml:space="preserve">ith BS 1000, Applied </w:t>
      </w:r>
      <w:r w:rsidR="005E3AB5" w:rsidRPr="005E3AB5">
        <w:rPr>
          <w:i/>
          <w:iCs/>
        </w:rPr>
        <w:t>a</w:t>
      </w:r>
      <w:r w:rsidRPr="005E3AB5">
        <w:rPr>
          <w:i/>
          <w:iCs/>
        </w:rPr>
        <w:t>s 139 L/Ha Foliar Sprays – Naracoorte, S</w:t>
      </w:r>
      <w:r w:rsidR="005E3AB5" w:rsidRPr="005E3AB5">
        <w:rPr>
          <w:i/>
          <w:iCs/>
        </w:rPr>
        <w:t>A</w:t>
      </w:r>
      <w:r w:rsidRPr="005E3AB5">
        <w:rPr>
          <w:i/>
          <w:iCs/>
        </w:rPr>
        <w:t xml:space="preserve"> 2002–03</w:t>
      </w:r>
      <w:r w:rsidRPr="00426C3A">
        <w:t xml:space="preserve">, </w:t>
      </w:r>
      <w:r w:rsidR="005E3AB5" w:rsidRPr="00426C3A">
        <w:t xml:space="preserve">unpublished, study number </w:t>
      </w:r>
      <w:r w:rsidRPr="00426C3A">
        <w:t>SUM02431#4, Sumitomo Chemical Australia Pty Ltd</w:t>
      </w:r>
      <w:r w:rsidR="005E3AB5">
        <w:t>.</w:t>
      </w:r>
    </w:p>
    <w:p w14:paraId="177DED5D" w14:textId="1FD62C8B" w:rsidR="00426C3A" w:rsidRPr="00426C3A" w:rsidRDefault="00426C3A" w:rsidP="00D05130">
      <w:pPr>
        <w:pStyle w:val="APVMAText"/>
      </w:pPr>
      <w:r w:rsidRPr="00426C3A">
        <w:lastRenderedPageBreak/>
        <w:t>Macleod, S</w:t>
      </w:r>
      <w:r w:rsidR="005E3AB5">
        <w:t>.</w:t>
      </w:r>
      <w:r w:rsidRPr="00426C3A">
        <w:t xml:space="preserve">C. </w:t>
      </w:r>
      <w:r w:rsidR="005E3AB5">
        <w:t>(</w:t>
      </w:r>
      <w:r w:rsidRPr="00426C3A">
        <w:t>2003</w:t>
      </w:r>
      <w:r w:rsidR="005E3AB5">
        <w:t>)</w:t>
      </w:r>
      <w:r w:rsidRPr="00426C3A">
        <w:t xml:space="preserve"> </w:t>
      </w:r>
      <w:r w:rsidRPr="005E3AB5">
        <w:rPr>
          <w:i/>
          <w:iCs/>
        </w:rPr>
        <w:t xml:space="preserve">Determination </w:t>
      </w:r>
      <w:r w:rsidR="00852F7D" w:rsidRPr="005E3AB5">
        <w:rPr>
          <w:i/>
          <w:iCs/>
        </w:rPr>
        <w:t>of</w:t>
      </w:r>
      <w:r w:rsidRPr="005E3AB5">
        <w:rPr>
          <w:i/>
          <w:iCs/>
        </w:rPr>
        <w:t xml:space="preserve"> Procymidone Residues </w:t>
      </w:r>
      <w:r w:rsidR="005E3AB5" w:rsidRPr="005E3AB5">
        <w:rPr>
          <w:i/>
          <w:iCs/>
        </w:rPr>
        <w:t>in</w:t>
      </w:r>
      <w:r w:rsidRPr="005E3AB5">
        <w:rPr>
          <w:i/>
          <w:iCs/>
        </w:rPr>
        <w:t xml:space="preserve"> Nugget Lentil Grain </w:t>
      </w:r>
      <w:r w:rsidR="005E3AB5" w:rsidRPr="005E3AB5">
        <w:rPr>
          <w:i/>
          <w:iCs/>
        </w:rPr>
        <w:t>a</w:t>
      </w:r>
      <w:r w:rsidRPr="005E3AB5">
        <w:rPr>
          <w:i/>
          <w:iCs/>
        </w:rPr>
        <w:t xml:space="preserve">nd Straw Following 1 </w:t>
      </w:r>
      <w:r w:rsidR="005E3AB5" w:rsidRPr="005E3AB5">
        <w:rPr>
          <w:i/>
          <w:iCs/>
        </w:rPr>
        <w:t>o</w:t>
      </w:r>
      <w:r w:rsidRPr="005E3AB5">
        <w:rPr>
          <w:i/>
          <w:iCs/>
        </w:rPr>
        <w:t xml:space="preserve">r 2 Applications </w:t>
      </w:r>
      <w:r w:rsidR="005E3AB5" w:rsidRPr="005E3AB5">
        <w:rPr>
          <w:i/>
          <w:iCs/>
        </w:rPr>
        <w:t>o</w:t>
      </w:r>
      <w:r w:rsidRPr="005E3AB5">
        <w:rPr>
          <w:i/>
          <w:iCs/>
        </w:rPr>
        <w:t xml:space="preserve">f </w:t>
      </w:r>
      <w:proofErr w:type="spellStart"/>
      <w:r w:rsidRPr="005E3AB5">
        <w:rPr>
          <w:i/>
          <w:iCs/>
        </w:rPr>
        <w:t>Sumisciex</w:t>
      </w:r>
      <w:proofErr w:type="spellEnd"/>
      <w:r w:rsidRPr="005E3AB5">
        <w:rPr>
          <w:i/>
          <w:iCs/>
        </w:rPr>
        <w:t xml:space="preserve"> 500 SC Fungicide </w:t>
      </w:r>
      <w:proofErr w:type="gramStart"/>
      <w:r w:rsidRPr="005E3AB5">
        <w:rPr>
          <w:i/>
          <w:iCs/>
        </w:rPr>
        <w:t>With</w:t>
      </w:r>
      <w:proofErr w:type="gramEnd"/>
      <w:r w:rsidRPr="005E3AB5">
        <w:rPr>
          <w:i/>
          <w:iCs/>
        </w:rPr>
        <w:t xml:space="preserve"> BS 1000, Applied </w:t>
      </w:r>
      <w:r w:rsidR="005E3AB5" w:rsidRPr="005E3AB5">
        <w:rPr>
          <w:i/>
          <w:iCs/>
        </w:rPr>
        <w:t>a</w:t>
      </w:r>
      <w:r w:rsidRPr="005E3AB5">
        <w:rPr>
          <w:i/>
          <w:iCs/>
        </w:rPr>
        <w:t>s 140 L/Ha Foliar Sprays – Douglas, Victoria 2002</w:t>
      </w:r>
      <w:r w:rsidRPr="00426C3A">
        <w:t xml:space="preserve">, </w:t>
      </w:r>
      <w:r w:rsidR="005E3AB5" w:rsidRPr="00426C3A">
        <w:t xml:space="preserve">unpublished, study number </w:t>
      </w:r>
      <w:r w:rsidRPr="00426C3A">
        <w:t>SUM02431#3, Sumitomo Chemical Australia Pty Ltd</w:t>
      </w:r>
      <w:r w:rsidR="005E3AB5">
        <w:t>.</w:t>
      </w:r>
    </w:p>
    <w:p w14:paraId="5507C494" w14:textId="7677937B" w:rsidR="00426C3A" w:rsidRPr="00426C3A" w:rsidRDefault="00426C3A" w:rsidP="00D05130">
      <w:pPr>
        <w:pStyle w:val="APVMAText"/>
      </w:pPr>
      <w:r w:rsidRPr="00426C3A">
        <w:t xml:space="preserve">Markus, K. </w:t>
      </w:r>
      <w:r w:rsidR="005E3AB5">
        <w:t>(</w:t>
      </w:r>
      <w:r w:rsidRPr="00426C3A">
        <w:t>1993</w:t>
      </w:r>
      <w:r w:rsidR="005E3AB5">
        <w:t>)</w:t>
      </w:r>
      <w:r w:rsidRPr="00426C3A">
        <w:t xml:space="preserve"> </w:t>
      </w:r>
      <w:r w:rsidRPr="005E3AB5">
        <w:rPr>
          <w:i/>
          <w:iCs/>
        </w:rPr>
        <w:t>Residue Data Report: Procymidone Residues in Grapes from Trials in New Zealand during 1993</w:t>
      </w:r>
      <w:r w:rsidRPr="00426C3A">
        <w:t xml:space="preserve">, </w:t>
      </w:r>
      <w:r w:rsidR="005E3AB5" w:rsidRPr="00426C3A">
        <w:t xml:space="preserve">unpublished, study number </w:t>
      </w:r>
      <w:r w:rsidRPr="00426C3A">
        <w:t xml:space="preserve">CC-A8, </w:t>
      </w:r>
      <w:proofErr w:type="spellStart"/>
      <w:r w:rsidRPr="00426C3A">
        <w:t>CropCare</w:t>
      </w:r>
      <w:proofErr w:type="spellEnd"/>
      <w:r w:rsidR="00522B49">
        <w:t xml:space="preserve"> Australasia Pty Ltd</w:t>
      </w:r>
      <w:r w:rsidR="005E3AB5">
        <w:t>.</w:t>
      </w:r>
    </w:p>
    <w:p w14:paraId="260D39A9" w14:textId="6461C9DC" w:rsidR="00426C3A" w:rsidRPr="00426C3A" w:rsidRDefault="00426C3A" w:rsidP="00D05130">
      <w:pPr>
        <w:pStyle w:val="APVMAText"/>
      </w:pPr>
      <w:r w:rsidRPr="00426C3A">
        <w:t xml:space="preserve">Markus, K. </w:t>
      </w:r>
      <w:r w:rsidR="005E3AB5">
        <w:t>(</w:t>
      </w:r>
      <w:r w:rsidRPr="00426C3A">
        <w:t>1993</w:t>
      </w:r>
      <w:r w:rsidR="005E3AB5">
        <w:t>)</w:t>
      </w:r>
      <w:r w:rsidRPr="00426C3A">
        <w:t xml:space="preserve"> </w:t>
      </w:r>
      <w:r w:rsidRPr="005E3AB5">
        <w:rPr>
          <w:i/>
          <w:iCs/>
        </w:rPr>
        <w:t>Residue Data Report: Procymidone Residues in Grapes (Riesling) From a Trial in Australia during 1990</w:t>
      </w:r>
      <w:r w:rsidR="005E3AB5" w:rsidRPr="005E3AB5">
        <w:rPr>
          <w:i/>
          <w:iCs/>
        </w:rPr>
        <w:t>–</w:t>
      </w:r>
      <w:r w:rsidRPr="005E3AB5">
        <w:rPr>
          <w:i/>
          <w:iCs/>
        </w:rPr>
        <w:t>91</w:t>
      </w:r>
      <w:r w:rsidRPr="00426C3A">
        <w:t xml:space="preserve">, </w:t>
      </w:r>
      <w:r w:rsidR="005E3AB5" w:rsidRPr="00426C3A">
        <w:t xml:space="preserve">unpublished, study number </w:t>
      </w:r>
      <w:r w:rsidRPr="00426C3A">
        <w:t xml:space="preserve">CC-A8, </w:t>
      </w:r>
      <w:proofErr w:type="spellStart"/>
      <w:r w:rsidR="00522B49" w:rsidRPr="00426C3A">
        <w:t>CropCare</w:t>
      </w:r>
      <w:proofErr w:type="spellEnd"/>
      <w:r w:rsidR="00522B49">
        <w:t xml:space="preserve"> Australasia Pty Ltd</w:t>
      </w:r>
      <w:r w:rsidR="005E3AB5">
        <w:t>.</w:t>
      </w:r>
    </w:p>
    <w:p w14:paraId="6469BE57" w14:textId="1689DC02" w:rsidR="00426C3A" w:rsidRPr="00426C3A" w:rsidRDefault="00426C3A" w:rsidP="00D05130">
      <w:pPr>
        <w:pStyle w:val="APVMAText"/>
      </w:pPr>
      <w:proofErr w:type="spellStart"/>
      <w:r w:rsidRPr="00426C3A">
        <w:t>Mikami</w:t>
      </w:r>
      <w:proofErr w:type="spellEnd"/>
      <w:r w:rsidRPr="00426C3A">
        <w:t xml:space="preserve">, N. and Yamamoto, H. </w:t>
      </w:r>
      <w:r w:rsidR="005E3AB5">
        <w:t>(</w:t>
      </w:r>
      <w:r w:rsidRPr="00426C3A">
        <w:t>1976</w:t>
      </w:r>
      <w:r w:rsidR="005E3AB5">
        <w:t>)</w:t>
      </w:r>
      <w:r w:rsidRPr="00426C3A">
        <w:t xml:space="preserve"> </w:t>
      </w:r>
      <w:r w:rsidRPr="005E3AB5">
        <w:rPr>
          <w:i/>
          <w:iCs/>
        </w:rPr>
        <w:t>Metabolism of N-3',5'-Dichlorophenyl)- 1,2- Dimethylcyclopropane-1,2-Dicarboximide in Rats</w:t>
      </w:r>
      <w:r w:rsidRPr="00426C3A">
        <w:t xml:space="preserve">, </w:t>
      </w:r>
      <w:r w:rsidR="005E3AB5" w:rsidRPr="00426C3A">
        <w:t>unpublished, study number</w:t>
      </w:r>
      <w:r w:rsidRPr="00426C3A">
        <w:t xml:space="preserve"> BM-0002, Sumitomo Chemical Australia Pty Ltd</w:t>
      </w:r>
      <w:r w:rsidR="005E3AB5">
        <w:t>.</w:t>
      </w:r>
    </w:p>
    <w:p w14:paraId="47B8076A" w14:textId="41C9FF76" w:rsidR="00426C3A" w:rsidRPr="00426C3A" w:rsidRDefault="00426C3A" w:rsidP="00D05130">
      <w:pPr>
        <w:pStyle w:val="APVMAText"/>
      </w:pPr>
      <w:proofErr w:type="spellStart"/>
      <w:r w:rsidRPr="00426C3A">
        <w:t>Mikami</w:t>
      </w:r>
      <w:proofErr w:type="spellEnd"/>
      <w:r w:rsidRPr="00426C3A">
        <w:t xml:space="preserve">, N. </w:t>
      </w:r>
      <w:r w:rsidRPr="00E456D9">
        <w:rPr>
          <w:i/>
          <w:iCs/>
        </w:rPr>
        <w:t>et al</w:t>
      </w:r>
      <w:r w:rsidRPr="00426C3A">
        <w:t xml:space="preserve"> </w:t>
      </w:r>
      <w:r w:rsidR="005E3AB5">
        <w:t>(</w:t>
      </w:r>
      <w:r w:rsidRPr="00426C3A">
        <w:t>1981</w:t>
      </w:r>
      <w:r w:rsidR="005E3AB5">
        <w:t>)</w:t>
      </w:r>
      <w:r w:rsidRPr="00426C3A">
        <w:t xml:space="preserve"> </w:t>
      </w:r>
      <w:r w:rsidRPr="005E3AB5">
        <w:rPr>
          <w:i/>
          <w:iCs/>
        </w:rPr>
        <w:t xml:space="preserve">Metabolism </w:t>
      </w:r>
      <w:r w:rsidR="005E3AB5">
        <w:rPr>
          <w:i/>
          <w:iCs/>
        </w:rPr>
        <w:t>o</w:t>
      </w:r>
      <w:r w:rsidRPr="005E3AB5">
        <w:rPr>
          <w:i/>
          <w:iCs/>
        </w:rPr>
        <w:t>f Procymidone(S7131)</w:t>
      </w:r>
      <w:r w:rsidR="005E3AB5" w:rsidRPr="005E3AB5">
        <w:rPr>
          <w:i/>
          <w:iCs/>
        </w:rPr>
        <w:t xml:space="preserve"> i</w:t>
      </w:r>
      <w:r w:rsidRPr="005E3AB5">
        <w:rPr>
          <w:i/>
          <w:iCs/>
        </w:rPr>
        <w:t>n Bean Plants</w:t>
      </w:r>
      <w:r w:rsidRPr="00426C3A">
        <w:t xml:space="preserve">, </w:t>
      </w:r>
      <w:r w:rsidR="005E3AB5" w:rsidRPr="00426C3A">
        <w:t xml:space="preserve">unpublished, study number </w:t>
      </w:r>
      <w:r w:rsidRPr="00426C3A">
        <w:t>BM-0012, Sumitomo Chemical Australia Pty Ltd</w:t>
      </w:r>
      <w:r w:rsidR="005E3AB5">
        <w:t>.</w:t>
      </w:r>
    </w:p>
    <w:p w14:paraId="7A01585A" w14:textId="7D5A1753" w:rsidR="00426C3A" w:rsidRPr="00426C3A" w:rsidRDefault="00426C3A" w:rsidP="00D05130">
      <w:pPr>
        <w:pStyle w:val="APVMAText"/>
      </w:pPr>
      <w:proofErr w:type="spellStart"/>
      <w:r w:rsidRPr="00426C3A">
        <w:t>Mikami</w:t>
      </w:r>
      <w:proofErr w:type="spellEnd"/>
      <w:r w:rsidRPr="00426C3A">
        <w:t>, N.</w:t>
      </w:r>
      <w:r w:rsidR="005E3AB5">
        <w:t xml:space="preserve"> and </w:t>
      </w:r>
      <w:r w:rsidRPr="00426C3A">
        <w:t xml:space="preserve">Miyamoto, J. </w:t>
      </w:r>
      <w:r w:rsidR="005E3AB5">
        <w:t>(</w:t>
      </w:r>
      <w:r w:rsidRPr="00426C3A">
        <w:t>1978</w:t>
      </w:r>
      <w:r w:rsidR="005E3AB5">
        <w:t>)</w:t>
      </w:r>
      <w:r w:rsidRPr="00426C3A">
        <w:t xml:space="preserve"> </w:t>
      </w:r>
      <w:r w:rsidRPr="005E3AB5">
        <w:rPr>
          <w:i/>
          <w:iCs/>
        </w:rPr>
        <w:t>Translocation and Metabolism of N-(3',5'-Dichlorophenyl)-1,2-Dimethyl-Cyclopropane-1, 2-Dicarboximide (</w:t>
      </w:r>
      <w:proofErr w:type="spellStart"/>
      <w:r w:rsidRPr="005E3AB5">
        <w:rPr>
          <w:i/>
          <w:iCs/>
        </w:rPr>
        <w:t>Sumilex</w:t>
      </w:r>
      <w:proofErr w:type="spellEnd"/>
      <w:r w:rsidRPr="005E3AB5">
        <w:rPr>
          <w:i/>
          <w:iCs/>
        </w:rPr>
        <w:t xml:space="preserve">) </w:t>
      </w:r>
      <w:r w:rsidR="005E3AB5" w:rsidRPr="005E3AB5">
        <w:rPr>
          <w:i/>
          <w:iCs/>
        </w:rPr>
        <w:t>i</w:t>
      </w:r>
      <w:r w:rsidRPr="005E3AB5">
        <w:rPr>
          <w:i/>
          <w:iCs/>
        </w:rPr>
        <w:t>n Cucumber Plants</w:t>
      </w:r>
      <w:r w:rsidRPr="00426C3A">
        <w:t xml:space="preserve">, </w:t>
      </w:r>
      <w:r w:rsidR="005E3AB5" w:rsidRPr="00426C3A">
        <w:t xml:space="preserve">unpublished, study number </w:t>
      </w:r>
      <w:r w:rsidRPr="00426C3A">
        <w:t>BM-0004, Sumitomo Chemical Australia Pty Ltd</w:t>
      </w:r>
      <w:r w:rsidR="005E3AB5">
        <w:t>.</w:t>
      </w:r>
    </w:p>
    <w:p w14:paraId="20A775A6" w14:textId="043DB39B" w:rsidR="00426C3A" w:rsidRPr="00426C3A" w:rsidRDefault="00426C3A" w:rsidP="00D05130">
      <w:pPr>
        <w:pStyle w:val="APVMAText"/>
      </w:pPr>
      <w:r w:rsidRPr="00426C3A">
        <w:t xml:space="preserve">Mladenovic, P. </w:t>
      </w:r>
      <w:r w:rsidR="005E3AB5">
        <w:t>(</w:t>
      </w:r>
      <w:r w:rsidRPr="00426C3A">
        <w:t>1988</w:t>
      </w:r>
      <w:r w:rsidR="005E3AB5">
        <w:t>)</w:t>
      </w:r>
      <w:r w:rsidRPr="00426C3A">
        <w:t xml:space="preserve"> </w:t>
      </w:r>
      <w:r w:rsidRPr="005E3AB5">
        <w:rPr>
          <w:i/>
          <w:iCs/>
        </w:rPr>
        <w:t xml:space="preserve">Determination of </w:t>
      </w:r>
      <w:proofErr w:type="spellStart"/>
      <w:r w:rsidRPr="005E3AB5">
        <w:rPr>
          <w:i/>
          <w:iCs/>
        </w:rPr>
        <w:t>Sumilex</w:t>
      </w:r>
      <w:proofErr w:type="spellEnd"/>
      <w:r w:rsidRPr="005E3AB5">
        <w:rPr>
          <w:i/>
          <w:iCs/>
        </w:rPr>
        <w:t xml:space="preserve"> Residues in Rape and Rape Oil after Treatment with </w:t>
      </w:r>
      <w:proofErr w:type="spellStart"/>
      <w:r w:rsidRPr="005E3AB5">
        <w:rPr>
          <w:i/>
          <w:iCs/>
        </w:rPr>
        <w:t>Sumilex</w:t>
      </w:r>
      <w:proofErr w:type="spellEnd"/>
      <w:r w:rsidRPr="005E3AB5">
        <w:rPr>
          <w:i/>
          <w:iCs/>
        </w:rPr>
        <w:t xml:space="preserve"> 50FL</w:t>
      </w:r>
      <w:r w:rsidRPr="00426C3A">
        <w:t xml:space="preserve">, </w:t>
      </w:r>
      <w:r w:rsidR="005E3AB5" w:rsidRPr="00426C3A">
        <w:t xml:space="preserve">unpublished, study number </w:t>
      </w:r>
      <w:r w:rsidRPr="00426C3A">
        <w:t>BR-0178, Sumitomo Chemical Australia Pty Ltd</w:t>
      </w:r>
      <w:r w:rsidR="005E3AB5">
        <w:t>.</w:t>
      </w:r>
    </w:p>
    <w:p w14:paraId="53592C02" w14:textId="4E1FFCE0" w:rsidR="00426C3A" w:rsidRPr="00426C3A" w:rsidRDefault="00426C3A" w:rsidP="00D05130">
      <w:pPr>
        <w:pStyle w:val="APVMAText"/>
      </w:pPr>
      <w:r w:rsidRPr="00426C3A">
        <w:t xml:space="preserve">Mladenovic, P. </w:t>
      </w:r>
      <w:r w:rsidR="005E3AB5">
        <w:t>(</w:t>
      </w:r>
      <w:r w:rsidRPr="00426C3A">
        <w:t>1988</w:t>
      </w:r>
      <w:r w:rsidR="005E3AB5">
        <w:t>)</w:t>
      </w:r>
      <w:r w:rsidRPr="00426C3A">
        <w:t xml:space="preserve"> </w:t>
      </w:r>
      <w:r w:rsidRPr="005E3AB5">
        <w:rPr>
          <w:i/>
          <w:iCs/>
        </w:rPr>
        <w:t xml:space="preserve">Determination of </w:t>
      </w:r>
      <w:proofErr w:type="spellStart"/>
      <w:r w:rsidRPr="005E3AB5">
        <w:rPr>
          <w:i/>
          <w:iCs/>
        </w:rPr>
        <w:t>Sumilex</w:t>
      </w:r>
      <w:proofErr w:type="spellEnd"/>
      <w:r w:rsidRPr="005E3AB5">
        <w:rPr>
          <w:i/>
          <w:iCs/>
        </w:rPr>
        <w:t xml:space="preserve"> Residues in Rape and Rape Oil after Treatment with </w:t>
      </w:r>
      <w:proofErr w:type="spellStart"/>
      <w:r w:rsidRPr="005E3AB5">
        <w:rPr>
          <w:i/>
          <w:iCs/>
        </w:rPr>
        <w:t>Sumilex</w:t>
      </w:r>
      <w:proofErr w:type="spellEnd"/>
      <w:r w:rsidRPr="005E3AB5">
        <w:rPr>
          <w:i/>
          <w:iCs/>
        </w:rPr>
        <w:t xml:space="preserve"> 50WP</w:t>
      </w:r>
      <w:r w:rsidRPr="00426C3A">
        <w:t xml:space="preserve">, </w:t>
      </w:r>
      <w:r w:rsidR="005E3AB5" w:rsidRPr="00426C3A">
        <w:t xml:space="preserve">unpublished, study number </w:t>
      </w:r>
      <w:r w:rsidRPr="00426C3A">
        <w:t>BR-0177, Sumitomo Chemical Australia Pty Ltd</w:t>
      </w:r>
      <w:r w:rsidR="005E3AB5">
        <w:t>.</w:t>
      </w:r>
    </w:p>
    <w:p w14:paraId="1EFA263D" w14:textId="3C3506BA" w:rsidR="00426C3A" w:rsidRPr="00426C3A" w:rsidRDefault="00426C3A" w:rsidP="00D05130">
      <w:pPr>
        <w:pStyle w:val="APVMAText"/>
      </w:pPr>
      <w:r w:rsidRPr="00426C3A">
        <w:t>Nishikawa, Y</w:t>
      </w:r>
      <w:r w:rsidR="005E3AB5">
        <w:t>.</w:t>
      </w:r>
      <w:r w:rsidRPr="00426C3A">
        <w:t>, Ohnishi, J</w:t>
      </w:r>
      <w:r w:rsidR="005E3AB5">
        <w:t>.</w:t>
      </w:r>
      <w:r w:rsidRPr="00426C3A">
        <w:t>, Kato, T</w:t>
      </w:r>
      <w:r w:rsidR="005E3AB5">
        <w:t>. and</w:t>
      </w:r>
      <w:r w:rsidRPr="00426C3A">
        <w:t xml:space="preserve"> Yamada, H </w:t>
      </w:r>
      <w:r w:rsidR="005E3AB5">
        <w:t>(</w:t>
      </w:r>
      <w:r w:rsidRPr="00426C3A">
        <w:t>1994</w:t>
      </w:r>
      <w:r w:rsidR="005E3AB5">
        <w:t>)</w:t>
      </w:r>
      <w:r w:rsidRPr="00426C3A">
        <w:t xml:space="preserve"> </w:t>
      </w:r>
      <w:r w:rsidRPr="005E3AB5">
        <w:rPr>
          <w:i/>
          <w:iCs/>
        </w:rPr>
        <w:t>Residue Analytical Method for Procymidone in Milk and Tissues of Bovine</w:t>
      </w:r>
      <w:r w:rsidRPr="00426C3A">
        <w:t xml:space="preserve">, </w:t>
      </w:r>
      <w:r w:rsidR="005E3AB5" w:rsidRPr="00426C3A">
        <w:t>unpublished, study number</w:t>
      </w:r>
      <w:r w:rsidRPr="00426C3A">
        <w:t xml:space="preserve"> BA-40-0052, Sumitomo Chemical Australia Pty Ltd</w:t>
      </w:r>
      <w:r w:rsidR="005E3AB5">
        <w:t>.</w:t>
      </w:r>
    </w:p>
    <w:p w14:paraId="7D99C002" w14:textId="594FCFE1" w:rsidR="00426C3A" w:rsidRPr="00426C3A" w:rsidRDefault="005E3AB5" w:rsidP="00D05130">
      <w:pPr>
        <w:pStyle w:val="APVMAText"/>
      </w:pPr>
      <w:r w:rsidRPr="00426C3A">
        <w:t>Ohnishi</w:t>
      </w:r>
      <w:r>
        <w:t>,</w:t>
      </w:r>
      <w:r w:rsidR="00426C3A" w:rsidRPr="00426C3A">
        <w:t xml:space="preserve"> J</w:t>
      </w:r>
      <w:r>
        <w:t>.</w:t>
      </w:r>
      <w:r w:rsidR="00426C3A" w:rsidRPr="00426C3A">
        <w:t xml:space="preserve">, </w:t>
      </w:r>
      <w:proofErr w:type="spellStart"/>
      <w:r w:rsidRPr="00426C3A">
        <w:t>Hirota</w:t>
      </w:r>
      <w:proofErr w:type="spellEnd"/>
      <w:r>
        <w:t>,</w:t>
      </w:r>
      <w:r w:rsidR="00426C3A" w:rsidRPr="00426C3A">
        <w:t xml:space="preserve"> M</w:t>
      </w:r>
      <w:r>
        <w:t>.</w:t>
      </w:r>
      <w:r w:rsidR="00426C3A" w:rsidRPr="00426C3A">
        <w:t xml:space="preserve">, </w:t>
      </w:r>
      <w:r w:rsidRPr="00426C3A">
        <w:t>Suzuki</w:t>
      </w:r>
      <w:r>
        <w:t>,</w:t>
      </w:r>
      <w:r w:rsidR="00426C3A" w:rsidRPr="00426C3A">
        <w:t xml:space="preserve"> Y</w:t>
      </w:r>
      <w:r>
        <w:t xml:space="preserve">. and </w:t>
      </w:r>
      <w:r w:rsidRPr="00426C3A">
        <w:t>Matsuda</w:t>
      </w:r>
      <w:r>
        <w:t>,</w:t>
      </w:r>
      <w:r w:rsidR="00426C3A" w:rsidRPr="00426C3A">
        <w:t xml:space="preserve"> T</w:t>
      </w:r>
      <w:r>
        <w:t>.</w:t>
      </w:r>
      <w:r w:rsidR="00426C3A" w:rsidRPr="00426C3A">
        <w:t xml:space="preserve"> </w:t>
      </w:r>
      <w:r>
        <w:t>(</w:t>
      </w:r>
      <w:r w:rsidR="00426C3A" w:rsidRPr="00426C3A">
        <w:t>1987</w:t>
      </w:r>
      <w:r>
        <w:t>)</w:t>
      </w:r>
      <w:r w:rsidR="00426C3A" w:rsidRPr="00426C3A">
        <w:t xml:space="preserve"> </w:t>
      </w:r>
      <w:r w:rsidR="00426C3A" w:rsidRPr="005E3AB5">
        <w:rPr>
          <w:i/>
          <w:iCs/>
        </w:rPr>
        <w:t>Residue Analytical Method for Procymidone in Crops</w:t>
      </w:r>
      <w:r w:rsidR="00426C3A" w:rsidRPr="00426C3A">
        <w:t xml:space="preserve">, </w:t>
      </w:r>
      <w:r w:rsidRPr="00426C3A">
        <w:t>unpublished, study number</w:t>
      </w:r>
      <w:r w:rsidR="00426C3A" w:rsidRPr="00426C3A">
        <w:t xml:space="preserve"> BA-70-0020, Sumitomo Chemical Australia Pty Ltd</w:t>
      </w:r>
      <w:r>
        <w:t>.</w:t>
      </w:r>
    </w:p>
    <w:p w14:paraId="0E68025E" w14:textId="65E6E16C" w:rsidR="00426C3A" w:rsidRPr="00426C3A" w:rsidRDefault="005E3AB5" w:rsidP="00D05130">
      <w:pPr>
        <w:pStyle w:val="APVMAText"/>
      </w:pPr>
      <w:proofErr w:type="spellStart"/>
      <w:r w:rsidRPr="00426C3A">
        <w:t>Provot</w:t>
      </w:r>
      <w:proofErr w:type="spellEnd"/>
      <w:r w:rsidR="00426C3A" w:rsidRPr="00426C3A">
        <w:t>, G</w:t>
      </w:r>
      <w:r>
        <w:t>.</w:t>
      </w:r>
      <w:r w:rsidR="00426C3A" w:rsidRPr="00426C3A">
        <w:t xml:space="preserve"> </w:t>
      </w:r>
      <w:r>
        <w:t>(</w:t>
      </w:r>
      <w:r w:rsidR="00426C3A" w:rsidRPr="00426C3A">
        <w:t>1997</w:t>
      </w:r>
      <w:r>
        <w:t>)</w:t>
      </w:r>
      <w:r w:rsidR="00426C3A" w:rsidRPr="00426C3A">
        <w:t xml:space="preserve"> </w:t>
      </w:r>
      <w:r w:rsidR="00426C3A" w:rsidRPr="005E3AB5">
        <w:rPr>
          <w:i/>
          <w:iCs/>
        </w:rPr>
        <w:t>Method Validation for the Quantification of Procymidone in Peaches</w:t>
      </w:r>
      <w:r w:rsidR="00426C3A" w:rsidRPr="00426C3A">
        <w:t xml:space="preserve">, </w:t>
      </w:r>
      <w:r w:rsidRPr="00426C3A">
        <w:t xml:space="preserve">unpublished, study number </w:t>
      </w:r>
      <w:r w:rsidR="00426C3A" w:rsidRPr="00426C3A">
        <w:t>BA-0072, Sumitomo Chemical Australia Pty Ltd</w:t>
      </w:r>
      <w:r>
        <w:t>.</w:t>
      </w:r>
    </w:p>
    <w:p w14:paraId="472F8A84" w14:textId="6562E1A5" w:rsidR="00426C3A" w:rsidRPr="00426C3A" w:rsidRDefault="005E3AB5" w:rsidP="00D05130">
      <w:pPr>
        <w:pStyle w:val="APVMAText"/>
      </w:pPr>
      <w:proofErr w:type="spellStart"/>
      <w:r w:rsidRPr="00426C3A">
        <w:t>Provot</w:t>
      </w:r>
      <w:proofErr w:type="spellEnd"/>
      <w:r w:rsidR="00426C3A" w:rsidRPr="00426C3A">
        <w:t>, G</w:t>
      </w:r>
      <w:r>
        <w:t>.</w:t>
      </w:r>
      <w:r w:rsidR="00426C3A" w:rsidRPr="00426C3A">
        <w:t xml:space="preserve"> </w:t>
      </w:r>
      <w:r>
        <w:t>(</w:t>
      </w:r>
      <w:r w:rsidR="00426C3A" w:rsidRPr="00426C3A">
        <w:t>1997</w:t>
      </w:r>
      <w:r>
        <w:t>)</w:t>
      </w:r>
      <w:r w:rsidR="00426C3A" w:rsidRPr="00426C3A">
        <w:t xml:space="preserve"> </w:t>
      </w:r>
      <w:r w:rsidR="00426C3A" w:rsidRPr="005E3AB5">
        <w:rPr>
          <w:i/>
          <w:iCs/>
        </w:rPr>
        <w:t>Method Validation for the Quantification of Procymidone in Pears</w:t>
      </w:r>
      <w:r w:rsidR="00426C3A" w:rsidRPr="00426C3A">
        <w:t xml:space="preserve">, </w:t>
      </w:r>
      <w:r w:rsidRPr="00426C3A">
        <w:t>unpublished, study number</w:t>
      </w:r>
      <w:r w:rsidR="00426C3A" w:rsidRPr="00426C3A">
        <w:t xml:space="preserve"> BA-0071, Sumitomo Chemical Australia Pty Ltd</w:t>
      </w:r>
      <w:r>
        <w:t>.</w:t>
      </w:r>
    </w:p>
    <w:p w14:paraId="05E1D6E7" w14:textId="4A2D762A" w:rsidR="00426C3A" w:rsidRPr="00426C3A" w:rsidRDefault="005E3AB5" w:rsidP="00D05130">
      <w:pPr>
        <w:pStyle w:val="APVMAText"/>
      </w:pPr>
      <w:proofErr w:type="spellStart"/>
      <w:r w:rsidRPr="00426C3A">
        <w:t>Provot</w:t>
      </w:r>
      <w:proofErr w:type="spellEnd"/>
      <w:r w:rsidR="00426C3A" w:rsidRPr="00426C3A">
        <w:t>, G</w:t>
      </w:r>
      <w:r>
        <w:t>.</w:t>
      </w:r>
      <w:r w:rsidR="00426C3A" w:rsidRPr="00426C3A">
        <w:t xml:space="preserve"> </w:t>
      </w:r>
      <w:r>
        <w:t>(</w:t>
      </w:r>
      <w:r w:rsidR="00426C3A" w:rsidRPr="00426C3A">
        <w:t>1997</w:t>
      </w:r>
      <w:r>
        <w:t>)</w:t>
      </w:r>
      <w:r w:rsidR="00426C3A" w:rsidRPr="00426C3A">
        <w:t xml:space="preserve"> </w:t>
      </w:r>
      <w:r w:rsidR="00426C3A" w:rsidRPr="005E3AB5">
        <w:rPr>
          <w:i/>
          <w:iCs/>
        </w:rPr>
        <w:t>Method Validation for the Quantification of Procymidone in Plums</w:t>
      </w:r>
      <w:r w:rsidR="00426C3A" w:rsidRPr="00426C3A">
        <w:t xml:space="preserve">, </w:t>
      </w:r>
      <w:r w:rsidRPr="00426C3A">
        <w:t>unpublished, study number</w:t>
      </w:r>
      <w:r w:rsidR="00426C3A" w:rsidRPr="00426C3A">
        <w:t xml:space="preserve"> BA-0073, Sumitomo Chemical Australia Pty Ltd</w:t>
      </w:r>
      <w:r>
        <w:t>.</w:t>
      </w:r>
    </w:p>
    <w:p w14:paraId="43FE1371" w14:textId="2132DDAB" w:rsidR="00426C3A" w:rsidRPr="00426C3A" w:rsidRDefault="00426C3A" w:rsidP="00D05130">
      <w:pPr>
        <w:pStyle w:val="APVMAText"/>
      </w:pPr>
      <w:r w:rsidRPr="00426C3A">
        <w:t xml:space="preserve">Research Institute for Marketing of Fruits and Vegetables </w:t>
      </w:r>
      <w:r w:rsidR="00852F7D">
        <w:t>(</w:t>
      </w:r>
      <w:r w:rsidRPr="00426C3A">
        <w:t>1986</w:t>
      </w:r>
      <w:r w:rsidR="005E3AB5">
        <w:t>)</w:t>
      </w:r>
      <w:r w:rsidRPr="00426C3A">
        <w:t xml:space="preserve"> </w:t>
      </w:r>
      <w:r w:rsidRPr="005E3AB5">
        <w:rPr>
          <w:i/>
          <w:iCs/>
        </w:rPr>
        <w:t xml:space="preserve">Residue Data of Procymidone on Grape, </w:t>
      </w:r>
      <w:proofErr w:type="gramStart"/>
      <w:r w:rsidRPr="005E3AB5">
        <w:rPr>
          <w:i/>
          <w:iCs/>
        </w:rPr>
        <w:t>Apple</w:t>
      </w:r>
      <w:proofErr w:type="gramEnd"/>
      <w:r w:rsidRPr="005E3AB5">
        <w:rPr>
          <w:i/>
          <w:iCs/>
        </w:rPr>
        <w:t xml:space="preserve"> and Carrot</w:t>
      </w:r>
      <w:r w:rsidRPr="00426C3A">
        <w:t xml:space="preserve">, </w:t>
      </w:r>
      <w:r w:rsidR="005E3AB5" w:rsidRPr="00426C3A">
        <w:t xml:space="preserve">unpublished, study number </w:t>
      </w:r>
      <w:r w:rsidRPr="00426C3A">
        <w:t>BR-0179, Sumitomo Chemical Australia Pty Ltd</w:t>
      </w:r>
      <w:r w:rsidR="005E3AB5">
        <w:t>.</w:t>
      </w:r>
    </w:p>
    <w:p w14:paraId="053CA062" w14:textId="376EB3FA" w:rsidR="00426C3A" w:rsidRPr="00426C3A" w:rsidRDefault="005E3AB5" w:rsidP="00D05130">
      <w:pPr>
        <w:pStyle w:val="APVMAText"/>
      </w:pPr>
      <w:r w:rsidRPr="00426C3A">
        <w:t>Roberts</w:t>
      </w:r>
      <w:r>
        <w:t>,</w:t>
      </w:r>
      <w:r w:rsidR="00426C3A" w:rsidRPr="00426C3A">
        <w:t xml:space="preserve"> N</w:t>
      </w:r>
      <w:r>
        <w:t>.</w:t>
      </w:r>
      <w:r w:rsidR="00426C3A" w:rsidRPr="00426C3A">
        <w:t xml:space="preserve">, </w:t>
      </w:r>
      <w:r w:rsidRPr="00426C3A">
        <w:t>Macdonald</w:t>
      </w:r>
      <w:r>
        <w:t>,</w:t>
      </w:r>
      <w:r w:rsidR="00426C3A" w:rsidRPr="00426C3A">
        <w:t xml:space="preserve"> I</w:t>
      </w:r>
      <w:r>
        <w:t xml:space="preserve">. and </w:t>
      </w:r>
      <w:r w:rsidRPr="00426C3A">
        <w:t>Gillis</w:t>
      </w:r>
      <w:r>
        <w:t>,</w:t>
      </w:r>
      <w:r w:rsidR="00426C3A" w:rsidRPr="00426C3A">
        <w:t xml:space="preserve"> N</w:t>
      </w:r>
      <w:r>
        <w:t>.</w:t>
      </w:r>
      <w:r w:rsidR="00426C3A" w:rsidRPr="00426C3A">
        <w:t xml:space="preserve"> </w:t>
      </w:r>
      <w:r>
        <w:t>(</w:t>
      </w:r>
      <w:r w:rsidR="00426C3A" w:rsidRPr="00426C3A">
        <w:t>1992</w:t>
      </w:r>
      <w:r>
        <w:t>)</w:t>
      </w:r>
      <w:r w:rsidR="00426C3A" w:rsidRPr="00426C3A">
        <w:t xml:space="preserve"> </w:t>
      </w:r>
      <w:r w:rsidR="00426C3A" w:rsidRPr="005E3AB5">
        <w:rPr>
          <w:i/>
          <w:iCs/>
        </w:rPr>
        <w:t>Method of Analysis for the Gas Chromatographic Determination of Residues in Grapes</w:t>
      </w:r>
      <w:r w:rsidR="00426C3A" w:rsidRPr="00426C3A">
        <w:t xml:space="preserve">, </w:t>
      </w:r>
      <w:r w:rsidRPr="00426C3A">
        <w:t xml:space="preserve">unpublished, study number </w:t>
      </w:r>
      <w:r w:rsidR="00426C3A" w:rsidRPr="00426C3A">
        <w:t>BA-21-0049, Sumitomo Chemical Australia Pty Ltd</w:t>
      </w:r>
      <w:r>
        <w:t>.</w:t>
      </w:r>
    </w:p>
    <w:p w14:paraId="01E18A46" w14:textId="2CFB42E8" w:rsidR="00426C3A" w:rsidRPr="00426C3A" w:rsidRDefault="005E3AB5" w:rsidP="00D05130">
      <w:pPr>
        <w:pStyle w:val="APVMAText"/>
      </w:pPr>
      <w:r w:rsidRPr="00426C3A">
        <w:lastRenderedPageBreak/>
        <w:t>Roberts</w:t>
      </w:r>
      <w:r>
        <w:t>,</w:t>
      </w:r>
      <w:r w:rsidR="00426C3A" w:rsidRPr="00426C3A">
        <w:t xml:space="preserve"> N</w:t>
      </w:r>
      <w:r>
        <w:t>.</w:t>
      </w:r>
      <w:r w:rsidR="00426C3A" w:rsidRPr="00426C3A">
        <w:t xml:space="preserve">, </w:t>
      </w:r>
      <w:r w:rsidRPr="00426C3A">
        <w:t>Macdonald</w:t>
      </w:r>
      <w:r>
        <w:t>,</w:t>
      </w:r>
      <w:r w:rsidR="00426C3A" w:rsidRPr="00426C3A">
        <w:t xml:space="preserve"> I</w:t>
      </w:r>
      <w:r>
        <w:t xml:space="preserve">. and </w:t>
      </w:r>
      <w:r w:rsidRPr="00426C3A">
        <w:t>Gillis</w:t>
      </w:r>
      <w:r>
        <w:t>,</w:t>
      </w:r>
      <w:r w:rsidR="00426C3A" w:rsidRPr="00426C3A">
        <w:t xml:space="preserve"> N</w:t>
      </w:r>
      <w:r>
        <w:t>.</w:t>
      </w:r>
      <w:r w:rsidR="00426C3A" w:rsidRPr="00426C3A">
        <w:t xml:space="preserve"> </w:t>
      </w:r>
      <w:r>
        <w:t>(</w:t>
      </w:r>
      <w:r w:rsidR="00426C3A" w:rsidRPr="00426C3A">
        <w:t>1992</w:t>
      </w:r>
      <w:r>
        <w:t>)</w:t>
      </w:r>
      <w:r w:rsidR="00426C3A" w:rsidRPr="00426C3A">
        <w:t xml:space="preserve"> </w:t>
      </w:r>
      <w:r w:rsidR="00426C3A" w:rsidRPr="005E3AB5">
        <w:rPr>
          <w:i/>
          <w:iCs/>
        </w:rPr>
        <w:t>Method of Analysis for the Gas Chromatographic Determination of Residues in Wine</w:t>
      </w:r>
      <w:r w:rsidR="00426C3A" w:rsidRPr="00426C3A">
        <w:t xml:space="preserve">, </w:t>
      </w:r>
      <w:r w:rsidRPr="00426C3A">
        <w:t xml:space="preserve">unpublished, study number </w:t>
      </w:r>
      <w:r w:rsidR="00426C3A" w:rsidRPr="00426C3A">
        <w:t>BA-21-0048, Sumitomo Chemical Australia Pty Ltd</w:t>
      </w:r>
      <w:r>
        <w:t>.</w:t>
      </w:r>
    </w:p>
    <w:p w14:paraId="44825B86" w14:textId="3E4283E4" w:rsidR="00426C3A" w:rsidRPr="00426C3A" w:rsidRDefault="005E3AB5" w:rsidP="00D05130">
      <w:pPr>
        <w:pStyle w:val="APVMAText"/>
      </w:pPr>
      <w:r w:rsidRPr="00426C3A">
        <w:t>Roberts</w:t>
      </w:r>
      <w:r>
        <w:t>,</w:t>
      </w:r>
      <w:r w:rsidRPr="00426C3A">
        <w:t xml:space="preserve"> N</w:t>
      </w:r>
      <w:r>
        <w:t>.</w:t>
      </w:r>
      <w:r w:rsidRPr="00426C3A">
        <w:t>, Macdonald</w:t>
      </w:r>
      <w:r>
        <w:t>,</w:t>
      </w:r>
      <w:r w:rsidRPr="00426C3A">
        <w:t xml:space="preserve"> I</w:t>
      </w:r>
      <w:r>
        <w:t xml:space="preserve">. and </w:t>
      </w:r>
      <w:r w:rsidRPr="00426C3A">
        <w:t>Gillis</w:t>
      </w:r>
      <w:r>
        <w:t>,</w:t>
      </w:r>
      <w:r w:rsidRPr="00426C3A">
        <w:t xml:space="preserve"> N</w:t>
      </w:r>
      <w:r>
        <w:t>.</w:t>
      </w:r>
      <w:r w:rsidRPr="00426C3A">
        <w:t xml:space="preserve"> </w:t>
      </w:r>
      <w:r>
        <w:t>(</w:t>
      </w:r>
      <w:r w:rsidRPr="00426C3A">
        <w:t>1992</w:t>
      </w:r>
      <w:r>
        <w:t>)</w:t>
      </w:r>
      <w:r w:rsidR="00426C3A" w:rsidRPr="00426C3A">
        <w:t xml:space="preserve"> </w:t>
      </w:r>
      <w:r w:rsidR="00426C3A" w:rsidRPr="005E3AB5">
        <w:rPr>
          <w:i/>
          <w:iCs/>
        </w:rPr>
        <w:t>Method of Analysis for the Liquid Chromatographic Determination in Wine</w:t>
      </w:r>
      <w:r w:rsidR="00426C3A" w:rsidRPr="00426C3A">
        <w:t xml:space="preserve">, </w:t>
      </w:r>
      <w:r w:rsidRPr="00426C3A">
        <w:t xml:space="preserve">unpublished, study number </w:t>
      </w:r>
      <w:r w:rsidR="00426C3A" w:rsidRPr="00426C3A">
        <w:t>BA-21-0050, Sumitomo Chemical Australia Pty Ltd</w:t>
      </w:r>
      <w:r>
        <w:t>.</w:t>
      </w:r>
    </w:p>
    <w:p w14:paraId="57FDF115" w14:textId="415FC4CB" w:rsidR="00426C3A" w:rsidRPr="00426C3A" w:rsidRDefault="00426C3A" w:rsidP="00D05130">
      <w:pPr>
        <w:pStyle w:val="APVMAText"/>
      </w:pPr>
      <w:r w:rsidRPr="00426C3A">
        <w:t>Roberts, N</w:t>
      </w:r>
      <w:r w:rsidR="005E3AB5">
        <w:t>.</w:t>
      </w:r>
      <w:r w:rsidRPr="00426C3A">
        <w:t>L</w:t>
      </w:r>
      <w:r w:rsidR="005E3AB5">
        <w:t>.,</w:t>
      </w:r>
      <w:r w:rsidRPr="00426C3A">
        <w:t xml:space="preserve"> MacDonald, I</w:t>
      </w:r>
      <w:r w:rsidR="005E3AB5">
        <w:t>.</w:t>
      </w:r>
      <w:r w:rsidRPr="00426C3A">
        <w:t>A</w:t>
      </w:r>
      <w:r w:rsidR="005E3AB5">
        <w:t>.,</w:t>
      </w:r>
      <w:r w:rsidRPr="00426C3A">
        <w:t xml:space="preserve"> Gillis, N</w:t>
      </w:r>
      <w:r w:rsidR="005E3AB5">
        <w:t>.</w:t>
      </w:r>
      <w:r w:rsidRPr="00426C3A">
        <w:t>A</w:t>
      </w:r>
      <w:r w:rsidR="005E3AB5">
        <w:t>. and</w:t>
      </w:r>
      <w:r w:rsidRPr="00426C3A">
        <w:t xml:space="preserve"> Howie, D</w:t>
      </w:r>
      <w:r w:rsidR="005E3AB5">
        <w:t>.</w:t>
      </w:r>
      <w:r w:rsidRPr="00426C3A">
        <w:t xml:space="preserve"> </w:t>
      </w:r>
      <w:r w:rsidR="005E3AB5">
        <w:t>(</w:t>
      </w:r>
      <w:r w:rsidRPr="00426C3A">
        <w:t>1992</w:t>
      </w:r>
      <w:r w:rsidR="005E3AB5">
        <w:t>)</w:t>
      </w:r>
      <w:r w:rsidRPr="00426C3A">
        <w:t xml:space="preserve"> </w:t>
      </w:r>
      <w:r w:rsidRPr="005E3AB5">
        <w:rPr>
          <w:i/>
          <w:iCs/>
        </w:rPr>
        <w:t xml:space="preserve">Procymidone, Method </w:t>
      </w:r>
      <w:proofErr w:type="gramStart"/>
      <w:r w:rsidRPr="005E3AB5">
        <w:rPr>
          <w:i/>
          <w:iCs/>
        </w:rPr>
        <w:t>Of</w:t>
      </w:r>
      <w:proofErr w:type="gramEnd"/>
      <w:r w:rsidRPr="005E3AB5">
        <w:rPr>
          <w:i/>
          <w:iCs/>
        </w:rPr>
        <w:t xml:space="preserve"> Analysis </w:t>
      </w:r>
      <w:r w:rsidR="005E3AB5" w:rsidRPr="005E3AB5">
        <w:rPr>
          <w:i/>
          <w:iCs/>
        </w:rPr>
        <w:t>f</w:t>
      </w:r>
      <w:r w:rsidRPr="005E3AB5">
        <w:rPr>
          <w:i/>
          <w:iCs/>
        </w:rPr>
        <w:t xml:space="preserve">or </w:t>
      </w:r>
      <w:r w:rsidR="005E3AB5" w:rsidRPr="005E3AB5">
        <w:rPr>
          <w:i/>
          <w:iCs/>
        </w:rPr>
        <w:t>t</w:t>
      </w:r>
      <w:r w:rsidRPr="005E3AB5">
        <w:rPr>
          <w:i/>
          <w:iCs/>
        </w:rPr>
        <w:t xml:space="preserve">he Gas Chromatographic Determination </w:t>
      </w:r>
      <w:r w:rsidR="005E3AB5" w:rsidRPr="005E3AB5">
        <w:rPr>
          <w:i/>
          <w:iCs/>
        </w:rPr>
        <w:t>o</w:t>
      </w:r>
      <w:r w:rsidRPr="005E3AB5">
        <w:rPr>
          <w:i/>
          <w:iCs/>
        </w:rPr>
        <w:t xml:space="preserve">f Residues </w:t>
      </w:r>
      <w:r w:rsidR="005E3AB5" w:rsidRPr="005E3AB5">
        <w:rPr>
          <w:i/>
          <w:iCs/>
        </w:rPr>
        <w:t>i</w:t>
      </w:r>
      <w:r w:rsidRPr="005E3AB5">
        <w:rPr>
          <w:i/>
          <w:iCs/>
        </w:rPr>
        <w:t>n Must</w:t>
      </w:r>
      <w:r w:rsidRPr="00426C3A">
        <w:t xml:space="preserve">, </w:t>
      </w:r>
      <w:r w:rsidR="005E3AB5" w:rsidRPr="00426C3A">
        <w:t xml:space="preserve">unpublished, study number </w:t>
      </w:r>
      <w:r w:rsidRPr="00426C3A">
        <w:t>BA-21-0047, Sumitomo Chemical Australia Pty Ltd</w:t>
      </w:r>
      <w:r w:rsidR="005E3AB5">
        <w:t>.</w:t>
      </w:r>
    </w:p>
    <w:p w14:paraId="44169576" w14:textId="18CA91DB" w:rsidR="00426C3A" w:rsidRPr="00426C3A" w:rsidRDefault="00426C3A" w:rsidP="00D05130">
      <w:pPr>
        <w:pStyle w:val="APVMAText"/>
      </w:pPr>
      <w:r w:rsidRPr="00426C3A">
        <w:t>Roberts, N</w:t>
      </w:r>
      <w:r w:rsidR="005E3AB5">
        <w:t>.</w:t>
      </w:r>
      <w:r w:rsidRPr="00426C3A">
        <w:t>L</w:t>
      </w:r>
      <w:r w:rsidR="005E3AB5">
        <w:t>.,</w:t>
      </w:r>
      <w:r w:rsidRPr="00426C3A">
        <w:t xml:space="preserve"> MacDonald, I</w:t>
      </w:r>
      <w:r w:rsidR="005E3AB5">
        <w:t>.</w:t>
      </w:r>
      <w:r w:rsidRPr="00426C3A">
        <w:t>A</w:t>
      </w:r>
      <w:r w:rsidR="005E3AB5">
        <w:t>. and</w:t>
      </w:r>
      <w:r w:rsidRPr="00426C3A">
        <w:t xml:space="preserve"> Gillis, N</w:t>
      </w:r>
      <w:r w:rsidR="005E3AB5">
        <w:t>.</w:t>
      </w:r>
      <w:r w:rsidRPr="00426C3A">
        <w:t>A</w:t>
      </w:r>
      <w:r w:rsidR="005E3AB5">
        <w:t>.</w:t>
      </w:r>
      <w:r w:rsidRPr="00426C3A">
        <w:t xml:space="preserve"> </w:t>
      </w:r>
      <w:r w:rsidR="005E3AB5">
        <w:t>(</w:t>
      </w:r>
      <w:r w:rsidRPr="00426C3A">
        <w:t>1994</w:t>
      </w:r>
      <w:r w:rsidR="005E3AB5">
        <w:t>)</w:t>
      </w:r>
      <w:r w:rsidRPr="00426C3A">
        <w:t xml:space="preserve"> </w:t>
      </w:r>
      <w:r w:rsidRPr="005E3AB5">
        <w:rPr>
          <w:i/>
          <w:iCs/>
        </w:rPr>
        <w:t xml:space="preserve">Procymidone, Method </w:t>
      </w:r>
      <w:proofErr w:type="gramStart"/>
      <w:r w:rsidRPr="005E3AB5">
        <w:rPr>
          <w:i/>
          <w:iCs/>
        </w:rPr>
        <w:t>Of</w:t>
      </w:r>
      <w:proofErr w:type="gramEnd"/>
      <w:r w:rsidRPr="005E3AB5">
        <w:rPr>
          <w:i/>
          <w:iCs/>
        </w:rPr>
        <w:t xml:space="preserve"> Analysis For The Gas Chromatographic Determination Of Residues In Grape Juice</w:t>
      </w:r>
      <w:r w:rsidRPr="00426C3A">
        <w:t xml:space="preserve">, </w:t>
      </w:r>
      <w:r w:rsidR="005E3AB5" w:rsidRPr="00426C3A">
        <w:t xml:space="preserve">unpublished, study number </w:t>
      </w:r>
      <w:r w:rsidRPr="00426C3A">
        <w:t>BA-41-0053, Sumitomo Chemical Australia Pty Ltd</w:t>
      </w:r>
      <w:r w:rsidR="005E3AB5">
        <w:t>.</w:t>
      </w:r>
    </w:p>
    <w:p w14:paraId="317099BF" w14:textId="2E4A31BC" w:rsidR="00426C3A" w:rsidRPr="00426C3A" w:rsidRDefault="00426C3A" w:rsidP="00D05130">
      <w:pPr>
        <w:pStyle w:val="APVMAText"/>
      </w:pPr>
      <w:r w:rsidRPr="00426C3A">
        <w:t>Roberts, N.L., Macdonald, I.A.</w:t>
      </w:r>
      <w:r w:rsidR="005E3AB5">
        <w:t xml:space="preserve"> and </w:t>
      </w:r>
      <w:r w:rsidRPr="00426C3A">
        <w:t xml:space="preserve">Gillis, N.A. </w:t>
      </w:r>
      <w:r w:rsidR="005E3AB5">
        <w:t>(</w:t>
      </w:r>
      <w:r w:rsidRPr="00426C3A">
        <w:t>1992</w:t>
      </w:r>
      <w:r w:rsidR="005E3AB5">
        <w:t>)</w:t>
      </w:r>
      <w:r w:rsidRPr="00426C3A">
        <w:t xml:space="preserve"> </w:t>
      </w:r>
      <w:r w:rsidRPr="005E3AB5">
        <w:rPr>
          <w:i/>
          <w:iCs/>
        </w:rPr>
        <w:t xml:space="preserve">Procymidone and 3,5-Dichloroaniline Determination </w:t>
      </w:r>
      <w:r w:rsidR="005E3AB5" w:rsidRPr="005E3AB5">
        <w:rPr>
          <w:i/>
          <w:iCs/>
        </w:rPr>
        <w:t>o</w:t>
      </w:r>
      <w:r w:rsidRPr="005E3AB5">
        <w:rPr>
          <w:i/>
          <w:iCs/>
        </w:rPr>
        <w:t xml:space="preserve">f Residual Concentrations </w:t>
      </w:r>
      <w:r w:rsidR="005E3AB5" w:rsidRPr="005E3AB5">
        <w:rPr>
          <w:i/>
          <w:iCs/>
        </w:rPr>
        <w:t>i</w:t>
      </w:r>
      <w:r w:rsidRPr="005E3AB5">
        <w:rPr>
          <w:i/>
          <w:iCs/>
        </w:rPr>
        <w:t xml:space="preserve">n Cellar Stored Wine Following Field Trials </w:t>
      </w:r>
      <w:r w:rsidR="005E3AB5" w:rsidRPr="005E3AB5">
        <w:rPr>
          <w:i/>
          <w:iCs/>
        </w:rPr>
        <w:t>i</w:t>
      </w:r>
      <w:r w:rsidRPr="005E3AB5">
        <w:rPr>
          <w:i/>
          <w:iCs/>
        </w:rPr>
        <w:t>n Europe (1991 Trials)</w:t>
      </w:r>
      <w:r w:rsidRPr="00426C3A">
        <w:t xml:space="preserve">, </w:t>
      </w:r>
      <w:r w:rsidR="005E3AB5" w:rsidRPr="00426C3A">
        <w:t>unpublished, study number</w:t>
      </w:r>
      <w:r w:rsidRPr="00426C3A">
        <w:t xml:space="preserve"> BR-0316, Sumitomo Chemical Australia Pty Ltd</w:t>
      </w:r>
      <w:r w:rsidR="005E3AB5">
        <w:t>.</w:t>
      </w:r>
    </w:p>
    <w:p w14:paraId="47C711F9" w14:textId="6F62D575" w:rsidR="00426C3A" w:rsidRPr="00426C3A" w:rsidRDefault="00426C3A" w:rsidP="00D05130">
      <w:pPr>
        <w:pStyle w:val="APVMAText"/>
      </w:pPr>
      <w:r w:rsidRPr="00426C3A">
        <w:t>Roberts, N.L., Macdonald, I.A.</w:t>
      </w:r>
      <w:r w:rsidR="005E3AB5">
        <w:t xml:space="preserve"> and</w:t>
      </w:r>
      <w:r w:rsidRPr="00426C3A">
        <w:t xml:space="preserve"> Gillis, N.A. </w:t>
      </w:r>
      <w:r w:rsidRPr="00E456D9">
        <w:rPr>
          <w:i/>
          <w:iCs/>
        </w:rPr>
        <w:t>et al</w:t>
      </w:r>
      <w:r w:rsidRPr="00426C3A">
        <w:t xml:space="preserve">. </w:t>
      </w:r>
      <w:r w:rsidR="005E3AB5">
        <w:t>(</w:t>
      </w:r>
      <w:r w:rsidRPr="00426C3A">
        <w:t>1992</w:t>
      </w:r>
      <w:r w:rsidR="005E3AB5">
        <w:t>)</w:t>
      </w:r>
      <w:r w:rsidRPr="00426C3A">
        <w:t xml:space="preserve"> </w:t>
      </w:r>
      <w:r w:rsidRPr="005E3AB5">
        <w:rPr>
          <w:i/>
          <w:iCs/>
        </w:rPr>
        <w:t>Procymidone: Magnitude of Residues in Grapes and Processed Commodities of Grapes – 1991 European Trials</w:t>
      </w:r>
      <w:r w:rsidRPr="00426C3A">
        <w:t xml:space="preserve">, </w:t>
      </w:r>
      <w:r w:rsidR="005E3AB5" w:rsidRPr="00426C3A">
        <w:t xml:space="preserve">unpublished, study number </w:t>
      </w:r>
      <w:r w:rsidRPr="00426C3A">
        <w:t>BR-0258, Sumitomo Chemical Australia Pty Ltd</w:t>
      </w:r>
      <w:r w:rsidR="005E3AB5">
        <w:t>.</w:t>
      </w:r>
    </w:p>
    <w:p w14:paraId="3B095247" w14:textId="3DA3D361" w:rsidR="00426C3A" w:rsidRPr="00426C3A" w:rsidRDefault="00426C3A" w:rsidP="00D05130">
      <w:pPr>
        <w:pStyle w:val="APVMAText"/>
      </w:pPr>
      <w:r w:rsidRPr="00426C3A">
        <w:t>Roberts, N.L., Macdonald, I.A.</w:t>
      </w:r>
      <w:r w:rsidR="005E3AB5">
        <w:t xml:space="preserve"> and</w:t>
      </w:r>
      <w:r w:rsidRPr="00426C3A">
        <w:t xml:space="preserve"> Gillis, N.A. </w:t>
      </w:r>
      <w:r w:rsidRPr="00E456D9">
        <w:rPr>
          <w:i/>
          <w:iCs/>
        </w:rPr>
        <w:t>et al</w:t>
      </w:r>
      <w:r w:rsidRPr="00426C3A">
        <w:t xml:space="preserve">. </w:t>
      </w:r>
      <w:r w:rsidR="005E3AB5">
        <w:t>(</w:t>
      </w:r>
      <w:r w:rsidRPr="00426C3A">
        <w:t>1992</w:t>
      </w:r>
      <w:r w:rsidR="005E3AB5">
        <w:t>)</w:t>
      </w:r>
      <w:r w:rsidRPr="00426C3A">
        <w:t xml:space="preserve"> </w:t>
      </w:r>
      <w:r w:rsidRPr="005E3AB5">
        <w:rPr>
          <w:i/>
          <w:iCs/>
        </w:rPr>
        <w:t xml:space="preserve">Procymidone Determination </w:t>
      </w:r>
      <w:r w:rsidR="005E3AB5" w:rsidRPr="005E3AB5">
        <w:rPr>
          <w:i/>
          <w:iCs/>
        </w:rPr>
        <w:t>o</w:t>
      </w:r>
      <w:r w:rsidRPr="005E3AB5">
        <w:rPr>
          <w:i/>
          <w:iCs/>
        </w:rPr>
        <w:t xml:space="preserve">f Residual Concentrations </w:t>
      </w:r>
      <w:r w:rsidR="005E3AB5" w:rsidRPr="005E3AB5">
        <w:rPr>
          <w:i/>
          <w:iCs/>
        </w:rPr>
        <w:t>i</w:t>
      </w:r>
      <w:r w:rsidRPr="005E3AB5">
        <w:rPr>
          <w:i/>
          <w:iCs/>
        </w:rPr>
        <w:t xml:space="preserve">n Grapes Following Field Trials </w:t>
      </w:r>
      <w:r w:rsidR="005E3AB5" w:rsidRPr="005E3AB5">
        <w:rPr>
          <w:i/>
          <w:iCs/>
        </w:rPr>
        <w:t>i</w:t>
      </w:r>
      <w:r w:rsidRPr="005E3AB5">
        <w:rPr>
          <w:i/>
          <w:iCs/>
        </w:rPr>
        <w:t>n Hunter Valley, Australia</w:t>
      </w:r>
      <w:r w:rsidR="005E3AB5" w:rsidRPr="005E3AB5">
        <w:rPr>
          <w:i/>
          <w:iCs/>
        </w:rPr>
        <w:t xml:space="preserve"> </w:t>
      </w:r>
      <w:r w:rsidRPr="005E3AB5">
        <w:rPr>
          <w:i/>
          <w:iCs/>
        </w:rPr>
        <w:t>(1991 Trials)</w:t>
      </w:r>
      <w:r w:rsidRPr="00426C3A">
        <w:t xml:space="preserve">, </w:t>
      </w:r>
      <w:r w:rsidR="005E3AB5" w:rsidRPr="00426C3A">
        <w:t>unpublished, study number</w:t>
      </w:r>
      <w:r w:rsidRPr="00426C3A">
        <w:t xml:space="preserve"> BR-0322, Sumitomo Chemical Australia Pty Ltd</w:t>
      </w:r>
      <w:r w:rsidR="005E3AB5">
        <w:t>.</w:t>
      </w:r>
    </w:p>
    <w:p w14:paraId="6FA638F2" w14:textId="50F0FD0A" w:rsidR="00426C3A" w:rsidRPr="00426C3A" w:rsidRDefault="00426C3A" w:rsidP="00D05130">
      <w:pPr>
        <w:pStyle w:val="APVMAText"/>
      </w:pPr>
      <w:r w:rsidRPr="00426C3A">
        <w:t>Roberts, N.L., Macdonald, I.A.</w:t>
      </w:r>
      <w:r w:rsidR="005E3AB5">
        <w:t xml:space="preserve"> and</w:t>
      </w:r>
      <w:r w:rsidRPr="00426C3A">
        <w:t xml:space="preserve"> Gillis, N.A. </w:t>
      </w:r>
      <w:r w:rsidRPr="00E456D9">
        <w:rPr>
          <w:i/>
          <w:iCs/>
        </w:rPr>
        <w:t>et al</w:t>
      </w:r>
      <w:r w:rsidRPr="00426C3A">
        <w:t xml:space="preserve">. </w:t>
      </w:r>
      <w:r w:rsidR="005E3AB5">
        <w:t>(</w:t>
      </w:r>
      <w:r w:rsidRPr="00426C3A">
        <w:t>1993</w:t>
      </w:r>
      <w:r w:rsidR="005E3AB5">
        <w:t>)</w:t>
      </w:r>
      <w:r w:rsidRPr="00426C3A">
        <w:t xml:space="preserve"> </w:t>
      </w:r>
      <w:r w:rsidRPr="005E3AB5">
        <w:rPr>
          <w:i/>
          <w:iCs/>
        </w:rPr>
        <w:t xml:space="preserve">Procymidone </w:t>
      </w:r>
      <w:r w:rsidR="005E3AB5" w:rsidRPr="005E3AB5">
        <w:rPr>
          <w:i/>
          <w:iCs/>
        </w:rPr>
        <w:t>a</w:t>
      </w:r>
      <w:r w:rsidRPr="005E3AB5">
        <w:rPr>
          <w:i/>
          <w:iCs/>
        </w:rPr>
        <w:t xml:space="preserve">nd 3,5-Dichloroaniline/Determination </w:t>
      </w:r>
      <w:r w:rsidR="005E3AB5" w:rsidRPr="005E3AB5">
        <w:rPr>
          <w:i/>
          <w:iCs/>
        </w:rPr>
        <w:t>o</w:t>
      </w:r>
      <w:r w:rsidRPr="005E3AB5">
        <w:rPr>
          <w:i/>
          <w:iCs/>
        </w:rPr>
        <w:t xml:space="preserve">f Residual Concentrations </w:t>
      </w:r>
      <w:r w:rsidR="005E3AB5" w:rsidRPr="005E3AB5">
        <w:rPr>
          <w:i/>
          <w:iCs/>
        </w:rPr>
        <w:t>i</w:t>
      </w:r>
      <w:r w:rsidRPr="005E3AB5">
        <w:rPr>
          <w:i/>
          <w:iCs/>
        </w:rPr>
        <w:t xml:space="preserve">n Study A </w:t>
      </w:r>
      <w:r w:rsidR="005E3AB5" w:rsidRPr="005E3AB5">
        <w:rPr>
          <w:i/>
          <w:iCs/>
        </w:rPr>
        <w:t>a</w:t>
      </w:r>
      <w:r w:rsidRPr="005E3AB5">
        <w:rPr>
          <w:i/>
          <w:iCs/>
        </w:rPr>
        <w:t xml:space="preserve">nd B Wine Following Field Trials </w:t>
      </w:r>
      <w:r w:rsidR="005E3AB5" w:rsidRPr="005E3AB5">
        <w:rPr>
          <w:i/>
          <w:iCs/>
        </w:rPr>
        <w:t>i</w:t>
      </w:r>
      <w:r w:rsidRPr="005E3AB5">
        <w:rPr>
          <w:i/>
          <w:iCs/>
        </w:rPr>
        <w:t>n Europe (1991 Trials)</w:t>
      </w:r>
      <w:r w:rsidRPr="00426C3A">
        <w:t xml:space="preserve">, </w:t>
      </w:r>
      <w:r w:rsidR="005E3AB5" w:rsidRPr="00426C3A">
        <w:t xml:space="preserve">unpublished, study number </w:t>
      </w:r>
      <w:r w:rsidRPr="00426C3A">
        <w:t>BR-0287, Sumitomo Chemical Australia Pty Ltd</w:t>
      </w:r>
      <w:r w:rsidR="005E3AB5">
        <w:t>.</w:t>
      </w:r>
    </w:p>
    <w:p w14:paraId="56E37CDF" w14:textId="5B964743" w:rsidR="00426C3A" w:rsidRPr="00426C3A" w:rsidRDefault="00426C3A" w:rsidP="00D05130">
      <w:pPr>
        <w:pStyle w:val="APVMAText"/>
      </w:pPr>
      <w:r w:rsidRPr="00426C3A">
        <w:t>Roberts, N.L., Macdonald, I.A.</w:t>
      </w:r>
      <w:r w:rsidR="005E3AB5">
        <w:t xml:space="preserve"> and</w:t>
      </w:r>
      <w:r w:rsidRPr="00426C3A">
        <w:t xml:space="preserve"> Gillis, N.A. </w:t>
      </w:r>
      <w:r w:rsidRPr="00E456D9">
        <w:rPr>
          <w:i/>
          <w:iCs/>
        </w:rPr>
        <w:t>et al</w:t>
      </w:r>
      <w:r w:rsidRPr="00426C3A">
        <w:t xml:space="preserve">., </w:t>
      </w:r>
      <w:r w:rsidR="005E3AB5">
        <w:t>(</w:t>
      </w:r>
      <w:r w:rsidRPr="00426C3A">
        <w:t>1993</w:t>
      </w:r>
      <w:r w:rsidR="005E3AB5">
        <w:t>)</w:t>
      </w:r>
      <w:r w:rsidRPr="00426C3A">
        <w:t xml:space="preserve"> </w:t>
      </w:r>
      <w:r w:rsidRPr="005E3AB5">
        <w:rPr>
          <w:i/>
          <w:iCs/>
        </w:rPr>
        <w:t xml:space="preserve">Procymidone/Determination </w:t>
      </w:r>
      <w:r w:rsidR="005E3AB5" w:rsidRPr="005E3AB5">
        <w:rPr>
          <w:i/>
          <w:iCs/>
        </w:rPr>
        <w:t>of</w:t>
      </w:r>
      <w:r w:rsidRPr="005E3AB5">
        <w:rPr>
          <w:i/>
          <w:iCs/>
        </w:rPr>
        <w:t xml:space="preserve"> Residual Concentrations </w:t>
      </w:r>
      <w:r w:rsidR="005E3AB5" w:rsidRPr="005E3AB5">
        <w:rPr>
          <w:i/>
          <w:iCs/>
        </w:rPr>
        <w:t>i</w:t>
      </w:r>
      <w:r w:rsidRPr="005E3AB5">
        <w:rPr>
          <w:i/>
          <w:iCs/>
        </w:rPr>
        <w:t xml:space="preserve">n Must Following Field Trials </w:t>
      </w:r>
      <w:r w:rsidR="005E3AB5" w:rsidRPr="005E3AB5">
        <w:rPr>
          <w:i/>
          <w:iCs/>
        </w:rPr>
        <w:t>i</w:t>
      </w:r>
      <w:r w:rsidRPr="005E3AB5">
        <w:rPr>
          <w:i/>
          <w:iCs/>
        </w:rPr>
        <w:t>n Europe (1991 Trials)</w:t>
      </w:r>
      <w:r w:rsidRPr="00426C3A">
        <w:t xml:space="preserve">, </w:t>
      </w:r>
      <w:r w:rsidR="005E3AB5" w:rsidRPr="00426C3A">
        <w:t xml:space="preserve">unpublished, study number </w:t>
      </w:r>
      <w:r w:rsidRPr="00426C3A">
        <w:t>BR-0286, Sumitomo Chemical Australia Pty Ltd</w:t>
      </w:r>
      <w:r w:rsidR="005E3AB5">
        <w:t>.</w:t>
      </w:r>
    </w:p>
    <w:p w14:paraId="703A52A5" w14:textId="48284971" w:rsidR="00426C3A" w:rsidRPr="00426C3A" w:rsidRDefault="00426C3A" w:rsidP="00D05130">
      <w:pPr>
        <w:pStyle w:val="APVMAText"/>
      </w:pPr>
      <w:r w:rsidRPr="00426C3A">
        <w:t>Roberts, N.L., Macdonald, I.A.</w:t>
      </w:r>
      <w:r w:rsidR="005E3AB5">
        <w:t xml:space="preserve"> and</w:t>
      </w:r>
      <w:r w:rsidRPr="00426C3A">
        <w:t xml:space="preserve"> Gillis, N.A. </w:t>
      </w:r>
      <w:r w:rsidRPr="00E456D9">
        <w:rPr>
          <w:i/>
          <w:iCs/>
        </w:rPr>
        <w:t>et al</w:t>
      </w:r>
      <w:r w:rsidRPr="00426C3A">
        <w:t xml:space="preserve">. </w:t>
      </w:r>
      <w:r w:rsidR="005E3AB5">
        <w:t>(</w:t>
      </w:r>
      <w:r w:rsidRPr="00426C3A">
        <w:t>1994</w:t>
      </w:r>
      <w:r w:rsidR="005E3AB5">
        <w:t>)</w:t>
      </w:r>
      <w:r w:rsidRPr="00426C3A">
        <w:t xml:space="preserve"> </w:t>
      </w:r>
      <w:r w:rsidRPr="005E3AB5">
        <w:rPr>
          <w:i/>
          <w:iCs/>
        </w:rPr>
        <w:t xml:space="preserve">Procymidone Determination </w:t>
      </w:r>
      <w:r w:rsidR="005E3AB5" w:rsidRPr="005E3AB5">
        <w:rPr>
          <w:i/>
          <w:iCs/>
        </w:rPr>
        <w:t>of</w:t>
      </w:r>
      <w:r w:rsidRPr="005E3AB5">
        <w:rPr>
          <w:i/>
          <w:iCs/>
        </w:rPr>
        <w:t xml:space="preserve"> Residual Concentrations </w:t>
      </w:r>
      <w:r w:rsidR="005E3AB5" w:rsidRPr="005E3AB5">
        <w:rPr>
          <w:i/>
          <w:iCs/>
        </w:rPr>
        <w:t>i</w:t>
      </w:r>
      <w:r w:rsidRPr="005E3AB5">
        <w:rPr>
          <w:i/>
          <w:iCs/>
        </w:rPr>
        <w:t>n P</w:t>
      </w:r>
      <w:r w:rsidR="005E3AB5" w:rsidRPr="005E3AB5">
        <w:rPr>
          <w:i/>
          <w:iCs/>
        </w:rPr>
        <w:t>C</w:t>
      </w:r>
      <w:r w:rsidRPr="005E3AB5">
        <w:rPr>
          <w:i/>
          <w:iCs/>
        </w:rPr>
        <w:t xml:space="preserve"> Grapes </w:t>
      </w:r>
      <w:r w:rsidR="005E3AB5" w:rsidRPr="005E3AB5">
        <w:rPr>
          <w:i/>
          <w:iCs/>
        </w:rPr>
        <w:t>a</w:t>
      </w:r>
      <w:r w:rsidRPr="005E3AB5">
        <w:rPr>
          <w:i/>
          <w:iCs/>
        </w:rPr>
        <w:t xml:space="preserve">nd Juice Following Field Trials </w:t>
      </w:r>
      <w:r w:rsidR="005E3AB5" w:rsidRPr="005E3AB5">
        <w:rPr>
          <w:i/>
          <w:iCs/>
        </w:rPr>
        <w:t>i</w:t>
      </w:r>
      <w:r w:rsidRPr="005E3AB5">
        <w:rPr>
          <w:i/>
          <w:iCs/>
        </w:rPr>
        <w:t xml:space="preserve">n France </w:t>
      </w:r>
      <w:r w:rsidR="005E3AB5" w:rsidRPr="005E3AB5">
        <w:rPr>
          <w:i/>
          <w:iCs/>
        </w:rPr>
        <w:t>a</w:t>
      </w:r>
      <w:r w:rsidRPr="005E3AB5">
        <w:rPr>
          <w:i/>
          <w:iCs/>
        </w:rPr>
        <w:t>nd Germany (1992 Trials)</w:t>
      </w:r>
      <w:r w:rsidRPr="00426C3A">
        <w:t xml:space="preserve">, </w:t>
      </w:r>
      <w:r w:rsidR="005E3AB5" w:rsidRPr="00426C3A">
        <w:t xml:space="preserve">unpublished, study number </w:t>
      </w:r>
      <w:r w:rsidRPr="00426C3A">
        <w:t>BR-0451, Sumitomo Chemical Australia Pty Ltd</w:t>
      </w:r>
      <w:r w:rsidR="005E3AB5">
        <w:t>.</w:t>
      </w:r>
    </w:p>
    <w:p w14:paraId="088189C4" w14:textId="4C96419A" w:rsidR="00426C3A" w:rsidRPr="00426C3A" w:rsidRDefault="00426C3A" w:rsidP="00D05130">
      <w:pPr>
        <w:pStyle w:val="APVMAText"/>
      </w:pPr>
      <w:r w:rsidRPr="00426C3A">
        <w:t>Roberts, N.L., Macdonald, I.A.</w:t>
      </w:r>
      <w:r w:rsidR="005E3AB5">
        <w:t xml:space="preserve"> and</w:t>
      </w:r>
      <w:r w:rsidRPr="00426C3A">
        <w:t xml:space="preserve"> Gillis, N.A. </w:t>
      </w:r>
      <w:r w:rsidRPr="00E456D9">
        <w:rPr>
          <w:i/>
          <w:iCs/>
        </w:rPr>
        <w:t>et al</w:t>
      </w:r>
      <w:r w:rsidRPr="00426C3A">
        <w:t xml:space="preserve">. </w:t>
      </w:r>
      <w:r w:rsidR="005E3AB5">
        <w:t>(</w:t>
      </w:r>
      <w:r w:rsidRPr="00426C3A">
        <w:t>1994</w:t>
      </w:r>
      <w:r w:rsidR="005E3AB5">
        <w:t>)</w:t>
      </w:r>
      <w:r w:rsidRPr="00426C3A">
        <w:t xml:space="preserve"> </w:t>
      </w:r>
      <w:r w:rsidRPr="005E3AB5">
        <w:rPr>
          <w:i/>
          <w:iCs/>
        </w:rPr>
        <w:t>Procymidone: Determination of Residual Concentrations in PC Grapes and Wine Following Field Trials in Germany (1992 Trials)</w:t>
      </w:r>
      <w:r w:rsidRPr="00426C3A">
        <w:t xml:space="preserve">, </w:t>
      </w:r>
      <w:r w:rsidR="005E3AB5" w:rsidRPr="00426C3A">
        <w:t>unpublished, study number</w:t>
      </w:r>
      <w:r w:rsidRPr="00426C3A">
        <w:t xml:space="preserve"> BR-0450, Sumitomo Chemical Australia Pty Ltd</w:t>
      </w:r>
      <w:r w:rsidR="005E3AB5">
        <w:t>.</w:t>
      </w:r>
    </w:p>
    <w:p w14:paraId="6C8EE790" w14:textId="3B5F8AB6" w:rsidR="00426C3A" w:rsidRPr="00426C3A" w:rsidRDefault="00426C3A" w:rsidP="00D05130">
      <w:pPr>
        <w:pStyle w:val="APVMAText"/>
      </w:pPr>
      <w:r w:rsidRPr="00426C3A">
        <w:t>Roberts, N.L., Macdonald, I.A.</w:t>
      </w:r>
      <w:r w:rsidR="005E3AB5">
        <w:t xml:space="preserve"> and</w:t>
      </w:r>
      <w:r w:rsidRPr="00426C3A">
        <w:t xml:space="preserve"> Gillis, N.A. </w:t>
      </w:r>
      <w:r w:rsidRPr="00E456D9">
        <w:rPr>
          <w:i/>
          <w:iCs/>
        </w:rPr>
        <w:t>et al</w:t>
      </w:r>
      <w:r w:rsidRPr="00426C3A">
        <w:t xml:space="preserve">. </w:t>
      </w:r>
      <w:r w:rsidR="005E3AB5">
        <w:t>(</w:t>
      </w:r>
      <w:r w:rsidRPr="00426C3A">
        <w:t>1995</w:t>
      </w:r>
      <w:r w:rsidR="005E3AB5">
        <w:t>)</w:t>
      </w:r>
      <w:r w:rsidRPr="00426C3A">
        <w:t xml:space="preserve"> </w:t>
      </w:r>
      <w:r w:rsidRPr="005E3AB5">
        <w:rPr>
          <w:i/>
          <w:iCs/>
        </w:rPr>
        <w:t xml:space="preserve">Procymidone and 3,5-Dichloroaniline Determination </w:t>
      </w:r>
      <w:r w:rsidR="005E3AB5" w:rsidRPr="005E3AB5">
        <w:rPr>
          <w:i/>
          <w:iCs/>
        </w:rPr>
        <w:t>of</w:t>
      </w:r>
      <w:r w:rsidRPr="005E3AB5">
        <w:rPr>
          <w:i/>
          <w:iCs/>
        </w:rPr>
        <w:t xml:space="preserve"> Residual Concentrations </w:t>
      </w:r>
      <w:r w:rsidR="005E3AB5" w:rsidRPr="005E3AB5">
        <w:rPr>
          <w:i/>
          <w:iCs/>
        </w:rPr>
        <w:t>i</w:t>
      </w:r>
      <w:r w:rsidRPr="005E3AB5">
        <w:rPr>
          <w:i/>
          <w:iCs/>
        </w:rPr>
        <w:t xml:space="preserve">n Cellar Stored Wine Following Field Trials </w:t>
      </w:r>
      <w:r w:rsidR="005E3AB5" w:rsidRPr="005E3AB5">
        <w:rPr>
          <w:i/>
          <w:iCs/>
        </w:rPr>
        <w:t>i</w:t>
      </w:r>
      <w:r w:rsidRPr="005E3AB5">
        <w:rPr>
          <w:i/>
          <w:iCs/>
        </w:rPr>
        <w:t>n Europe (1991 Trials)</w:t>
      </w:r>
      <w:r w:rsidRPr="00426C3A">
        <w:t xml:space="preserve">, </w:t>
      </w:r>
      <w:r w:rsidR="005E3AB5" w:rsidRPr="00426C3A">
        <w:t xml:space="preserve">unpublished, study number </w:t>
      </w:r>
      <w:r w:rsidRPr="00426C3A">
        <w:t>BR-0472, Sumitomo Chemical Australia Pty Ltd</w:t>
      </w:r>
      <w:r w:rsidR="005E3AB5">
        <w:t>.</w:t>
      </w:r>
    </w:p>
    <w:p w14:paraId="41566477" w14:textId="5B5932D2" w:rsidR="00426C3A" w:rsidRPr="00426C3A" w:rsidRDefault="00426C3A" w:rsidP="00D05130">
      <w:pPr>
        <w:pStyle w:val="APVMAText"/>
      </w:pPr>
      <w:r w:rsidRPr="00426C3A">
        <w:lastRenderedPageBreak/>
        <w:t>Roberts, N.L., Macdonald, I.A.</w:t>
      </w:r>
      <w:r w:rsidR="005E3AB5">
        <w:t xml:space="preserve"> and</w:t>
      </w:r>
      <w:r w:rsidRPr="00426C3A">
        <w:t xml:space="preserve"> Gillis, N.A. </w:t>
      </w:r>
      <w:r w:rsidRPr="00E456D9">
        <w:rPr>
          <w:i/>
          <w:iCs/>
        </w:rPr>
        <w:t>et al</w:t>
      </w:r>
      <w:r w:rsidRPr="00426C3A">
        <w:t xml:space="preserve">. </w:t>
      </w:r>
      <w:r w:rsidR="005E3AB5">
        <w:t>(</w:t>
      </w:r>
      <w:r w:rsidRPr="00426C3A">
        <w:t>1995</w:t>
      </w:r>
      <w:r w:rsidR="005E3AB5">
        <w:t>)</w:t>
      </w:r>
      <w:r w:rsidRPr="00426C3A">
        <w:t xml:space="preserve"> </w:t>
      </w:r>
      <w:r w:rsidRPr="005E3AB5">
        <w:rPr>
          <w:i/>
          <w:iCs/>
        </w:rPr>
        <w:t xml:space="preserve">Procymidone </w:t>
      </w:r>
      <w:r w:rsidR="005E3AB5" w:rsidRPr="005E3AB5">
        <w:rPr>
          <w:i/>
          <w:iCs/>
        </w:rPr>
        <w:t>a</w:t>
      </w:r>
      <w:r w:rsidRPr="005E3AB5">
        <w:rPr>
          <w:i/>
          <w:iCs/>
        </w:rPr>
        <w:t xml:space="preserve">nd 3,5-Dichloroaniline Determination </w:t>
      </w:r>
      <w:r w:rsidR="005E3AB5" w:rsidRPr="005E3AB5">
        <w:rPr>
          <w:i/>
          <w:iCs/>
        </w:rPr>
        <w:t>o</w:t>
      </w:r>
      <w:r w:rsidRPr="005E3AB5">
        <w:rPr>
          <w:i/>
          <w:iCs/>
        </w:rPr>
        <w:t xml:space="preserve">f Residual Concentrations </w:t>
      </w:r>
      <w:r w:rsidR="005E3AB5" w:rsidRPr="005E3AB5">
        <w:rPr>
          <w:i/>
          <w:iCs/>
        </w:rPr>
        <w:t>i</w:t>
      </w:r>
      <w:r w:rsidRPr="005E3AB5">
        <w:rPr>
          <w:i/>
          <w:iCs/>
        </w:rPr>
        <w:t xml:space="preserve">n Study A </w:t>
      </w:r>
      <w:r w:rsidR="005E3AB5" w:rsidRPr="005E3AB5">
        <w:rPr>
          <w:i/>
          <w:iCs/>
        </w:rPr>
        <w:t>a</w:t>
      </w:r>
      <w:r w:rsidRPr="005E3AB5">
        <w:rPr>
          <w:i/>
          <w:iCs/>
        </w:rPr>
        <w:t xml:space="preserve">nd B Wine Following Field Trials </w:t>
      </w:r>
      <w:r w:rsidR="005E3AB5" w:rsidRPr="005E3AB5">
        <w:rPr>
          <w:i/>
          <w:iCs/>
        </w:rPr>
        <w:t>i</w:t>
      </w:r>
      <w:r w:rsidRPr="005E3AB5">
        <w:rPr>
          <w:i/>
          <w:iCs/>
        </w:rPr>
        <w:t>n Europe (1991 Trials)</w:t>
      </w:r>
      <w:r w:rsidRPr="00426C3A">
        <w:t xml:space="preserve">, </w:t>
      </w:r>
      <w:r w:rsidR="005E3AB5" w:rsidRPr="00426C3A">
        <w:t xml:space="preserve">unpublished, study number </w:t>
      </w:r>
      <w:r w:rsidRPr="00426C3A">
        <w:t>BR-0473, Sumitomo Chemical Australia Pty Ltd</w:t>
      </w:r>
      <w:r w:rsidR="005E3AB5">
        <w:t>.</w:t>
      </w:r>
    </w:p>
    <w:p w14:paraId="2A590B77" w14:textId="07FF7FCE" w:rsidR="00426C3A" w:rsidRPr="00426C3A" w:rsidRDefault="00426C3A" w:rsidP="00D05130">
      <w:pPr>
        <w:pStyle w:val="APVMAText"/>
      </w:pPr>
      <w:r w:rsidRPr="00426C3A">
        <w:t>Roberts, N</w:t>
      </w:r>
      <w:r w:rsidR="005E3AB5">
        <w:t>.</w:t>
      </w:r>
      <w:r w:rsidRPr="00426C3A">
        <w:t>L</w:t>
      </w:r>
      <w:r w:rsidR="005E3AB5">
        <w:t>.</w:t>
      </w:r>
      <w:r w:rsidRPr="00426C3A">
        <w:t>, Macdonald, I</w:t>
      </w:r>
      <w:r w:rsidR="005E3AB5">
        <w:t>.</w:t>
      </w:r>
      <w:r w:rsidRPr="00426C3A">
        <w:t>A</w:t>
      </w:r>
      <w:r w:rsidR="005E3AB5">
        <w:t>.</w:t>
      </w:r>
      <w:r w:rsidRPr="00426C3A">
        <w:t>, Gillis, N</w:t>
      </w:r>
      <w:r w:rsidR="005E3AB5">
        <w:t>.</w:t>
      </w:r>
      <w:r w:rsidRPr="00426C3A">
        <w:t>A</w:t>
      </w:r>
      <w:r w:rsidR="005E3AB5">
        <w:t>.</w:t>
      </w:r>
      <w:r w:rsidRPr="00426C3A">
        <w:t xml:space="preserve"> and Howie, D</w:t>
      </w:r>
      <w:r w:rsidR="005E3AB5">
        <w:t>.</w:t>
      </w:r>
      <w:r w:rsidRPr="00426C3A">
        <w:t xml:space="preserve"> </w:t>
      </w:r>
      <w:r w:rsidR="005E3AB5">
        <w:t>(</w:t>
      </w:r>
      <w:r w:rsidRPr="00426C3A">
        <w:t>1992</w:t>
      </w:r>
      <w:r w:rsidR="005E3AB5">
        <w:t>)</w:t>
      </w:r>
      <w:r w:rsidRPr="00426C3A">
        <w:t xml:space="preserve"> </w:t>
      </w:r>
      <w:r w:rsidRPr="005E3AB5">
        <w:rPr>
          <w:i/>
          <w:iCs/>
        </w:rPr>
        <w:t xml:space="preserve">Procymidone Determination </w:t>
      </w:r>
      <w:r w:rsidR="005E3AB5" w:rsidRPr="005E3AB5">
        <w:rPr>
          <w:i/>
          <w:iCs/>
        </w:rPr>
        <w:t>o</w:t>
      </w:r>
      <w:r w:rsidRPr="005E3AB5">
        <w:rPr>
          <w:i/>
          <w:iCs/>
        </w:rPr>
        <w:t xml:space="preserve">f Residual Concentrations </w:t>
      </w:r>
      <w:r w:rsidR="005E3AB5" w:rsidRPr="005E3AB5">
        <w:rPr>
          <w:i/>
          <w:iCs/>
        </w:rPr>
        <w:t>i</w:t>
      </w:r>
      <w:r w:rsidRPr="005E3AB5">
        <w:rPr>
          <w:i/>
          <w:iCs/>
        </w:rPr>
        <w:t xml:space="preserve">n Grapes, Must </w:t>
      </w:r>
      <w:r w:rsidR="005E3AB5" w:rsidRPr="005E3AB5">
        <w:rPr>
          <w:i/>
          <w:iCs/>
        </w:rPr>
        <w:t>a</w:t>
      </w:r>
      <w:r w:rsidRPr="005E3AB5">
        <w:rPr>
          <w:i/>
          <w:iCs/>
        </w:rPr>
        <w:t xml:space="preserve">nd Wine Following Field Trials </w:t>
      </w:r>
      <w:r w:rsidR="005E3AB5" w:rsidRPr="005E3AB5">
        <w:rPr>
          <w:i/>
          <w:iCs/>
        </w:rPr>
        <w:t>i</w:t>
      </w:r>
      <w:r w:rsidRPr="005E3AB5">
        <w:rPr>
          <w:i/>
          <w:iCs/>
        </w:rPr>
        <w:t>n Barossa, Australia (1991 Trials)</w:t>
      </w:r>
      <w:r w:rsidRPr="00426C3A">
        <w:t xml:space="preserve">, </w:t>
      </w:r>
      <w:r w:rsidR="005E3AB5" w:rsidRPr="00426C3A">
        <w:t xml:space="preserve">unpublished, study number </w:t>
      </w:r>
      <w:r w:rsidRPr="00426C3A">
        <w:t>CC-A8, Crop Care</w:t>
      </w:r>
      <w:r w:rsidR="005E3AB5">
        <w:t>.</w:t>
      </w:r>
    </w:p>
    <w:p w14:paraId="35198CBA" w14:textId="5B97BDC0" w:rsidR="00426C3A" w:rsidRPr="00426C3A" w:rsidRDefault="00426C3A" w:rsidP="00D05130">
      <w:pPr>
        <w:pStyle w:val="APVMAText"/>
      </w:pPr>
      <w:r w:rsidRPr="00426C3A">
        <w:t xml:space="preserve">Ross, M.K. </w:t>
      </w:r>
      <w:r w:rsidRPr="00E456D9">
        <w:rPr>
          <w:i/>
          <w:iCs/>
        </w:rPr>
        <w:t>et al</w:t>
      </w:r>
      <w:r w:rsidRPr="00426C3A">
        <w:t xml:space="preserve"> </w:t>
      </w:r>
      <w:r w:rsidR="005E3AB5">
        <w:t>(</w:t>
      </w:r>
      <w:r w:rsidRPr="00426C3A">
        <w:t>1991a</w:t>
      </w:r>
      <w:r w:rsidR="005E3AB5">
        <w:t>)</w:t>
      </w:r>
      <w:r w:rsidRPr="00426C3A">
        <w:t xml:space="preserve"> </w:t>
      </w:r>
      <w:r w:rsidRPr="005E3AB5">
        <w:rPr>
          <w:i/>
          <w:iCs/>
        </w:rPr>
        <w:t xml:space="preserve">Metabolism </w:t>
      </w:r>
      <w:r w:rsidR="005E3AB5" w:rsidRPr="005E3AB5">
        <w:rPr>
          <w:i/>
          <w:iCs/>
        </w:rPr>
        <w:t>o</w:t>
      </w:r>
      <w:r w:rsidRPr="005E3AB5">
        <w:rPr>
          <w:i/>
          <w:iCs/>
        </w:rPr>
        <w:t xml:space="preserve">f [14C-Phenyl] Procymidone </w:t>
      </w:r>
      <w:r w:rsidR="005E3AB5" w:rsidRPr="005E3AB5">
        <w:rPr>
          <w:i/>
          <w:iCs/>
        </w:rPr>
        <w:t>i</w:t>
      </w:r>
      <w:r w:rsidRPr="005E3AB5">
        <w:rPr>
          <w:i/>
          <w:iCs/>
        </w:rPr>
        <w:t xml:space="preserve">n Grapes </w:t>
      </w:r>
      <w:r w:rsidR="005E3AB5" w:rsidRPr="005E3AB5">
        <w:rPr>
          <w:i/>
          <w:iCs/>
        </w:rPr>
        <w:t>a</w:t>
      </w:r>
      <w:r w:rsidRPr="005E3AB5">
        <w:rPr>
          <w:i/>
          <w:iCs/>
        </w:rPr>
        <w:t>nd Grape Commodities:</w:t>
      </w:r>
      <w:r w:rsidR="005E3AB5">
        <w:rPr>
          <w:i/>
          <w:iCs/>
        </w:rPr>
        <w:t> </w:t>
      </w:r>
      <w:r w:rsidRPr="005E3AB5">
        <w:rPr>
          <w:i/>
          <w:iCs/>
        </w:rPr>
        <w:t>Grape Metabolism Study</w:t>
      </w:r>
      <w:r w:rsidRPr="00426C3A">
        <w:t xml:space="preserve">, </w:t>
      </w:r>
      <w:r w:rsidR="005E3AB5" w:rsidRPr="00426C3A">
        <w:t xml:space="preserve">unpublished, study number </w:t>
      </w:r>
      <w:r w:rsidRPr="00426C3A">
        <w:t>BM-0029, Sumitomo Chemical Australia Pty Ltd</w:t>
      </w:r>
      <w:r w:rsidR="005E3AB5">
        <w:t>.</w:t>
      </w:r>
    </w:p>
    <w:p w14:paraId="303893C3" w14:textId="42A920C0" w:rsidR="00426C3A" w:rsidRPr="00426C3A" w:rsidRDefault="005E3AB5" w:rsidP="00D05130">
      <w:pPr>
        <w:pStyle w:val="APVMAText"/>
      </w:pPr>
      <w:r w:rsidRPr="00426C3A">
        <w:t xml:space="preserve">Ross, M.K. </w:t>
      </w:r>
      <w:r w:rsidRPr="00E456D9">
        <w:rPr>
          <w:i/>
          <w:iCs/>
        </w:rPr>
        <w:t>et al</w:t>
      </w:r>
      <w:r w:rsidR="00426C3A" w:rsidRPr="00426C3A">
        <w:t xml:space="preserve">, </w:t>
      </w:r>
      <w:r>
        <w:t>(</w:t>
      </w:r>
      <w:r w:rsidR="00426C3A" w:rsidRPr="00426C3A">
        <w:t>1991b</w:t>
      </w:r>
      <w:r>
        <w:t>)</w:t>
      </w:r>
      <w:r w:rsidR="00426C3A" w:rsidRPr="00426C3A">
        <w:t xml:space="preserve"> </w:t>
      </w:r>
      <w:r w:rsidR="00426C3A" w:rsidRPr="005E3AB5">
        <w:rPr>
          <w:i/>
          <w:iCs/>
        </w:rPr>
        <w:t xml:space="preserve">Metabolism </w:t>
      </w:r>
      <w:r w:rsidRPr="005E3AB5">
        <w:rPr>
          <w:i/>
          <w:iCs/>
        </w:rPr>
        <w:t>o</w:t>
      </w:r>
      <w:r w:rsidR="00426C3A" w:rsidRPr="005E3AB5">
        <w:rPr>
          <w:i/>
          <w:iCs/>
        </w:rPr>
        <w:t xml:space="preserve">f [14C-Carbonyl] Procymidone </w:t>
      </w:r>
      <w:r w:rsidRPr="005E3AB5">
        <w:rPr>
          <w:i/>
          <w:iCs/>
        </w:rPr>
        <w:t>o</w:t>
      </w:r>
      <w:r w:rsidR="00426C3A" w:rsidRPr="005E3AB5">
        <w:rPr>
          <w:i/>
          <w:iCs/>
        </w:rPr>
        <w:t xml:space="preserve">n Grapes </w:t>
      </w:r>
      <w:r w:rsidRPr="005E3AB5">
        <w:rPr>
          <w:i/>
          <w:iCs/>
        </w:rPr>
        <w:t>a</w:t>
      </w:r>
      <w:r w:rsidR="00426C3A" w:rsidRPr="005E3AB5">
        <w:rPr>
          <w:i/>
          <w:iCs/>
        </w:rPr>
        <w:t>nd Grape Commodities:</w:t>
      </w:r>
      <w:r w:rsidRPr="005E3AB5">
        <w:rPr>
          <w:i/>
          <w:iCs/>
        </w:rPr>
        <w:t> </w:t>
      </w:r>
      <w:r w:rsidR="00426C3A" w:rsidRPr="005E3AB5">
        <w:rPr>
          <w:i/>
          <w:iCs/>
        </w:rPr>
        <w:t>Grape Metabolism Study</w:t>
      </w:r>
      <w:r w:rsidR="00426C3A" w:rsidRPr="00426C3A">
        <w:t xml:space="preserve">, </w:t>
      </w:r>
      <w:r w:rsidRPr="00426C3A">
        <w:t xml:space="preserve">unpublished, study number </w:t>
      </w:r>
      <w:r w:rsidR="00426C3A" w:rsidRPr="00426C3A">
        <w:t>BM-0028, Sumitomo Chemical Australia Pty Ltd</w:t>
      </w:r>
      <w:r>
        <w:t>.</w:t>
      </w:r>
    </w:p>
    <w:p w14:paraId="058971AA" w14:textId="67575F71" w:rsidR="00426C3A" w:rsidRPr="00426C3A" w:rsidRDefault="00426C3A" w:rsidP="00D05130">
      <w:pPr>
        <w:pStyle w:val="APVMAText"/>
      </w:pPr>
      <w:r w:rsidRPr="00426C3A">
        <w:t>Ross, M.K.</w:t>
      </w:r>
      <w:r w:rsidR="005E3AB5">
        <w:t xml:space="preserve"> and </w:t>
      </w:r>
      <w:proofErr w:type="spellStart"/>
      <w:r w:rsidRPr="00426C3A">
        <w:t>Toia</w:t>
      </w:r>
      <w:proofErr w:type="spellEnd"/>
      <w:r w:rsidRPr="00426C3A">
        <w:t xml:space="preserve">, R.F. </w:t>
      </w:r>
      <w:r w:rsidR="005E3AB5">
        <w:t>(</w:t>
      </w:r>
      <w:r w:rsidRPr="00426C3A">
        <w:t>1992</w:t>
      </w:r>
      <w:r w:rsidR="005E3AB5">
        <w:t>)</w:t>
      </w:r>
      <w:r w:rsidRPr="00426C3A">
        <w:t xml:space="preserve"> </w:t>
      </w:r>
      <w:r w:rsidRPr="005E3AB5">
        <w:rPr>
          <w:i/>
          <w:iCs/>
        </w:rPr>
        <w:t xml:space="preserve">Metabolism of [14C-Phenyl] - </w:t>
      </w:r>
      <w:r w:rsidR="005E3AB5" w:rsidRPr="005E3AB5">
        <w:rPr>
          <w:i/>
          <w:iCs/>
        </w:rPr>
        <w:t>a</w:t>
      </w:r>
      <w:r w:rsidRPr="005E3AB5">
        <w:rPr>
          <w:i/>
          <w:iCs/>
        </w:rPr>
        <w:t>nd [14C-Carbonyl] Procymidone in Grapes and Grape Commodities: Wine and Pomace</w:t>
      </w:r>
      <w:r w:rsidRPr="00426C3A">
        <w:t xml:space="preserve">, </w:t>
      </w:r>
      <w:r w:rsidR="005E3AB5" w:rsidRPr="00426C3A">
        <w:t xml:space="preserve">unpublished, study number </w:t>
      </w:r>
      <w:r w:rsidRPr="00426C3A">
        <w:t>BM-0035, Sumitomo Chemical Australia Pty Ltd</w:t>
      </w:r>
      <w:r w:rsidR="005E3AB5">
        <w:t>.</w:t>
      </w:r>
    </w:p>
    <w:p w14:paraId="04DA47B9" w14:textId="61F82C64" w:rsidR="00426C3A" w:rsidRPr="00426C3A" w:rsidRDefault="00426C3A" w:rsidP="00D05130">
      <w:pPr>
        <w:pStyle w:val="APVMAText"/>
      </w:pPr>
      <w:proofErr w:type="spellStart"/>
      <w:r w:rsidRPr="00426C3A">
        <w:t>Rzepka</w:t>
      </w:r>
      <w:proofErr w:type="spellEnd"/>
      <w:r w:rsidRPr="00426C3A">
        <w:t xml:space="preserve">, S. </w:t>
      </w:r>
      <w:r w:rsidR="005E3AB5">
        <w:t>(</w:t>
      </w:r>
      <w:r w:rsidRPr="00426C3A">
        <w:t>2003</w:t>
      </w:r>
      <w:r w:rsidR="00852F7D">
        <w:t>)</w:t>
      </w:r>
      <w:r w:rsidRPr="00426C3A">
        <w:t xml:space="preserve"> </w:t>
      </w:r>
      <w:r w:rsidRPr="005E3AB5">
        <w:rPr>
          <w:i/>
          <w:iCs/>
        </w:rPr>
        <w:t xml:space="preserve">Magnitude of Residue of Procymidone and </w:t>
      </w:r>
      <w:r w:rsidR="005E3AB5" w:rsidRPr="005E3AB5">
        <w:rPr>
          <w:i/>
          <w:iCs/>
        </w:rPr>
        <w:t>i</w:t>
      </w:r>
      <w:r w:rsidRPr="005E3AB5">
        <w:rPr>
          <w:i/>
          <w:iCs/>
        </w:rPr>
        <w:t>ts Metabolites 3,5-Dichloroaniline in Plum Raw Agricultural Commodity</w:t>
      </w:r>
      <w:r w:rsidRPr="00426C3A">
        <w:t xml:space="preserve">, </w:t>
      </w:r>
      <w:r w:rsidR="005E3AB5" w:rsidRPr="00426C3A">
        <w:t xml:space="preserve">unpublished, study number </w:t>
      </w:r>
      <w:r w:rsidRPr="00426C3A">
        <w:t>BR-0544, Sumitomo Chemical Australia Pty Ltd</w:t>
      </w:r>
      <w:r w:rsidR="005E3AB5">
        <w:t>.</w:t>
      </w:r>
    </w:p>
    <w:p w14:paraId="44FE4A31" w14:textId="1D5B9BBB" w:rsidR="00426C3A" w:rsidRPr="00426C3A" w:rsidRDefault="00426C3A" w:rsidP="00D05130">
      <w:pPr>
        <w:pStyle w:val="APVMAText"/>
      </w:pPr>
      <w:proofErr w:type="spellStart"/>
      <w:r w:rsidRPr="00426C3A">
        <w:t>Rzepka</w:t>
      </w:r>
      <w:proofErr w:type="spellEnd"/>
      <w:r w:rsidRPr="00426C3A">
        <w:t xml:space="preserve">, S., </w:t>
      </w:r>
      <w:r w:rsidR="005E3AB5">
        <w:t xml:space="preserve">and </w:t>
      </w:r>
      <w:proofErr w:type="spellStart"/>
      <w:r w:rsidRPr="00426C3A">
        <w:t>Milham</w:t>
      </w:r>
      <w:proofErr w:type="spellEnd"/>
      <w:r w:rsidRPr="00426C3A">
        <w:t xml:space="preserve">, C. </w:t>
      </w:r>
      <w:r w:rsidR="005E3AB5">
        <w:t>(</w:t>
      </w:r>
      <w:r w:rsidRPr="00426C3A">
        <w:t>2003</w:t>
      </w:r>
      <w:r w:rsidR="005E3AB5">
        <w:t>)</w:t>
      </w:r>
      <w:r w:rsidRPr="00426C3A">
        <w:t xml:space="preserve"> </w:t>
      </w:r>
      <w:r w:rsidRPr="005E3AB5">
        <w:rPr>
          <w:i/>
          <w:iCs/>
        </w:rPr>
        <w:t xml:space="preserve">Magnitude of Residue of Procymidone and </w:t>
      </w:r>
      <w:r w:rsidR="005E3AB5" w:rsidRPr="005E3AB5">
        <w:rPr>
          <w:i/>
          <w:iCs/>
        </w:rPr>
        <w:t>i</w:t>
      </w:r>
      <w:r w:rsidRPr="005E3AB5">
        <w:rPr>
          <w:i/>
          <w:iCs/>
        </w:rPr>
        <w:t>ts Metabolites in Processed Plum Fractions 2003</w:t>
      </w:r>
      <w:r w:rsidRPr="00426C3A">
        <w:t xml:space="preserve">, </w:t>
      </w:r>
      <w:r w:rsidR="005E3AB5" w:rsidRPr="00426C3A">
        <w:t xml:space="preserve">unpublished, study number </w:t>
      </w:r>
      <w:r w:rsidRPr="00426C3A">
        <w:t>BR-0543, Sumitomo Chemical Australia Pty Ltd</w:t>
      </w:r>
      <w:r w:rsidR="005E3AB5">
        <w:t>.</w:t>
      </w:r>
    </w:p>
    <w:p w14:paraId="6A71064D" w14:textId="5E720B68" w:rsidR="00426C3A" w:rsidRPr="00426C3A" w:rsidRDefault="00426C3A" w:rsidP="00D05130">
      <w:pPr>
        <w:pStyle w:val="APVMAText"/>
      </w:pPr>
      <w:r w:rsidRPr="00426C3A">
        <w:t xml:space="preserve">Saito, K. </w:t>
      </w:r>
      <w:r w:rsidR="005E3AB5">
        <w:t>(</w:t>
      </w:r>
      <w:r w:rsidRPr="00426C3A">
        <w:t>1992</w:t>
      </w:r>
      <w:r w:rsidR="005E3AB5">
        <w:t>)</w:t>
      </w:r>
      <w:r w:rsidRPr="00426C3A">
        <w:t xml:space="preserve"> </w:t>
      </w:r>
      <w:r w:rsidRPr="005E3AB5">
        <w:rPr>
          <w:i/>
          <w:iCs/>
        </w:rPr>
        <w:t>Metabolism of CCA in Rats</w:t>
      </w:r>
      <w:r w:rsidRPr="00426C3A">
        <w:t xml:space="preserve">, </w:t>
      </w:r>
      <w:r w:rsidR="005E3AB5" w:rsidRPr="00426C3A">
        <w:t xml:space="preserve">unpublished, study number </w:t>
      </w:r>
      <w:r w:rsidRPr="00426C3A">
        <w:t>BM-0032, Sumitomo Chemical Australia Pty Ltd</w:t>
      </w:r>
      <w:r w:rsidR="005E3AB5">
        <w:t>.</w:t>
      </w:r>
    </w:p>
    <w:p w14:paraId="0D0BA346" w14:textId="582C70A4" w:rsidR="00426C3A" w:rsidRPr="00426C3A" w:rsidRDefault="00426C3A" w:rsidP="00D05130">
      <w:pPr>
        <w:pStyle w:val="APVMAText"/>
      </w:pPr>
      <w:r w:rsidRPr="00426C3A">
        <w:t xml:space="preserve">Shiba, K. Kaneko, H., Yoshino, H., </w:t>
      </w:r>
      <w:proofErr w:type="spellStart"/>
      <w:r w:rsidRPr="00426C3A">
        <w:t>Kakuta</w:t>
      </w:r>
      <w:proofErr w:type="spellEnd"/>
      <w:r w:rsidRPr="00426C3A">
        <w:t xml:space="preserve">, N., </w:t>
      </w:r>
      <w:proofErr w:type="spellStart"/>
      <w:r w:rsidRPr="00426C3A">
        <w:t>Iba</w:t>
      </w:r>
      <w:proofErr w:type="spellEnd"/>
      <w:r w:rsidRPr="00426C3A">
        <w:t xml:space="preserve">, K., Nakatsuka, I., </w:t>
      </w:r>
      <w:proofErr w:type="spellStart"/>
      <w:r w:rsidRPr="00426C3A">
        <w:t>Yoshitake</w:t>
      </w:r>
      <w:proofErr w:type="spellEnd"/>
      <w:r w:rsidRPr="00426C3A">
        <w:t xml:space="preserve">, A., Yamada, H. and Miyamoto, J., </w:t>
      </w:r>
      <w:r w:rsidR="005E3AB5">
        <w:t>(</w:t>
      </w:r>
      <w:r w:rsidRPr="00426C3A">
        <w:t>1991</w:t>
      </w:r>
      <w:r w:rsidR="005E3AB5">
        <w:t>)</w:t>
      </w:r>
      <w:r w:rsidRPr="00426C3A">
        <w:t xml:space="preserve"> </w:t>
      </w:r>
      <w:r w:rsidRPr="005E3AB5">
        <w:rPr>
          <w:i/>
          <w:iCs/>
        </w:rPr>
        <w:t xml:space="preserve">Comparative Metabolism </w:t>
      </w:r>
      <w:r w:rsidR="005E3AB5" w:rsidRPr="005E3AB5">
        <w:rPr>
          <w:i/>
          <w:iCs/>
        </w:rPr>
        <w:t>o</w:t>
      </w:r>
      <w:r w:rsidRPr="005E3AB5">
        <w:rPr>
          <w:i/>
          <w:iCs/>
        </w:rPr>
        <w:t xml:space="preserve">f Procymidone </w:t>
      </w:r>
      <w:r w:rsidR="005E3AB5" w:rsidRPr="005E3AB5">
        <w:rPr>
          <w:i/>
          <w:iCs/>
        </w:rPr>
        <w:t>i</w:t>
      </w:r>
      <w:r w:rsidRPr="005E3AB5">
        <w:rPr>
          <w:i/>
          <w:iCs/>
        </w:rPr>
        <w:t xml:space="preserve">n Rats </w:t>
      </w:r>
      <w:r w:rsidR="005E3AB5" w:rsidRPr="005E3AB5">
        <w:rPr>
          <w:i/>
          <w:iCs/>
        </w:rPr>
        <w:t>a</w:t>
      </w:r>
      <w:r w:rsidRPr="005E3AB5">
        <w:rPr>
          <w:i/>
          <w:iCs/>
        </w:rPr>
        <w:t>nd Mice</w:t>
      </w:r>
      <w:r w:rsidRPr="00426C3A">
        <w:t xml:space="preserve">, </w:t>
      </w:r>
      <w:r w:rsidR="005E3AB5" w:rsidRPr="00426C3A">
        <w:t xml:space="preserve">unpublished, study number </w:t>
      </w:r>
      <w:r w:rsidRPr="00426C3A">
        <w:t>BM-</w:t>
      </w:r>
      <w:r w:rsidR="005E3AB5" w:rsidRPr="00426C3A">
        <w:t>0030,</w:t>
      </w:r>
      <w:r w:rsidRPr="00426C3A">
        <w:t xml:space="preserve"> Sumitomo Chemical Australia Pty Ltd</w:t>
      </w:r>
      <w:r w:rsidR="005E3AB5">
        <w:t>.</w:t>
      </w:r>
    </w:p>
    <w:p w14:paraId="12836C1B" w14:textId="7EB03C84" w:rsidR="00426C3A" w:rsidRPr="00426C3A" w:rsidRDefault="00426C3A" w:rsidP="00D05130">
      <w:pPr>
        <w:pStyle w:val="APVMAText"/>
      </w:pPr>
      <w:r w:rsidRPr="00426C3A">
        <w:t xml:space="preserve">Shields, R., </w:t>
      </w:r>
      <w:r w:rsidR="005E3AB5">
        <w:t>(</w:t>
      </w:r>
      <w:r w:rsidRPr="00426C3A">
        <w:t>2002</w:t>
      </w:r>
      <w:r w:rsidR="005E3AB5">
        <w:t>)</w:t>
      </w:r>
      <w:r w:rsidRPr="00426C3A">
        <w:t xml:space="preserve"> </w:t>
      </w:r>
      <w:r w:rsidRPr="005E3AB5">
        <w:rPr>
          <w:i/>
          <w:iCs/>
        </w:rPr>
        <w:t xml:space="preserve">Determination </w:t>
      </w:r>
      <w:r w:rsidR="005E3AB5" w:rsidRPr="005E3AB5">
        <w:rPr>
          <w:i/>
          <w:iCs/>
        </w:rPr>
        <w:t>o</w:t>
      </w:r>
      <w:r w:rsidRPr="005E3AB5">
        <w:rPr>
          <w:i/>
          <w:iCs/>
        </w:rPr>
        <w:t xml:space="preserve">f Residues </w:t>
      </w:r>
      <w:r w:rsidR="005E3AB5" w:rsidRPr="005E3AB5">
        <w:rPr>
          <w:i/>
          <w:iCs/>
        </w:rPr>
        <w:t>o</w:t>
      </w:r>
      <w:r w:rsidRPr="005E3AB5">
        <w:rPr>
          <w:i/>
          <w:iCs/>
        </w:rPr>
        <w:t xml:space="preserve">f Procymidone </w:t>
      </w:r>
      <w:r w:rsidR="005E3AB5" w:rsidRPr="005E3AB5">
        <w:rPr>
          <w:i/>
          <w:iCs/>
        </w:rPr>
        <w:t>i</w:t>
      </w:r>
      <w:r w:rsidRPr="005E3AB5">
        <w:rPr>
          <w:i/>
          <w:iCs/>
        </w:rPr>
        <w:t xml:space="preserve">n Canola </w:t>
      </w:r>
      <w:r w:rsidR="005E3AB5" w:rsidRPr="005E3AB5">
        <w:rPr>
          <w:i/>
          <w:iCs/>
        </w:rPr>
        <w:t>a</w:t>
      </w:r>
      <w:r w:rsidRPr="005E3AB5">
        <w:rPr>
          <w:i/>
          <w:iCs/>
        </w:rPr>
        <w:t>nd Lentils</w:t>
      </w:r>
      <w:r w:rsidRPr="00426C3A">
        <w:t xml:space="preserve">, </w:t>
      </w:r>
      <w:r w:rsidR="005E3AB5" w:rsidRPr="00426C3A">
        <w:t>unpublished, study number</w:t>
      </w:r>
      <w:r w:rsidRPr="00426C3A">
        <w:t xml:space="preserve"> 01-0064, 02-0012, 02-0013, 02-0028, 02-0042, 02-0043, 02-0044 (</w:t>
      </w:r>
      <w:r w:rsidR="005E3AB5" w:rsidRPr="00426C3A">
        <w:t>job numbers</w:t>
      </w:r>
      <w:r w:rsidRPr="00426C3A">
        <w:t>), Sumitomo Chemical Australia Pty Ltd</w:t>
      </w:r>
      <w:r w:rsidR="005E3AB5">
        <w:t>.</w:t>
      </w:r>
    </w:p>
    <w:p w14:paraId="56D6F9B6" w14:textId="3BEA37F1" w:rsidR="00426C3A" w:rsidRPr="00426C3A" w:rsidRDefault="00426C3A" w:rsidP="00D05130">
      <w:pPr>
        <w:pStyle w:val="APVMAText"/>
      </w:pPr>
      <w:r w:rsidRPr="00426C3A">
        <w:t xml:space="preserve">Struble, C.B. </w:t>
      </w:r>
      <w:r w:rsidR="005E3AB5">
        <w:t>(</w:t>
      </w:r>
      <w:r w:rsidRPr="00426C3A">
        <w:t>1992c</w:t>
      </w:r>
      <w:r w:rsidR="005E3AB5">
        <w:t>)</w:t>
      </w:r>
      <w:r w:rsidRPr="00426C3A">
        <w:t xml:space="preserve"> </w:t>
      </w:r>
      <w:r w:rsidRPr="005E3AB5">
        <w:rPr>
          <w:i/>
          <w:iCs/>
        </w:rPr>
        <w:t>Metabolism of 14C-Procymidone in Lactating Goats – Definitive Study</w:t>
      </w:r>
      <w:r w:rsidRPr="00426C3A">
        <w:t xml:space="preserve">, </w:t>
      </w:r>
      <w:r w:rsidR="005E3AB5" w:rsidRPr="00426C3A">
        <w:t>unpublished, study number</w:t>
      </w:r>
      <w:r w:rsidRPr="00426C3A">
        <w:t xml:space="preserve"> BM-0037, Sumitomo Chemical Australia Pty Ltd</w:t>
      </w:r>
      <w:r w:rsidR="005E3AB5">
        <w:t>.</w:t>
      </w:r>
    </w:p>
    <w:p w14:paraId="103693E9" w14:textId="2370F5C3" w:rsidR="00426C3A" w:rsidRPr="00426C3A" w:rsidRDefault="00426C3A" w:rsidP="00D05130">
      <w:pPr>
        <w:pStyle w:val="APVMAText"/>
      </w:pPr>
      <w:r w:rsidRPr="00426C3A">
        <w:t xml:space="preserve">Struble, C.B. </w:t>
      </w:r>
      <w:r w:rsidR="005E3AB5">
        <w:t>(</w:t>
      </w:r>
      <w:r w:rsidRPr="00426C3A">
        <w:t>1992d</w:t>
      </w:r>
      <w:r w:rsidR="005E3AB5">
        <w:t>)</w:t>
      </w:r>
      <w:r w:rsidRPr="00426C3A">
        <w:t xml:space="preserve"> </w:t>
      </w:r>
      <w:r w:rsidRPr="005E3AB5">
        <w:rPr>
          <w:i/>
          <w:iCs/>
        </w:rPr>
        <w:t>Metabolism of 14C-Procymidone in Laying Hens – Definitive Study (In-Life Phase)</w:t>
      </w:r>
      <w:r w:rsidRPr="00426C3A">
        <w:t xml:space="preserve">, Unpublished, </w:t>
      </w:r>
      <w:r w:rsidR="005E3AB5" w:rsidRPr="00426C3A">
        <w:t xml:space="preserve">study number </w:t>
      </w:r>
      <w:r w:rsidRPr="00426C3A">
        <w:t>BM-0036, Sumitomo Chemical Australia Pty Ltd</w:t>
      </w:r>
      <w:r w:rsidR="005E3AB5">
        <w:t>.</w:t>
      </w:r>
    </w:p>
    <w:p w14:paraId="18D50E7D" w14:textId="3F91122E" w:rsidR="00426C3A" w:rsidRPr="00426C3A" w:rsidRDefault="00426C3A" w:rsidP="00D05130">
      <w:pPr>
        <w:pStyle w:val="APVMAText"/>
      </w:pPr>
      <w:r w:rsidRPr="00426C3A">
        <w:t xml:space="preserve">Struble, C.B. </w:t>
      </w:r>
      <w:r w:rsidR="005E3AB5">
        <w:t>(</w:t>
      </w:r>
      <w:r w:rsidRPr="00426C3A">
        <w:t>1992e</w:t>
      </w:r>
      <w:r w:rsidR="005E3AB5">
        <w:t>)</w:t>
      </w:r>
      <w:r w:rsidRPr="00426C3A">
        <w:t xml:space="preserve"> </w:t>
      </w:r>
      <w:r w:rsidRPr="005E3AB5">
        <w:rPr>
          <w:i/>
          <w:iCs/>
        </w:rPr>
        <w:t>Metabolism of 14C-Procymidone in Laying Hens (Definitive Study – Characterization and Identification of Residues)</w:t>
      </w:r>
      <w:r w:rsidRPr="00426C3A">
        <w:t xml:space="preserve">, </w:t>
      </w:r>
      <w:r w:rsidR="005E3AB5" w:rsidRPr="00426C3A">
        <w:t xml:space="preserve">unpublished, study number </w:t>
      </w:r>
      <w:r w:rsidRPr="00426C3A">
        <w:t>BM-0038, Sumitomo Chemical Australia Pty Ltd</w:t>
      </w:r>
      <w:r w:rsidR="005E3AB5">
        <w:t>.</w:t>
      </w:r>
    </w:p>
    <w:p w14:paraId="409997C5" w14:textId="3B734E78" w:rsidR="00426C3A" w:rsidRPr="00426C3A" w:rsidRDefault="00426C3A" w:rsidP="00D05130">
      <w:pPr>
        <w:pStyle w:val="APVMAText"/>
      </w:pPr>
      <w:r w:rsidRPr="00426C3A">
        <w:lastRenderedPageBreak/>
        <w:t xml:space="preserve">Struble, C.B. </w:t>
      </w:r>
      <w:r w:rsidR="005E3AB5">
        <w:t>(</w:t>
      </w:r>
      <w:r w:rsidRPr="00426C3A">
        <w:t>1994</w:t>
      </w:r>
      <w:r w:rsidR="005E3AB5">
        <w:t>)</w:t>
      </w:r>
      <w:r w:rsidRPr="00426C3A">
        <w:t xml:space="preserve"> </w:t>
      </w:r>
      <w:r w:rsidRPr="005E3AB5">
        <w:rPr>
          <w:i/>
          <w:iCs/>
        </w:rPr>
        <w:t>Metabolism of 14C-Procymidone in Laying Hens (Definitive Study – Characterization and Identification of Residues)</w:t>
      </w:r>
      <w:r w:rsidRPr="00426C3A">
        <w:t xml:space="preserve">, </w:t>
      </w:r>
      <w:r w:rsidR="005E3AB5" w:rsidRPr="00426C3A">
        <w:t xml:space="preserve">unpublished, study number </w:t>
      </w:r>
      <w:r w:rsidRPr="00426C3A">
        <w:t>BM-0058, Sumitomo Chemical Australia Pty Ltd</w:t>
      </w:r>
      <w:r w:rsidR="005E3AB5">
        <w:t>.</w:t>
      </w:r>
    </w:p>
    <w:p w14:paraId="5F60298C" w14:textId="519630AD" w:rsidR="00426C3A" w:rsidRPr="00426C3A" w:rsidRDefault="00426C3A" w:rsidP="00D05130">
      <w:pPr>
        <w:pStyle w:val="APVMAText"/>
      </w:pPr>
      <w:r w:rsidRPr="00426C3A">
        <w:t xml:space="preserve">Struble, C.B. </w:t>
      </w:r>
      <w:r w:rsidR="005E3AB5">
        <w:t>(</w:t>
      </w:r>
      <w:r w:rsidRPr="00426C3A">
        <w:t>1995</w:t>
      </w:r>
      <w:r w:rsidR="005E3AB5">
        <w:t>)</w:t>
      </w:r>
      <w:r w:rsidRPr="00426C3A">
        <w:t xml:space="preserve"> </w:t>
      </w:r>
      <w:r w:rsidRPr="005E3AB5">
        <w:rPr>
          <w:i/>
          <w:iCs/>
        </w:rPr>
        <w:t>Metabolism of 14C-Procymidone in Laying Hens – Preliminary Study</w:t>
      </w:r>
      <w:r w:rsidRPr="00426C3A">
        <w:t xml:space="preserve">, </w:t>
      </w:r>
      <w:r w:rsidR="005E3AB5" w:rsidRPr="00426C3A">
        <w:t>unpublished, study number</w:t>
      </w:r>
      <w:r w:rsidRPr="00426C3A">
        <w:t xml:space="preserve"> BM-0056, Sumitomo Chemical Australia Pty Ltd</w:t>
      </w:r>
      <w:r w:rsidR="005E3AB5">
        <w:t>.</w:t>
      </w:r>
    </w:p>
    <w:p w14:paraId="0726B68E" w14:textId="2DB5B9F6" w:rsidR="00426C3A" w:rsidRPr="00426C3A" w:rsidRDefault="00426C3A" w:rsidP="00D05130">
      <w:pPr>
        <w:pStyle w:val="APVMAText"/>
      </w:pPr>
      <w:r w:rsidRPr="00426C3A">
        <w:t xml:space="preserve">Struble, C.B. </w:t>
      </w:r>
      <w:r w:rsidR="005E3AB5">
        <w:t>(</w:t>
      </w:r>
      <w:r w:rsidRPr="00426C3A">
        <w:t>1992a</w:t>
      </w:r>
      <w:r w:rsidR="005E3AB5">
        <w:t>)</w:t>
      </w:r>
      <w:r w:rsidRPr="00426C3A">
        <w:t xml:space="preserve"> </w:t>
      </w:r>
      <w:r w:rsidRPr="005E3AB5">
        <w:rPr>
          <w:i/>
          <w:iCs/>
        </w:rPr>
        <w:t>Metabolism of 14C-Procymidone in Rats (Preliminary and Definitive Phases) Volume 1 of 2: Absorption, Distribution, Elimination and Tissue Residues</w:t>
      </w:r>
      <w:r w:rsidRPr="00426C3A">
        <w:t xml:space="preserve">, </w:t>
      </w:r>
      <w:r w:rsidR="005E3AB5" w:rsidRPr="00426C3A">
        <w:t>unpublished, study number</w:t>
      </w:r>
      <w:r w:rsidRPr="00426C3A">
        <w:t xml:space="preserve"> BM-0033, Sumitomo Chemical Australia Pty Ltd</w:t>
      </w:r>
      <w:r w:rsidR="005E3AB5">
        <w:t>.</w:t>
      </w:r>
    </w:p>
    <w:p w14:paraId="73361F21" w14:textId="2FABD4AE" w:rsidR="00426C3A" w:rsidRPr="00426C3A" w:rsidRDefault="00426C3A" w:rsidP="00D05130">
      <w:pPr>
        <w:pStyle w:val="APVMAText"/>
      </w:pPr>
      <w:r w:rsidRPr="00426C3A">
        <w:t xml:space="preserve">Struble, C.B. </w:t>
      </w:r>
      <w:r w:rsidR="005E3AB5">
        <w:t>(</w:t>
      </w:r>
      <w:r w:rsidRPr="00426C3A">
        <w:t>1992b</w:t>
      </w:r>
      <w:r w:rsidR="005E3AB5">
        <w:t>)</w:t>
      </w:r>
      <w:r w:rsidRPr="00426C3A">
        <w:t xml:space="preserve"> </w:t>
      </w:r>
      <w:r w:rsidRPr="005E3AB5">
        <w:rPr>
          <w:i/>
          <w:iCs/>
        </w:rPr>
        <w:t>Metabolism of 14C-Procymidone in Rats (Preliminary and Definitive Phases) Volume 2 of 2: Metabolite Identification</w:t>
      </w:r>
      <w:r w:rsidRPr="00426C3A">
        <w:t xml:space="preserve">, </w:t>
      </w:r>
      <w:r w:rsidR="005E3AB5" w:rsidRPr="00426C3A">
        <w:t xml:space="preserve">unpublished, study number </w:t>
      </w:r>
      <w:r w:rsidRPr="00426C3A">
        <w:t>BM-0034, Sumitomo Chemical Australia Pty Ltd</w:t>
      </w:r>
      <w:r w:rsidR="005E3AB5">
        <w:t>.</w:t>
      </w:r>
    </w:p>
    <w:p w14:paraId="7E552201" w14:textId="6E0AE788" w:rsidR="00426C3A" w:rsidRPr="00426C3A" w:rsidRDefault="00426C3A" w:rsidP="00D05130">
      <w:pPr>
        <w:pStyle w:val="APVMAText"/>
      </w:pPr>
      <w:r w:rsidRPr="00426C3A">
        <w:t xml:space="preserve">Struble, C.B. </w:t>
      </w:r>
      <w:r w:rsidR="005E3AB5">
        <w:t>(</w:t>
      </w:r>
      <w:r w:rsidRPr="00426C3A">
        <w:t>1993</w:t>
      </w:r>
      <w:r w:rsidR="005E3AB5">
        <w:t>)</w:t>
      </w:r>
      <w:r w:rsidRPr="00426C3A">
        <w:t xml:space="preserve"> </w:t>
      </w:r>
      <w:r w:rsidRPr="005E3AB5">
        <w:rPr>
          <w:i/>
          <w:iCs/>
        </w:rPr>
        <w:t>Metabolism of 14C-Procymidone in Rats (Preliminary and Definitive Phases) Volume 2 of 2: Metabolite Identification, Amendment No 1 to the Final Report</w:t>
      </w:r>
      <w:r w:rsidRPr="00426C3A">
        <w:t xml:space="preserve">, </w:t>
      </w:r>
      <w:r w:rsidR="005E3AB5" w:rsidRPr="00426C3A">
        <w:t xml:space="preserve">unpublished, study number </w:t>
      </w:r>
      <w:r w:rsidRPr="00426C3A">
        <w:t>BM-0040, Sumitomo Chemical Australia Pty Ltd</w:t>
      </w:r>
      <w:r w:rsidR="005E3AB5">
        <w:t>.</w:t>
      </w:r>
    </w:p>
    <w:p w14:paraId="23068BA8" w14:textId="2AA18B30" w:rsidR="00426C3A" w:rsidRPr="00426C3A" w:rsidRDefault="00426C3A" w:rsidP="00D05130">
      <w:pPr>
        <w:pStyle w:val="APVMAText"/>
      </w:pPr>
      <w:r w:rsidRPr="00426C3A">
        <w:t xml:space="preserve">Sumitomo Chemical Co. Ltd, </w:t>
      </w:r>
      <w:r w:rsidR="005E3AB5">
        <w:t>(</w:t>
      </w:r>
      <w:r w:rsidRPr="00426C3A">
        <w:t>1977</w:t>
      </w:r>
      <w:r w:rsidR="005E3AB5">
        <w:t>)</w:t>
      </w:r>
      <w:r w:rsidRPr="00426C3A">
        <w:t xml:space="preserve"> </w:t>
      </w:r>
      <w:r w:rsidRPr="005E3AB5">
        <w:rPr>
          <w:i/>
          <w:iCs/>
        </w:rPr>
        <w:t>Residues of S7131 in Cherries from Japan</w:t>
      </w:r>
      <w:r w:rsidRPr="00426C3A">
        <w:t xml:space="preserve">, </w:t>
      </w:r>
      <w:r w:rsidR="005E3AB5" w:rsidRPr="00426C3A">
        <w:t xml:space="preserve">unpublished, study number </w:t>
      </w:r>
      <w:r w:rsidRPr="00426C3A">
        <w:t>BR-0066A/BR-0055B/BR-0066J, Sumitomo Chemical Australia Pty Ltd</w:t>
      </w:r>
      <w:r w:rsidR="005E3AB5">
        <w:t>.</w:t>
      </w:r>
    </w:p>
    <w:p w14:paraId="4D287948" w14:textId="336141D2" w:rsidR="00426C3A" w:rsidRPr="00426C3A" w:rsidRDefault="00426C3A" w:rsidP="00D05130">
      <w:pPr>
        <w:pStyle w:val="APVMAText"/>
      </w:pPr>
      <w:r w:rsidRPr="00426C3A">
        <w:t xml:space="preserve">Swaine, H. </w:t>
      </w:r>
      <w:r w:rsidR="005E3AB5">
        <w:t>(</w:t>
      </w:r>
      <w:r w:rsidRPr="00426C3A">
        <w:t>1982</w:t>
      </w:r>
      <w:r w:rsidR="005E3AB5">
        <w:t>)</w:t>
      </w:r>
      <w:r w:rsidRPr="00426C3A">
        <w:t xml:space="preserve"> </w:t>
      </w:r>
      <w:r w:rsidRPr="005E3AB5">
        <w:rPr>
          <w:i/>
          <w:iCs/>
        </w:rPr>
        <w:t xml:space="preserve">Procymidone Residue Levels </w:t>
      </w:r>
      <w:r w:rsidR="005E3AB5" w:rsidRPr="005E3AB5">
        <w:rPr>
          <w:i/>
          <w:iCs/>
        </w:rPr>
        <w:t>on</w:t>
      </w:r>
      <w:r w:rsidRPr="005E3AB5">
        <w:rPr>
          <w:i/>
          <w:iCs/>
        </w:rPr>
        <w:t xml:space="preserve"> Oil Seed Rape </w:t>
      </w:r>
      <w:r w:rsidR="005E3AB5" w:rsidRPr="005E3AB5">
        <w:rPr>
          <w:i/>
          <w:iCs/>
        </w:rPr>
        <w:t>f</w:t>
      </w:r>
      <w:r w:rsidRPr="005E3AB5">
        <w:rPr>
          <w:i/>
          <w:iCs/>
        </w:rPr>
        <w:t xml:space="preserve">rom 1982 Trials </w:t>
      </w:r>
      <w:r w:rsidR="005E3AB5" w:rsidRPr="005E3AB5">
        <w:rPr>
          <w:i/>
          <w:iCs/>
        </w:rPr>
        <w:t>i</w:t>
      </w:r>
      <w:r w:rsidRPr="005E3AB5">
        <w:rPr>
          <w:i/>
          <w:iCs/>
        </w:rPr>
        <w:t xml:space="preserve">n </w:t>
      </w:r>
      <w:r w:rsidR="005E3AB5" w:rsidRPr="005E3AB5">
        <w:rPr>
          <w:i/>
          <w:iCs/>
        </w:rPr>
        <w:t>t</w:t>
      </w:r>
      <w:r w:rsidRPr="005E3AB5">
        <w:rPr>
          <w:i/>
          <w:iCs/>
        </w:rPr>
        <w:t>he United Kingdom</w:t>
      </w:r>
      <w:r w:rsidRPr="00426C3A">
        <w:t xml:space="preserve">, </w:t>
      </w:r>
      <w:r w:rsidR="005E3AB5" w:rsidRPr="00426C3A">
        <w:t xml:space="preserve">unpublished, study number </w:t>
      </w:r>
      <w:r w:rsidRPr="00426C3A">
        <w:t>BR-0613, Sumitomo Chemical Australia Pty Ltd</w:t>
      </w:r>
      <w:r w:rsidR="005E3AB5">
        <w:t>.</w:t>
      </w:r>
    </w:p>
    <w:p w14:paraId="24C1A36A" w14:textId="3526E10B" w:rsidR="00426C3A" w:rsidRPr="00426C3A" w:rsidRDefault="00426C3A" w:rsidP="00D05130">
      <w:pPr>
        <w:pStyle w:val="APVMAText"/>
      </w:pPr>
      <w:r w:rsidRPr="00426C3A">
        <w:t xml:space="preserve">Swaine, H., </w:t>
      </w:r>
      <w:proofErr w:type="spellStart"/>
      <w:r w:rsidRPr="00426C3A">
        <w:t>Sapiets</w:t>
      </w:r>
      <w:proofErr w:type="spellEnd"/>
      <w:r w:rsidRPr="00426C3A">
        <w:t>, A.</w:t>
      </w:r>
      <w:r w:rsidR="005E3AB5">
        <w:t xml:space="preserve"> and</w:t>
      </w:r>
      <w:r w:rsidRPr="00426C3A">
        <w:t xml:space="preserve"> Robinson, S. </w:t>
      </w:r>
      <w:r w:rsidR="005E3AB5">
        <w:t>(</w:t>
      </w:r>
      <w:r w:rsidRPr="00426C3A">
        <w:t>1981</w:t>
      </w:r>
      <w:r w:rsidR="005E3AB5">
        <w:t>)</w:t>
      </w:r>
      <w:r w:rsidRPr="00426C3A">
        <w:t xml:space="preserve"> </w:t>
      </w:r>
      <w:r w:rsidRPr="005E3AB5">
        <w:rPr>
          <w:i/>
          <w:iCs/>
        </w:rPr>
        <w:t xml:space="preserve">Procymidone Residue Data on Grapes Treated </w:t>
      </w:r>
      <w:r w:rsidR="005E3AB5" w:rsidRPr="005E3AB5">
        <w:rPr>
          <w:i/>
          <w:iCs/>
        </w:rPr>
        <w:t>with</w:t>
      </w:r>
      <w:r w:rsidRPr="005E3AB5">
        <w:rPr>
          <w:i/>
          <w:iCs/>
        </w:rPr>
        <w:t xml:space="preserve"> </w:t>
      </w:r>
      <w:proofErr w:type="spellStart"/>
      <w:r w:rsidRPr="005E3AB5">
        <w:rPr>
          <w:i/>
          <w:iCs/>
        </w:rPr>
        <w:t>Sumisclex</w:t>
      </w:r>
      <w:proofErr w:type="spellEnd"/>
      <w:r w:rsidRPr="005E3AB5">
        <w:rPr>
          <w:i/>
          <w:iCs/>
        </w:rPr>
        <w:t xml:space="preserve"> during 1981 Trials in the United Kingdom</w:t>
      </w:r>
      <w:r w:rsidRPr="00426C3A">
        <w:t xml:space="preserve">, </w:t>
      </w:r>
      <w:r w:rsidR="005E3AB5" w:rsidRPr="00426C3A">
        <w:t xml:space="preserve">unpublished, study number </w:t>
      </w:r>
      <w:r w:rsidRPr="00426C3A">
        <w:t>BR-0587, Sumitomo Chemical Australia Pty Ltd</w:t>
      </w:r>
      <w:r w:rsidR="005E3AB5">
        <w:t>.</w:t>
      </w:r>
    </w:p>
    <w:p w14:paraId="33A6CE55" w14:textId="2F942EFA" w:rsidR="00426C3A" w:rsidRPr="00426C3A" w:rsidRDefault="00426C3A" w:rsidP="00D05130">
      <w:pPr>
        <w:pStyle w:val="APVMAText"/>
      </w:pPr>
      <w:r w:rsidRPr="00426C3A">
        <w:t xml:space="preserve">Swaine, H., </w:t>
      </w:r>
      <w:proofErr w:type="spellStart"/>
      <w:r w:rsidRPr="00426C3A">
        <w:t>Sapiets</w:t>
      </w:r>
      <w:proofErr w:type="spellEnd"/>
      <w:r w:rsidRPr="00426C3A">
        <w:t xml:space="preserve">, A. </w:t>
      </w:r>
      <w:r w:rsidR="005E3AB5">
        <w:t xml:space="preserve">and </w:t>
      </w:r>
      <w:r w:rsidRPr="00426C3A">
        <w:t xml:space="preserve">Robinson, S. </w:t>
      </w:r>
      <w:r w:rsidRPr="00E456D9">
        <w:rPr>
          <w:i/>
          <w:iCs/>
        </w:rPr>
        <w:t>et al</w:t>
      </w:r>
      <w:r w:rsidRPr="00426C3A">
        <w:t xml:space="preserve">. </w:t>
      </w:r>
      <w:r w:rsidR="005E3AB5">
        <w:t>(</w:t>
      </w:r>
      <w:r w:rsidRPr="00426C3A">
        <w:t>1979</w:t>
      </w:r>
      <w:r w:rsidR="005E3AB5">
        <w:t>)</w:t>
      </w:r>
      <w:r w:rsidRPr="00426C3A">
        <w:t xml:space="preserve"> Procymidone Residue Levels </w:t>
      </w:r>
      <w:proofErr w:type="gramStart"/>
      <w:r w:rsidRPr="00426C3A">
        <w:t>On</w:t>
      </w:r>
      <w:proofErr w:type="gramEnd"/>
      <w:r w:rsidRPr="00426C3A">
        <w:t xml:space="preserve"> Grapes Treated With </w:t>
      </w:r>
      <w:proofErr w:type="spellStart"/>
      <w:r w:rsidRPr="00426C3A">
        <w:t>Sumisclex</w:t>
      </w:r>
      <w:proofErr w:type="spellEnd"/>
      <w:r w:rsidRPr="00426C3A">
        <w:t xml:space="preserve"> During 1979 Trials In The United Kingdom, Unpublished, Study Number BR-0586, Sumitomo Chemical Australia Pty Ltd</w:t>
      </w:r>
    </w:p>
    <w:p w14:paraId="21466EE5" w14:textId="62DAE756" w:rsidR="00426C3A" w:rsidRPr="00426C3A" w:rsidRDefault="005E3AB5" w:rsidP="00D05130">
      <w:pPr>
        <w:pStyle w:val="APVMAText"/>
      </w:pPr>
      <w:proofErr w:type="spellStart"/>
      <w:r w:rsidRPr="00426C3A">
        <w:t>Takimoto</w:t>
      </w:r>
      <w:proofErr w:type="spellEnd"/>
      <w:r w:rsidR="00426C3A" w:rsidRPr="00426C3A">
        <w:t xml:space="preserve"> Y</w:t>
      </w:r>
      <w:r>
        <w:t>. and</w:t>
      </w:r>
      <w:r w:rsidR="00426C3A" w:rsidRPr="00426C3A">
        <w:t xml:space="preserve"> </w:t>
      </w:r>
      <w:r w:rsidRPr="00426C3A">
        <w:t>Miyamoto</w:t>
      </w:r>
      <w:r w:rsidR="00426C3A" w:rsidRPr="00426C3A">
        <w:t xml:space="preserve"> J</w:t>
      </w:r>
      <w:r>
        <w:t>.</w:t>
      </w:r>
      <w:r w:rsidR="00426C3A" w:rsidRPr="00426C3A">
        <w:t xml:space="preserve"> </w:t>
      </w:r>
      <w:r>
        <w:t>(</w:t>
      </w:r>
      <w:r w:rsidR="00426C3A" w:rsidRPr="00426C3A">
        <w:t>1976</w:t>
      </w:r>
      <w:r>
        <w:t>)</w:t>
      </w:r>
      <w:r w:rsidR="00426C3A" w:rsidRPr="00426C3A">
        <w:t xml:space="preserve"> </w:t>
      </w:r>
      <w:r w:rsidR="00426C3A" w:rsidRPr="005E3AB5">
        <w:rPr>
          <w:i/>
          <w:iCs/>
        </w:rPr>
        <w:t>Residue Analysis of S-7131 in Plants, Soil and Water</w:t>
      </w:r>
      <w:r w:rsidR="00426C3A" w:rsidRPr="00426C3A">
        <w:t xml:space="preserve">, </w:t>
      </w:r>
      <w:r w:rsidRPr="00426C3A">
        <w:t>unpublished, study number</w:t>
      </w:r>
      <w:r w:rsidR="00426C3A" w:rsidRPr="00426C3A">
        <w:t xml:space="preserve"> BA-60-0005, Sumitomo Chemical Australia Pty Ltd</w:t>
      </w:r>
      <w:r>
        <w:t>.</w:t>
      </w:r>
    </w:p>
    <w:p w14:paraId="2618FCC4" w14:textId="02E9C921" w:rsidR="00426C3A" w:rsidRPr="00426C3A" w:rsidRDefault="00426C3A" w:rsidP="00D05130">
      <w:pPr>
        <w:pStyle w:val="APVMAText"/>
      </w:pPr>
      <w:r w:rsidRPr="00426C3A">
        <w:t xml:space="preserve">Unknown </w:t>
      </w:r>
      <w:r w:rsidR="005E3AB5">
        <w:t>(</w:t>
      </w:r>
      <w:r w:rsidRPr="00426C3A">
        <w:t>1977</w:t>
      </w:r>
      <w:r w:rsidR="005E3AB5">
        <w:t>)</w:t>
      </w:r>
      <w:r w:rsidRPr="00426C3A">
        <w:t xml:space="preserve"> </w:t>
      </w:r>
      <w:r w:rsidRPr="005E3AB5">
        <w:rPr>
          <w:i/>
          <w:iCs/>
        </w:rPr>
        <w:t xml:space="preserve">Determination of Procymidone in Wine Grape, Must and Wine Report No 9813-7986 </w:t>
      </w:r>
      <w:r w:rsidR="005E3AB5" w:rsidRPr="005E3AB5">
        <w:rPr>
          <w:i/>
          <w:iCs/>
        </w:rPr>
        <w:t>a</w:t>
      </w:r>
      <w:r w:rsidRPr="005E3AB5">
        <w:rPr>
          <w:i/>
          <w:iCs/>
        </w:rPr>
        <w:t>nd 9815-1986</w:t>
      </w:r>
      <w:r w:rsidRPr="00426C3A">
        <w:t xml:space="preserve">, </w:t>
      </w:r>
      <w:r w:rsidR="005E3AB5" w:rsidRPr="00426C3A">
        <w:t xml:space="preserve">unpublished, study number </w:t>
      </w:r>
      <w:r w:rsidRPr="00426C3A">
        <w:t>BR-0239, Sumitomo Chemical Australia Pty Ltd</w:t>
      </w:r>
      <w:r w:rsidR="005E3AB5">
        <w:t>.</w:t>
      </w:r>
    </w:p>
    <w:p w14:paraId="27A5C02C" w14:textId="5DD5A644" w:rsidR="00426C3A" w:rsidRPr="00426C3A" w:rsidRDefault="00426C3A" w:rsidP="00D05130">
      <w:pPr>
        <w:pStyle w:val="APVMAText"/>
      </w:pPr>
      <w:r w:rsidRPr="00426C3A">
        <w:t xml:space="preserve">Unknown </w:t>
      </w:r>
      <w:r w:rsidR="005E3AB5">
        <w:t>(</w:t>
      </w:r>
      <w:r w:rsidRPr="00426C3A">
        <w:t>1977</w:t>
      </w:r>
      <w:r w:rsidR="005E3AB5">
        <w:t>)</w:t>
      </w:r>
      <w:r w:rsidRPr="00426C3A">
        <w:t xml:space="preserve"> </w:t>
      </w:r>
      <w:r w:rsidRPr="005E3AB5">
        <w:rPr>
          <w:i/>
          <w:iCs/>
        </w:rPr>
        <w:t xml:space="preserve">The Determination of </w:t>
      </w:r>
      <w:proofErr w:type="spellStart"/>
      <w:r w:rsidRPr="005E3AB5">
        <w:rPr>
          <w:i/>
          <w:iCs/>
        </w:rPr>
        <w:t>Sumilex</w:t>
      </w:r>
      <w:proofErr w:type="spellEnd"/>
      <w:r w:rsidRPr="005E3AB5">
        <w:rPr>
          <w:i/>
          <w:iCs/>
        </w:rPr>
        <w:t xml:space="preserve"> in Potato</w:t>
      </w:r>
      <w:r w:rsidRPr="00426C3A">
        <w:t xml:space="preserve">, </w:t>
      </w:r>
      <w:r w:rsidR="005E3AB5" w:rsidRPr="00426C3A">
        <w:t xml:space="preserve">unpublished, study number </w:t>
      </w:r>
      <w:r w:rsidRPr="00426C3A">
        <w:t>BR-0068, Sumitomo Chemical Australia Pty Ltd</w:t>
      </w:r>
      <w:r w:rsidR="005E3AB5">
        <w:t>.</w:t>
      </w:r>
    </w:p>
    <w:p w14:paraId="1CCA3114" w14:textId="68587025" w:rsidR="00426C3A" w:rsidRPr="00426C3A" w:rsidRDefault="00426C3A" w:rsidP="00D05130">
      <w:pPr>
        <w:pStyle w:val="APVMAText"/>
      </w:pPr>
      <w:r w:rsidRPr="00426C3A">
        <w:t xml:space="preserve">Unknown </w:t>
      </w:r>
      <w:r w:rsidR="005E3AB5">
        <w:t>(</w:t>
      </w:r>
      <w:r w:rsidRPr="00426C3A">
        <w:t>1977</w:t>
      </w:r>
      <w:r w:rsidR="005E3AB5">
        <w:t>)</w:t>
      </w:r>
      <w:r w:rsidRPr="00426C3A">
        <w:t xml:space="preserve"> </w:t>
      </w:r>
      <w:r w:rsidRPr="005E3AB5">
        <w:rPr>
          <w:i/>
          <w:iCs/>
        </w:rPr>
        <w:t xml:space="preserve">The Determination of </w:t>
      </w:r>
      <w:proofErr w:type="spellStart"/>
      <w:r w:rsidRPr="005E3AB5">
        <w:rPr>
          <w:i/>
          <w:iCs/>
        </w:rPr>
        <w:t>Sumilex</w:t>
      </w:r>
      <w:proofErr w:type="spellEnd"/>
      <w:r w:rsidRPr="005E3AB5">
        <w:rPr>
          <w:i/>
          <w:iCs/>
        </w:rPr>
        <w:t xml:space="preserve"> in Potato</w:t>
      </w:r>
      <w:r w:rsidRPr="00426C3A">
        <w:t xml:space="preserve">, </w:t>
      </w:r>
      <w:r w:rsidR="005E3AB5" w:rsidRPr="00426C3A">
        <w:t xml:space="preserve">unpublished, study number </w:t>
      </w:r>
      <w:r w:rsidRPr="00426C3A">
        <w:t>BR-0067, Sumitomo Chemical Australia Pty Ltd</w:t>
      </w:r>
      <w:r w:rsidR="005E3AB5">
        <w:t>.</w:t>
      </w:r>
    </w:p>
    <w:p w14:paraId="13C97E9F" w14:textId="23D32C6F" w:rsidR="00426C3A" w:rsidRPr="00426C3A" w:rsidRDefault="00426C3A" w:rsidP="00D05130">
      <w:pPr>
        <w:pStyle w:val="APVMAText"/>
      </w:pPr>
      <w:r w:rsidRPr="00426C3A">
        <w:t xml:space="preserve">Unknown </w:t>
      </w:r>
      <w:r w:rsidR="005E3AB5">
        <w:t>(</w:t>
      </w:r>
      <w:r w:rsidRPr="00426C3A">
        <w:t>1981</w:t>
      </w:r>
      <w:r w:rsidR="005E3AB5">
        <w:t>)</w:t>
      </w:r>
      <w:r w:rsidRPr="00426C3A">
        <w:t xml:space="preserve"> </w:t>
      </w:r>
      <w:r w:rsidRPr="005E3AB5">
        <w:rPr>
          <w:i/>
          <w:iCs/>
        </w:rPr>
        <w:t xml:space="preserve">Bayer Residue Sheets </w:t>
      </w:r>
      <w:r w:rsidRPr="005E3AB5">
        <w:t>(</w:t>
      </w:r>
      <w:r w:rsidR="005E3AB5" w:rsidRPr="005E3AB5">
        <w:t>i</w:t>
      </w:r>
      <w:r w:rsidRPr="005E3AB5">
        <w:t>n German),</w:t>
      </w:r>
      <w:r w:rsidRPr="00426C3A">
        <w:t xml:space="preserve"> </w:t>
      </w:r>
      <w:r w:rsidR="005E3AB5" w:rsidRPr="00426C3A">
        <w:t xml:space="preserve">unpublished, study number </w:t>
      </w:r>
      <w:r w:rsidRPr="00426C3A">
        <w:t>BR-0389G, Sumitomo Chemical Australia Pty Ltd</w:t>
      </w:r>
      <w:r w:rsidR="005E3AB5">
        <w:t>.</w:t>
      </w:r>
    </w:p>
    <w:p w14:paraId="340B4FA3" w14:textId="775C74DD" w:rsidR="00426C3A" w:rsidRPr="00426C3A" w:rsidRDefault="00426C3A" w:rsidP="00D05130">
      <w:pPr>
        <w:pStyle w:val="APVMAText"/>
      </w:pPr>
      <w:r w:rsidRPr="00426C3A">
        <w:lastRenderedPageBreak/>
        <w:t xml:space="preserve">Unknown </w:t>
      </w:r>
      <w:r w:rsidR="005E3AB5">
        <w:t>(</w:t>
      </w:r>
      <w:r w:rsidRPr="00426C3A">
        <w:t>1981</w:t>
      </w:r>
      <w:r w:rsidR="005E3AB5">
        <w:t>)</w:t>
      </w:r>
      <w:r w:rsidRPr="00426C3A">
        <w:t xml:space="preserve"> </w:t>
      </w:r>
      <w:r w:rsidRPr="005E3AB5">
        <w:rPr>
          <w:i/>
          <w:iCs/>
        </w:rPr>
        <w:t>Bayer Residue Sheets</w:t>
      </w:r>
      <w:r w:rsidRPr="00426C3A">
        <w:t xml:space="preserve"> (</w:t>
      </w:r>
      <w:r w:rsidR="005E3AB5">
        <w:t>i</w:t>
      </w:r>
      <w:r w:rsidRPr="00426C3A">
        <w:t xml:space="preserve">n German), </w:t>
      </w:r>
      <w:r w:rsidR="005E3AB5" w:rsidRPr="00426C3A">
        <w:t xml:space="preserve">unpublished, study number </w:t>
      </w:r>
      <w:r w:rsidRPr="00426C3A">
        <w:t>BR-0390G, Sumitomo Chemical Australia Pty Ltd</w:t>
      </w:r>
      <w:r w:rsidR="005E3AB5">
        <w:t>.</w:t>
      </w:r>
    </w:p>
    <w:p w14:paraId="30FAEAB2" w14:textId="30FC3A9F" w:rsidR="00426C3A" w:rsidRPr="00426C3A" w:rsidRDefault="00426C3A" w:rsidP="00D05130">
      <w:pPr>
        <w:pStyle w:val="APVMAText"/>
      </w:pPr>
      <w:r w:rsidRPr="00426C3A">
        <w:t xml:space="preserve">Unknown </w:t>
      </w:r>
      <w:r w:rsidR="005E3AB5">
        <w:t>(</w:t>
      </w:r>
      <w:r w:rsidRPr="00426C3A">
        <w:t>1981</w:t>
      </w:r>
      <w:r w:rsidR="005E3AB5">
        <w:t>)</w:t>
      </w:r>
      <w:r w:rsidRPr="00426C3A">
        <w:t xml:space="preserve"> </w:t>
      </w:r>
      <w:r w:rsidRPr="005E3AB5">
        <w:rPr>
          <w:i/>
          <w:iCs/>
        </w:rPr>
        <w:t>Bayer Residue Sheets</w:t>
      </w:r>
      <w:r w:rsidRPr="00426C3A">
        <w:t xml:space="preserve"> (</w:t>
      </w:r>
      <w:r w:rsidR="005E3AB5">
        <w:t>i</w:t>
      </w:r>
      <w:r w:rsidRPr="00426C3A">
        <w:t xml:space="preserve">n German), </w:t>
      </w:r>
      <w:r w:rsidR="005E3AB5" w:rsidRPr="00426C3A">
        <w:t xml:space="preserve">unpublished, study number </w:t>
      </w:r>
      <w:r w:rsidRPr="00426C3A">
        <w:t>BR-0391G, Sumitomo Chemical Australia Pty Ltd</w:t>
      </w:r>
      <w:r w:rsidR="005E3AB5">
        <w:t>.</w:t>
      </w:r>
    </w:p>
    <w:p w14:paraId="250A7746" w14:textId="1F57B48F" w:rsidR="00426C3A" w:rsidRPr="00426C3A" w:rsidRDefault="00426C3A" w:rsidP="00D05130">
      <w:pPr>
        <w:pStyle w:val="APVMAText"/>
      </w:pPr>
      <w:r w:rsidRPr="00426C3A">
        <w:t xml:space="preserve">Unknown </w:t>
      </w:r>
      <w:r w:rsidR="005E3AB5">
        <w:t>(</w:t>
      </w:r>
      <w:r w:rsidRPr="00426C3A">
        <w:t>1981</w:t>
      </w:r>
      <w:r w:rsidR="005E3AB5">
        <w:t>)</w:t>
      </w:r>
      <w:r w:rsidRPr="00426C3A">
        <w:t xml:space="preserve"> </w:t>
      </w:r>
      <w:r w:rsidRPr="005E3AB5">
        <w:rPr>
          <w:i/>
          <w:iCs/>
        </w:rPr>
        <w:t xml:space="preserve">Procymidone Residues in Blackcurrants, Raspberries, Strawberries, Tomatoes, Lettuce and Grapes </w:t>
      </w:r>
      <w:r w:rsidR="005E3AB5" w:rsidRPr="005E3AB5">
        <w:rPr>
          <w:i/>
          <w:iCs/>
        </w:rPr>
        <w:t>from</w:t>
      </w:r>
      <w:r w:rsidRPr="005E3AB5">
        <w:rPr>
          <w:i/>
          <w:iCs/>
        </w:rPr>
        <w:t xml:space="preserve"> the United Kingdom 1976</w:t>
      </w:r>
      <w:r w:rsidR="00295DF8" w:rsidRPr="005E3AB5">
        <w:rPr>
          <w:i/>
          <w:iCs/>
        </w:rPr>
        <w:t>–</w:t>
      </w:r>
      <w:r w:rsidRPr="005E3AB5">
        <w:rPr>
          <w:i/>
          <w:iCs/>
        </w:rPr>
        <w:t>79/Residue Data of Procymidone (Grapes and Other Commodities)/Residues Data of Procymidone (Grapes)</w:t>
      </w:r>
      <w:r w:rsidRPr="00426C3A">
        <w:t xml:space="preserve"> </w:t>
      </w:r>
      <w:r w:rsidR="005E3AB5" w:rsidRPr="00426C3A">
        <w:t xml:space="preserve">unpublished, study number </w:t>
      </w:r>
      <w:r w:rsidRPr="00426C3A">
        <w:t>BR-0585, Sumitomo Chemical Australia Pty Ltd</w:t>
      </w:r>
      <w:r w:rsidR="005E3AB5">
        <w:t>.</w:t>
      </w:r>
    </w:p>
    <w:p w14:paraId="1D8E6C48" w14:textId="5A625B3D" w:rsidR="00426C3A" w:rsidRPr="00426C3A" w:rsidRDefault="00426C3A" w:rsidP="00D05130">
      <w:pPr>
        <w:pStyle w:val="APVMAText"/>
      </w:pPr>
      <w:r w:rsidRPr="00426C3A">
        <w:t xml:space="preserve">Unknown </w:t>
      </w:r>
      <w:r w:rsidR="005E3AB5">
        <w:t>(</w:t>
      </w:r>
      <w:r w:rsidRPr="00426C3A">
        <w:t>1983</w:t>
      </w:r>
      <w:r w:rsidR="005E3AB5">
        <w:t>)</w:t>
      </w:r>
      <w:r w:rsidRPr="00426C3A">
        <w:t xml:space="preserve"> </w:t>
      </w:r>
      <w:r w:rsidRPr="005E3AB5">
        <w:rPr>
          <w:i/>
          <w:iCs/>
        </w:rPr>
        <w:t>Bayer Residue Sheets</w:t>
      </w:r>
      <w:r w:rsidRPr="00426C3A">
        <w:t xml:space="preserve"> (</w:t>
      </w:r>
      <w:r w:rsidR="005E3AB5">
        <w:t>i</w:t>
      </w:r>
      <w:r w:rsidRPr="00426C3A">
        <w:t xml:space="preserve">n German), </w:t>
      </w:r>
      <w:r w:rsidR="005E3AB5" w:rsidRPr="00426C3A">
        <w:t xml:space="preserve">unpublished, study number </w:t>
      </w:r>
      <w:r w:rsidRPr="00426C3A">
        <w:t>BR-0392G, Sumitomo Chemical Australia Pty Ltd</w:t>
      </w:r>
      <w:r w:rsidR="005E3AB5">
        <w:t>.</w:t>
      </w:r>
    </w:p>
    <w:p w14:paraId="7BDCD44E" w14:textId="0A531E89" w:rsidR="00426C3A" w:rsidRPr="00426C3A" w:rsidRDefault="00426C3A" w:rsidP="00D05130">
      <w:pPr>
        <w:pStyle w:val="APVMAText"/>
      </w:pPr>
      <w:r w:rsidRPr="00426C3A">
        <w:t xml:space="preserve">Unknown </w:t>
      </w:r>
      <w:r w:rsidR="005E3AB5">
        <w:t>(</w:t>
      </w:r>
      <w:r w:rsidRPr="00426C3A">
        <w:t>1983</w:t>
      </w:r>
      <w:r w:rsidR="005E3AB5">
        <w:t>)</w:t>
      </w:r>
      <w:r w:rsidRPr="00426C3A">
        <w:t xml:space="preserve"> </w:t>
      </w:r>
      <w:r w:rsidRPr="005E3AB5">
        <w:rPr>
          <w:i/>
          <w:iCs/>
        </w:rPr>
        <w:t>Bayer Residue Sheets</w:t>
      </w:r>
      <w:r w:rsidRPr="00426C3A">
        <w:t xml:space="preserve"> (</w:t>
      </w:r>
      <w:r w:rsidR="005E3AB5">
        <w:t>i</w:t>
      </w:r>
      <w:r w:rsidRPr="00426C3A">
        <w:t xml:space="preserve">n German), </w:t>
      </w:r>
      <w:r w:rsidR="005E3AB5" w:rsidRPr="00426C3A">
        <w:t xml:space="preserve">unpublished, study number </w:t>
      </w:r>
      <w:r w:rsidRPr="00426C3A">
        <w:t>BR-0393G, Sumitomo Chemical Australia Pty Ltd</w:t>
      </w:r>
      <w:r w:rsidR="005E3AB5">
        <w:t>.</w:t>
      </w:r>
    </w:p>
    <w:p w14:paraId="61C99F7B" w14:textId="61D2C608" w:rsidR="00426C3A" w:rsidRPr="00426C3A" w:rsidRDefault="00426C3A" w:rsidP="00D05130">
      <w:pPr>
        <w:pStyle w:val="APVMAText"/>
      </w:pPr>
      <w:r w:rsidRPr="00426C3A">
        <w:t xml:space="preserve">Unknown, </w:t>
      </w:r>
      <w:r w:rsidR="005E3AB5">
        <w:t>(</w:t>
      </w:r>
      <w:r w:rsidRPr="00426C3A">
        <w:t>1983</w:t>
      </w:r>
      <w:r w:rsidR="005E3AB5">
        <w:t>)</w:t>
      </w:r>
      <w:r w:rsidRPr="00426C3A">
        <w:t xml:space="preserve"> </w:t>
      </w:r>
      <w:r w:rsidRPr="005E3AB5">
        <w:rPr>
          <w:i/>
          <w:iCs/>
        </w:rPr>
        <w:t>Bayer Residue Sheets</w:t>
      </w:r>
      <w:r w:rsidRPr="00426C3A">
        <w:t xml:space="preserve"> (</w:t>
      </w:r>
      <w:r w:rsidR="005E3AB5">
        <w:t>i</w:t>
      </w:r>
      <w:r w:rsidRPr="00426C3A">
        <w:t xml:space="preserve">n German), </w:t>
      </w:r>
      <w:r w:rsidR="005E3AB5" w:rsidRPr="00426C3A">
        <w:t xml:space="preserve">unpublished, study number </w:t>
      </w:r>
      <w:r w:rsidRPr="00426C3A">
        <w:t>BR-0394G, Sumitomo Chemical Australia Pty Ltd</w:t>
      </w:r>
      <w:r w:rsidR="005E3AB5">
        <w:t>.</w:t>
      </w:r>
    </w:p>
    <w:p w14:paraId="0EF8284C" w14:textId="31C72C69" w:rsidR="00426C3A" w:rsidRPr="00426C3A" w:rsidRDefault="00426C3A" w:rsidP="00D05130">
      <w:pPr>
        <w:pStyle w:val="APVMAText"/>
      </w:pPr>
      <w:r w:rsidRPr="00426C3A">
        <w:t xml:space="preserve">Unknown </w:t>
      </w:r>
      <w:r w:rsidR="005E3AB5">
        <w:t>(</w:t>
      </w:r>
      <w:r w:rsidRPr="00426C3A">
        <w:t>1983</w:t>
      </w:r>
      <w:r w:rsidR="005E3AB5">
        <w:t>)</w:t>
      </w:r>
      <w:r w:rsidRPr="00426C3A">
        <w:t xml:space="preserve"> </w:t>
      </w:r>
      <w:r w:rsidRPr="005E3AB5">
        <w:rPr>
          <w:i/>
          <w:iCs/>
        </w:rPr>
        <w:t>Bayer Residue Sheets</w:t>
      </w:r>
      <w:r w:rsidRPr="00426C3A">
        <w:t xml:space="preserve"> (</w:t>
      </w:r>
      <w:r w:rsidR="005E3AB5">
        <w:t>i</w:t>
      </w:r>
      <w:r w:rsidRPr="00426C3A">
        <w:t xml:space="preserve">n German), </w:t>
      </w:r>
      <w:r w:rsidR="005E3AB5" w:rsidRPr="00426C3A">
        <w:t xml:space="preserve">unpublished, study number </w:t>
      </w:r>
      <w:r w:rsidRPr="00426C3A">
        <w:t>BR-0395G, Sumitomo Chemical Australia Pty Ltd</w:t>
      </w:r>
      <w:r w:rsidR="005E3AB5">
        <w:t>.</w:t>
      </w:r>
    </w:p>
    <w:p w14:paraId="612EB3B0" w14:textId="40FF8C4A" w:rsidR="00426C3A" w:rsidRPr="00426C3A" w:rsidRDefault="00426C3A" w:rsidP="00D05130">
      <w:pPr>
        <w:pStyle w:val="APVMAText"/>
      </w:pPr>
      <w:r w:rsidRPr="00426C3A">
        <w:t xml:space="preserve">Unknown </w:t>
      </w:r>
      <w:r w:rsidR="005E3AB5">
        <w:t>(</w:t>
      </w:r>
      <w:r w:rsidRPr="00426C3A">
        <w:t>1984</w:t>
      </w:r>
      <w:r w:rsidR="005E3AB5">
        <w:t>)</w:t>
      </w:r>
      <w:r w:rsidRPr="00426C3A">
        <w:t xml:space="preserve"> </w:t>
      </w:r>
      <w:r w:rsidRPr="005E3AB5">
        <w:rPr>
          <w:i/>
          <w:iCs/>
        </w:rPr>
        <w:t>Bayer Residue Sheets</w:t>
      </w:r>
      <w:r w:rsidRPr="00426C3A">
        <w:t xml:space="preserve"> (</w:t>
      </w:r>
      <w:r w:rsidR="005E3AB5">
        <w:t>i</w:t>
      </w:r>
      <w:r w:rsidRPr="00426C3A">
        <w:t xml:space="preserve">n German), </w:t>
      </w:r>
      <w:r w:rsidR="005E3AB5" w:rsidRPr="00426C3A">
        <w:t xml:space="preserve">unpublished, study number </w:t>
      </w:r>
      <w:r w:rsidRPr="00426C3A">
        <w:t>BR-0167G, Sumitomo Chemical Australia Pty Ltd</w:t>
      </w:r>
      <w:r w:rsidR="005E3AB5">
        <w:t>.</w:t>
      </w:r>
    </w:p>
    <w:p w14:paraId="57B05D19" w14:textId="26B5CC0D" w:rsidR="00426C3A" w:rsidRPr="00426C3A" w:rsidRDefault="00426C3A" w:rsidP="00D05130">
      <w:pPr>
        <w:pStyle w:val="APVMAText"/>
      </w:pPr>
      <w:r w:rsidRPr="00426C3A">
        <w:t xml:space="preserve">Unknown </w:t>
      </w:r>
      <w:r w:rsidR="005E3AB5">
        <w:t>(</w:t>
      </w:r>
      <w:r w:rsidRPr="00426C3A">
        <w:t>1984</w:t>
      </w:r>
      <w:r w:rsidR="005E3AB5">
        <w:t>)</w:t>
      </w:r>
      <w:r w:rsidRPr="00426C3A">
        <w:t xml:space="preserve"> </w:t>
      </w:r>
      <w:r w:rsidRPr="005E3AB5">
        <w:rPr>
          <w:i/>
          <w:iCs/>
        </w:rPr>
        <w:t>Bayer Residue Sheets</w:t>
      </w:r>
      <w:r w:rsidRPr="00426C3A">
        <w:t xml:space="preserve"> (</w:t>
      </w:r>
      <w:r w:rsidR="005E3AB5">
        <w:t>i</w:t>
      </w:r>
      <w:r w:rsidRPr="00426C3A">
        <w:t xml:space="preserve">n German), </w:t>
      </w:r>
      <w:r w:rsidR="005E3AB5" w:rsidRPr="00426C3A">
        <w:t xml:space="preserve">unpublished, study number </w:t>
      </w:r>
      <w:r w:rsidRPr="00426C3A">
        <w:t>BR-0168G, Sumitomo Chemical Australia Pty Ltd</w:t>
      </w:r>
      <w:r w:rsidR="005E3AB5">
        <w:t>.</w:t>
      </w:r>
    </w:p>
    <w:p w14:paraId="23F07315" w14:textId="2761C80B" w:rsidR="00426C3A" w:rsidRPr="00426C3A" w:rsidRDefault="00426C3A" w:rsidP="00D05130">
      <w:pPr>
        <w:pStyle w:val="APVMAText"/>
      </w:pPr>
      <w:r w:rsidRPr="00426C3A">
        <w:t xml:space="preserve">Unknown </w:t>
      </w:r>
      <w:r w:rsidR="005E3AB5">
        <w:t>(</w:t>
      </w:r>
      <w:r w:rsidRPr="00426C3A">
        <w:t>1984</w:t>
      </w:r>
      <w:r w:rsidR="005E3AB5">
        <w:t>)</w:t>
      </w:r>
      <w:r w:rsidRPr="00426C3A">
        <w:t xml:space="preserve"> </w:t>
      </w:r>
      <w:r w:rsidRPr="005E3AB5">
        <w:rPr>
          <w:i/>
          <w:iCs/>
        </w:rPr>
        <w:t>Bayer Residue Sheets</w:t>
      </w:r>
      <w:r w:rsidRPr="00426C3A">
        <w:t xml:space="preserve"> (</w:t>
      </w:r>
      <w:r w:rsidR="005E3AB5">
        <w:t>i</w:t>
      </w:r>
      <w:r w:rsidRPr="00426C3A">
        <w:t xml:space="preserve">n German), </w:t>
      </w:r>
      <w:r w:rsidR="005E3AB5" w:rsidRPr="00426C3A">
        <w:t xml:space="preserve">unpublished, study number </w:t>
      </w:r>
      <w:r w:rsidRPr="00426C3A">
        <w:t>BR-0169G, Sumitomo Chemical Australia Pty Ltd</w:t>
      </w:r>
      <w:r w:rsidR="005E3AB5">
        <w:t>.</w:t>
      </w:r>
    </w:p>
    <w:p w14:paraId="5A7BAECA" w14:textId="6D44261C" w:rsidR="00426C3A" w:rsidRPr="00426C3A" w:rsidRDefault="00426C3A" w:rsidP="00D05130">
      <w:pPr>
        <w:pStyle w:val="APVMAText"/>
      </w:pPr>
      <w:r w:rsidRPr="00426C3A">
        <w:t xml:space="preserve">Unknown </w:t>
      </w:r>
      <w:r w:rsidR="005E3AB5">
        <w:t>(</w:t>
      </w:r>
      <w:r w:rsidRPr="00426C3A">
        <w:t>1984</w:t>
      </w:r>
      <w:r w:rsidR="005E3AB5">
        <w:t>)</w:t>
      </w:r>
      <w:r w:rsidRPr="00426C3A">
        <w:t xml:space="preserve"> </w:t>
      </w:r>
      <w:r w:rsidRPr="005E3AB5">
        <w:rPr>
          <w:i/>
          <w:iCs/>
        </w:rPr>
        <w:t>Bayer Residue Sheets</w:t>
      </w:r>
      <w:r w:rsidRPr="00426C3A">
        <w:t xml:space="preserve"> (</w:t>
      </w:r>
      <w:r w:rsidR="005E3AB5">
        <w:t>i</w:t>
      </w:r>
      <w:r w:rsidRPr="00426C3A">
        <w:t xml:space="preserve">n German), </w:t>
      </w:r>
      <w:r w:rsidR="005E3AB5" w:rsidRPr="00426C3A">
        <w:t xml:space="preserve">unpublished, study number </w:t>
      </w:r>
      <w:r w:rsidRPr="00426C3A">
        <w:t>BR-0170G, Sumitomo Chemical Australia Pty Ltd</w:t>
      </w:r>
      <w:r w:rsidR="005E3AB5">
        <w:t>.</w:t>
      </w:r>
    </w:p>
    <w:p w14:paraId="55ED6422" w14:textId="6A76F163" w:rsidR="00426C3A" w:rsidRPr="00426C3A" w:rsidRDefault="00426C3A" w:rsidP="00D05130">
      <w:pPr>
        <w:pStyle w:val="APVMAText"/>
      </w:pPr>
      <w:r w:rsidRPr="00426C3A">
        <w:t xml:space="preserve">Unknown </w:t>
      </w:r>
      <w:r w:rsidR="005E3AB5">
        <w:t>(</w:t>
      </w:r>
      <w:r w:rsidRPr="00426C3A">
        <w:t>1984</w:t>
      </w:r>
      <w:r w:rsidR="005E3AB5">
        <w:t>)</w:t>
      </w:r>
      <w:r w:rsidRPr="00426C3A">
        <w:t xml:space="preserve"> </w:t>
      </w:r>
      <w:r w:rsidRPr="005E3AB5">
        <w:rPr>
          <w:i/>
          <w:iCs/>
        </w:rPr>
        <w:t>Bayer Residue Sheets</w:t>
      </w:r>
      <w:r w:rsidRPr="00426C3A">
        <w:t xml:space="preserve"> (</w:t>
      </w:r>
      <w:r w:rsidR="005E3AB5">
        <w:t>i</w:t>
      </w:r>
      <w:r w:rsidRPr="00426C3A">
        <w:t xml:space="preserve">n German), </w:t>
      </w:r>
      <w:r w:rsidR="005E3AB5" w:rsidRPr="00426C3A">
        <w:t xml:space="preserve">unpublished, study number </w:t>
      </w:r>
      <w:r w:rsidRPr="00426C3A">
        <w:t>BR-0384G, Sumitomo Chemical Australia Pty Ltd</w:t>
      </w:r>
      <w:r w:rsidR="005E3AB5">
        <w:t>.</w:t>
      </w:r>
    </w:p>
    <w:p w14:paraId="0F2743A5" w14:textId="70174E7C" w:rsidR="00426C3A" w:rsidRPr="00426C3A" w:rsidRDefault="00426C3A" w:rsidP="00D05130">
      <w:pPr>
        <w:pStyle w:val="APVMAText"/>
      </w:pPr>
      <w:r w:rsidRPr="00426C3A">
        <w:t xml:space="preserve">Unknown </w:t>
      </w:r>
      <w:r w:rsidR="005E3AB5">
        <w:t>(</w:t>
      </w:r>
      <w:r w:rsidRPr="00426C3A">
        <w:t>1984</w:t>
      </w:r>
      <w:r w:rsidR="005E3AB5">
        <w:t>)</w:t>
      </w:r>
      <w:r w:rsidRPr="00426C3A">
        <w:t xml:space="preserve"> </w:t>
      </w:r>
      <w:r w:rsidRPr="005E3AB5">
        <w:rPr>
          <w:i/>
          <w:iCs/>
        </w:rPr>
        <w:t>Bayer Residue Sheets</w:t>
      </w:r>
      <w:r w:rsidRPr="00426C3A">
        <w:t xml:space="preserve"> (</w:t>
      </w:r>
      <w:r w:rsidR="005E3AB5">
        <w:t>i</w:t>
      </w:r>
      <w:r w:rsidRPr="00426C3A">
        <w:t xml:space="preserve">n German), </w:t>
      </w:r>
      <w:r w:rsidR="005E3AB5" w:rsidRPr="00426C3A">
        <w:t xml:space="preserve">unpublished, study number </w:t>
      </w:r>
      <w:r w:rsidRPr="00426C3A">
        <w:t>BR-0385G, Sumitomo Chemical Australia Pty Ltd</w:t>
      </w:r>
      <w:r w:rsidR="005E3AB5">
        <w:t>.</w:t>
      </w:r>
    </w:p>
    <w:p w14:paraId="705ADBDE" w14:textId="492ADDFD" w:rsidR="00426C3A" w:rsidRPr="00426C3A" w:rsidRDefault="00426C3A" w:rsidP="00D05130">
      <w:pPr>
        <w:pStyle w:val="APVMAText"/>
      </w:pPr>
      <w:r w:rsidRPr="00426C3A">
        <w:t xml:space="preserve">Unknown </w:t>
      </w:r>
      <w:r w:rsidR="005E3AB5">
        <w:t>(</w:t>
      </w:r>
      <w:r w:rsidRPr="00426C3A">
        <w:t>1984</w:t>
      </w:r>
      <w:r w:rsidR="005E3AB5">
        <w:t>)</w:t>
      </w:r>
      <w:r w:rsidRPr="00426C3A">
        <w:t xml:space="preserve"> </w:t>
      </w:r>
      <w:r w:rsidRPr="005E3AB5">
        <w:rPr>
          <w:i/>
          <w:iCs/>
        </w:rPr>
        <w:t>Residues Sheets</w:t>
      </w:r>
      <w:r w:rsidRPr="00426C3A">
        <w:t xml:space="preserve"> (</w:t>
      </w:r>
      <w:r w:rsidR="005E3AB5">
        <w:t>i</w:t>
      </w:r>
      <w:r w:rsidRPr="00426C3A">
        <w:t xml:space="preserve">n German), </w:t>
      </w:r>
      <w:r w:rsidR="005E3AB5" w:rsidRPr="00426C3A">
        <w:t xml:space="preserve">unpublished, study number </w:t>
      </w:r>
      <w:r w:rsidRPr="00426C3A">
        <w:t>BR-0348G, Sumitomo Chemical Australia Pty Ltd</w:t>
      </w:r>
      <w:r w:rsidR="005E3AB5">
        <w:t>.</w:t>
      </w:r>
    </w:p>
    <w:p w14:paraId="68B1C610" w14:textId="0C92FEF7" w:rsidR="00426C3A" w:rsidRPr="00426C3A" w:rsidRDefault="00426C3A" w:rsidP="00D05130">
      <w:pPr>
        <w:pStyle w:val="APVMAText"/>
      </w:pPr>
      <w:r w:rsidRPr="00426C3A">
        <w:t xml:space="preserve">Unknown </w:t>
      </w:r>
      <w:r w:rsidR="005E3AB5">
        <w:t>(</w:t>
      </w:r>
      <w:r w:rsidRPr="00426C3A">
        <w:t>1986</w:t>
      </w:r>
      <w:r w:rsidR="005E3AB5">
        <w:t>)</w:t>
      </w:r>
      <w:r w:rsidRPr="00426C3A">
        <w:t xml:space="preserve"> </w:t>
      </w:r>
      <w:r w:rsidRPr="005E3AB5">
        <w:rPr>
          <w:i/>
          <w:iCs/>
        </w:rPr>
        <w:t>Determination of Procymidone in Wine Grape, Must and Wine</w:t>
      </w:r>
      <w:r w:rsidRPr="00426C3A">
        <w:t xml:space="preserve">, </w:t>
      </w:r>
      <w:r w:rsidR="005E3AB5" w:rsidRPr="00426C3A">
        <w:t>unpublished, study number</w:t>
      </w:r>
      <w:r w:rsidRPr="00426C3A">
        <w:t xml:space="preserve"> BR-0192, Sumitomo Chemical Australia Pty Ltd</w:t>
      </w:r>
      <w:r w:rsidR="005E3AB5">
        <w:t>.</w:t>
      </w:r>
    </w:p>
    <w:p w14:paraId="07083BBE" w14:textId="7E4C0B37" w:rsidR="00426C3A" w:rsidRPr="00426C3A" w:rsidRDefault="00426C3A" w:rsidP="00D05130">
      <w:pPr>
        <w:pStyle w:val="APVMAText"/>
      </w:pPr>
      <w:r w:rsidRPr="00426C3A">
        <w:lastRenderedPageBreak/>
        <w:t xml:space="preserve">Unknown </w:t>
      </w:r>
      <w:r w:rsidR="005E3AB5">
        <w:t>(</w:t>
      </w:r>
      <w:r w:rsidRPr="00426C3A">
        <w:t>1986</w:t>
      </w:r>
      <w:r w:rsidR="005E3AB5">
        <w:t>)</w:t>
      </w:r>
      <w:r w:rsidRPr="00426C3A">
        <w:t xml:space="preserve"> </w:t>
      </w:r>
      <w:r w:rsidRPr="005E3AB5">
        <w:rPr>
          <w:i/>
          <w:iCs/>
        </w:rPr>
        <w:t>Summary of Residue Data on Grapes</w:t>
      </w:r>
      <w:r w:rsidRPr="00426C3A">
        <w:t xml:space="preserve">, </w:t>
      </w:r>
      <w:r w:rsidR="005E3AB5" w:rsidRPr="00426C3A">
        <w:t xml:space="preserve">unpublished, study number </w:t>
      </w:r>
      <w:r w:rsidRPr="00426C3A">
        <w:t>BR-0160, Sumitomo Chemical Australia Pty Ltd</w:t>
      </w:r>
      <w:r w:rsidR="005E3AB5">
        <w:t>.</w:t>
      </w:r>
    </w:p>
    <w:p w14:paraId="61E89906" w14:textId="465733BE" w:rsidR="00426C3A" w:rsidRPr="00426C3A" w:rsidRDefault="00426C3A" w:rsidP="00D05130">
      <w:pPr>
        <w:pStyle w:val="APVMAText"/>
      </w:pPr>
      <w:r w:rsidRPr="00426C3A">
        <w:t xml:space="preserve">Unknown </w:t>
      </w:r>
      <w:r w:rsidR="005E3AB5">
        <w:t>(</w:t>
      </w:r>
      <w:r w:rsidRPr="00426C3A">
        <w:t>1988</w:t>
      </w:r>
      <w:r w:rsidR="005E3AB5">
        <w:t>)</w:t>
      </w:r>
      <w:r w:rsidRPr="00426C3A">
        <w:t xml:space="preserve"> </w:t>
      </w:r>
      <w:r w:rsidRPr="005E3AB5">
        <w:rPr>
          <w:i/>
          <w:iCs/>
        </w:rPr>
        <w:t>Residue Data Sheets (Onion)</w:t>
      </w:r>
      <w:r w:rsidRPr="00426C3A">
        <w:t xml:space="preserve">, </w:t>
      </w:r>
      <w:r w:rsidR="005E3AB5" w:rsidRPr="00426C3A">
        <w:t xml:space="preserve">unpublished, study number </w:t>
      </w:r>
      <w:r w:rsidRPr="00426C3A">
        <w:t>BR-0596, Sumitomo Chemical Australia Pty Ltd</w:t>
      </w:r>
      <w:r w:rsidR="005E3AB5">
        <w:t>.</w:t>
      </w:r>
    </w:p>
    <w:p w14:paraId="33437371" w14:textId="1A68D61E" w:rsidR="00426C3A" w:rsidRPr="00426C3A" w:rsidRDefault="00426C3A" w:rsidP="00D05130">
      <w:pPr>
        <w:pStyle w:val="APVMAText"/>
      </w:pPr>
      <w:r w:rsidRPr="00426C3A">
        <w:t xml:space="preserve">Unknown </w:t>
      </w:r>
      <w:r w:rsidR="005E3AB5">
        <w:t>(</w:t>
      </w:r>
      <w:r w:rsidRPr="00426C3A">
        <w:t>1990</w:t>
      </w:r>
      <w:r w:rsidR="005E3AB5">
        <w:t>)</w:t>
      </w:r>
      <w:r w:rsidRPr="00426C3A">
        <w:t xml:space="preserve"> </w:t>
      </w:r>
      <w:r w:rsidRPr="005E3AB5">
        <w:rPr>
          <w:i/>
          <w:iCs/>
        </w:rPr>
        <w:t>Monitoring Results German Wines</w:t>
      </w:r>
      <w:r w:rsidRPr="00426C3A">
        <w:t xml:space="preserve">, </w:t>
      </w:r>
      <w:r w:rsidR="005E3AB5" w:rsidRPr="00426C3A">
        <w:t xml:space="preserve">unpublished, study number </w:t>
      </w:r>
      <w:r w:rsidRPr="00426C3A">
        <w:t>BR-0238, Sumitomo Chemical Australia Pty Ltd</w:t>
      </w:r>
      <w:r w:rsidR="005E3AB5">
        <w:t>.</w:t>
      </w:r>
    </w:p>
    <w:p w14:paraId="3DB07DFB" w14:textId="42EB0B6C" w:rsidR="00426C3A" w:rsidRPr="00426C3A" w:rsidRDefault="00426C3A" w:rsidP="00D05130">
      <w:pPr>
        <w:pStyle w:val="APVMAText"/>
      </w:pPr>
      <w:r w:rsidRPr="00426C3A">
        <w:t xml:space="preserve">Unknown </w:t>
      </w:r>
      <w:r w:rsidR="005E3AB5">
        <w:t>(</w:t>
      </w:r>
      <w:r w:rsidRPr="00426C3A">
        <w:t>1990</w:t>
      </w:r>
      <w:r w:rsidR="005E3AB5">
        <w:t>)</w:t>
      </w:r>
      <w:r w:rsidRPr="00426C3A">
        <w:t xml:space="preserve"> </w:t>
      </w:r>
      <w:r w:rsidRPr="005E3AB5">
        <w:rPr>
          <w:i/>
          <w:iCs/>
        </w:rPr>
        <w:t>Procymidone Residues on Wines</w:t>
      </w:r>
      <w:r w:rsidRPr="00426C3A">
        <w:t xml:space="preserve">, </w:t>
      </w:r>
      <w:r w:rsidR="005E3AB5" w:rsidRPr="00426C3A">
        <w:t xml:space="preserve">unpublished, study number </w:t>
      </w:r>
      <w:r w:rsidRPr="00426C3A">
        <w:t>BR-0240, Sumitomo Chemical Australia Pty Ltd</w:t>
      </w:r>
      <w:r w:rsidR="005E3AB5">
        <w:t>.</w:t>
      </w:r>
    </w:p>
    <w:p w14:paraId="36DDEE69" w14:textId="4E2215DC" w:rsidR="00426C3A" w:rsidRPr="00426C3A" w:rsidRDefault="00426C3A" w:rsidP="00D05130">
      <w:pPr>
        <w:pStyle w:val="APVMAText"/>
      </w:pPr>
      <w:r w:rsidRPr="00426C3A">
        <w:t xml:space="preserve">Unknown </w:t>
      </w:r>
      <w:r w:rsidR="005E3AB5">
        <w:t>(</w:t>
      </w:r>
      <w:r w:rsidRPr="00426C3A">
        <w:t>1991</w:t>
      </w:r>
      <w:r w:rsidR="005E3AB5">
        <w:t>)</w:t>
      </w:r>
      <w:r w:rsidRPr="00426C3A">
        <w:t xml:space="preserve"> </w:t>
      </w:r>
      <w:r w:rsidRPr="005E3AB5">
        <w:rPr>
          <w:i/>
          <w:iCs/>
        </w:rPr>
        <w:t>Procymidone, Diethofencarb/Residue Trials in Wine</w:t>
      </w:r>
      <w:r w:rsidRPr="00426C3A">
        <w:t xml:space="preserve">, </w:t>
      </w:r>
      <w:r w:rsidR="005E3AB5" w:rsidRPr="00426C3A">
        <w:t xml:space="preserve">unpublished, study number </w:t>
      </w:r>
      <w:r w:rsidRPr="00426C3A">
        <w:t>BR-0330, Sumitomo Chemical Australia Pty Ltd</w:t>
      </w:r>
      <w:r w:rsidR="005E3AB5">
        <w:t>.</w:t>
      </w:r>
    </w:p>
    <w:p w14:paraId="7B0FFF05" w14:textId="5DA8E147" w:rsidR="00426C3A" w:rsidRPr="00426C3A" w:rsidRDefault="00426C3A" w:rsidP="00D05130">
      <w:pPr>
        <w:pStyle w:val="APVMAText"/>
      </w:pPr>
      <w:r w:rsidRPr="00426C3A">
        <w:t xml:space="preserve">Unknown (n.d.) </w:t>
      </w:r>
      <w:r w:rsidRPr="005E3AB5">
        <w:rPr>
          <w:i/>
          <w:iCs/>
        </w:rPr>
        <w:t>Metabolism of 14C-Procymidone in Lactating Goat Preliminary Study</w:t>
      </w:r>
      <w:r w:rsidRPr="00426C3A">
        <w:t xml:space="preserve">, </w:t>
      </w:r>
      <w:r w:rsidR="005E3AB5" w:rsidRPr="00426C3A">
        <w:t>unpublished, study number</w:t>
      </w:r>
      <w:r w:rsidRPr="00426C3A">
        <w:t xml:space="preserve"> BM-0057, Sumitomo Chemical Australia Pty Ltd</w:t>
      </w:r>
      <w:r w:rsidR="005E3AB5">
        <w:t>.</w:t>
      </w:r>
    </w:p>
    <w:p w14:paraId="2FB74A98" w14:textId="764C06AC" w:rsidR="00426C3A" w:rsidRPr="00426C3A" w:rsidRDefault="00426C3A" w:rsidP="00D05130">
      <w:pPr>
        <w:pStyle w:val="APVMAText"/>
      </w:pPr>
      <w:r w:rsidRPr="00426C3A">
        <w:t>Veen, C.H.</w:t>
      </w:r>
      <w:r w:rsidR="005E3AB5">
        <w:t xml:space="preserve"> and</w:t>
      </w:r>
      <w:r w:rsidRPr="00426C3A">
        <w:t xml:space="preserve"> Riddell, W.D. </w:t>
      </w:r>
      <w:r w:rsidR="005E3AB5">
        <w:t>(</w:t>
      </w:r>
      <w:r w:rsidRPr="00426C3A">
        <w:t>1991</w:t>
      </w:r>
      <w:r w:rsidR="005E3AB5">
        <w:t>)</w:t>
      </w:r>
      <w:r w:rsidRPr="00426C3A">
        <w:t xml:space="preserve"> </w:t>
      </w:r>
      <w:r w:rsidRPr="005E3AB5">
        <w:rPr>
          <w:i/>
          <w:iCs/>
        </w:rPr>
        <w:t>Procymidone: Residues in Potato Tubers, Southern Queensland, 1991,</w:t>
      </w:r>
      <w:r w:rsidRPr="00426C3A">
        <w:t xml:space="preserve"> </w:t>
      </w:r>
      <w:r w:rsidR="005E3AB5" w:rsidRPr="00426C3A">
        <w:t xml:space="preserve">unpublished, study number </w:t>
      </w:r>
      <w:r w:rsidRPr="00426C3A">
        <w:t>BR-0611, Sumitomo Chemical Australia Pty Ltd</w:t>
      </w:r>
      <w:r w:rsidR="005E3AB5">
        <w:t>.</w:t>
      </w:r>
    </w:p>
    <w:p w14:paraId="25B572BA" w14:textId="32D7571B" w:rsidR="00426C3A" w:rsidRPr="00426C3A" w:rsidRDefault="00426C3A" w:rsidP="00D05130">
      <w:pPr>
        <w:pStyle w:val="APVMAText"/>
      </w:pPr>
      <w:r w:rsidRPr="00426C3A">
        <w:t>Woodhouse, R.N., Almond, R.H.</w:t>
      </w:r>
      <w:r w:rsidR="005E3AB5">
        <w:t xml:space="preserve"> and</w:t>
      </w:r>
      <w:r w:rsidRPr="00426C3A">
        <w:t xml:space="preserve"> Dawson, J. </w:t>
      </w:r>
      <w:r w:rsidR="005E3AB5">
        <w:t>(</w:t>
      </w:r>
      <w:r w:rsidRPr="00426C3A">
        <w:t>1979</w:t>
      </w:r>
      <w:r w:rsidR="005E3AB5">
        <w:t>)</w:t>
      </w:r>
      <w:r w:rsidRPr="00426C3A">
        <w:t xml:space="preserve"> </w:t>
      </w:r>
      <w:r w:rsidRPr="005E3AB5">
        <w:rPr>
          <w:i/>
          <w:iCs/>
        </w:rPr>
        <w:t xml:space="preserve">The Determination of Residual Concentrations of </w:t>
      </w:r>
      <w:proofErr w:type="spellStart"/>
      <w:r w:rsidRPr="005E3AB5">
        <w:rPr>
          <w:i/>
          <w:iCs/>
        </w:rPr>
        <w:t>Sumisclex</w:t>
      </w:r>
      <w:proofErr w:type="spellEnd"/>
      <w:r w:rsidRPr="005E3AB5">
        <w:rPr>
          <w:i/>
          <w:iCs/>
        </w:rPr>
        <w:t xml:space="preserve"> in Samples of Wine</w:t>
      </w:r>
      <w:r w:rsidRPr="00426C3A">
        <w:t xml:space="preserve">, </w:t>
      </w:r>
      <w:r w:rsidR="005E3AB5" w:rsidRPr="00426C3A">
        <w:t xml:space="preserve">unpublished, study number </w:t>
      </w:r>
      <w:r w:rsidRPr="00426C3A">
        <w:t>BR-0053, Sumitomo Chemical Australia Pty Ltd</w:t>
      </w:r>
      <w:r w:rsidR="005E3AB5">
        <w:t>.</w:t>
      </w:r>
    </w:p>
    <w:p w14:paraId="7971C1DF" w14:textId="4F74B356" w:rsidR="00426C3A" w:rsidRPr="005E3AB5" w:rsidRDefault="00426C3A" w:rsidP="005E3AB5">
      <w:pPr>
        <w:pStyle w:val="AppendixH2"/>
      </w:pPr>
      <w:bookmarkStart w:id="158" w:name="_Toc116301589"/>
      <w:r w:rsidRPr="005E3AB5">
        <w:t>Human health and toxicology</w:t>
      </w:r>
      <w:bookmarkEnd w:id="158"/>
    </w:p>
    <w:p w14:paraId="4B10D311" w14:textId="78E0F135" w:rsidR="00426C3A" w:rsidRPr="005E3AB5" w:rsidRDefault="00426C3A" w:rsidP="005E3AB5">
      <w:pPr>
        <w:pStyle w:val="AppendixH3"/>
      </w:pPr>
      <w:bookmarkStart w:id="159" w:name="_Toc116301590"/>
      <w:r w:rsidRPr="005E3AB5">
        <w:t>Human health and toxicology studies evaluated in 2021</w:t>
      </w:r>
      <w:bookmarkEnd w:id="159"/>
    </w:p>
    <w:p w14:paraId="46861D7F" w14:textId="0A357962" w:rsidR="00426C3A" w:rsidRPr="00426C3A" w:rsidRDefault="00426C3A" w:rsidP="00D05130">
      <w:pPr>
        <w:pStyle w:val="APVMAText"/>
      </w:pPr>
      <w:r w:rsidRPr="00426C3A">
        <w:t xml:space="preserve">Abe </w:t>
      </w:r>
      <w:r w:rsidRPr="00E456D9">
        <w:rPr>
          <w:i/>
          <w:iCs/>
        </w:rPr>
        <w:t>et al</w:t>
      </w:r>
      <w:r w:rsidRPr="00426C3A">
        <w:t xml:space="preserve"> </w:t>
      </w:r>
      <w:r w:rsidR="005E3AB5">
        <w:t>(</w:t>
      </w:r>
      <w:r w:rsidRPr="00426C3A">
        <w:t>2018</w:t>
      </w:r>
      <w:r w:rsidR="005E3AB5">
        <w:t>)</w:t>
      </w:r>
      <w:r w:rsidRPr="00426C3A">
        <w:t xml:space="preserve"> </w:t>
      </w:r>
      <w:r w:rsidRPr="005E3AB5">
        <w:rPr>
          <w:i/>
          <w:iCs/>
        </w:rPr>
        <w:t>Identification of Metabolism and Excretion Differences of Procymidone between Rats and Humans Using Chimeric Mice: Implications for Differential Developmental Toxicity</w:t>
      </w:r>
      <w:r w:rsidRPr="00426C3A">
        <w:t>. J. Agric Food Chem 2018, 66, 1955–63</w:t>
      </w:r>
    </w:p>
    <w:p w14:paraId="18B658EE" w14:textId="279DB5E4" w:rsidR="005E3AB5" w:rsidRDefault="005E3AB5" w:rsidP="00D05130">
      <w:pPr>
        <w:pStyle w:val="APVMAText"/>
      </w:pPr>
      <w:r>
        <w:t>Australian Industrial Chemicals Introduction Scheme (</w:t>
      </w:r>
      <w:r w:rsidR="00426C3A" w:rsidRPr="00426C3A">
        <w:t>AIC</w:t>
      </w:r>
      <w:r>
        <w:t>IS),</w:t>
      </w:r>
      <w:r w:rsidR="00426C3A" w:rsidRPr="00426C3A">
        <w:t xml:space="preserve"> </w:t>
      </w:r>
      <w:r>
        <w:t>(</w:t>
      </w:r>
      <w:r w:rsidR="00426C3A" w:rsidRPr="00426C3A">
        <w:t>2020</w:t>
      </w:r>
      <w:r>
        <w:t>)</w:t>
      </w:r>
      <w:r w:rsidR="00426C3A" w:rsidRPr="00426C3A">
        <w:t xml:space="preserve"> </w:t>
      </w:r>
      <w:hyperlink r:id="rId46" w:history="1">
        <w:proofErr w:type="spellStart"/>
        <w:r w:rsidR="00426C3A" w:rsidRPr="005E3AB5">
          <w:rPr>
            <w:rStyle w:val="Hyperlink"/>
            <w:i/>
            <w:iCs/>
          </w:rPr>
          <w:t>Dichloroanilines</w:t>
        </w:r>
        <w:proofErr w:type="spellEnd"/>
        <w:r w:rsidR="00426C3A" w:rsidRPr="005E3AB5">
          <w:rPr>
            <w:rStyle w:val="Hyperlink"/>
            <w:i/>
            <w:iCs/>
          </w:rPr>
          <w:t>: Human health tier II assessment</w:t>
        </w:r>
      </w:hyperlink>
      <w:r>
        <w:t>,</w:t>
      </w:r>
      <w:r w:rsidR="00426C3A" w:rsidRPr="00426C3A">
        <w:t xml:space="preserve"> </w:t>
      </w:r>
      <w:r w:rsidRPr="00426C3A">
        <w:t>AIC</w:t>
      </w:r>
      <w:r>
        <w:t>IS</w:t>
      </w:r>
      <w:r w:rsidRPr="00426C3A">
        <w:t xml:space="preserve"> </w:t>
      </w:r>
      <w:r>
        <w:t>website.</w:t>
      </w:r>
    </w:p>
    <w:p w14:paraId="37AC0171" w14:textId="4AFCFDD1" w:rsidR="00426C3A" w:rsidRPr="00426C3A" w:rsidRDefault="00426C3A" w:rsidP="00D05130">
      <w:pPr>
        <w:pStyle w:val="APVMAText"/>
      </w:pPr>
      <w:r w:rsidRPr="00426C3A">
        <w:t xml:space="preserve">European Chemicals Bureau (ECB), </w:t>
      </w:r>
      <w:r w:rsidR="005E3AB5">
        <w:t>(</w:t>
      </w:r>
      <w:r w:rsidRPr="00426C3A">
        <w:t>2006</w:t>
      </w:r>
      <w:r w:rsidR="00852F7D">
        <w:t>)</w:t>
      </w:r>
      <w:r w:rsidRPr="00426C3A">
        <w:t xml:space="preserve"> </w:t>
      </w:r>
      <w:hyperlink r:id="rId47" w:history="1">
        <w:r w:rsidRPr="005E3AB5">
          <w:rPr>
            <w:rStyle w:val="Hyperlink"/>
            <w:i/>
            <w:iCs/>
          </w:rPr>
          <w:t>European Union Risk Assessment Report for 3,4-dichloroaniline (3,4-DCA)</w:t>
        </w:r>
      </w:hyperlink>
      <w:r w:rsidR="005E3AB5">
        <w:t>, ECB website.</w:t>
      </w:r>
    </w:p>
    <w:p w14:paraId="5CC01182" w14:textId="66A20B2C" w:rsidR="00426C3A" w:rsidRPr="00426C3A" w:rsidRDefault="005E3AB5" w:rsidP="00D05130">
      <w:pPr>
        <w:pStyle w:val="APVMAText"/>
      </w:pPr>
      <w:r>
        <w:t>Australian Government Department of Health and Aged Care Therapeutic Goods Administration</w:t>
      </w:r>
      <w:r w:rsidR="00426C3A" w:rsidRPr="00426C3A">
        <w:t xml:space="preserve"> </w:t>
      </w:r>
      <w:r>
        <w:t>(</w:t>
      </w:r>
      <w:r w:rsidR="00426C3A" w:rsidRPr="00426C3A">
        <w:t>2021</w:t>
      </w:r>
      <w:r>
        <w:t>)</w:t>
      </w:r>
      <w:r w:rsidR="00426C3A" w:rsidRPr="00426C3A">
        <w:t xml:space="preserve"> </w:t>
      </w:r>
      <w:hyperlink r:id="rId48" w:history="1">
        <w:r w:rsidR="00426C3A" w:rsidRPr="005E3AB5">
          <w:rPr>
            <w:rStyle w:val="Hyperlink"/>
            <w:i/>
            <w:iCs/>
          </w:rPr>
          <w:t>Standard for the Uniform Scheduling of Medicines and Poisons (SUSMP) Legislative Instrument – The Poisons Standard</w:t>
        </w:r>
      </w:hyperlink>
      <w:r>
        <w:t>,</w:t>
      </w:r>
      <w:r w:rsidR="00426C3A" w:rsidRPr="00426C3A">
        <w:t xml:space="preserve"> </w:t>
      </w:r>
      <w:r>
        <w:t>TGA website.</w:t>
      </w:r>
    </w:p>
    <w:p w14:paraId="4F6C90AD" w14:textId="7193856D" w:rsidR="00426C3A" w:rsidRPr="00426C3A" w:rsidRDefault="005E3AB5" w:rsidP="00D05130">
      <w:pPr>
        <w:pStyle w:val="APVMAText"/>
      </w:pPr>
      <w:r>
        <w:t>International Research Agency for Research on Cancer (</w:t>
      </w:r>
      <w:r w:rsidR="00426C3A" w:rsidRPr="00426C3A">
        <w:t>IARC</w:t>
      </w:r>
      <w:r>
        <w:t>)</w:t>
      </w:r>
      <w:r w:rsidR="00426C3A" w:rsidRPr="00426C3A">
        <w:t xml:space="preserve"> </w:t>
      </w:r>
      <w:r>
        <w:t>(</w:t>
      </w:r>
      <w:r w:rsidR="00426C3A" w:rsidRPr="00426C3A">
        <w:t>2021</w:t>
      </w:r>
      <w:r>
        <w:t>)</w:t>
      </w:r>
      <w:r w:rsidR="00426C3A" w:rsidRPr="00426C3A">
        <w:t xml:space="preserve"> </w:t>
      </w:r>
      <w:r w:rsidR="00426C3A" w:rsidRPr="005E3AB5">
        <w:rPr>
          <w:i/>
          <w:iCs/>
        </w:rPr>
        <w:t>Some aromatic amines and related compounds</w:t>
      </w:r>
      <w:r w:rsidRPr="005E3AB5">
        <w:rPr>
          <w:i/>
          <w:iCs/>
        </w:rPr>
        <w:t>,</w:t>
      </w:r>
      <w:r w:rsidR="00426C3A" w:rsidRPr="005E3AB5">
        <w:rPr>
          <w:i/>
          <w:iCs/>
        </w:rPr>
        <w:t xml:space="preserve"> Volume 127</w:t>
      </w:r>
      <w:r>
        <w:t>,</w:t>
      </w:r>
      <w:r w:rsidR="00426C3A" w:rsidRPr="00426C3A">
        <w:t xml:space="preserve"> IARC monographs on the identification of carcinogenic hazards to humans.</w:t>
      </w:r>
    </w:p>
    <w:p w14:paraId="12F71EA2" w14:textId="43729CC2" w:rsidR="00426C3A" w:rsidRPr="00426C3A" w:rsidRDefault="00426C3A" w:rsidP="00D05130">
      <w:pPr>
        <w:pStyle w:val="APVMAText"/>
      </w:pPr>
      <w:r w:rsidRPr="00426C3A">
        <w:t>Katsumata, J</w:t>
      </w:r>
      <w:r w:rsidR="005E3AB5">
        <w:t>.</w:t>
      </w:r>
      <w:r w:rsidRPr="00426C3A">
        <w:t xml:space="preserve"> </w:t>
      </w:r>
      <w:r w:rsidR="005E3AB5">
        <w:t>(</w:t>
      </w:r>
      <w:r w:rsidRPr="00426C3A">
        <w:t>2013</w:t>
      </w:r>
      <w:r w:rsidR="005E3AB5">
        <w:t>)</w:t>
      </w:r>
      <w:r w:rsidRPr="00426C3A">
        <w:t xml:space="preserve"> </w:t>
      </w:r>
      <w:r w:rsidRPr="005E3AB5">
        <w:rPr>
          <w:i/>
          <w:iCs/>
        </w:rPr>
        <w:t>A 90-day oral gavage toxicity study of 3,5-dichloroaniline in rats</w:t>
      </w:r>
      <w:r w:rsidRPr="00426C3A">
        <w:t xml:space="preserve">. </w:t>
      </w:r>
      <w:r w:rsidR="005E3AB5">
        <w:t>U</w:t>
      </w:r>
      <w:r w:rsidR="005E3AB5" w:rsidRPr="00426C3A">
        <w:t xml:space="preserve">npublished, study number </w:t>
      </w:r>
      <w:r w:rsidRPr="00426C3A">
        <w:t>B-7408.</w:t>
      </w:r>
    </w:p>
    <w:p w14:paraId="2D5EE1E7" w14:textId="1EF4A98D" w:rsidR="00426C3A" w:rsidRPr="00426C3A" w:rsidRDefault="00426C3A" w:rsidP="00D05130">
      <w:pPr>
        <w:pStyle w:val="APVMAText"/>
      </w:pPr>
      <w:proofErr w:type="spellStart"/>
      <w:r w:rsidRPr="00426C3A">
        <w:lastRenderedPageBreak/>
        <w:t>Kitamoto</w:t>
      </w:r>
      <w:proofErr w:type="spellEnd"/>
      <w:r w:rsidRPr="00426C3A">
        <w:t>, S</w:t>
      </w:r>
      <w:r w:rsidR="005E3AB5">
        <w:t>.</w:t>
      </w:r>
      <w:r w:rsidRPr="00426C3A">
        <w:t xml:space="preserve"> </w:t>
      </w:r>
      <w:r w:rsidR="005E3AB5">
        <w:t>(</w:t>
      </w:r>
      <w:r w:rsidRPr="00426C3A">
        <w:t>2014</w:t>
      </w:r>
      <w:r w:rsidR="005E3AB5">
        <w:t>)</w:t>
      </w:r>
      <w:r w:rsidRPr="00426C3A">
        <w:t xml:space="preserve"> </w:t>
      </w:r>
      <w:r w:rsidRPr="005E3AB5">
        <w:rPr>
          <w:i/>
          <w:iCs/>
        </w:rPr>
        <w:t>Micronucleus Test on 3,5-dichloroaniline in rats</w:t>
      </w:r>
      <w:r w:rsidRPr="00426C3A">
        <w:t>. Unpublished, study 4285, Sumitomo Chemical Australia Pty Ltd</w:t>
      </w:r>
      <w:r w:rsidR="005E3AB5">
        <w:t>.</w:t>
      </w:r>
    </w:p>
    <w:p w14:paraId="2C0D2579" w14:textId="2B194F5B" w:rsidR="00426C3A" w:rsidRPr="00426C3A" w:rsidRDefault="00426C3A" w:rsidP="00D05130">
      <w:pPr>
        <w:pStyle w:val="APVMAText"/>
      </w:pPr>
      <w:proofErr w:type="spellStart"/>
      <w:r w:rsidRPr="00426C3A">
        <w:t>Miat</w:t>
      </w:r>
      <w:proofErr w:type="spellEnd"/>
      <w:r w:rsidRPr="00426C3A">
        <w:t xml:space="preserve"> D</w:t>
      </w:r>
      <w:r w:rsidR="005E3AB5">
        <w:t>.</w:t>
      </w:r>
      <w:r w:rsidRPr="00426C3A">
        <w:t>B</w:t>
      </w:r>
      <w:r w:rsidR="005E3AB5">
        <w:t>.</w:t>
      </w:r>
      <w:r w:rsidRPr="00426C3A">
        <w:t xml:space="preserve"> </w:t>
      </w:r>
      <w:r w:rsidR="005E3AB5">
        <w:t>(</w:t>
      </w:r>
      <w:r w:rsidRPr="00426C3A">
        <w:t>2010</w:t>
      </w:r>
      <w:r w:rsidR="005E3AB5">
        <w:t>)</w:t>
      </w:r>
      <w:r w:rsidRPr="00426C3A">
        <w:t xml:space="preserve"> </w:t>
      </w:r>
      <w:r w:rsidRPr="005E3AB5">
        <w:rPr>
          <w:i/>
          <w:iCs/>
        </w:rPr>
        <w:t>Procymidone TG: Acute (4 Hour) Inhalation Toxicity Study in Rats</w:t>
      </w:r>
      <w:r w:rsidRPr="00426C3A">
        <w:t xml:space="preserve">. Unpublished, </w:t>
      </w:r>
      <w:r w:rsidR="005E3AB5" w:rsidRPr="00426C3A">
        <w:t>study</w:t>
      </w:r>
      <w:r w:rsidRPr="00426C3A">
        <w:t xml:space="preserve"> number VRY0005, Sumitomo Chemical Australia Pty Ltd</w:t>
      </w:r>
      <w:r w:rsidR="005E3AB5">
        <w:t>.</w:t>
      </w:r>
    </w:p>
    <w:p w14:paraId="0F636289" w14:textId="05061454" w:rsidR="00426C3A" w:rsidRPr="00426C3A" w:rsidRDefault="00426C3A" w:rsidP="00D05130">
      <w:pPr>
        <w:pStyle w:val="APVMAText"/>
      </w:pPr>
      <w:r w:rsidRPr="00426C3A">
        <w:t xml:space="preserve">Moon, S-H </w:t>
      </w:r>
      <w:r w:rsidR="005E3AB5">
        <w:t>(</w:t>
      </w:r>
      <w:r w:rsidRPr="00426C3A">
        <w:t>2010a</w:t>
      </w:r>
      <w:r w:rsidR="005E3AB5">
        <w:t>)</w:t>
      </w:r>
      <w:r w:rsidRPr="00426C3A">
        <w:t xml:space="preserve"> </w:t>
      </w:r>
      <w:r w:rsidRPr="005E3AB5">
        <w:rPr>
          <w:i/>
          <w:iCs/>
        </w:rPr>
        <w:t>Acute Oral Toxicity Study of Procymidone TG in Rats (Acute Toxic Class Method)</w:t>
      </w:r>
      <w:r w:rsidRPr="00426C3A">
        <w:t>. Unpublished, Study number J09401, Sumitomo Chemical Australia Pty Ltd</w:t>
      </w:r>
      <w:r w:rsidR="005E3AB5">
        <w:t>.</w:t>
      </w:r>
    </w:p>
    <w:p w14:paraId="72C7D17F" w14:textId="55468BD1" w:rsidR="00426C3A" w:rsidRPr="00426C3A" w:rsidRDefault="00426C3A" w:rsidP="00D05130">
      <w:pPr>
        <w:pStyle w:val="APVMAText"/>
      </w:pPr>
      <w:r w:rsidRPr="00426C3A">
        <w:t xml:space="preserve">Moon, S-H </w:t>
      </w:r>
      <w:r w:rsidR="005E3AB5">
        <w:t>(</w:t>
      </w:r>
      <w:r w:rsidRPr="00426C3A">
        <w:t>2010b</w:t>
      </w:r>
      <w:r w:rsidR="005E3AB5">
        <w:t>)</w:t>
      </w:r>
      <w:r w:rsidRPr="00426C3A">
        <w:t xml:space="preserve"> </w:t>
      </w:r>
      <w:r w:rsidRPr="005E3AB5">
        <w:rPr>
          <w:i/>
          <w:iCs/>
        </w:rPr>
        <w:t>Acute Dermal Toxicity Study of Procymidone TG in Rats (Acute Toxic Class Method)</w:t>
      </w:r>
      <w:r w:rsidRPr="00426C3A">
        <w:t xml:space="preserve">. Unpublished, </w:t>
      </w:r>
      <w:r w:rsidR="005E3AB5" w:rsidRPr="00426C3A">
        <w:t>study</w:t>
      </w:r>
      <w:r w:rsidRPr="00426C3A">
        <w:t xml:space="preserve"> number J09402, Sumitomo Chemical Australia Pty Ltd</w:t>
      </w:r>
      <w:r w:rsidR="005E3AB5">
        <w:t>.</w:t>
      </w:r>
    </w:p>
    <w:p w14:paraId="76BCEA06" w14:textId="0E6EBEB3" w:rsidR="00426C3A" w:rsidRPr="00426C3A" w:rsidRDefault="00426C3A" w:rsidP="00D05130">
      <w:pPr>
        <w:pStyle w:val="APVMAText"/>
      </w:pPr>
      <w:proofErr w:type="spellStart"/>
      <w:r w:rsidRPr="00426C3A">
        <w:t>Motomura</w:t>
      </w:r>
      <w:proofErr w:type="spellEnd"/>
      <w:r w:rsidRPr="00426C3A">
        <w:t>, A</w:t>
      </w:r>
      <w:r w:rsidR="005E3AB5">
        <w:t>.</w:t>
      </w:r>
      <w:r w:rsidRPr="00426C3A">
        <w:t xml:space="preserve"> </w:t>
      </w:r>
      <w:r w:rsidR="005E3AB5">
        <w:t>(</w:t>
      </w:r>
      <w:r w:rsidRPr="00426C3A">
        <w:t>2015a</w:t>
      </w:r>
      <w:r w:rsidR="005E3AB5">
        <w:t>)</w:t>
      </w:r>
      <w:r w:rsidRPr="00426C3A">
        <w:t xml:space="preserve"> </w:t>
      </w:r>
      <w:r w:rsidRPr="005E3AB5">
        <w:rPr>
          <w:i/>
          <w:iCs/>
        </w:rPr>
        <w:t>Procymidone Technical: Dose Range-finding Study for Acute Neurotoxicity Study in Rats</w:t>
      </w:r>
      <w:r w:rsidRPr="00426C3A">
        <w:t xml:space="preserve">. Unpublished, </w:t>
      </w:r>
      <w:r w:rsidR="005E3AB5" w:rsidRPr="00426C3A">
        <w:t>study</w:t>
      </w:r>
      <w:r w:rsidRPr="00426C3A">
        <w:t xml:space="preserve"> number IET 14-0075, Sumitomo Chemical Australia Pty Ltd</w:t>
      </w:r>
      <w:r w:rsidR="005E3AB5">
        <w:t>.</w:t>
      </w:r>
    </w:p>
    <w:p w14:paraId="486ACFCE" w14:textId="49969079" w:rsidR="00426C3A" w:rsidRPr="00426C3A" w:rsidRDefault="00426C3A" w:rsidP="00D05130">
      <w:pPr>
        <w:pStyle w:val="APVMAText"/>
      </w:pPr>
      <w:proofErr w:type="spellStart"/>
      <w:r w:rsidRPr="00426C3A">
        <w:t>Motomura</w:t>
      </w:r>
      <w:proofErr w:type="spellEnd"/>
      <w:r w:rsidRPr="00426C3A">
        <w:t>, A</w:t>
      </w:r>
      <w:r w:rsidR="005E3AB5">
        <w:t>.</w:t>
      </w:r>
      <w:r w:rsidRPr="00426C3A">
        <w:t xml:space="preserve"> </w:t>
      </w:r>
      <w:r w:rsidR="005E3AB5">
        <w:t>(</w:t>
      </w:r>
      <w:r w:rsidRPr="00426C3A">
        <w:t>2015b</w:t>
      </w:r>
      <w:r w:rsidR="005E3AB5">
        <w:t>)</w:t>
      </w:r>
      <w:r w:rsidRPr="00426C3A">
        <w:t xml:space="preserve"> </w:t>
      </w:r>
      <w:r w:rsidRPr="005E3AB5">
        <w:rPr>
          <w:i/>
          <w:iCs/>
        </w:rPr>
        <w:t>Procymidone Technical: Acute Oral Neurotoxicity Study in Rats</w:t>
      </w:r>
      <w:r w:rsidRPr="00426C3A">
        <w:t xml:space="preserve">. Unpublished, </w:t>
      </w:r>
      <w:r w:rsidR="005E3AB5" w:rsidRPr="00426C3A">
        <w:t>study</w:t>
      </w:r>
      <w:r w:rsidRPr="00426C3A">
        <w:t xml:space="preserve"> number IET 14-0076 Sumitomo Chemical Australia Pty Ltd</w:t>
      </w:r>
      <w:r w:rsidR="005E3AB5">
        <w:t>.</w:t>
      </w:r>
    </w:p>
    <w:p w14:paraId="44B2F3C4" w14:textId="30315BAF" w:rsidR="00426C3A" w:rsidRPr="00426C3A" w:rsidRDefault="00426C3A" w:rsidP="00D05130">
      <w:pPr>
        <w:pStyle w:val="APVMAText"/>
      </w:pPr>
      <w:r w:rsidRPr="00426C3A">
        <w:t>Ota</w:t>
      </w:r>
      <w:r w:rsidR="005E3AB5">
        <w:t>,</w:t>
      </w:r>
      <w:r w:rsidRPr="00426C3A">
        <w:t xml:space="preserve"> M</w:t>
      </w:r>
      <w:r w:rsidR="005E3AB5">
        <w:t>.</w:t>
      </w:r>
      <w:r w:rsidRPr="00426C3A">
        <w:t xml:space="preserve"> </w:t>
      </w:r>
      <w:r w:rsidR="005E3AB5">
        <w:t>(</w:t>
      </w:r>
      <w:r w:rsidRPr="00426C3A">
        <w:t>2010a</w:t>
      </w:r>
      <w:r w:rsidR="005E3AB5">
        <w:t>)</w:t>
      </w:r>
      <w:r w:rsidRPr="00426C3A">
        <w:t xml:space="preserve"> </w:t>
      </w:r>
      <w:r w:rsidRPr="005E3AB5">
        <w:rPr>
          <w:i/>
          <w:iCs/>
        </w:rPr>
        <w:t>Primary Skin Irritation Test of Procymidone</w:t>
      </w:r>
      <w:r w:rsidRPr="005E3AB5" w:rsidDel="008D7343">
        <w:rPr>
          <w:i/>
          <w:iCs/>
        </w:rPr>
        <w:t xml:space="preserve"> </w:t>
      </w:r>
      <w:r w:rsidRPr="005E3AB5">
        <w:rPr>
          <w:i/>
          <w:iCs/>
        </w:rPr>
        <w:t>in Rabbits</w:t>
      </w:r>
      <w:r w:rsidRPr="00426C3A">
        <w:t>. Unpublished, study number 4174, Sumitomo Chemical Australia Pty Ltd</w:t>
      </w:r>
      <w:r w:rsidR="005E3AB5">
        <w:t>.</w:t>
      </w:r>
    </w:p>
    <w:p w14:paraId="203E8F8E" w14:textId="7097075D" w:rsidR="00426C3A" w:rsidRPr="00426C3A" w:rsidRDefault="00426C3A" w:rsidP="00D05130">
      <w:pPr>
        <w:pStyle w:val="APVMAText"/>
      </w:pPr>
      <w:r w:rsidRPr="00426C3A">
        <w:t>Ota M</w:t>
      </w:r>
      <w:r w:rsidR="005E3AB5">
        <w:t>.</w:t>
      </w:r>
      <w:r w:rsidRPr="00426C3A">
        <w:t xml:space="preserve"> </w:t>
      </w:r>
      <w:r w:rsidR="005E3AB5">
        <w:t>(</w:t>
      </w:r>
      <w:r w:rsidRPr="00426C3A">
        <w:t>2010b</w:t>
      </w:r>
      <w:r w:rsidR="005E3AB5">
        <w:t>)</w:t>
      </w:r>
      <w:r w:rsidRPr="00426C3A">
        <w:t xml:space="preserve"> </w:t>
      </w:r>
      <w:r w:rsidRPr="005E3AB5">
        <w:rPr>
          <w:i/>
          <w:iCs/>
        </w:rPr>
        <w:t>Primary Eye Irritation Test of Procymidone</w:t>
      </w:r>
      <w:r w:rsidRPr="005E3AB5" w:rsidDel="008D7343">
        <w:rPr>
          <w:i/>
          <w:iCs/>
        </w:rPr>
        <w:t xml:space="preserve"> </w:t>
      </w:r>
      <w:r w:rsidRPr="005E3AB5">
        <w:rPr>
          <w:i/>
          <w:iCs/>
        </w:rPr>
        <w:t>in Rabbits</w:t>
      </w:r>
      <w:r w:rsidRPr="00426C3A">
        <w:t xml:space="preserve">. Unpublished, </w:t>
      </w:r>
      <w:r w:rsidR="005E3AB5" w:rsidRPr="00426C3A">
        <w:t>study</w:t>
      </w:r>
      <w:r w:rsidRPr="00426C3A">
        <w:t xml:space="preserve"> number 4175, Sumitomo Chemical Australia Pty Ltd</w:t>
      </w:r>
      <w:r w:rsidR="005E3AB5">
        <w:t>.</w:t>
      </w:r>
    </w:p>
    <w:p w14:paraId="1B15FCE6" w14:textId="622FCB06" w:rsidR="00426C3A" w:rsidRPr="00426C3A" w:rsidRDefault="00426C3A" w:rsidP="00D05130">
      <w:pPr>
        <w:pStyle w:val="APVMAText"/>
      </w:pPr>
      <w:r w:rsidRPr="00426C3A">
        <w:t>US EPA</w:t>
      </w:r>
      <w:r w:rsidR="005E3AB5">
        <w:t xml:space="preserve"> (</w:t>
      </w:r>
      <w:r w:rsidRPr="00426C3A">
        <w:t>2020</w:t>
      </w:r>
      <w:r w:rsidR="005E3AB5">
        <w:t>)</w:t>
      </w:r>
      <w:r w:rsidRPr="00426C3A">
        <w:t xml:space="preserve"> </w:t>
      </w:r>
      <w:hyperlink r:id="rId49" w:history="1">
        <w:r w:rsidRPr="005E3AB5">
          <w:rPr>
            <w:rStyle w:val="Hyperlink"/>
            <w:i/>
            <w:iCs/>
          </w:rPr>
          <w:t>Occupational Pesticide Handler Exposure Calculator (version March 2020)</w:t>
        </w:r>
        <w:r w:rsidR="005E3AB5" w:rsidRPr="005E3AB5">
          <w:rPr>
            <w:rStyle w:val="Hyperlink"/>
            <w:i/>
            <w:iCs/>
          </w:rPr>
          <w:t xml:space="preserve"> – </w:t>
        </w:r>
        <w:r w:rsidRPr="005E3AB5">
          <w:rPr>
            <w:rStyle w:val="Hyperlink"/>
            <w:i/>
            <w:iCs/>
          </w:rPr>
          <w:t>Office of Pesticide Programs</w:t>
        </w:r>
      </w:hyperlink>
      <w:r w:rsidRPr="00426C3A">
        <w:t xml:space="preserve">, </w:t>
      </w:r>
      <w:r w:rsidR="005E3AB5">
        <w:t>EPA website.</w:t>
      </w:r>
    </w:p>
    <w:p w14:paraId="3593D3E1" w14:textId="3DF70A02" w:rsidR="00426C3A" w:rsidRPr="00426C3A" w:rsidRDefault="00426C3A" w:rsidP="00D05130">
      <w:pPr>
        <w:pStyle w:val="APVMAText"/>
      </w:pPr>
      <w:proofErr w:type="spellStart"/>
      <w:r w:rsidRPr="00426C3A">
        <w:t>Valentovic</w:t>
      </w:r>
      <w:proofErr w:type="spellEnd"/>
      <w:r w:rsidR="005E3AB5">
        <w:t>,</w:t>
      </w:r>
      <w:r w:rsidRPr="00426C3A">
        <w:t xml:space="preserve"> M</w:t>
      </w:r>
      <w:r w:rsidR="005E3AB5">
        <w:t>.</w:t>
      </w:r>
      <w:r w:rsidRPr="00426C3A">
        <w:t>A</w:t>
      </w:r>
      <w:r w:rsidR="005E3AB5">
        <w:t>.</w:t>
      </w:r>
      <w:r w:rsidRPr="00426C3A">
        <w:t>, Ball</w:t>
      </w:r>
      <w:r w:rsidR="005E3AB5">
        <w:t>,</w:t>
      </w:r>
      <w:r w:rsidRPr="00426C3A">
        <w:t xml:space="preserve"> J</w:t>
      </w:r>
      <w:r w:rsidR="005E3AB5">
        <w:t>.</w:t>
      </w:r>
      <w:r w:rsidRPr="00426C3A">
        <w:t>G</w:t>
      </w:r>
      <w:r w:rsidR="005E3AB5">
        <w:t>.</w:t>
      </w:r>
      <w:r w:rsidRPr="00426C3A">
        <w:t xml:space="preserve">, </w:t>
      </w:r>
      <w:proofErr w:type="spellStart"/>
      <w:r w:rsidRPr="00426C3A">
        <w:t>Anestis</w:t>
      </w:r>
      <w:proofErr w:type="spellEnd"/>
      <w:r w:rsidR="005E3AB5">
        <w:t>,</w:t>
      </w:r>
      <w:r w:rsidRPr="00426C3A">
        <w:t xml:space="preserve"> D</w:t>
      </w:r>
      <w:r w:rsidR="005E3AB5">
        <w:t>.</w:t>
      </w:r>
      <w:r w:rsidRPr="00426C3A">
        <w:t>K</w:t>
      </w:r>
      <w:r w:rsidR="005E3AB5">
        <w:t>. and</w:t>
      </w:r>
      <w:r w:rsidRPr="00426C3A">
        <w:t xml:space="preserve"> Rankin</w:t>
      </w:r>
      <w:r w:rsidR="005E3AB5">
        <w:t>,</w:t>
      </w:r>
      <w:r w:rsidRPr="00426C3A">
        <w:t xml:space="preserve"> G</w:t>
      </w:r>
      <w:r w:rsidR="005E3AB5">
        <w:t>.</w:t>
      </w:r>
      <w:r w:rsidRPr="00426C3A">
        <w:t>O</w:t>
      </w:r>
      <w:r w:rsidR="005E3AB5">
        <w:t>.</w:t>
      </w:r>
      <w:r w:rsidRPr="00426C3A">
        <w:t xml:space="preserve"> </w:t>
      </w:r>
      <w:r w:rsidR="005E3AB5">
        <w:t>(</w:t>
      </w:r>
      <w:r w:rsidRPr="00426C3A">
        <w:t>1995</w:t>
      </w:r>
      <w:r w:rsidR="005E3AB5">
        <w:t>)</w:t>
      </w:r>
      <w:r w:rsidRPr="00426C3A">
        <w:t xml:space="preserve"> </w:t>
      </w:r>
      <w:r w:rsidRPr="005E3AB5">
        <w:rPr>
          <w:i/>
          <w:iCs/>
        </w:rPr>
        <w:t>Comparison of the in vitro toxicity of dichloroaniline structural isomers</w:t>
      </w:r>
      <w:r w:rsidRPr="00426C3A">
        <w:t xml:space="preserve">. </w:t>
      </w:r>
      <w:proofErr w:type="spellStart"/>
      <w:r w:rsidRPr="00426C3A">
        <w:t>Toxicol</w:t>
      </w:r>
      <w:proofErr w:type="spellEnd"/>
      <w:r w:rsidRPr="00426C3A">
        <w:t xml:space="preserve"> In Vitro 9(1):75-81.</w:t>
      </w:r>
    </w:p>
    <w:p w14:paraId="03342DCB" w14:textId="1E835B8E" w:rsidR="00426C3A" w:rsidRPr="00426C3A" w:rsidRDefault="00426C3A" w:rsidP="00D05130">
      <w:pPr>
        <w:pStyle w:val="APVMAText"/>
      </w:pPr>
      <w:proofErr w:type="spellStart"/>
      <w:r w:rsidRPr="00426C3A">
        <w:t>Valentovic</w:t>
      </w:r>
      <w:proofErr w:type="spellEnd"/>
      <w:r w:rsidR="005E3AB5">
        <w:t>,</w:t>
      </w:r>
      <w:r w:rsidRPr="00426C3A">
        <w:t xml:space="preserve"> M</w:t>
      </w:r>
      <w:r w:rsidR="005E3AB5">
        <w:t>.</w:t>
      </w:r>
      <w:r w:rsidRPr="00426C3A">
        <w:t>A</w:t>
      </w:r>
      <w:r w:rsidR="005E3AB5">
        <w:t>.</w:t>
      </w:r>
      <w:r w:rsidRPr="00426C3A">
        <w:t>, Rogers</w:t>
      </w:r>
      <w:r w:rsidR="005E3AB5">
        <w:t>,</w:t>
      </w:r>
      <w:r w:rsidRPr="00426C3A">
        <w:t xml:space="preserve"> B</w:t>
      </w:r>
      <w:r w:rsidR="005E3AB5">
        <w:t>.</w:t>
      </w:r>
      <w:r w:rsidRPr="00426C3A">
        <w:t>A</w:t>
      </w:r>
      <w:r w:rsidR="005E3AB5">
        <w:t>.</w:t>
      </w:r>
      <w:r w:rsidRPr="00426C3A">
        <w:t>, Meadows</w:t>
      </w:r>
      <w:r w:rsidR="005E3AB5">
        <w:t>,</w:t>
      </w:r>
      <w:r w:rsidRPr="00426C3A">
        <w:t xml:space="preserve"> M</w:t>
      </w:r>
      <w:r w:rsidR="005E3AB5">
        <w:t>.</w:t>
      </w:r>
      <w:r w:rsidRPr="00426C3A">
        <w:t>K</w:t>
      </w:r>
      <w:r w:rsidR="005E3AB5">
        <w:t>.</w:t>
      </w:r>
      <w:r w:rsidRPr="00426C3A">
        <w:t>, Conner</w:t>
      </w:r>
      <w:r w:rsidR="005E3AB5">
        <w:t>,</w:t>
      </w:r>
      <w:r w:rsidRPr="00426C3A">
        <w:t xml:space="preserve"> J</w:t>
      </w:r>
      <w:r w:rsidR="005E3AB5">
        <w:t>.</w:t>
      </w:r>
      <w:r w:rsidRPr="00426C3A">
        <w:t>T</w:t>
      </w:r>
      <w:r w:rsidR="005E3AB5">
        <w:t>.</w:t>
      </w:r>
      <w:r w:rsidRPr="00426C3A">
        <w:t>, Williams</w:t>
      </w:r>
      <w:r w:rsidR="005E3AB5">
        <w:t>,</w:t>
      </w:r>
      <w:r w:rsidRPr="00426C3A">
        <w:t xml:space="preserve"> E</w:t>
      </w:r>
      <w:r w:rsidR="005E3AB5">
        <w:t>.</w:t>
      </w:r>
      <w:r w:rsidRPr="00426C3A">
        <w:t>, Hong</w:t>
      </w:r>
      <w:r w:rsidR="005E3AB5">
        <w:t>,</w:t>
      </w:r>
      <w:r w:rsidRPr="00426C3A">
        <w:t xml:space="preserve"> S</w:t>
      </w:r>
      <w:r w:rsidR="005E3AB5">
        <w:t>.</w:t>
      </w:r>
      <w:r w:rsidRPr="00426C3A">
        <w:t>K</w:t>
      </w:r>
      <w:r w:rsidR="005E3AB5">
        <w:t>. and</w:t>
      </w:r>
      <w:r w:rsidRPr="00426C3A">
        <w:t xml:space="preserve"> Rankin</w:t>
      </w:r>
      <w:r w:rsidR="005E3AB5">
        <w:t>,</w:t>
      </w:r>
      <w:r w:rsidRPr="00426C3A">
        <w:t xml:space="preserve"> G</w:t>
      </w:r>
      <w:r w:rsidR="005E3AB5">
        <w:t>.</w:t>
      </w:r>
      <w:r w:rsidRPr="00426C3A">
        <w:t>O.</w:t>
      </w:r>
      <w:r w:rsidR="005E3AB5">
        <w:t xml:space="preserve"> (</w:t>
      </w:r>
      <w:r w:rsidRPr="00426C3A">
        <w:t>1997</w:t>
      </w:r>
      <w:r w:rsidR="005E3AB5">
        <w:t>)</w:t>
      </w:r>
      <w:r w:rsidRPr="00426C3A">
        <w:t xml:space="preserve"> </w:t>
      </w:r>
      <w:r w:rsidRPr="005E3AB5">
        <w:rPr>
          <w:i/>
          <w:iCs/>
        </w:rPr>
        <w:t>Characterization of methemoglobin formation induced by 3,5-dichloroaniline, 4-amino-2,6-dichlorophenol and 3,5-dichlorophenylhydroxylamine</w:t>
      </w:r>
      <w:r w:rsidRPr="00426C3A">
        <w:t>. Toxicology 118(1):23-36.</w:t>
      </w:r>
    </w:p>
    <w:p w14:paraId="68926521" w14:textId="383D457B" w:rsidR="00426C3A" w:rsidRPr="00D05130" w:rsidRDefault="00426C3A" w:rsidP="00D05130">
      <w:pPr>
        <w:pStyle w:val="AppendixH3"/>
      </w:pPr>
      <w:bookmarkStart w:id="160" w:name="_Toc116301591"/>
      <w:r w:rsidRPr="00D05130">
        <w:t>Human health and toxicology studies evaluated in 2015</w:t>
      </w:r>
      <w:bookmarkEnd w:id="160"/>
    </w:p>
    <w:p w14:paraId="571AB54E" w14:textId="657108B8" w:rsidR="00426C3A" w:rsidRPr="00426C3A" w:rsidRDefault="00426C3A" w:rsidP="00D05130">
      <w:pPr>
        <w:pStyle w:val="APVMAText"/>
      </w:pPr>
      <w:proofErr w:type="spellStart"/>
      <w:r w:rsidRPr="00426C3A">
        <w:t>Fukunishi</w:t>
      </w:r>
      <w:proofErr w:type="spellEnd"/>
      <w:r w:rsidR="00852F7D">
        <w:t>,</w:t>
      </w:r>
      <w:r w:rsidRPr="00426C3A">
        <w:t xml:space="preserve"> K</w:t>
      </w:r>
      <w:r w:rsidR="00852F7D">
        <w:t>.</w:t>
      </w:r>
      <w:r w:rsidRPr="00426C3A">
        <w:t xml:space="preserve"> </w:t>
      </w:r>
      <w:r w:rsidR="00852F7D">
        <w:t>(</w:t>
      </w:r>
      <w:r w:rsidRPr="00426C3A">
        <w:t>2003a</w:t>
      </w:r>
      <w:r w:rsidR="00852F7D">
        <w:t>)</w:t>
      </w:r>
      <w:r w:rsidRPr="00426C3A">
        <w:t xml:space="preserve"> </w:t>
      </w:r>
      <w:r w:rsidRPr="00852F7D">
        <w:rPr>
          <w:i/>
          <w:iCs/>
        </w:rPr>
        <w:t xml:space="preserve">A preliminary study of the effects of procymidone on external genitalia development in male </w:t>
      </w:r>
      <w:proofErr w:type="spellStart"/>
      <w:r w:rsidRPr="00852F7D">
        <w:rPr>
          <w:i/>
          <w:iCs/>
        </w:rPr>
        <w:t>fetuses</w:t>
      </w:r>
      <w:proofErr w:type="spellEnd"/>
      <w:r w:rsidRPr="00852F7D">
        <w:rPr>
          <w:i/>
          <w:iCs/>
        </w:rPr>
        <w:t xml:space="preserve"> by oral administration to Cynomolgus monkeys</w:t>
      </w:r>
      <w:r w:rsidR="00852F7D" w:rsidRPr="00852F7D">
        <w:rPr>
          <w:i/>
          <w:iCs/>
        </w:rPr>
        <w:t xml:space="preserve"> – </w:t>
      </w:r>
      <w:r w:rsidRPr="00852F7D">
        <w:rPr>
          <w:i/>
          <w:iCs/>
        </w:rPr>
        <w:t>Shin Nippon Biomedical Laboratories Ltd</w:t>
      </w:r>
      <w:r w:rsidRPr="00426C3A">
        <w:t xml:space="preserve"> </w:t>
      </w:r>
      <w:r w:rsidR="00852F7D" w:rsidRPr="00426C3A">
        <w:t xml:space="preserve">unpublished, study number </w:t>
      </w:r>
      <w:r w:rsidRPr="00426C3A">
        <w:t>SBL27-31, Sumitomo Chemical Australia Pty Ltd</w:t>
      </w:r>
      <w:r w:rsidR="00852F7D">
        <w:t>.</w:t>
      </w:r>
    </w:p>
    <w:p w14:paraId="36AA676C" w14:textId="2A411D78" w:rsidR="00426C3A" w:rsidRPr="00426C3A" w:rsidRDefault="00426C3A" w:rsidP="00D05130">
      <w:pPr>
        <w:pStyle w:val="APVMAText"/>
      </w:pPr>
      <w:r w:rsidRPr="00426C3A">
        <w:t>Hass</w:t>
      </w:r>
      <w:r w:rsidR="00852F7D">
        <w:t>,</w:t>
      </w:r>
      <w:r w:rsidRPr="00426C3A">
        <w:t xml:space="preserve"> U</w:t>
      </w:r>
      <w:r w:rsidR="00852F7D">
        <w:t>.</w:t>
      </w:r>
      <w:r w:rsidRPr="00426C3A">
        <w:t xml:space="preserve">, </w:t>
      </w:r>
      <w:proofErr w:type="spellStart"/>
      <w:r w:rsidRPr="00426C3A">
        <w:t>Boberg</w:t>
      </w:r>
      <w:proofErr w:type="spellEnd"/>
      <w:r w:rsidR="00852F7D">
        <w:t>,</w:t>
      </w:r>
      <w:r w:rsidRPr="00426C3A">
        <w:t xml:space="preserve"> J</w:t>
      </w:r>
      <w:r w:rsidR="00852F7D">
        <w:t>.</w:t>
      </w:r>
      <w:r w:rsidRPr="00426C3A">
        <w:t>, Christiansen</w:t>
      </w:r>
      <w:r w:rsidR="00852F7D">
        <w:t>,</w:t>
      </w:r>
      <w:r w:rsidRPr="00426C3A">
        <w:t xml:space="preserve"> S</w:t>
      </w:r>
      <w:r w:rsidR="00852F7D">
        <w:t>.</w:t>
      </w:r>
      <w:r w:rsidRPr="00426C3A">
        <w:t>, Jacobsen</w:t>
      </w:r>
      <w:r w:rsidR="00852F7D">
        <w:t>,</w:t>
      </w:r>
      <w:r w:rsidRPr="00426C3A">
        <w:t xml:space="preserve"> P</w:t>
      </w:r>
      <w:r w:rsidR="00852F7D">
        <w:t>.</w:t>
      </w:r>
      <w:r w:rsidRPr="00426C3A">
        <w:t>R</w:t>
      </w:r>
      <w:r w:rsidR="00852F7D">
        <w:t>.</w:t>
      </w:r>
      <w:r w:rsidRPr="00426C3A">
        <w:t xml:space="preserve">, </w:t>
      </w:r>
      <w:proofErr w:type="spellStart"/>
      <w:r w:rsidRPr="00426C3A">
        <w:t>Vinggaard</w:t>
      </w:r>
      <w:proofErr w:type="spellEnd"/>
      <w:r w:rsidR="00852F7D">
        <w:t>,</w:t>
      </w:r>
      <w:r w:rsidRPr="00426C3A">
        <w:t xml:space="preserve"> A</w:t>
      </w:r>
      <w:r w:rsidR="00852F7D">
        <w:t>.</w:t>
      </w:r>
      <w:r w:rsidRPr="00426C3A">
        <w:t>M</w:t>
      </w:r>
      <w:r w:rsidR="00852F7D">
        <w:t>.</w:t>
      </w:r>
      <w:r w:rsidRPr="00426C3A">
        <w:t xml:space="preserve">, </w:t>
      </w:r>
      <w:proofErr w:type="spellStart"/>
      <w:r w:rsidRPr="00426C3A">
        <w:t>Taxvig</w:t>
      </w:r>
      <w:proofErr w:type="spellEnd"/>
      <w:r w:rsidR="00852F7D">
        <w:t>,</w:t>
      </w:r>
      <w:r w:rsidRPr="00426C3A">
        <w:t xml:space="preserve"> C</w:t>
      </w:r>
      <w:r w:rsidR="00852F7D">
        <w:t>.</w:t>
      </w:r>
      <w:r w:rsidRPr="00426C3A">
        <w:t>, Poulsen</w:t>
      </w:r>
      <w:r w:rsidR="00852F7D">
        <w:t>,</w:t>
      </w:r>
      <w:r w:rsidRPr="00426C3A">
        <w:t xml:space="preserve"> M</w:t>
      </w:r>
      <w:r w:rsidR="00852F7D">
        <w:t>.</w:t>
      </w:r>
      <w:r w:rsidRPr="00426C3A">
        <w:t>E</w:t>
      </w:r>
      <w:r w:rsidR="00852F7D">
        <w:t>.</w:t>
      </w:r>
      <w:r w:rsidRPr="00426C3A">
        <w:t>, Herrmann</w:t>
      </w:r>
      <w:r w:rsidR="00852F7D">
        <w:t>,</w:t>
      </w:r>
      <w:r w:rsidRPr="00426C3A">
        <w:t xml:space="preserve"> S</w:t>
      </w:r>
      <w:r w:rsidR="00852F7D">
        <w:t>.</w:t>
      </w:r>
      <w:r w:rsidRPr="00426C3A">
        <w:t>S</w:t>
      </w:r>
      <w:r w:rsidR="00852F7D">
        <w:t>.</w:t>
      </w:r>
      <w:r w:rsidRPr="00426C3A">
        <w:t>, Jensen</w:t>
      </w:r>
      <w:r w:rsidR="00852F7D">
        <w:t>,</w:t>
      </w:r>
      <w:r w:rsidRPr="00426C3A">
        <w:t xml:space="preserve"> B</w:t>
      </w:r>
      <w:r w:rsidR="00852F7D">
        <w:t>.</w:t>
      </w:r>
      <w:r w:rsidRPr="00426C3A">
        <w:t>H</w:t>
      </w:r>
      <w:r w:rsidR="00852F7D">
        <w:t>.</w:t>
      </w:r>
      <w:r w:rsidRPr="00426C3A">
        <w:t>, Petersen</w:t>
      </w:r>
      <w:r w:rsidR="00852F7D">
        <w:t>,</w:t>
      </w:r>
      <w:r w:rsidRPr="00426C3A">
        <w:t xml:space="preserve"> A</w:t>
      </w:r>
      <w:r w:rsidR="00852F7D">
        <w:t>.</w:t>
      </w:r>
      <w:r w:rsidRPr="00426C3A">
        <w:t xml:space="preserve">, </w:t>
      </w:r>
      <w:proofErr w:type="spellStart"/>
      <w:r w:rsidRPr="00426C3A">
        <w:t>Clemmensen</w:t>
      </w:r>
      <w:proofErr w:type="spellEnd"/>
      <w:r w:rsidR="00852F7D">
        <w:t>,</w:t>
      </w:r>
      <w:r w:rsidRPr="00426C3A">
        <w:t xml:space="preserve"> L</w:t>
      </w:r>
      <w:r w:rsidR="00852F7D">
        <w:t>.</w:t>
      </w:r>
      <w:r w:rsidRPr="00426C3A">
        <w:t>H</w:t>
      </w:r>
      <w:r w:rsidR="00852F7D">
        <w:t>.</w:t>
      </w:r>
      <w:r w:rsidRPr="00426C3A">
        <w:t xml:space="preserve">, </w:t>
      </w:r>
      <w:proofErr w:type="spellStart"/>
      <w:r w:rsidRPr="00426C3A">
        <w:t>Axelstad</w:t>
      </w:r>
      <w:proofErr w:type="spellEnd"/>
      <w:r w:rsidR="00852F7D">
        <w:t>,</w:t>
      </w:r>
      <w:r w:rsidRPr="00426C3A">
        <w:t xml:space="preserve"> M</w:t>
      </w:r>
      <w:r w:rsidR="00852F7D">
        <w:t>.</w:t>
      </w:r>
      <w:r w:rsidRPr="00426C3A">
        <w:t xml:space="preserve"> </w:t>
      </w:r>
      <w:r w:rsidR="00852F7D">
        <w:t>(</w:t>
      </w:r>
      <w:r w:rsidRPr="00426C3A">
        <w:t>2012</w:t>
      </w:r>
      <w:r w:rsidR="00852F7D">
        <w:t>)</w:t>
      </w:r>
      <w:r w:rsidRPr="00426C3A">
        <w:t xml:space="preserve">. </w:t>
      </w:r>
      <w:r w:rsidRPr="00852F7D">
        <w:rPr>
          <w:i/>
          <w:iCs/>
        </w:rPr>
        <w:t>Adverse effects on sexual development in rat offspring after low dose exposure to a mixture of endocrine disrupting pesticides</w:t>
      </w:r>
      <w:r w:rsidRPr="00426C3A">
        <w:t xml:space="preserve">. </w:t>
      </w:r>
      <w:proofErr w:type="spellStart"/>
      <w:r w:rsidRPr="00426C3A">
        <w:t>Reprod</w:t>
      </w:r>
      <w:proofErr w:type="spellEnd"/>
      <w:r w:rsidR="00852F7D">
        <w:t>.</w:t>
      </w:r>
      <w:r w:rsidRPr="00426C3A">
        <w:t xml:space="preserve"> </w:t>
      </w:r>
      <w:proofErr w:type="spellStart"/>
      <w:r w:rsidRPr="00426C3A">
        <w:t>Toxicol</w:t>
      </w:r>
      <w:proofErr w:type="spellEnd"/>
      <w:r w:rsidRPr="00426C3A">
        <w:t>. 2012 Sep; 34(2):261-74</w:t>
      </w:r>
      <w:r w:rsidR="00852F7D">
        <w:t>.</w:t>
      </w:r>
    </w:p>
    <w:p w14:paraId="424E7E44" w14:textId="0844F40A" w:rsidR="00426C3A" w:rsidRPr="00426C3A" w:rsidRDefault="00426C3A" w:rsidP="00D05130">
      <w:pPr>
        <w:pStyle w:val="APVMAText"/>
      </w:pPr>
      <w:r w:rsidRPr="00426C3A">
        <w:lastRenderedPageBreak/>
        <w:t>Hass</w:t>
      </w:r>
      <w:r w:rsidR="00852F7D">
        <w:t>,</w:t>
      </w:r>
      <w:r w:rsidRPr="00426C3A">
        <w:t xml:space="preserve"> U</w:t>
      </w:r>
      <w:r w:rsidR="00852F7D">
        <w:t>.</w:t>
      </w:r>
      <w:r w:rsidRPr="00426C3A">
        <w:t xml:space="preserve">, </w:t>
      </w:r>
      <w:proofErr w:type="spellStart"/>
      <w:r w:rsidRPr="00426C3A">
        <w:t>Scholze</w:t>
      </w:r>
      <w:proofErr w:type="spellEnd"/>
      <w:r w:rsidR="00852F7D">
        <w:t>,</w:t>
      </w:r>
      <w:r w:rsidRPr="00426C3A">
        <w:t xml:space="preserve"> M</w:t>
      </w:r>
      <w:r w:rsidR="00852F7D">
        <w:t>.</w:t>
      </w:r>
      <w:r w:rsidRPr="00426C3A">
        <w:t>, Christiansen</w:t>
      </w:r>
      <w:r w:rsidR="00852F7D">
        <w:t>,</w:t>
      </w:r>
      <w:r w:rsidRPr="00426C3A">
        <w:t xml:space="preserve"> S</w:t>
      </w:r>
      <w:r w:rsidR="00852F7D">
        <w:t>.</w:t>
      </w:r>
      <w:r w:rsidRPr="00426C3A">
        <w:t xml:space="preserve">, </w:t>
      </w:r>
      <w:proofErr w:type="spellStart"/>
      <w:r w:rsidRPr="00426C3A">
        <w:t>Dalgaard</w:t>
      </w:r>
      <w:proofErr w:type="spellEnd"/>
      <w:r w:rsidR="00852F7D">
        <w:t>,</w:t>
      </w:r>
      <w:r w:rsidRPr="00426C3A">
        <w:t xml:space="preserve"> M</w:t>
      </w:r>
      <w:r w:rsidR="00852F7D">
        <w:t>.</w:t>
      </w:r>
      <w:r w:rsidRPr="00426C3A">
        <w:t xml:space="preserve">, </w:t>
      </w:r>
      <w:proofErr w:type="spellStart"/>
      <w:r w:rsidRPr="00426C3A">
        <w:t>Vinggaard</w:t>
      </w:r>
      <w:proofErr w:type="spellEnd"/>
      <w:r w:rsidR="00852F7D">
        <w:t>,</w:t>
      </w:r>
      <w:r w:rsidRPr="00426C3A">
        <w:t xml:space="preserve"> A</w:t>
      </w:r>
      <w:r w:rsidR="00852F7D">
        <w:t>.</w:t>
      </w:r>
      <w:r w:rsidRPr="00426C3A">
        <w:t>M</w:t>
      </w:r>
      <w:r w:rsidR="00852F7D">
        <w:t>.</w:t>
      </w:r>
      <w:r w:rsidRPr="00426C3A">
        <w:t xml:space="preserve">, </w:t>
      </w:r>
      <w:proofErr w:type="spellStart"/>
      <w:r w:rsidRPr="00426C3A">
        <w:t>Axelstad</w:t>
      </w:r>
      <w:proofErr w:type="spellEnd"/>
      <w:r w:rsidR="00852F7D">
        <w:t>,</w:t>
      </w:r>
      <w:r w:rsidRPr="00426C3A">
        <w:t xml:space="preserve"> M</w:t>
      </w:r>
      <w:r w:rsidR="00852F7D">
        <w:t>.</w:t>
      </w:r>
      <w:r w:rsidRPr="00426C3A">
        <w:t xml:space="preserve">, </w:t>
      </w:r>
      <w:proofErr w:type="spellStart"/>
      <w:r w:rsidRPr="00426C3A">
        <w:t>Metzdorff</w:t>
      </w:r>
      <w:proofErr w:type="spellEnd"/>
      <w:r w:rsidR="00852F7D">
        <w:t>,</w:t>
      </w:r>
      <w:r w:rsidRPr="00426C3A">
        <w:t xml:space="preserve"> S</w:t>
      </w:r>
      <w:r w:rsidR="00852F7D">
        <w:t>.</w:t>
      </w:r>
      <w:r w:rsidRPr="00426C3A">
        <w:t>B</w:t>
      </w:r>
      <w:r w:rsidR="00852F7D">
        <w:t>.</w:t>
      </w:r>
      <w:r w:rsidRPr="00426C3A">
        <w:t xml:space="preserve">, </w:t>
      </w:r>
      <w:proofErr w:type="spellStart"/>
      <w:r w:rsidRPr="00426C3A">
        <w:t>Kortenkamp</w:t>
      </w:r>
      <w:proofErr w:type="spellEnd"/>
      <w:r w:rsidR="00852F7D">
        <w:t>,</w:t>
      </w:r>
      <w:r w:rsidRPr="00426C3A">
        <w:t xml:space="preserve"> A</w:t>
      </w:r>
      <w:r w:rsidR="00852F7D">
        <w:t>.</w:t>
      </w:r>
      <w:r w:rsidRPr="00426C3A">
        <w:t xml:space="preserve"> </w:t>
      </w:r>
      <w:r w:rsidR="00852F7D">
        <w:t>(</w:t>
      </w:r>
      <w:r w:rsidRPr="00426C3A">
        <w:t>2007</w:t>
      </w:r>
      <w:r w:rsidR="00852F7D">
        <w:t>)</w:t>
      </w:r>
      <w:r w:rsidRPr="00426C3A">
        <w:t xml:space="preserve">. </w:t>
      </w:r>
      <w:r w:rsidRPr="00852F7D">
        <w:rPr>
          <w:i/>
          <w:iCs/>
        </w:rPr>
        <w:t>Combined exposure to anti-androgens exacerbates disruption of sexual differentiation in the rat.</w:t>
      </w:r>
      <w:r w:rsidRPr="00426C3A">
        <w:t xml:space="preserve"> Environ Health </w:t>
      </w:r>
      <w:proofErr w:type="spellStart"/>
      <w:r w:rsidRPr="00426C3A">
        <w:t>Perspect</w:t>
      </w:r>
      <w:proofErr w:type="spellEnd"/>
      <w:r w:rsidRPr="00426C3A">
        <w:t>. 2007 Dec; 115 Suppl 1:122-8</w:t>
      </w:r>
    </w:p>
    <w:p w14:paraId="584EBCFC" w14:textId="13A53A5C" w:rsidR="00426C3A" w:rsidRPr="00426C3A" w:rsidRDefault="00426C3A" w:rsidP="00D05130">
      <w:pPr>
        <w:pStyle w:val="APVMAText"/>
      </w:pPr>
      <w:proofErr w:type="spellStart"/>
      <w:r w:rsidRPr="00426C3A">
        <w:t>Inawaka</w:t>
      </w:r>
      <w:proofErr w:type="spellEnd"/>
      <w:r w:rsidR="00852F7D">
        <w:t>,</w:t>
      </w:r>
      <w:r w:rsidRPr="00426C3A">
        <w:t xml:space="preserve"> K</w:t>
      </w:r>
      <w:r w:rsidR="00852F7D">
        <w:t>.,</w:t>
      </w:r>
      <w:r w:rsidRPr="00426C3A">
        <w:t xml:space="preserve"> </w:t>
      </w:r>
      <w:proofErr w:type="spellStart"/>
      <w:r w:rsidRPr="00426C3A">
        <w:t>Kawabe</w:t>
      </w:r>
      <w:proofErr w:type="spellEnd"/>
      <w:r w:rsidR="00852F7D">
        <w:t>,</w:t>
      </w:r>
      <w:r w:rsidRPr="00426C3A">
        <w:t xml:space="preserve"> M</w:t>
      </w:r>
      <w:r w:rsidR="00852F7D">
        <w:t>.</w:t>
      </w:r>
      <w:r w:rsidRPr="00426C3A">
        <w:t>, Takahashi</w:t>
      </w:r>
      <w:r w:rsidR="00852F7D">
        <w:t>,</w:t>
      </w:r>
      <w:r w:rsidRPr="00426C3A">
        <w:t xml:space="preserve"> S</w:t>
      </w:r>
      <w:r w:rsidR="00852F7D">
        <w:t>.</w:t>
      </w:r>
      <w:r w:rsidRPr="00426C3A">
        <w:t>, Doi</w:t>
      </w:r>
      <w:r w:rsidR="00852F7D">
        <w:t>,</w:t>
      </w:r>
      <w:r w:rsidRPr="00426C3A">
        <w:t xml:space="preserve"> Y</w:t>
      </w:r>
      <w:r w:rsidR="00852F7D">
        <w:t>.</w:t>
      </w:r>
      <w:r w:rsidRPr="00426C3A">
        <w:t xml:space="preserve">, </w:t>
      </w:r>
      <w:proofErr w:type="spellStart"/>
      <w:r w:rsidRPr="00426C3A">
        <w:t>Tomigahara</w:t>
      </w:r>
      <w:proofErr w:type="spellEnd"/>
      <w:r w:rsidR="00852F7D">
        <w:t>,</w:t>
      </w:r>
      <w:r w:rsidRPr="00426C3A">
        <w:t xml:space="preserve"> Y</w:t>
      </w:r>
      <w:r w:rsidR="00852F7D">
        <w:t>.</w:t>
      </w:r>
      <w:r w:rsidRPr="00426C3A">
        <w:t xml:space="preserve">, </w:t>
      </w:r>
      <w:proofErr w:type="spellStart"/>
      <w:r w:rsidRPr="00426C3A">
        <w:t>Tarui</w:t>
      </w:r>
      <w:proofErr w:type="spellEnd"/>
      <w:r w:rsidR="00852F7D">
        <w:t>,</w:t>
      </w:r>
      <w:r w:rsidRPr="00426C3A">
        <w:t xml:space="preserve"> H</w:t>
      </w:r>
      <w:r w:rsidR="00852F7D">
        <w:t>.</w:t>
      </w:r>
      <w:r w:rsidRPr="00426C3A">
        <w:t>, Abe</w:t>
      </w:r>
      <w:r w:rsidR="00852F7D">
        <w:t>,</w:t>
      </w:r>
      <w:r w:rsidRPr="00426C3A">
        <w:t xml:space="preserve"> J</w:t>
      </w:r>
      <w:r w:rsidR="00852F7D">
        <w:t>.</w:t>
      </w:r>
      <w:r w:rsidRPr="00426C3A">
        <w:t>, Kawamura</w:t>
      </w:r>
      <w:r w:rsidR="00852F7D">
        <w:t>,</w:t>
      </w:r>
      <w:r w:rsidRPr="00426C3A">
        <w:t xml:space="preserve"> S</w:t>
      </w:r>
      <w:r w:rsidR="00852F7D">
        <w:t>.</w:t>
      </w:r>
      <w:r w:rsidRPr="00426C3A">
        <w:t>, Shirai</w:t>
      </w:r>
      <w:r w:rsidR="00852F7D">
        <w:t>,</w:t>
      </w:r>
      <w:r w:rsidRPr="00426C3A">
        <w:t xml:space="preserve"> T</w:t>
      </w:r>
      <w:r w:rsidR="00852F7D">
        <w:t>.</w:t>
      </w:r>
      <w:r w:rsidRPr="00426C3A">
        <w:t xml:space="preserve"> </w:t>
      </w:r>
      <w:r w:rsidR="00852F7D">
        <w:t>(</w:t>
      </w:r>
      <w:r w:rsidRPr="00426C3A">
        <w:t>2009</w:t>
      </w:r>
      <w:r w:rsidR="00852F7D">
        <w:t>)</w:t>
      </w:r>
      <w:r w:rsidRPr="00426C3A">
        <w:t xml:space="preserve"> </w:t>
      </w:r>
      <w:r w:rsidRPr="00852F7D">
        <w:rPr>
          <w:i/>
          <w:iCs/>
        </w:rPr>
        <w:t>Maternal exposure to anti-androgenic compounds, vinclozolin, flutamide and procymidone, has no effects on spermatogenesis and DNA methylation in male rats of subsequent generation</w:t>
      </w:r>
      <w:r w:rsidRPr="00426C3A">
        <w:t xml:space="preserve">. </w:t>
      </w:r>
      <w:proofErr w:type="spellStart"/>
      <w:r w:rsidRPr="00426C3A">
        <w:t>Toxicol</w:t>
      </w:r>
      <w:proofErr w:type="spellEnd"/>
      <w:r w:rsidRPr="00426C3A">
        <w:t xml:space="preserve"> Appl </w:t>
      </w:r>
      <w:proofErr w:type="spellStart"/>
      <w:r w:rsidRPr="00426C3A">
        <w:t>Pharmacol</w:t>
      </w:r>
      <w:proofErr w:type="spellEnd"/>
      <w:r w:rsidRPr="00426C3A">
        <w:t>. 2009 Jun 1; 237(2):178-87</w:t>
      </w:r>
      <w:r w:rsidR="00852F7D">
        <w:t>.</w:t>
      </w:r>
    </w:p>
    <w:p w14:paraId="5FB4F7EC" w14:textId="27CCDF18" w:rsidR="00426C3A" w:rsidRPr="00426C3A" w:rsidRDefault="00426C3A" w:rsidP="00D05130">
      <w:pPr>
        <w:pStyle w:val="APVMAText"/>
      </w:pPr>
      <w:r w:rsidRPr="00426C3A">
        <w:t>Jacobsen</w:t>
      </w:r>
      <w:r w:rsidR="00852F7D">
        <w:t>,</w:t>
      </w:r>
      <w:r w:rsidRPr="00426C3A">
        <w:t xml:space="preserve"> P</w:t>
      </w:r>
      <w:r w:rsidR="00852F7D">
        <w:t>.</w:t>
      </w:r>
      <w:r w:rsidRPr="00426C3A">
        <w:t>R</w:t>
      </w:r>
      <w:r w:rsidR="00852F7D">
        <w:t>.,</w:t>
      </w:r>
      <w:r w:rsidRPr="00426C3A">
        <w:t xml:space="preserve"> </w:t>
      </w:r>
      <w:proofErr w:type="spellStart"/>
      <w:r w:rsidRPr="00426C3A">
        <w:t>Axelstad</w:t>
      </w:r>
      <w:proofErr w:type="spellEnd"/>
      <w:r w:rsidR="00852F7D">
        <w:t>,</w:t>
      </w:r>
      <w:r w:rsidRPr="00426C3A">
        <w:t xml:space="preserve"> M</w:t>
      </w:r>
      <w:r w:rsidR="00852F7D">
        <w:t>.</w:t>
      </w:r>
      <w:r w:rsidRPr="00426C3A">
        <w:t xml:space="preserve">, </w:t>
      </w:r>
      <w:proofErr w:type="spellStart"/>
      <w:r w:rsidRPr="00426C3A">
        <w:t>Boberg</w:t>
      </w:r>
      <w:proofErr w:type="spellEnd"/>
      <w:r w:rsidR="00852F7D">
        <w:t>,</w:t>
      </w:r>
      <w:r w:rsidRPr="00426C3A">
        <w:t xml:space="preserve"> J</w:t>
      </w:r>
      <w:r w:rsidR="00852F7D">
        <w:t>.</w:t>
      </w:r>
      <w:r w:rsidRPr="00426C3A">
        <w:t>, Isling</w:t>
      </w:r>
      <w:r w:rsidR="00852F7D">
        <w:t>,</w:t>
      </w:r>
      <w:r w:rsidRPr="00426C3A">
        <w:t xml:space="preserve"> L</w:t>
      </w:r>
      <w:r w:rsidR="00852F7D">
        <w:t>.</w:t>
      </w:r>
      <w:r w:rsidRPr="00426C3A">
        <w:t>K</w:t>
      </w:r>
      <w:r w:rsidR="00852F7D">
        <w:t>.</w:t>
      </w:r>
      <w:r w:rsidRPr="00426C3A">
        <w:t>, Christiansen</w:t>
      </w:r>
      <w:r w:rsidR="00852F7D">
        <w:t>,</w:t>
      </w:r>
      <w:r w:rsidRPr="00426C3A">
        <w:t xml:space="preserve"> S</w:t>
      </w:r>
      <w:r w:rsidR="00852F7D">
        <w:t>.</w:t>
      </w:r>
      <w:r w:rsidRPr="00426C3A">
        <w:t xml:space="preserve">, </w:t>
      </w:r>
      <w:proofErr w:type="spellStart"/>
      <w:r w:rsidRPr="00426C3A">
        <w:t>Mandrup</w:t>
      </w:r>
      <w:proofErr w:type="spellEnd"/>
      <w:r w:rsidR="00852F7D">
        <w:t>,</w:t>
      </w:r>
      <w:r w:rsidRPr="00426C3A">
        <w:t xml:space="preserve"> K</w:t>
      </w:r>
      <w:r w:rsidR="00852F7D">
        <w:t>.</w:t>
      </w:r>
      <w:r w:rsidRPr="00426C3A">
        <w:t>R</w:t>
      </w:r>
      <w:r w:rsidR="00852F7D">
        <w:t>.</w:t>
      </w:r>
      <w:r w:rsidRPr="00426C3A">
        <w:t>, Berthelsen</w:t>
      </w:r>
      <w:r w:rsidR="00852F7D">
        <w:t>,</w:t>
      </w:r>
      <w:r w:rsidRPr="00426C3A">
        <w:t xml:space="preserve"> L</w:t>
      </w:r>
      <w:r w:rsidR="00852F7D">
        <w:t>.</w:t>
      </w:r>
      <w:r w:rsidRPr="00426C3A">
        <w:t>O</w:t>
      </w:r>
      <w:r w:rsidR="00852F7D">
        <w:t>.</w:t>
      </w:r>
      <w:r w:rsidRPr="00426C3A">
        <w:t xml:space="preserve">, </w:t>
      </w:r>
      <w:proofErr w:type="spellStart"/>
      <w:r w:rsidRPr="00426C3A">
        <w:t>Vinggaard</w:t>
      </w:r>
      <w:proofErr w:type="spellEnd"/>
      <w:r w:rsidR="00852F7D">
        <w:t>,</w:t>
      </w:r>
      <w:r w:rsidRPr="00426C3A">
        <w:t xml:space="preserve"> A</w:t>
      </w:r>
      <w:r w:rsidR="00852F7D">
        <w:t>.</w:t>
      </w:r>
      <w:r w:rsidRPr="00426C3A">
        <w:t>M</w:t>
      </w:r>
      <w:r w:rsidR="00852F7D">
        <w:t>.</w:t>
      </w:r>
      <w:r w:rsidRPr="00426C3A">
        <w:t>, Hass</w:t>
      </w:r>
      <w:r w:rsidR="00852F7D">
        <w:t>,</w:t>
      </w:r>
      <w:r w:rsidRPr="00426C3A">
        <w:t xml:space="preserve"> U</w:t>
      </w:r>
      <w:r w:rsidR="00852F7D">
        <w:t>. (</w:t>
      </w:r>
      <w:r w:rsidRPr="00426C3A">
        <w:t>2012</w:t>
      </w:r>
      <w:r w:rsidR="00852F7D">
        <w:t>)</w:t>
      </w:r>
      <w:r w:rsidRPr="00426C3A">
        <w:t xml:space="preserve">. </w:t>
      </w:r>
      <w:r w:rsidRPr="00852F7D">
        <w:rPr>
          <w:i/>
          <w:iCs/>
        </w:rPr>
        <w:t>Persistent developmental toxicity in rat offspring after low dose exposure to a mixture of endocrine disrupting pesticides</w:t>
      </w:r>
      <w:r w:rsidRPr="00426C3A">
        <w:t xml:space="preserve">. </w:t>
      </w:r>
      <w:proofErr w:type="spellStart"/>
      <w:r w:rsidRPr="00426C3A">
        <w:t>Reprod</w:t>
      </w:r>
      <w:proofErr w:type="spellEnd"/>
      <w:r w:rsidRPr="00426C3A">
        <w:t xml:space="preserve"> </w:t>
      </w:r>
      <w:proofErr w:type="spellStart"/>
      <w:r w:rsidRPr="00426C3A">
        <w:t>Toxicol</w:t>
      </w:r>
      <w:proofErr w:type="spellEnd"/>
      <w:r w:rsidRPr="00426C3A">
        <w:t>. 2012 Sep; 34(2):237-50</w:t>
      </w:r>
      <w:r w:rsidR="00852F7D">
        <w:t>.</w:t>
      </w:r>
    </w:p>
    <w:p w14:paraId="3C97F38C" w14:textId="697AD1BB" w:rsidR="00426C3A" w:rsidRPr="00426C3A" w:rsidRDefault="00426C3A" w:rsidP="00D05130">
      <w:pPr>
        <w:pStyle w:val="APVMAText"/>
      </w:pPr>
      <w:proofErr w:type="spellStart"/>
      <w:r w:rsidRPr="00426C3A">
        <w:t>Metzdorff</w:t>
      </w:r>
      <w:proofErr w:type="spellEnd"/>
      <w:r w:rsidR="00852F7D">
        <w:t>,</w:t>
      </w:r>
      <w:r w:rsidRPr="00426C3A">
        <w:t xml:space="preserve"> S</w:t>
      </w:r>
      <w:r w:rsidR="00852F7D">
        <w:t>.</w:t>
      </w:r>
      <w:r w:rsidRPr="00426C3A">
        <w:t>B</w:t>
      </w:r>
      <w:r w:rsidR="00852F7D">
        <w:t>.</w:t>
      </w:r>
      <w:r w:rsidRPr="00426C3A">
        <w:t xml:space="preserve">, </w:t>
      </w:r>
      <w:proofErr w:type="spellStart"/>
      <w:r w:rsidRPr="00426C3A">
        <w:t>Dalgaard</w:t>
      </w:r>
      <w:proofErr w:type="spellEnd"/>
      <w:r w:rsidR="00852F7D">
        <w:t>,</w:t>
      </w:r>
      <w:r w:rsidRPr="00426C3A">
        <w:t xml:space="preserve"> M</w:t>
      </w:r>
      <w:r w:rsidR="00852F7D">
        <w:t>.</w:t>
      </w:r>
      <w:r w:rsidRPr="00426C3A">
        <w:t>, Christiansen</w:t>
      </w:r>
      <w:r w:rsidR="00852F7D">
        <w:t>,</w:t>
      </w:r>
      <w:r w:rsidRPr="00426C3A">
        <w:t xml:space="preserve"> S</w:t>
      </w:r>
      <w:r w:rsidR="00852F7D">
        <w:t>.</w:t>
      </w:r>
      <w:r w:rsidRPr="00426C3A">
        <w:t xml:space="preserve">, </w:t>
      </w:r>
      <w:proofErr w:type="spellStart"/>
      <w:r w:rsidRPr="00426C3A">
        <w:t>Axelstad</w:t>
      </w:r>
      <w:proofErr w:type="spellEnd"/>
      <w:r w:rsidR="00852F7D">
        <w:t>,</w:t>
      </w:r>
      <w:r w:rsidRPr="00426C3A">
        <w:t xml:space="preserve"> M</w:t>
      </w:r>
      <w:r w:rsidR="00852F7D">
        <w:t>.</w:t>
      </w:r>
      <w:r w:rsidRPr="00426C3A">
        <w:t>, Hass</w:t>
      </w:r>
      <w:r w:rsidR="00852F7D">
        <w:t>,</w:t>
      </w:r>
      <w:r w:rsidRPr="00426C3A">
        <w:t xml:space="preserve"> U</w:t>
      </w:r>
      <w:r w:rsidR="00852F7D">
        <w:t>.</w:t>
      </w:r>
      <w:r w:rsidRPr="00426C3A">
        <w:t xml:space="preserve">, </w:t>
      </w:r>
      <w:proofErr w:type="spellStart"/>
      <w:r w:rsidRPr="00426C3A">
        <w:t>Kiersgaard</w:t>
      </w:r>
      <w:proofErr w:type="spellEnd"/>
      <w:r w:rsidR="00852F7D">
        <w:t>,</w:t>
      </w:r>
      <w:r w:rsidRPr="00426C3A">
        <w:t xml:space="preserve"> M</w:t>
      </w:r>
      <w:r w:rsidR="00852F7D">
        <w:t>.</w:t>
      </w:r>
      <w:r w:rsidRPr="00426C3A">
        <w:t>K</w:t>
      </w:r>
      <w:r w:rsidR="00852F7D">
        <w:t>.</w:t>
      </w:r>
      <w:r w:rsidRPr="00426C3A">
        <w:t xml:space="preserve">, </w:t>
      </w:r>
      <w:proofErr w:type="spellStart"/>
      <w:r w:rsidRPr="00426C3A">
        <w:t>Scholze</w:t>
      </w:r>
      <w:proofErr w:type="spellEnd"/>
      <w:r w:rsidR="00852F7D">
        <w:t>,</w:t>
      </w:r>
      <w:r w:rsidRPr="00426C3A">
        <w:t xml:space="preserve"> M</w:t>
      </w:r>
      <w:r w:rsidR="00852F7D">
        <w:t>.</w:t>
      </w:r>
      <w:r w:rsidRPr="00426C3A">
        <w:t xml:space="preserve">, </w:t>
      </w:r>
      <w:proofErr w:type="spellStart"/>
      <w:r w:rsidRPr="00426C3A">
        <w:t>Kortenkamp</w:t>
      </w:r>
      <w:proofErr w:type="spellEnd"/>
      <w:r w:rsidR="00852F7D">
        <w:t>,</w:t>
      </w:r>
      <w:r w:rsidRPr="00426C3A">
        <w:t xml:space="preserve"> A</w:t>
      </w:r>
      <w:r w:rsidR="00852F7D">
        <w:t>.</w:t>
      </w:r>
      <w:r w:rsidRPr="00426C3A">
        <w:t xml:space="preserve">, </w:t>
      </w:r>
      <w:proofErr w:type="spellStart"/>
      <w:r w:rsidRPr="00426C3A">
        <w:t>Vinggaard</w:t>
      </w:r>
      <w:proofErr w:type="spellEnd"/>
      <w:r w:rsidR="00852F7D">
        <w:t>,</w:t>
      </w:r>
      <w:r w:rsidRPr="00426C3A">
        <w:t xml:space="preserve"> A</w:t>
      </w:r>
      <w:r w:rsidR="00852F7D">
        <w:t>.</w:t>
      </w:r>
      <w:r w:rsidRPr="00426C3A">
        <w:t>M</w:t>
      </w:r>
      <w:r w:rsidR="00852F7D">
        <w:t>.</w:t>
      </w:r>
      <w:r w:rsidRPr="00426C3A">
        <w:t xml:space="preserve"> </w:t>
      </w:r>
      <w:r w:rsidR="00852F7D">
        <w:t>(</w:t>
      </w:r>
      <w:r w:rsidRPr="00426C3A">
        <w:t>2007</w:t>
      </w:r>
      <w:r w:rsidR="00852F7D">
        <w:t>)</w:t>
      </w:r>
      <w:r w:rsidRPr="00426C3A">
        <w:t xml:space="preserve">. </w:t>
      </w:r>
      <w:r w:rsidRPr="00852F7D">
        <w:rPr>
          <w:i/>
          <w:iCs/>
        </w:rPr>
        <w:t>Dysgenesis and histological changes of genitals and perturbations of gene expression in male rats after in utero exposure to antiandrogen mixtures</w:t>
      </w:r>
      <w:r w:rsidRPr="00426C3A">
        <w:t xml:space="preserve">. </w:t>
      </w:r>
      <w:proofErr w:type="spellStart"/>
      <w:r w:rsidRPr="00426C3A">
        <w:t>Toxicol</w:t>
      </w:r>
      <w:proofErr w:type="spellEnd"/>
      <w:r w:rsidRPr="00426C3A">
        <w:t xml:space="preserve"> Sci. 2007 Jul; 98(1):87-98</w:t>
      </w:r>
      <w:r w:rsidR="00852F7D">
        <w:t>.</w:t>
      </w:r>
    </w:p>
    <w:p w14:paraId="2C672165" w14:textId="4CEE4F6E" w:rsidR="00426C3A" w:rsidRPr="00426C3A" w:rsidRDefault="00426C3A" w:rsidP="00D05130">
      <w:pPr>
        <w:pStyle w:val="APVMAText"/>
      </w:pPr>
      <w:r w:rsidRPr="00426C3A">
        <w:t>Tateno</w:t>
      </w:r>
      <w:r w:rsidR="00852F7D">
        <w:t>,</w:t>
      </w:r>
      <w:r w:rsidRPr="00426C3A">
        <w:t xml:space="preserve"> C</w:t>
      </w:r>
      <w:r w:rsidR="00852F7D">
        <w:t>.</w:t>
      </w:r>
      <w:r w:rsidRPr="00426C3A">
        <w:t xml:space="preserve">, </w:t>
      </w:r>
      <w:proofErr w:type="spellStart"/>
      <w:r w:rsidRPr="00426C3A">
        <w:t>Yoshizane</w:t>
      </w:r>
      <w:proofErr w:type="spellEnd"/>
      <w:r w:rsidR="00852F7D">
        <w:t>,</w:t>
      </w:r>
      <w:r w:rsidRPr="00426C3A">
        <w:t xml:space="preserve"> Y</w:t>
      </w:r>
      <w:r w:rsidR="00852F7D">
        <w:t>.</w:t>
      </w:r>
      <w:r w:rsidRPr="00426C3A">
        <w:t>, Saito</w:t>
      </w:r>
      <w:r w:rsidR="00852F7D">
        <w:t>,</w:t>
      </w:r>
      <w:r w:rsidRPr="00426C3A">
        <w:t xml:space="preserve"> N</w:t>
      </w:r>
      <w:r w:rsidR="00852F7D">
        <w:t>.</w:t>
      </w:r>
      <w:r w:rsidRPr="00426C3A">
        <w:t>, Kataoka</w:t>
      </w:r>
      <w:r w:rsidR="00852F7D">
        <w:t>,</w:t>
      </w:r>
      <w:r w:rsidRPr="00426C3A">
        <w:t xml:space="preserve"> M</w:t>
      </w:r>
      <w:r w:rsidR="00852F7D">
        <w:t>.</w:t>
      </w:r>
      <w:r w:rsidRPr="00426C3A">
        <w:t xml:space="preserve">, </w:t>
      </w:r>
      <w:proofErr w:type="spellStart"/>
      <w:r w:rsidRPr="00426C3A">
        <w:t>Utoh</w:t>
      </w:r>
      <w:proofErr w:type="spellEnd"/>
      <w:r w:rsidR="00852F7D">
        <w:t>,</w:t>
      </w:r>
      <w:r w:rsidRPr="00426C3A">
        <w:t xml:space="preserve"> R</w:t>
      </w:r>
      <w:r w:rsidR="00852F7D">
        <w:t>.</w:t>
      </w:r>
      <w:r w:rsidRPr="00426C3A">
        <w:t>, Yamasaki</w:t>
      </w:r>
      <w:r w:rsidR="00852F7D">
        <w:t>,</w:t>
      </w:r>
      <w:r w:rsidRPr="00426C3A">
        <w:t xml:space="preserve"> </w:t>
      </w:r>
      <w:proofErr w:type="spellStart"/>
      <w:proofErr w:type="gramStart"/>
      <w:r w:rsidRPr="00426C3A">
        <w:t>C</w:t>
      </w:r>
      <w:r w:rsidR="00852F7D">
        <w:t>.</w:t>
      </w:r>
      <w:r w:rsidRPr="00426C3A">
        <w:t>,Tachibana</w:t>
      </w:r>
      <w:proofErr w:type="spellEnd"/>
      <w:proofErr w:type="gramEnd"/>
      <w:r w:rsidR="00852F7D">
        <w:t>,</w:t>
      </w:r>
      <w:r w:rsidRPr="00426C3A">
        <w:t xml:space="preserve"> A</w:t>
      </w:r>
      <w:r w:rsidR="00852F7D">
        <w:t>.</w:t>
      </w:r>
      <w:r w:rsidRPr="00426C3A">
        <w:t xml:space="preserve">, </w:t>
      </w:r>
      <w:proofErr w:type="spellStart"/>
      <w:r w:rsidRPr="00426C3A">
        <w:t>Soeno</w:t>
      </w:r>
      <w:proofErr w:type="spellEnd"/>
      <w:r w:rsidR="00852F7D">
        <w:t>,</w:t>
      </w:r>
      <w:r w:rsidRPr="00426C3A">
        <w:t xml:space="preserve"> Y</w:t>
      </w:r>
      <w:r w:rsidR="00852F7D">
        <w:t>.</w:t>
      </w:r>
      <w:r w:rsidRPr="00426C3A">
        <w:t xml:space="preserve">, </w:t>
      </w:r>
      <w:proofErr w:type="spellStart"/>
      <w:r w:rsidRPr="00426C3A">
        <w:t>Asahina</w:t>
      </w:r>
      <w:proofErr w:type="spellEnd"/>
      <w:r w:rsidR="00852F7D">
        <w:t>,</w:t>
      </w:r>
      <w:r w:rsidRPr="00426C3A">
        <w:t xml:space="preserve"> K</w:t>
      </w:r>
      <w:r w:rsidR="00852F7D">
        <w:t>.</w:t>
      </w:r>
      <w:r w:rsidRPr="00426C3A">
        <w:t>, Hino</w:t>
      </w:r>
      <w:r w:rsidR="00852F7D">
        <w:t>,</w:t>
      </w:r>
      <w:r w:rsidRPr="00426C3A">
        <w:t xml:space="preserve"> H</w:t>
      </w:r>
      <w:r w:rsidR="00852F7D">
        <w:t>.</w:t>
      </w:r>
      <w:r w:rsidRPr="00426C3A">
        <w:t xml:space="preserve">, </w:t>
      </w:r>
      <w:proofErr w:type="spellStart"/>
      <w:r w:rsidRPr="00426C3A">
        <w:t>Asahara</w:t>
      </w:r>
      <w:proofErr w:type="spellEnd"/>
      <w:r w:rsidR="00852F7D">
        <w:t>,</w:t>
      </w:r>
      <w:r w:rsidRPr="00426C3A">
        <w:t xml:space="preserve"> T</w:t>
      </w:r>
      <w:r w:rsidR="00852F7D">
        <w:t>.</w:t>
      </w:r>
      <w:r w:rsidRPr="00426C3A">
        <w:t>, Yokoi</w:t>
      </w:r>
      <w:r w:rsidR="00852F7D">
        <w:t>,</w:t>
      </w:r>
      <w:r w:rsidRPr="00426C3A">
        <w:t xml:space="preserve"> T</w:t>
      </w:r>
      <w:r w:rsidR="00852F7D">
        <w:t>.</w:t>
      </w:r>
      <w:r w:rsidRPr="00426C3A">
        <w:t>, Furukawa</w:t>
      </w:r>
      <w:r w:rsidR="00852F7D">
        <w:t>,</w:t>
      </w:r>
      <w:r w:rsidRPr="00426C3A">
        <w:t xml:space="preserve"> T</w:t>
      </w:r>
      <w:r w:rsidR="00852F7D">
        <w:t>. and</w:t>
      </w:r>
      <w:r w:rsidRPr="00426C3A">
        <w:t xml:space="preserve"> </w:t>
      </w:r>
      <w:proofErr w:type="spellStart"/>
      <w:r w:rsidRPr="00426C3A">
        <w:t>Yoshizato</w:t>
      </w:r>
      <w:proofErr w:type="spellEnd"/>
      <w:r w:rsidR="00852F7D">
        <w:t>,</w:t>
      </w:r>
      <w:r w:rsidRPr="00426C3A">
        <w:t xml:space="preserve"> K</w:t>
      </w:r>
      <w:r w:rsidR="00852F7D">
        <w:t>.</w:t>
      </w:r>
      <w:r w:rsidRPr="00426C3A">
        <w:t xml:space="preserve"> </w:t>
      </w:r>
      <w:r w:rsidR="00852F7D">
        <w:t>(</w:t>
      </w:r>
      <w:r w:rsidRPr="00426C3A">
        <w:t>2004</w:t>
      </w:r>
      <w:r w:rsidR="00852F7D">
        <w:t>)</w:t>
      </w:r>
      <w:r w:rsidRPr="00426C3A">
        <w:t xml:space="preserve">. </w:t>
      </w:r>
      <w:r w:rsidRPr="00852F7D">
        <w:rPr>
          <w:i/>
          <w:iCs/>
        </w:rPr>
        <w:t>Near Completely Humanized Liver in Mice Shows Human-Type Metabolic Responses to Drugs</w:t>
      </w:r>
      <w:r w:rsidRPr="00426C3A">
        <w:t>. The American Journal of pathology, 165(3):901-912</w:t>
      </w:r>
      <w:r w:rsidR="00852F7D">
        <w:t>.</w:t>
      </w:r>
    </w:p>
    <w:p w14:paraId="219F5777" w14:textId="1421F454" w:rsidR="00426C3A" w:rsidRPr="00852F7D" w:rsidRDefault="00426C3A" w:rsidP="00852F7D">
      <w:pPr>
        <w:pStyle w:val="AppendixH3"/>
      </w:pPr>
      <w:bookmarkStart w:id="161" w:name="_Toc116301592"/>
      <w:r w:rsidRPr="00852F7D">
        <w:t>Human health and toxicology studies evaluated in 2007</w:t>
      </w:r>
      <w:bookmarkEnd w:id="161"/>
    </w:p>
    <w:p w14:paraId="1BFD3418" w14:textId="5F0A01A1" w:rsidR="00426C3A" w:rsidRPr="00426C3A" w:rsidRDefault="00426C3A" w:rsidP="00D05130">
      <w:pPr>
        <w:pStyle w:val="APVMAText"/>
      </w:pPr>
      <w:proofErr w:type="spellStart"/>
      <w:r w:rsidRPr="00426C3A">
        <w:t>Anway</w:t>
      </w:r>
      <w:proofErr w:type="spellEnd"/>
      <w:r w:rsidR="00852F7D">
        <w:t>,</w:t>
      </w:r>
      <w:r w:rsidRPr="00426C3A">
        <w:t xml:space="preserve"> M</w:t>
      </w:r>
      <w:r w:rsidR="00852F7D">
        <w:t>.</w:t>
      </w:r>
      <w:r w:rsidRPr="00426C3A">
        <w:t>D</w:t>
      </w:r>
      <w:r w:rsidR="00852F7D">
        <w:t>.</w:t>
      </w:r>
      <w:r w:rsidRPr="00426C3A">
        <w:t xml:space="preserve">, </w:t>
      </w:r>
      <w:proofErr w:type="spellStart"/>
      <w:r w:rsidRPr="00426C3A">
        <w:t>Cupp</w:t>
      </w:r>
      <w:proofErr w:type="spellEnd"/>
      <w:r w:rsidR="00852F7D">
        <w:t>,</w:t>
      </w:r>
      <w:r w:rsidRPr="00426C3A">
        <w:t xml:space="preserve"> A</w:t>
      </w:r>
      <w:r w:rsidR="00852F7D">
        <w:t>.</w:t>
      </w:r>
      <w:r w:rsidRPr="00426C3A">
        <w:t>S</w:t>
      </w:r>
      <w:r w:rsidR="00852F7D">
        <w:t>.</w:t>
      </w:r>
      <w:r w:rsidRPr="00426C3A">
        <w:t xml:space="preserve">, </w:t>
      </w:r>
      <w:proofErr w:type="spellStart"/>
      <w:r w:rsidRPr="00426C3A">
        <w:t>Uzumcu</w:t>
      </w:r>
      <w:proofErr w:type="spellEnd"/>
      <w:r w:rsidR="00852F7D">
        <w:t>,</w:t>
      </w:r>
      <w:r w:rsidRPr="00426C3A">
        <w:t xml:space="preserve"> M</w:t>
      </w:r>
      <w:r w:rsidR="00852F7D">
        <w:t>. and</w:t>
      </w:r>
      <w:r w:rsidRPr="00426C3A">
        <w:t xml:space="preserve"> Skinner</w:t>
      </w:r>
      <w:r w:rsidR="00852F7D">
        <w:t>,</w:t>
      </w:r>
      <w:r w:rsidRPr="00426C3A">
        <w:t xml:space="preserve"> M</w:t>
      </w:r>
      <w:r w:rsidR="00852F7D">
        <w:t>.</w:t>
      </w:r>
      <w:r w:rsidRPr="00426C3A">
        <w:t>K</w:t>
      </w:r>
      <w:r w:rsidR="00852F7D">
        <w:t>.</w:t>
      </w:r>
      <w:r w:rsidRPr="00426C3A">
        <w:t xml:space="preserve"> </w:t>
      </w:r>
      <w:r w:rsidR="00852F7D">
        <w:t>(</w:t>
      </w:r>
      <w:r w:rsidRPr="00426C3A">
        <w:t>2005</w:t>
      </w:r>
      <w:r w:rsidR="00852F7D">
        <w:t>)</w:t>
      </w:r>
      <w:r w:rsidRPr="00426C3A">
        <w:t xml:space="preserve">. </w:t>
      </w:r>
      <w:r w:rsidRPr="00852F7D">
        <w:rPr>
          <w:i/>
          <w:iCs/>
        </w:rPr>
        <w:t>Epigenetic transgenerational actions of endocrine disruptors and male fertility</w:t>
      </w:r>
      <w:r w:rsidRPr="00426C3A">
        <w:t>. Science. 2005 Jun 3; 308 (5727)</w:t>
      </w:r>
    </w:p>
    <w:p w14:paraId="5BC44BEB" w14:textId="574CFA43" w:rsidR="00426C3A" w:rsidRPr="00426C3A" w:rsidRDefault="00426C3A" w:rsidP="00D05130">
      <w:pPr>
        <w:pStyle w:val="APVMAText"/>
      </w:pPr>
      <w:r w:rsidRPr="00426C3A">
        <w:t>Bee</w:t>
      </w:r>
      <w:r w:rsidR="00852F7D">
        <w:t>,</w:t>
      </w:r>
      <w:r w:rsidRPr="00426C3A">
        <w:t xml:space="preserve"> W</w:t>
      </w:r>
      <w:r w:rsidR="00852F7D">
        <w:t>.</w:t>
      </w:r>
      <w:r w:rsidRPr="00426C3A">
        <w:t xml:space="preserve"> </w:t>
      </w:r>
      <w:r w:rsidR="00852F7D">
        <w:t>(</w:t>
      </w:r>
      <w:r w:rsidRPr="00426C3A">
        <w:t>1992</w:t>
      </w:r>
      <w:r w:rsidR="00852F7D">
        <w:t>)</w:t>
      </w:r>
      <w:r w:rsidRPr="00426C3A">
        <w:t xml:space="preserve"> </w:t>
      </w:r>
      <w:r w:rsidRPr="00852F7D">
        <w:rPr>
          <w:i/>
          <w:iCs/>
        </w:rPr>
        <w:t xml:space="preserve">90 Day oral (gavage) </w:t>
      </w:r>
      <w:proofErr w:type="spellStart"/>
      <w:r w:rsidRPr="00852F7D">
        <w:rPr>
          <w:i/>
          <w:iCs/>
        </w:rPr>
        <w:t>subchronic</w:t>
      </w:r>
      <w:proofErr w:type="spellEnd"/>
      <w:r w:rsidRPr="00852F7D">
        <w:rPr>
          <w:i/>
          <w:iCs/>
        </w:rPr>
        <w:t xml:space="preserve"> toxicity study in the Cynomolgus monkey</w:t>
      </w:r>
      <w:r w:rsidRPr="00426C3A">
        <w:t>. Hazleton Laboratories Deutschland GmbH Report No. 940-333-006, Unpublished Technical report BT-0147., Sumitomo Chemical Australia Pty Ltd</w:t>
      </w:r>
    </w:p>
    <w:p w14:paraId="14A14FFD" w14:textId="5A59E61E" w:rsidR="00426C3A" w:rsidRPr="00426C3A" w:rsidRDefault="00426C3A" w:rsidP="00D05130">
      <w:pPr>
        <w:pStyle w:val="APVMAText"/>
      </w:pPr>
      <w:r w:rsidRPr="00426C3A">
        <w:t>Capri</w:t>
      </w:r>
      <w:r w:rsidR="00852F7D">
        <w:t>,</w:t>
      </w:r>
      <w:r w:rsidRPr="00426C3A">
        <w:t xml:space="preserve"> E</w:t>
      </w:r>
      <w:r w:rsidR="00852F7D">
        <w:t>.</w:t>
      </w:r>
      <w:r w:rsidRPr="00426C3A">
        <w:t>, Alberici</w:t>
      </w:r>
      <w:r w:rsidR="00852F7D">
        <w:t>,</w:t>
      </w:r>
      <w:r w:rsidRPr="00426C3A">
        <w:t xml:space="preserve"> R</w:t>
      </w:r>
      <w:r w:rsidR="00852F7D">
        <w:t>.</w:t>
      </w:r>
      <w:r w:rsidRPr="00426C3A">
        <w:t>, Glass</w:t>
      </w:r>
      <w:r w:rsidR="00852F7D">
        <w:t>,</w:t>
      </w:r>
      <w:r w:rsidRPr="00426C3A">
        <w:t xml:space="preserve"> C</w:t>
      </w:r>
      <w:r w:rsidR="00852F7D">
        <w:t>.</w:t>
      </w:r>
      <w:r w:rsidRPr="00426C3A">
        <w:t>R</w:t>
      </w:r>
      <w:r w:rsidR="00852F7D">
        <w:t>.</w:t>
      </w:r>
      <w:r w:rsidRPr="00426C3A">
        <w:t xml:space="preserve">, </w:t>
      </w:r>
      <w:proofErr w:type="spellStart"/>
      <w:r w:rsidRPr="00426C3A">
        <w:t>Minuto</w:t>
      </w:r>
      <w:proofErr w:type="spellEnd"/>
      <w:r w:rsidR="00852F7D">
        <w:t>,</w:t>
      </w:r>
      <w:r w:rsidRPr="00426C3A">
        <w:t xml:space="preserve"> G</w:t>
      </w:r>
      <w:r w:rsidR="00852F7D">
        <w:t>.</w:t>
      </w:r>
      <w:r w:rsidRPr="00426C3A">
        <w:t xml:space="preserve"> and </w:t>
      </w:r>
      <w:proofErr w:type="spellStart"/>
      <w:r w:rsidRPr="00426C3A">
        <w:t>Trevisan</w:t>
      </w:r>
      <w:proofErr w:type="spellEnd"/>
      <w:r w:rsidR="00852F7D">
        <w:t>,</w:t>
      </w:r>
      <w:r w:rsidRPr="00426C3A">
        <w:t xml:space="preserve"> M</w:t>
      </w:r>
      <w:r w:rsidR="00852F7D">
        <w:t>.</w:t>
      </w:r>
      <w:r w:rsidRPr="00426C3A">
        <w:t xml:space="preserve"> </w:t>
      </w:r>
      <w:r w:rsidR="00852F7D">
        <w:t>(</w:t>
      </w:r>
      <w:r w:rsidRPr="00426C3A">
        <w:t>1999</w:t>
      </w:r>
      <w:r w:rsidR="00852F7D">
        <w:t>)</w:t>
      </w:r>
      <w:r w:rsidRPr="00426C3A">
        <w:t xml:space="preserve"> </w:t>
      </w:r>
      <w:r w:rsidRPr="00852F7D">
        <w:rPr>
          <w:i/>
          <w:iCs/>
        </w:rPr>
        <w:t>Potential operator exposure to procymidone in greenhouses</w:t>
      </w:r>
      <w:r w:rsidRPr="00426C3A">
        <w:t>. J Agric Food Chem. 1999 Oct; 47(10):4443-9</w:t>
      </w:r>
      <w:r w:rsidR="00852F7D">
        <w:t>.</w:t>
      </w:r>
    </w:p>
    <w:p w14:paraId="0B8659AE" w14:textId="7AD76A20" w:rsidR="00426C3A" w:rsidRPr="00426C3A" w:rsidRDefault="00426C3A" w:rsidP="00D05130">
      <w:pPr>
        <w:pStyle w:val="APVMAText"/>
      </w:pPr>
      <w:r w:rsidRPr="00426C3A">
        <w:t>Charles</w:t>
      </w:r>
      <w:r w:rsidR="00852F7D">
        <w:t>,</w:t>
      </w:r>
      <w:r w:rsidRPr="00426C3A">
        <w:t xml:space="preserve"> G</w:t>
      </w:r>
      <w:r w:rsidR="00852F7D">
        <w:t>.</w:t>
      </w:r>
      <w:r w:rsidRPr="00426C3A">
        <w:t>D</w:t>
      </w:r>
      <w:r w:rsidR="00852F7D">
        <w:t>.</w:t>
      </w:r>
      <w:r w:rsidRPr="00426C3A">
        <w:t>, Kan H</w:t>
      </w:r>
      <w:r w:rsidR="00852F7D">
        <w:t>.</w:t>
      </w:r>
      <w:r w:rsidRPr="00426C3A">
        <w:t>L</w:t>
      </w:r>
      <w:r w:rsidR="00852F7D">
        <w:t>.</w:t>
      </w:r>
      <w:r w:rsidRPr="00426C3A">
        <w:t xml:space="preserve">, </w:t>
      </w:r>
      <w:proofErr w:type="spellStart"/>
      <w:r w:rsidRPr="00426C3A">
        <w:t>Schisler</w:t>
      </w:r>
      <w:proofErr w:type="spellEnd"/>
      <w:r w:rsidRPr="00426C3A">
        <w:t xml:space="preserve"> M</w:t>
      </w:r>
      <w:r w:rsidR="00852F7D">
        <w:t>.</w:t>
      </w:r>
      <w:r w:rsidRPr="00426C3A">
        <w:t>R</w:t>
      </w:r>
      <w:r w:rsidR="00852F7D">
        <w:t>.</w:t>
      </w:r>
      <w:r w:rsidRPr="00426C3A">
        <w:t xml:space="preserve">, </w:t>
      </w:r>
      <w:proofErr w:type="spellStart"/>
      <w:r w:rsidRPr="00426C3A">
        <w:t>Gollapudi</w:t>
      </w:r>
      <w:proofErr w:type="spellEnd"/>
      <w:r w:rsidRPr="00426C3A">
        <w:t xml:space="preserve"> B</w:t>
      </w:r>
      <w:r w:rsidR="00852F7D">
        <w:t>. and</w:t>
      </w:r>
      <w:r w:rsidRPr="00426C3A">
        <w:t xml:space="preserve"> Marty</w:t>
      </w:r>
      <w:r w:rsidR="00852F7D">
        <w:t>,</w:t>
      </w:r>
      <w:r w:rsidRPr="00426C3A">
        <w:t xml:space="preserve"> M</w:t>
      </w:r>
      <w:r w:rsidR="00852F7D">
        <w:t>.</w:t>
      </w:r>
      <w:r w:rsidRPr="00426C3A">
        <w:t>S</w:t>
      </w:r>
      <w:r w:rsidR="00852F7D">
        <w:t>.</w:t>
      </w:r>
      <w:r w:rsidRPr="00426C3A">
        <w:t xml:space="preserve"> </w:t>
      </w:r>
      <w:r w:rsidR="00852F7D">
        <w:t>(</w:t>
      </w:r>
      <w:r w:rsidRPr="00426C3A">
        <w:t>2005</w:t>
      </w:r>
      <w:r w:rsidR="00852F7D">
        <w:t>)</w:t>
      </w:r>
      <w:r w:rsidRPr="00426C3A">
        <w:t xml:space="preserve"> </w:t>
      </w:r>
      <w:r w:rsidRPr="00852F7D">
        <w:rPr>
          <w:i/>
          <w:iCs/>
        </w:rPr>
        <w:t>A comparison of in vitro and in vivo EDSTAC test battery results for detecting antiandrogenic activity.</w:t>
      </w:r>
      <w:r w:rsidRPr="00426C3A">
        <w:t xml:space="preserve"> </w:t>
      </w:r>
      <w:proofErr w:type="spellStart"/>
      <w:r w:rsidRPr="00426C3A">
        <w:t>Toxicol</w:t>
      </w:r>
      <w:proofErr w:type="spellEnd"/>
      <w:r w:rsidRPr="00426C3A">
        <w:t xml:space="preserve"> Appl </w:t>
      </w:r>
      <w:proofErr w:type="spellStart"/>
      <w:r w:rsidRPr="00426C3A">
        <w:t>Pharmacol</w:t>
      </w:r>
      <w:proofErr w:type="spellEnd"/>
      <w:r w:rsidRPr="00426C3A">
        <w:t>. 2005 Jan 1; 202(1):108-20</w:t>
      </w:r>
      <w:r w:rsidR="00852F7D">
        <w:t>.</w:t>
      </w:r>
    </w:p>
    <w:p w14:paraId="3C2B279A" w14:textId="143CA37B" w:rsidR="00426C3A" w:rsidRPr="00426C3A" w:rsidRDefault="00426C3A" w:rsidP="00D05130">
      <w:pPr>
        <w:pStyle w:val="APVMAText"/>
      </w:pPr>
      <w:proofErr w:type="spellStart"/>
      <w:r w:rsidRPr="00426C3A">
        <w:t>Dalgard</w:t>
      </w:r>
      <w:proofErr w:type="spellEnd"/>
      <w:r w:rsidR="00852F7D">
        <w:t>,</w:t>
      </w:r>
      <w:r w:rsidRPr="00426C3A">
        <w:t xml:space="preserve"> D</w:t>
      </w:r>
      <w:r w:rsidR="00852F7D">
        <w:t>.</w:t>
      </w:r>
      <w:r w:rsidRPr="00426C3A">
        <w:t>W</w:t>
      </w:r>
      <w:r w:rsidR="00852F7D">
        <w:t>.</w:t>
      </w:r>
      <w:r w:rsidRPr="00426C3A">
        <w:t xml:space="preserve"> and </w:t>
      </w:r>
      <w:proofErr w:type="spellStart"/>
      <w:r w:rsidRPr="00426C3A">
        <w:t>Machotka</w:t>
      </w:r>
      <w:proofErr w:type="spellEnd"/>
      <w:r w:rsidR="00852F7D">
        <w:t>,</w:t>
      </w:r>
      <w:r w:rsidRPr="00426C3A">
        <w:t xml:space="preserve"> S</w:t>
      </w:r>
      <w:r w:rsidR="00852F7D">
        <w:t>.</w:t>
      </w:r>
      <w:r w:rsidRPr="00426C3A">
        <w:t>V</w:t>
      </w:r>
      <w:r w:rsidR="00852F7D">
        <w:t>.</w:t>
      </w:r>
      <w:r w:rsidRPr="00426C3A">
        <w:t xml:space="preserve"> </w:t>
      </w:r>
      <w:r w:rsidR="00852F7D">
        <w:t>(</w:t>
      </w:r>
      <w:r w:rsidRPr="00426C3A">
        <w:t>1992</w:t>
      </w:r>
      <w:r w:rsidR="00852F7D">
        <w:t>)</w:t>
      </w:r>
      <w:r w:rsidRPr="00426C3A">
        <w:t xml:space="preserve"> </w:t>
      </w:r>
      <w:r w:rsidRPr="00852F7D">
        <w:rPr>
          <w:i/>
          <w:iCs/>
        </w:rPr>
        <w:t>Chronic toxicity study in dogs with procymidone.</w:t>
      </w:r>
      <w:r w:rsidRPr="00426C3A">
        <w:t xml:space="preserve"> Technical report BT-0162. Unpublished, </w:t>
      </w:r>
      <w:r w:rsidR="00852F7D" w:rsidRPr="00426C3A">
        <w:t xml:space="preserve">study number </w:t>
      </w:r>
      <w:r w:rsidRPr="00426C3A">
        <w:t>343-238, Sumitomo Chemical Australia Pty Ltd</w:t>
      </w:r>
      <w:r w:rsidR="00852F7D">
        <w:t>.</w:t>
      </w:r>
    </w:p>
    <w:p w14:paraId="5E9B0C0C" w14:textId="5B1637E8" w:rsidR="00426C3A" w:rsidRPr="00426C3A" w:rsidRDefault="00426C3A" w:rsidP="00D05130">
      <w:pPr>
        <w:pStyle w:val="APVMAText"/>
      </w:pPr>
      <w:proofErr w:type="spellStart"/>
      <w:r w:rsidRPr="00426C3A">
        <w:t>Damske</w:t>
      </w:r>
      <w:proofErr w:type="spellEnd"/>
      <w:r w:rsidR="00852F7D">
        <w:t>,</w:t>
      </w:r>
      <w:r w:rsidRPr="00426C3A">
        <w:t xml:space="preserve"> D</w:t>
      </w:r>
      <w:r w:rsidR="00852F7D">
        <w:t>.</w:t>
      </w:r>
      <w:r w:rsidRPr="00426C3A">
        <w:t>R</w:t>
      </w:r>
      <w:r w:rsidR="00852F7D">
        <w:t>.</w:t>
      </w:r>
      <w:r w:rsidRPr="00426C3A">
        <w:t>, Singh A</w:t>
      </w:r>
      <w:r w:rsidR="00852F7D">
        <w:t>.</w:t>
      </w:r>
      <w:r w:rsidRPr="00426C3A">
        <w:t>R</w:t>
      </w:r>
      <w:r w:rsidR="00852F7D">
        <w:t>. and</w:t>
      </w:r>
      <w:r w:rsidRPr="00426C3A">
        <w:t xml:space="preserve"> Craig</w:t>
      </w:r>
      <w:r w:rsidR="00852F7D">
        <w:t>,</w:t>
      </w:r>
      <w:r w:rsidRPr="00426C3A">
        <w:t xml:space="preserve"> D</w:t>
      </w:r>
      <w:r w:rsidR="00852F7D">
        <w:t>.</w:t>
      </w:r>
      <w:r w:rsidRPr="00426C3A">
        <w:t>K</w:t>
      </w:r>
      <w:r w:rsidR="00852F7D">
        <w:t>.</w:t>
      </w:r>
      <w:r w:rsidRPr="00426C3A">
        <w:t xml:space="preserve"> </w:t>
      </w:r>
      <w:r w:rsidR="00852F7D">
        <w:t>(</w:t>
      </w:r>
      <w:r w:rsidRPr="00426C3A">
        <w:t>1980</w:t>
      </w:r>
      <w:r w:rsidR="00852F7D">
        <w:t>)</w:t>
      </w:r>
      <w:r w:rsidRPr="00426C3A">
        <w:t xml:space="preserve"> </w:t>
      </w:r>
      <w:r w:rsidRPr="00B617F0">
        <w:rPr>
          <w:i/>
          <w:iCs/>
        </w:rPr>
        <w:t>Acute oral toxicity study in rats</w:t>
      </w:r>
      <w:r w:rsidRPr="00426C3A">
        <w:t xml:space="preserve">. Unpublished, </w:t>
      </w:r>
      <w:r w:rsidR="00852F7D" w:rsidRPr="00426C3A">
        <w:t>study number</w:t>
      </w:r>
      <w:r w:rsidRPr="00426C3A">
        <w:t xml:space="preserve"> TB0100, Sumitomo Chemical Australia Pty Ltd.</w:t>
      </w:r>
    </w:p>
    <w:p w14:paraId="7D29FEAC" w14:textId="0BE6F74E" w:rsidR="00426C3A" w:rsidRPr="00426C3A" w:rsidRDefault="00426C3A" w:rsidP="00D05130">
      <w:pPr>
        <w:pStyle w:val="APVMAText"/>
      </w:pPr>
      <w:r w:rsidRPr="00426C3A">
        <w:lastRenderedPageBreak/>
        <w:t>Filler</w:t>
      </w:r>
      <w:r w:rsidR="00852F7D">
        <w:t>,</w:t>
      </w:r>
      <w:r w:rsidRPr="00426C3A">
        <w:t xml:space="preserve"> </w:t>
      </w:r>
      <w:proofErr w:type="gramStart"/>
      <w:r w:rsidRPr="00426C3A">
        <w:t>R</w:t>
      </w:r>
      <w:r w:rsidR="00852F7D">
        <w:t>.</w:t>
      </w:r>
      <w:proofErr w:type="gramEnd"/>
      <w:r w:rsidRPr="00426C3A">
        <w:t xml:space="preserve"> and Parker</w:t>
      </w:r>
      <w:r w:rsidR="00852F7D">
        <w:t>,</w:t>
      </w:r>
      <w:r w:rsidRPr="00426C3A">
        <w:t xml:space="preserve"> G</w:t>
      </w:r>
      <w:r w:rsidR="00852F7D">
        <w:t>.</w:t>
      </w:r>
      <w:r w:rsidRPr="00426C3A">
        <w:t>A</w:t>
      </w:r>
      <w:r w:rsidR="00852F7D">
        <w:t>.</w:t>
      </w:r>
      <w:r w:rsidRPr="00426C3A">
        <w:t xml:space="preserve"> </w:t>
      </w:r>
      <w:r w:rsidR="00852F7D">
        <w:t>(</w:t>
      </w:r>
      <w:r w:rsidRPr="00426C3A">
        <w:t>1988</w:t>
      </w:r>
      <w:r w:rsidR="00852F7D">
        <w:t>)</w:t>
      </w:r>
      <w:r w:rsidRPr="00426C3A">
        <w:t xml:space="preserve"> </w:t>
      </w:r>
      <w:r w:rsidRPr="00852F7D">
        <w:rPr>
          <w:i/>
          <w:iCs/>
        </w:rPr>
        <w:t>Oral chronic toxicity and oncogenicity study in mice</w:t>
      </w:r>
      <w:r w:rsidRPr="00426C3A">
        <w:t xml:space="preserve">. Unpublished report </w:t>
      </w:r>
      <w:r w:rsidR="00852F7D">
        <w:t>n</w:t>
      </w:r>
      <w:r w:rsidRPr="00426C3A">
        <w:t>o:</w:t>
      </w:r>
      <w:r w:rsidR="00852F7D">
        <w:t> </w:t>
      </w:r>
      <w:r w:rsidRPr="00426C3A">
        <w:t xml:space="preserve">BT-81-0126 from Hazelton Laboratories America Inc., Rockville, Maryland, USA, </w:t>
      </w:r>
      <w:r w:rsidR="00852F7D">
        <w:t>s</w:t>
      </w:r>
      <w:r w:rsidRPr="00426C3A">
        <w:t>ubmitted by Sumitomo Chemical Co., Ltd, Osaka, Japan.</w:t>
      </w:r>
    </w:p>
    <w:p w14:paraId="4F1C1647" w14:textId="54326C4C" w:rsidR="00426C3A" w:rsidRPr="00426C3A" w:rsidRDefault="00426C3A" w:rsidP="00D05130">
      <w:pPr>
        <w:pStyle w:val="APVMAText"/>
      </w:pPr>
      <w:proofErr w:type="spellStart"/>
      <w:r w:rsidRPr="00426C3A">
        <w:t>Fukunishi</w:t>
      </w:r>
      <w:proofErr w:type="spellEnd"/>
      <w:r w:rsidR="00852F7D">
        <w:t>,</w:t>
      </w:r>
      <w:r w:rsidRPr="00426C3A">
        <w:t xml:space="preserve"> K</w:t>
      </w:r>
      <w:r w:rsidR="00852F7D">
        <w:t>.</w:t>
      </w:r>
      <w:r w:rsidRPr="00426C3A">
        <w:t xml:space="preserve"> </w:t>
      </w:r>
      <w:r w:rsidR="00852F7D">
        <w:t>(</w:t>
      </w:r>
      <w:r w:rsidRPr="00426C3A">
        <w:t>2003b</w:t>
      </w:r>
      <w:r w:rsidR="00852F7D">
        <w:t>)</w:t>
      </w:r>
      <w:r w:rsidRPr="00426C3A">
        <w:t xml:space="preserve"> </w:t>
      </w:r>
      <w:r w:rsidRPr="00852F7D">
        <w:rPr>
          <w:i/>
          <w:iCs/>
        </w:rPr>
        <w:t>A study of the effects of procymidone on external genitalia development in male foetuses by oral administration to Cynomolgus monkeys</w:t>
      </w:r>
      <w:r w:rsidRPr="00426C3A">
        <w:t xml:space="preserve">. Shin Nippon Biomedical Laboratories, Ltd. Unpublished </w:t>
      </w:r>
      <w:r w:rsidR="00852F7D">
        <w:t>s</w:t>
      </w:r>
      <w:r w:rsidRPr="00426C3A">
        <w:t xml:space="preserve">tudy </w:t>
      </w:r>
      <w:r w:rsidR="00852F7D">
        <w:t>s</w:t>
      </w:r>
      <w:r w:rsidRPr="00426C3A">
        <w:t>o. SBL27-32, Technical report, Sumitomo Chemical Co., Ltd., BT-0208.</w:t>
      </w:r>
    </w:p>
    <w:p w14:paraId="038F7D22" w14:textId="7B8A5924" w:rsidR="00426C3A" w:rsidRPr="00426C3A" w:rsidRDefault="00426C3A" w:rsidP="00D05130">
      <w:pPr>
        <w:pStyle w:val="APVMAText"/>
      </w:pPr>
      <w:r w:rsidRPr="00426C3A">
        <w:t>Hagiwara</w:t>
      </w:r>
      <w:r w:rsidR="00852F7D">
        <w:t>,</w:t>
      </w:r>
      <w:r w:rsidRPr="00426C3A">
        <w:t xml:space="preserve"> A</w:t>
      </w:r>
      <w:r w:rsidR="00852F7D">
        <w:t>.</w:t>
      </w:r>
      <w:r w:rsidRPr="00426C3A">
        <w:t xml:space="preserve"> </w:t>
      </w:r>
      <w:r w:rsidRPr="00E456D9">
        <w:rPr>
          <w:i/>
          <w:iCs/>
        </w:rPr>
        <w:t>et al</w:t>
      </w:r>
      <w:r w:rsidRPr="00426C3A">
        <w:t xml:space="preserve"> </w:t>
      </w:r>
      <w:r w:rsidR="00852F7D">
        <w:t>(</w:t>
      </w:r>
      <w:r w:rsidRPr="00426C3A">
        <w:t>1981</w:t>
      </w:r>
      <w:r w:rsidR="00852F7D">
        <w:t>)</w:t>
      </w:r>
      <w:r w:rsidRPr="00426C3A">
        <w:t xml:space="preserve"> </w:t>
      </w:r>
      <w:r w:rsidRPr="00852F7D">
        <w:rPr>
          <w:i/>
          <w:iCs/>
        </w:rPr>
        <w:t>Eighteen-month chronic toxicity and carcinogenicity study of procymidone (</w:t>
      </w:r>
      <w:proofErr w:type="spellStart"/>
      <w:r w:rsidRPr="00852F7D">
        <w:rPr>
          <w:i/>
          <w:iCs/>
        </w:rPr>
        <w:t>Sumilex</w:t>
      </w:r>
      <w:proofErr w:type="spellEnd"/>
      <w:r w:rsidRPr="00852F7D">
        <w:rPr>
          <w:i/>
          <w:iCs/>
        </w:rPr>
        <w:t xml:space="preserve">, </w:t>
      </w:r>
      <w:proofErr w:type="spellStart"/>
      <w:r w:rsidRPr="00852F7D">
        <w:rPr>
          <w:i/>
          <w:iCs/>
        </w:rPr>
        <w:t>Sumisclex</w:t>
      </w:r>
      <w:proofErr w:type="spellEnd"/>
      <w:r w:rsidRPr="00852F7D">
        <w:rPr>
          <w:i/>
          <w:iCs/>
        </w:rPr>
        <w:t>) in Swiss White Mice</w:t>
      </w:r>
      <w:r w:rsidRPr="00426C3A">
        <w:t xml:space="preserve">. Pathology </w:t>
      </w:r>
      <w:r w:rsidR="00852F7D">
        <w:t>d</w:t>
      </w:r>
      <w:r w:rsidRPr="00426C3A">
        <w:t xml:space="preserve">ept. Nagoya City Uni. </w:t>
      </w:r>
      <w:r w:rsidR="00852F7D" w:rsidRPr="00426C3A">
        <w:t>report no</w:t>
      </w:r>
      <w:r w:rsidRPr="00426C3A">
        <w:t xml:space="preserve">. BT-10-0054 </w:t>
      </w:r>
      <w:r w:rsidR="00852F7D" w:rsidRPr="00426C3A">
        <w:t>report no</w:t>
      </w:r>
      <w:r w:rsidRPr="00426C3A">
        <w:t>. BT-10-0067 (validation and audit).</w:t>
      </w:r>
    </w:p>
    <w:p w14:paraId="32C044F0" w14:textId="5C168BC0" w:rsidR="00426C3A" w:rsidRPr="00426C3A" w:rsidRDefault="00426C3A" w:rsidP="00D05130">
      <w:pPr>
        <w:pStyle w:val="APVMAText"/>
      </w:pPr>
      <w:r w:rsidRPr="00426C3A">
        <w:t>Hara</w:t>
      </w:r>
      <w:r w:rsidR="00852F7D">
        <w:t>,</w:t>
      </w:r>
      <w:r w:rsidRPr="00426C3A">
        <w:t xml:space="preserve"> M</w:t>
      </w:r>
      <w:r w:rsidR="00852F7D">
        <w:t>.</w:t>
      </w:r>
      <w:r w:rsidRPr="00426C3A">
        <w:t xml:space="preserve"> </w:t>
      </w:r>
      <w:r w:rsidR="00852F7D">
        <w:t>(</w:t>
      </w:r>
      <w:r w:rsidRPr="00426C3A">
        <w:t>1991a</w:t>
      </w:r>
      <w:r w:rsidR="00852F7D">
        <w:t>)</w:t>
      </w:r>
      <w:r w:rsidRPr="00426C3A">
        <w:t xml:space="preserve"> In vitro chromosomal aberration test of </w:t>
      </w:r>
      <w:proofErr w:type="spellStart"/>
      <w:r w:rsidRPr="00426C3A">
        <w:t>sumilex</w:t>
      </w:r>
      <w:proofErr w:type="spellEnd"/>
      <w:r w:rsidRPr="00426C3A">
        <w:t xml:space="preserve"> in Chinese hamster cells (CHO-K1). Report No. BT-10-0141. Study No. 2293. Lab &amp; Sponsor: Environmental Health Science Laboratory, Sumitomo Chemical Co. Ltd. Osaka, Japan. Unpublished.</w:t>
      </w:r>
    </w:p>
    <w:p w14:paraId="15217EE3" w14:textId="4570753D" w:rsidR="00426C3A" w:rsidRPr="00426C3A" w:rsidRDefault="00426C3A" w:rsidP="00D05130">
      <w:pPr>
        <w:pStyle w:val="APVMAText"/>
      </w:pPr>
      <w:r w:rsidRPr="00426C3A">
        <w:t>Hara</w:t>
      </w:r>
      <w:r w:rsidR="00852F7D">
        <w:t>,</w:t>
      </w:r>
      <w:r w:rsidRPr="00426C3A">
        <w:t xml:space="preserve"> M</w:t>
      </w:r>
      <w:r w:rsidR="00852F7D">
        <w:t>.</w:t>
      </w:r>
      <w:r w:rsidRPr="00426C3A">
        <w:t xml:space="preserve"> </w:t>
      </w:r>
      <w:r w:rsidR="00852F7D">
        <w:t>(</w:t>
      </w:r>
      <w:r w:rsidRPr="00426C3A">
        <w:t>1991b</w:t>
      </w:r>
      <w:r w:rsidR="00852F7D">
        <w:t>)</w:t>
      </w:r>
      <w:r w:rsidRPr="00426C3A">
        <w:t xml:space="preserve"> </w:t>
      </w:r>
      <w:r w:rsidRPr="00852F7D">
        <w:rPr>
          <w:i/>
          <w:iCs/>
        </w:rPr>
        <w:t xml:space="preserve">In vitro unscheduled DNA synthesis assay of </w:t>
      </w:r>
      <w:proofErr w:type="spellStart"/>
      <w:r w:rsidRPr="00852F7D">
        <w:rPr>
          <w:i/>
          <w:iCs/>
        </w:rPr>
        <w:t>sumilex</w:t>
      </w:r>
      <w:proofErr w:type="spellEnd"/>
      <w:r w:rsidRPr="00852F7D">
        <w:rPr>
          <w:i/>
          <w:iCs/>
        </w:rPr>
        <w:t xml:space="preserve"> in rat hepatocytes</w:t>
      </w:r>
      <w:r w:rsidRPr="00426C3A">
        <w:t xml:space="preserve">. Report </w:t>
      </w:r>
      <w:r w:rsidR="00852F7D">
        <w:t>n</w:t>
      </w:r>
      <w:r w:rsidRPr="00426C3A">
        <w:t xml:space="preserve">o. BT-10-0142. Study </w:t>
      </w:r>
      <w:r w:rsidR="00852F7D">
        <w:t>n</w:t>
      </w:r>
      <w:r w:rsidRPr="00426C3A">
        <w:t>o. 2275. Lab &amp; Sponsor: Environmental Health Science Laboratory, Sumitomo Chemical Co. Ltd. Osaka, Japan. Unpublished.</w:t>
      </w:r>
    </w:p>
    <w:p w14:paraId="410D79D2" w14:textId="0E22C0E3" w:rsidR="00426C3A" w:rsidRPr="00426C3A" w:rsidRDefault="00426C3A" w:rsidP="00D05130">
      <w:pPr>
        <w:pStyle w:val="APVMAText"/>
      </w:pPr>
      <w:r w:rsidRPr="00426C3A">
        <w:t>Harada</w:t>
      </w:r>
      <w:r w:rsidR="00852F7D">
        <w:t>,</w:t>
      </w:r>
      <w:r w:rsidRPr="00426C3A">
        <w:t xml:space="preserve"> T</w:t>
      </w:r>
      <w:r w:rsidR="00852F7D">
        <w:t>.</w:t>
      </w:r>
      <w:r w:rsidRPr="00426C3A">
        <w:t xml:space="preserve"> </w:t>
      </w:r>
      <w:r w:rsidR="00852F7D">
        <w:t>(</w:t>
      </w:r>
      <w:r w:rsidRPr="00426C3A">
        <w:t>1983</w:t>
      </w:r>
      <w:r w:rsidR="00852F7D">
        <w:t>)</w:t>
      </w:r>
      <w:r w:rsidRPr="00426C3A">
        <w:t xml:space="preserve"> </w:t>
      </w:r>
      <w:r w:rsidRPr="00852F7D">
        <w:rPr>
          <w:i/>
          <w:iCs/>
        </w:rPr>
        <w:t>A review on medical examination of factory workers possibly exposed to procymidone technical materials</w:t>
      </w:r>
      <w:r w:rsidRPr="00426C3A">
        <w:t xml:space="preserve">. Report </w:t>
      </w:r>
      <w:r w:rsidR="00852F7D">
        <w:t>n</w:t>
      </w:r>
      <w:r w:rsidRPr="00426C3A">
        <w:t>o. BG-31-0019. Lab &amp; Sponsor: Sumitomo Chemical Co. Ltd, Osaka Pesticides Division, Osaka, Japan. Unpublished.</w:t>
      </w:r>
    </w:p>
    <w:p w14:paraId="3D073F56" w14:textId="5DC46058" w:rsidR="00426C3A" w:rsidRPr="00426C3A" w:rsidRDefault="00426C3A" w:rsidP="00D05130">
      <w:pPr>
        <w:pStyle w:val="APVMAText"/>
      </w:pPr>
      <w:r w:rsidRPr="00426C3A">
        <w:t>Higuchi</w:t>
      </w:r>
      <w:r w:rsidR="00852F7D">
        <w:t>,</w:t>
      </w:r>
      <w:r w:rsidRPr="00426C3A">
        <w:t xml:space="preserve"> H</w:t>
      </w:r>
      <w:r w:rsidR="00852F7D">
        <w:t>.</w:t>
      </w:r>
      <w:r w:rsidRPr="00426C3A">
        <w:t xml:space="preserve"> and </w:t>
      </w:r>
      <w:proofErr w:type="spellStart"/>
      <w:r w:rsidRPr="00426C3A">
        <w:t>Inawaka</w:t>
      </w:r>
      <w:proofErr w:type="spellEnd"/>
      <w:r w:rsidR="00852F7D">
        <w:t>,</w:t>
      </w:r>
      <w:r w:rsidRPr="00426C3A">
        <w:t xml:space="preserve"> H</w:t>
      </w:r>
      <w:r w:rsidR="00852F7D">
        <w:t>.</w:t>
      </w:r>
      <w:r w:rsidRPr="00426C3A">
        <w:t xml:space="preserve"> </w:t>
      </w:r>
      <w:r w:rsidR="00852F7D">
        <w:t>(</w:t>
      </w:r>
      <w:r w:rsidRPr="00426C3A">
        <w:t>2003</w:t>
      </w:r>
      <w:r w:rsidR="00852F7D">
        <w:t>)</w:t>
      </w:r>
      <w:r w:rsidRPr="00426C3A">
        <w:t xml:space="preserve"> </w:t>
      </w:r>
      <w:r w:rsidRPr="00852F7D">
        <w:rPr>
          <w:i/>
          <w:iCs/>
        </w:rPr>
        <w:t xml:space="preserve">Study for effects of procymidone on development of </w:t>
      </w:r>
      <w:proofErr w:type="spellStart"/>
      <w:r w:rsidRPr="00852F7D">
        <w:rPr>
          <w:i/>
          <w:iCs/>
        </w:rPr>
        <w:t>fetal</w:t>
      </w:r>
      <w:proofErr w:type="spellEnd"/>
      <w:r w:rsidRPr="00852F7D">
        <w:rPr>
          <w:i/>
          <w:iCs/>
        </w:rPr>
        <w:t xml:space="preserve"> external genitalia in rabbits</w:t>
      </w:r>
      <w:r w:rsidRPr="00426C3A">
        <w:t>. Environmental Health Science Laboratory, Sumitomo Chemical Co., Ltd, Konohana-</w:t>
      </w:r>
      <w:proofErr w:type="spellStart"/>
      <w:r w:rsidRPr="00426C3A">
        <w:t>ku</w:t>
      </w:r>
      <w:proofErr w:type="spellEnd"/>
      <w:r w:rsidRPr="00426C3A">
        <w:t xml:space="preserve">, Osaka, Japan. Unpublished </w:t>
      </w:r>
      <w:r w:rsidR="00852F7D" w:rsidRPr="00426C3A">
        <w:t>study n</w:t>
      </w:r>
      <w:r w:rsidRPr="00426C3A">
        <w:t xml:space="preserve">os. D0031, D0041, </w:t>
      </w:r>
      <w:r w:rsidR="00852F7D">
        <w:t>t</w:t>
      </w:r>
      <w:r w:rsidRPr="00426C3A">
        <w:t>echnical report, Sumitomo Chemical Co., Ltd., BT-0211. 10 February 2003.</w:t>
      </w:r>
    </w:p>
    <w:p w14:paraId="5A159C1C" w14:textId="73EFF1CA" w:rsidR="00426C3A" w:rsidRPr="00426C3A" w:rsidRDefault="00426C3A" w:rsidP="00D05130">
      <w:pPr>
        <w:pStyle w:val="APVMAText"/>
      </w:pPr>
      <w:r w:rsidRPr="00426C3A">
        <w:t>Hoberman</w:t>
      </w:r>
      <w:r w:rsidR="00852F7D">
        <w:t>,</w:t>
      </w:r>
      <w:r w:rsidRPr="00426C3A">
        <w:t xml:space="preserve"> A</w:t>
      </w:r>
      <w:r w:rsidR="00852F7D">
        <w:t>.</w:t>
      </w:r>
      <w:r w:rsidRPr="00426C3A">
        <w:t>M</w:t>
      </w:r>
      <w:r w:rsidR="00852F7D">
        <w:t>.</w:t>
      </w:r>
      <w:r w:rsidRPr="00426C3A">
        <w:t xml:space="preserve"> </w:t>
      </w:r>
      <w:r w:rsidR="00852F7D">
        <w:t>(</w:t>
      </w:r>
      <w:r w:rsidRPr="00426C3A">
        <w:t>1992</w:t>
      </w:r>
      <w:r w:rsidR="00852F7D">
        <w:t>)</w:t>
      </w:r>
      <w:r w:rsidRPr="00426C3A">
        <w:t xml:space="preserve"> </w:t>
      </w:r>
      <w:r w:rsidRPr="00852F7D">
        <w:rPr>
          <w:i/>
          <w:iCs/>
        </w:rPr>
        <w:t>Developmental toxicity (embryo-</w:t>
      </w:r>
      <w:proofErr w:type="spellStart"/>
      <w:r w:rsidRPr="00852F7D">
        <w:rPr>
          <w:i/>
          <w:iCs/>
        </w:rPr>
        <w:t>fetal</w:t>
      </w:r>
      <w:proofErr w:type="spellEnd"/>
      <w:r w:rsidRPr="00852F7D">
        <w:rPr>
          <w:i/>
          <w:iCs/>
        </w:rPr>
        <w:t xml:space="preserve"> toxicity and teratogenic potential including a postnatal evaluation) study of procymidone administered orally via gavage to </w:t>
      </w:r>
      <w:proofErr w:type="spellStart"/>
      <w:r w:rsidRPr="00852F7D">
        <w:rPr>
          <w:i/>
          <w:iCs/>
        </w:rPr>
        <w:t>Crl:CD</w:t>
      </w:r>
      <w:proofErr w:type="spellEnd"/>
      <w:r w:rsidRPr="00852F7D">
        <w:rPr>
          <w:i/>
          <w:iCs/>
        </w:rPr>
        <w:t xml:space="preserve"> BR VAF/Plus presumed pregnant rats.</w:t>
      </w:r>
      <w:r w:rsidRPr="00426C3A">
        <w:t xml:space="preserve"> Argus Research Laboratory Inc., Horsham, Pennsylvania 19044, USA. Unpublished </w:t>
      </w:r>
      <w:r w:rsidR="00852F7D" w:rsidRPr="00426C3A">
        <w:t>study no.</w:t>
      </w:r>
      <w:r w:rsidRPr="00426C3A">
        <w:t xml:space="preserve"> 1119-023, </w:t>
      </w:r>
      <w:r w:rsidR="00852F7D" w:rsidRPr="00426C3A">
        <w:t>technical</w:t>
      </w:r>
      <w:r w:rsidRPr="00426C3A">
        <w:t xml:space="preserve"> report, Sumitomo Chemical Co., Ltd., BT-0161 and BT-0164. 24 June 1992; Amendments to volume S-34 dated 16 September 1992 and 2 February 1993.</w:t>
      </w:r>
    </w:p>
    <w:p w14:paraId="0A12BE29" w14:textId="51B0F3EC" w:rsidR="00426C3A" w:rsidRPr="00426C3A" w:rsidRDefault="00426C3A" w:rsidP="00D05130">
      <w:pPr>
        <w:pStyle w:val="APVMAText"/>
      </w:pPr>
      <w:r w:rsidRPr="00426C3A">
        <w:t>Hodge</w:t>
      </w:r>
      <w:r w:rsidR="00852F7D">
        <w:t>,</w:t>
      </w:r>
      <w:r w:rsidRPr="00426C3A">
        <w:t xml:space="preserve"> M</w:t>
      </w:r>
      <w:r w:rsidR="00852F7D">
        <w:t>.</w:t>
      </w:r>
      <w:r w:rsidRPr="00426C3A">
        <w:t>C</w:t>
      </w:r>
      <w:r w:rsidR="00852F7D">
        <w:t>.</w:t>
      </w:r>
      <w:r w:rsidRPr="00426C3A">
        <w:t>E</w:t>
      </w:r>
      <w:r w:rsidR="00852F7D">
        <w:t>.</w:t>
      </w:r>
      <w:r w:rsidRPr="00426C3A">
        <w:t xml:space="preserve"> </w:t>
      </w:r>
      <w:r w:rsidR="00852F7D">
        <w:t>(</w:t>
      </w:r>
      <w:r w:rsidRPr="00426C3A">
        <w:t>1991</w:t>
      </w:r>
      <w:r w:rsidR="00852F7D">
        <w:t>)</w:t>
      </w:r>
      <w:r w:rsidRPr="00426C3A">
        <w:t xml:space="preserve"> </w:t>
      </w:r>
      <w:r w:rsidRPr="00852F7D">
        <w:rPr>
          <w:i/>
          <w:iCs/>
        </w:rPr>
        <w:t>Procymidone: one generation study in the rat</w:t>
      </w:r>
      <w:r w:rsidRPr="00426C3A">
        <w:t>. ICI Central Toxicology Laboratory, Alderley Park, Macclesfield, Cheshire, UK. Submitted by Sumitomo Chemical Co. Ltd. Osaka, Japan</w:t>
      </w:r>
      <w:r w:rsidR="00852F7D">
        <w:t>.</w:t>
      </w:r>
    </w:p>
    <w:p w14:paraId="0C15D229" w14:textId="0C8A8A6A" w:rsidR="00426C3A" w:rsidRPr="00426C3A" w:rsidRDefault="00426C3A" w:rsidP="00D05130">
      <w:pPr>
        <w:pStyle w:val="APVMAText"/>
      </w:pPr>
      <w:r w:rsidRPr="00426C3A">
        <w:t>Hosokawa</w:t>
      </w:r>
      <w:r w:rsidR="00852F7D">
        <w:t>,</w:t>
      </w:r>
      <w:r w:rsidRPr="00426C3A">
        <w:t xml:space="preserve"> S</w:t>
      </w:r>
      <w:r w:rsidR="00852F7D">
        <w:t>.</w:t>
      </w:r>
      <w:r w:rsidRPr="00426C3A">
        <w:t>, Murakami</w:t>
      </w:r>
      <w:r w:rsidR="00852F7D">
        <w:t>,</w:t>
      </w:r>
      <w:r w:rsidRPr="00426C3A">
        <w:t xml:space="preserve"> M</w:t>
      </w:r>
      <w:r w:rsidR="00852F7D">
        <w:t>.</w:t>
      </w:r>
      <w:r w:rsidRPr="00426C3A">
        <w:t xml:space="preserve">, </w:t>
      </w:r>
      <w:proofErr w:type="spellStart"/>
      <w:r w:rsidRPr="00426C3A">
        <w:t>Ineyama</w:t>
      </w:r>
      <w:proofErr w:type="spellEnd"/>
      <w:r w:rsidR="00852F7D">
        <w:t>,</w:t>
      </w:r>
      <w:r w:rsidRPr="00426C3A">
        <w:t xml:space="preserve"> M</w:t>
      </w:r>
      <w:r w:rsidR="00852F7D">
        <w:t>.</w:t>
      </w:r>
      <w:r w:rsidRPr="00426C3A">
        <w:t>, Yamada</w:t>
      </w:r>
      <w:r w:rsidR="00852F7D">
        <w:t>,</w:t>
      </w:r>
      <w:r w:rsidRPr="00426C3A">
        <w:t xml:space="preserve"> T</w:t>
      </w:r>
      <w:r w:rsidR="00852F7D">
        <w:t>.</w:t>
      </w:r>
      <w:r w:rsidRPr="00426C3A">
        <w:t>, Koyama</w:t>
      </w:r>
      <w:r w:rsidR="00852F7D">
        <w:t>,</w:t>
      </w:r>
      <w:r w:rsidRPr="00426C3A">
        <w:t xml:space="preserve"> Y</w:t>
      </w:r>
      <w:r w:rsidR="00852F7D">
        <w:t>.</w:t>
      </w:r>
      <w:r w:rsidRPr="00426C3A">
        <w:t xml:space="preserve">, </w:t>
      </w:r>
      <w:proofErr w:type="spellStart"/>
      <w:r w:rsidRPr="00426C3A">
        <w:t>Okuno</w:t>
      </w:r>
      <w:proofErr w:type="spellEnd"/>
      <w:r w:rsidR="00852F7D">
        <w:t>,</w:t>
      </w:r>
      <w:r w:rsidRPr="00426C3A">
        <w:t xml:space="preserve"> Y</w:t>
      </w:r>
      <w:r w:rsidR="00852F7D">
        <w:t>.</w:t>
      </w:r>
      <w:r w:rsidRPr="00426C3A">
        <w:t xml:space="preserve">, </w:t>
      </w:r>
      <w:proofErr w:type="spellStart"/>
      <w:r w:rsidRPr="00426C3A">
        <w:t>Yoshitake</w:t>
      </w:r>
      <w:proofErr w:type="spellEnd"/>
      <w:r w:rsidR="00852F7D">
        <w:t>,</w:t>
      </w:r>
      <w:r w:rsidRPr="00426C3A">
        <w:t xml:space="preserve"> A</w:t>
      </w:r>
      <w:r w:rsidR="00852F7D">
        <w:t>.</w:t>
      </w:r>
      <w:r w:rsidRPr="00426C3A">
        <w:t>, Yamada</w:t>
      </w:r>
      <w:r w:rsidR="00852F7D">
        <w:t>,</w:t>
      </w:r>
      <w:r w:rsidRPr="00426C3A">
        <w:t xml:space="preserve"> H</w:t>
      </w:r>
      <w:r w:rsidR="00852F7D">
        <w:t>.</w:t>
      </w:r>
      <w:r w:rsidRPr="00426C3A">
        <w:t>,</w:t>
      </w:r>
      <w:r w:rsidR="00852F7D">
        <w:t xml:space="preserve"> and</w:t>
      </w:r>
      <w:r w:rsidR="00852F7D" w:rsidRPr="00426C3A">
        <w:t xml:space="preserve"> </w:t>
      </w:r>
      <w:r w:rsidRPr="00426C3A">
        <w:t>Miyamoto</w:t>
      </w:r>
      <w:r w:rsidR="00852F7D">
        <w:t>,</w:t>
      </w:r>
      <w:r w:rsidRPr="00426C3A">
        <w:t xml:space="preserve"> J</w:t>
      </w:r>
      <w:r w:rsidR="00852F7D">
        <w:t>.</w:t>
      </w:r>
      <w:r w:rsidRPr="00426C3A">
        <w:t xml:space="preserve"> </w:t>
      </w:r>
      <w:r w:rsidR="00852F7D">
        <w:t>(</w:t>
      </w:r>
      <w:r w:rsidRPr="00426C3A">
        <w:t>1993</w:t>
      </w:r>
      <w:r w:rsidR="00852F7D">
        <w:t>)</w:t>
      </w:r>
      <w:r w:rsidRPr="00426C3A">
        <w:t xml:space="preserve"> </w:t>
      </w:r>
      <w:r w:rsidRPr="00852F7D">
        <w:rPr>
          <w:i/>
          <w:iCs/>
        </w:rPr>
        <w:t>Effects of procymidone on reproductive organs and serum gonadotropins in male rats</w:t>
      </w:r>
      <w:r w:rsidRPr="00426C3A">
        <w:t xml:space="preserve">. J </w:t>
      </w:r>
      <w:proofErr w:type="spellStart"/>
      <w:r w:rsidRPr="00426C3A">
        <w:t>Toxicol</w:t>
      </w:r>
      <w:proofErr w:type="spellEnd"/>
      <w:r w:rsidRPr="00426C3A">
        <w:t xml:space="preserve"> Sci. 1993 May; 18(2):111-24</w:t>
      </w:r>
      <w:r w:rsidR="00852F7D">
        <w:t>.</w:t>
      </w:r>
    </w:p>
    <w:p w14:paraId="3C2C2944" w14:textId="658FAD19" w:rsidR="00426C3A" w:rsidRPr="00426C3A" w:rsidRDefault="00426C3A" w:rsidP="00D05130">
      <w:pPr>
        <w:pStyle w:val="APVMAText"/>
        <w:rPr>
          <w:b/>
        </w:rPr>
      </w:pPr>
      <w:r w:rsidRPr="00426C3A">
        <w:t xml:space="preserve">IBT Laboratories </w:t>
      </w:r>
      <w:r w:rsidR="00852F7D">
        <w:t>(</w:t>
      </w:r>
      <w:r w:rsidRPr="00426C3A">
        <w:t>1978</w:t>
      </w:r>
      <w:r w:rsidR="00852F7D">
        <w:t>)</w:t>
      </w:r>
      <w:r w:rsidRPr="00426C3A">
        <w:t xml:space="preserve"> </w:t>
      </w:r>
      <w:r w:rsidRPr="00852F7D">
        <w:rPr>
          <w:i/>
          <w:iCs/>
        </w:rPr>
        <w:t>3-Generation Study in Rats</w:t>
      </w:r>
      <w:r w:rsidRPr="00426C3A">
        <w:t xml:space="preserve">, IBT </w:t>
      </w:r>
      <w:r w:rsidR="00852F7D">
        <w:t>s</w:t>
      </w:r>
      <w:r w:rsidRPr="00426C3A">
        <w:t xml:space="preserve">tudy </w:t>
      </w:r>
      <w:r w:rsidR="00852F7D">
        <w:t>n</w:t>
      </w:r>
      <w:r w:rsidRPr="00426C3A">
        <w:t xml:space="preserve">o. 623-06729 2/2/78 Sumitomo </w:t>
      </w:r>
      <w:r w:rsidR="00852F7D">
        <w:t>d</w:t>
      </w:r>
      <w:r w:rsidRPr="00426C3A">
        <w:t xml:space="preserve">oc. </w:t>
      </w:r>
      <w:r w:rsidR="00852F7D">
        <w:t>c</w:t>
      </w:r>
      <w:r w:rsidRPr="00426C3A">
        <w:t>ode:</w:t>
      </w:r>
      <w:r w:rsidR="00852F7D">
        <w:t> </w:t>
      </w:r>
      <w:r w:rsidRPr="00426C3A">
        <w:t>BT-81-0014. Sumitomo Chemical Co. Ltd. Osaka, Japan</w:t>
      </w:r>
    </w:p>
    <w:p w14:paraId="0537DC4A" w14:textId="7B41D75C" w:rsidR="00426C3A" w:rsidRPr="00426C3A" w:rsidRDefault="00426C3A" w:rsidP="00D05130">
      <w:pPr>
        <w:pStyle w:val="APVMAText"/>
      </w:pPr>
      <w:r w:rsidRPr="00426C3A">
        <w:t xml:space="preserve">IBT-Sumitomo </w:t>
      </w:r>
      <w:r w:rsidR="00852F7D">
        <w:t>(</w:t>
      </w:r>
      <w:r w:rsidRPr="00426C3A">
        <w:t>1978</w:t>
      </w:r>
      <w:r w:rsidR="00852F7D">
        <w:t>)</w:t>
      </w:r>
      <w:r w:rsidRPr="00426C3A">
        <w:t xml:space="preserve"> </w:t>
      </w:r>
      <w:r w:rsidRPr="00852F7D">
        <w:rPr>
          <w:i/>
          <w:iCs/>
        </w:rPr>
        <w:t>Teratogenicity Study in Rabbits</w:t>
      </w:r>
      <w:r w:rsidRPr="00426C3A">
        <w:t xml:space="preserve">, IBT Labs 6/1/1976 IBT No. 651-06730 – Sumitomo </w:t>
      </w:r>
      <w:r w:rsidR="00B617F0">
        <w:t>d</w:t>
      </w:r>
      <w:r w:rsidRPr="00426C3A">
        <w:t xml:space="preserve">oc. </w:t>
      </w:r>
      <w:r w:rsidR="00B617F0">
        <w:t>c</w:t>
      </w:r>
      <w:r w:rsidRPr="00426C3A">
        <w:t>ode BT-61-0009. Sumitomo Chemical Co. Ltd. Osaka, Japan</w:t>
      </w:r>
      <w:r w:rsidR="00B617F0">
        <w:t>.</w:t>
      </w:r>
    </w:p>
    <w:p w14:paraId="4B0ABA68" w14:textId="63527FF5" w:rsidR="00426C3A" w:rsidRPr="00426C3A" w:rsidRDefault="00426C3A" w:rsidP="00D05130">
      <w:pPr>
        <w:pStyle w:val="APVMAText"/>
      </w:pPr>
      <w:proofErr w:type="spellStart"/>
      <w:r w:rsidRPr="00426C3A">
        <w:lastRenderedPageBreak/>
        <w:t>Inawaka</w:t>
      </w:r>
      <w:proofErr w:type="spellEnd"/>
      <w:r w:rsidR="00852F7D">
        <w:t>,</w:t>
      </w:r>
      <w:r w:rsidRPr="00426C3A">
        <w:t xml:space="preserve"> K</w:t>
      </w:r>
      <w:r w:rsidR="00852F7D">
        <w:t>.</w:t>
      </w:r>
      <w:r w:rsidRPr="00426C3A">
        <w:t xml:space="preserve"> </w:t>
      </w:r>
      <w:r w:rsidR="00852F7D">
        <w:t>(</w:t>
      </w:r>
      <w:r w:rsidRPr="00426C3A">
        <w:t>2005</w:t>
      </w:r>
      <w:r w:rsidR="00852F7D">
        <w:t>)</w:t>
      </w:r>
      <w:r w:rsidRPr="00426C3A">
        <w:t xml:space="preserve"> </w:t>
      </w:r>
      <w:r w:rsidRPr="00B617F0">
        <w:rPr>
          <w:i/>
          <w:iCs/>
        </w:rPr>
        <w:t>Study for determination of minimum toxic dose of the effects on male external genitalia in rats with procymidone</w:t>
      </w:r>
      <w:r w:rsidRPr="00426C3A">
        <w:t xml:space="preserve">. Environmental Health Science Laboratory, Sumitomo Chemical Co Ltd, Osaka, Japan. Unpublished </w:t>
      </w:r>
      <w:r w:rsidR="00B617F0">
        <w:t>s</w:t>
      </w:r>
      <w:r w:rsidRPr="00426C3A">
        <w:t xml:space="preserve">tudy. Sumitomo Chemical Technical Report </w:t>
      </w:r>
      <w:r w:rsidR="00B617F0">
        <w:t>n</w:t>
      </w:r>
      <w:r w:rsidRPr="00426C3A">
        <w:t>o. BT-0217</w:t>
      </w:r>
      <w:r w:rsidR="00B617F0">
        <w:t>,</w:t>
      </w:r>
      <w:r w:rsidRPr="00426C3A">
        <w:t xml:space="preserve"> 3 August 2005</w:t>
      </w:r>
      <w:r w:rsidR="00B617F0">
        <w:t>.</w:t>
      </w:r>
    </w:p>
    <w:p w14:paraId="759DF21B" w14:textId="20BD1B06" w:rsidR="00426C3A" w:rsidRPr="00426C3A" w:rsidRDefault="00426C3A" w:rsidP="00D05130">
      <w:pPr>
        <w:pStyle w:val="APVMAText"/>
      </w:pPr>
      <w:proofErr w:type="spellStart"/>
      <w:r w:rsidRPr="00426C3A">
        <w:t>Isobe</w:t>
      </w:r>
      <w:proofErr w:type="spellEnd"/>
      <w:r w:rsidR="00852F7D">
        <w:t>,</w:t>
      </w:r>
      <w:r w:rsidRPr="00426C3A">
        <w:t xml:space="preserve"> N</w:t>
      </w:r>
      <w:r w:rsidR="00852F7D">
        <w:t>.</w:t>
      </w:r>
      <w:r w:rsidRPr="00426C3A">
        <w:t xml:space="preserve"> and </w:t>
      </w:r>
      <w:proofErr w:type="spellStart"/>
      <w:r w:rsidRPr="00426C3A">
        <w:t>Nagahori</w:t>
      </w:r>
      <w:proofErr w:type="spellEnd"/>
      <w:r w:rsidR="00852F7D">
        <w:t>,</w:t>
      </w:r>
      <w:r w:rsidRPr="00426C3A">
        <w:t xml:space="preserve"> H</w:t>
      </w:r>
      <w:r w:rsidR="00852F7D">
        <w:t>.</w:t>
      </w:r>
      <w:r w:rsidRPr="00426C3A">
        <w:t xml:space="preserve"> </w:t>
      </w:r>
      <w:r w:rsidR="00852F7D">
        <w:t>(</w:t>
      </w:r>
      <w:r w:rsidRPr="00426C3A">
        <w:t>2003</w:t>
      </w:r>
      <w:r w:rsidR="00852F7D">
        <w:t>)</w:t>
      </w:r>
      <w:r w:rsidRPr="00426C3A">
        <w:t xml:space="preserve"> </w:t>
      </w:r>
      <w:r w:rsidRPr="00B617F0">
        <w:rPr>
          <w:i/>
          <w:iCs/>
        </w:rPr>
        <w:t>Determination of in vitro antiandrogenic activity of procymidone and its metabolites in rats</w:t>
      </w:r>
      <w:r w:rsidRPr="00426C3A">
        <w:t xml:space="preserve">. Sumitomo Chemical Co. Ltd, Environmental Health Science Laboratory, Osaka, Japan. Unpublished </w:t>
      </w:r>
      <w:r w:rsidR="00B617F0" w:rsidRPr="00426C3A">
        <w:t>study no</w:t>
      </w:r>
      <w:r w:rsidRPr="00426C3A">
        <w:t>. X0118. Technical report, Sumitomo Chemical Co., Ltd, BM-0088. 24 December 2003.</w:t>
      </w:r>
    </w:p>
    <w:p w14:paraId="475DFD34" w14:textId="4E5E949F" w:rsidR="00426C3A" w:rsidRPr="00426C3A" w:rsidRDefault="00426C3A" w:rsidP="00D05130">
      <w:pPr>
        <w:pStyle w:val="APVMAText"/>
      </w:pPr>
      <w:r w:rsidRPr="00426C3A">
        <w:t>Izumi</w:t>
      </w:r>
      <w:r w:rsidR="00852F7D">
        <w:t>,</w:t>
      </w:r>
      <w:r w:rsidRPr="00426C3A">
        <w:t xml:space="preserve"> H</w:t>
      </w:r>
      <w:r w:rsidR="00852F7D">
        <w:t>.</w:t>
      </w:r>
      <w:r w:rsidRPr="00426C3A">
        <w:t xml:space="preserve"> </w:t>
      </w:r>
      <w:r w:rsidR="00852F7D">
        <w:t>(</w:t>
      </w:r>
      <w:r w:rsidRPr="00426C3A">
        <w:t>2005</w:t>
      </w:r>
      <w:r w:rsidR="00852F7D">
        <w:t>)</w:t>
      </w:r>
      <w:r w:rsidRPr="00426C3A">
        <w:t xml:space="preserve"> </w:t>
      </w:r>
      <w:r w:rsidRPr="00B617F0">
        <w:rPr>
          <w:i/>
          <w:iCs/>
        </w:rPr>
        <w:t>Teratogenicity study of hydroxylated procymidone in rats by oral administration (observation of male offspring)</w:t>
      </w:r>
      <w:r w:rsidRPr="00426C3A">
        <w:t xml:space="preserve">. Environmental Health Science Laboratory, Sumitomo Chemical Co Ltd, Osaka, Japan. Unpublished </w:t>
      </w:r>
      <w:r w:rsidR="00B617F0">
        <w:t>s</w:t>
      </w:r>
      <w:r w:rsidRPr="00426C3A">
        <w:t xml:space="preserve">tudy. Sumitomo Chemical Technical Report </w:t>
      </w:r>
      <w:r w:rsidR="00B617F0">
        <w:t>n</w:t>
      </w:r>
      <w:r w:rsidRPr="00426C3A">
        <w:t>o. BT-0220</w:t>
      </w:r>
      <w:r w:rsidR="00B617F0">
        <w:t>,</w:t>
      </w:r>
      <w:r w:rsidRPr="00426C3A">
        <w:t xml:space="preserve"> 4 August 2005</w:t>
      </w:r>
    </w:p>
    <w:p w14:paraId="7BC7966B" w14:textId="33D58E26" w:rsidR="00426C3A" w:rsidRPr="00426C3A" w:rsidRDefault="00426C3A" w:rsidP="00D05130">
      <w:pPr>
        <w:pStyle w:val="APVMAText"/>
      </w:pPr>
      <w:proofErr w:type="spellStart"/>
      <w:r w:rsidRPr="00426C3A">
        <w:t>Kadota</w:t>
      </w:r>
      <w:proofErr w:type="spellEnd"/>
      <w:r w:rsidR="00852F7D">
        <w:t>,</w:t>
      </w:r>
      <w:r w:rsidRPr="00426C3A">
        <w:t xml:space="preserve"> T</w:t>
      </w:r>
      <w:r w:rsidR="00852F7D">
        <w:t>.</w:t>
      </w:r>
      <w:r w:rsidRPr="00426C3A">
        <w:t xml:space="preserve"> </w:t>
      </w:r>
      <w:r w:rsidR="00852F7D">
        <w:t>(</w:t>
      </w:r>
      <w:r w:rsidRPr="00426C3A">
        <w:t>1981a</w:t>
      </w:r>
      <w:r w:rsidR="00852F7D">
        <w:t>)</w:t>
      </w:r>
      <w:r w:rsidRPr="00426C3A">
        <w:t xml:space="preserve"> </w:t>
      </w:r>
      <w:r w:rsidRPr="00B617F0">
        <w:rPr>
          <w:i/>
          <w:iCs/>
        </w:rPr>
        <w:t xml:space="preserve">Validation and audit: </w:t>
      </w:r>
      <w:r w:rsidR="00B617F0" w:rsidRPr="00B617F0">
        <w:rPr>
          <w:i/>
          <w:iCs/>
        </w:rPr>
        <w:t>2-year</w:t>
      </w:r>
      <w:r w:rsidRPr="00B617F0">
        <w:rPr>
          <w:i/>
          <w:iCs/>
        </w:rPr>
        <w:t xml:space="preserve"> chronic toxicity study of </w:t>
      </w:r>
      <w:proofErr w:type="spellStart"/>
      <w:r w:rsidRPr="00B617F0">
        <w:rPr>
          <w:i/>
          <w:iCs/>
        </w:rPr>
        <w:t>Sumilex</w:t>
      </w:r>
      <w:proofErr w:type="spellEnd"/>
      <w:r w:rsidRPr="00B617F0">
        <w:rPr>
          <w:i/>
          <w:iCs/>
        </w:rPr>
        <w:t>® (S-7131) in beagle dogs</w:t>
      </w:r>
      <w:r w:rsidRPr="00426C3A">
        <w:t xml:space="preserve"> (BT-10-0056). Lab: Laboratory of Biochemistry and Toxicology, Pesticides Division, Sumitomo Chemical Co. Ltd, Hyogo, Japan. Sponsor: Sumitomo Chemical Co. Ltd, Osaka Pesticides Division, Osaka, Japan. Unpublished.</w:t>
      </w:r>
    </w:p>
    <w:p w14:paraId="32E2819B" w14:textId="3AC3CBB6" w:rsidR="00426C3A" w:rsidRPr="00426C3A" w:rsidRDefault="00426C3A" w:rsidP="00D05130">
      <w:pPr>
        <w:pStyle w:val="APVMAText"/>
      </w:pPr>
      <w:r w:rsidRPr="00426C3A">
        <w:t>Keller</w:t>
      </w:r>
      <w:r w:rsidR="00852F7D">
        <w:t>,</w:t>
      </w:r>
      <w:r w:rsidRPr="00426C3A">
        <w:t xml:space="preserve"> J</w:t>
      </w:r>
      <w:r w:rsidR="00852F7D">
        <w:t>.</w:t>
      </w:r>
      <w:r w:rsidRPr="00426C3A">
        <w:t xml:space="preserve"> and Cardy</w:t>
      </w:r>
      <w:r w:rsidR="00852F7D">
        <w:t>,</w:t>
      </w:r>
      <w:r w:rsidRPr="00426C3A">
        <w:t xml:space="preserve"> R</w:t>
      </w:r>
      <w:r w:rsidR="00852F7D">
        <w:t>.</w:t>
      </w:r>
      <w:r w:rsidRPr="00426C3A">
        <w:t>H</w:t>
      </w:r>
      <w:r w:rsidR="00852F7D">
        <w:t>.</w:t>
      </w:r>
      <w:r w:rsidRPr="00426C3A">
        <w:t xml:space="preserve"> (1986) </w:t>
      </w:r>
      <w:r w:rsidRPr="00B617F0">
        <w:rPr>
          <w:i/>
          <w:iCs/>
        </w:rPr>
        <w:t>Oral Chronic Toxicity and Oncogenicity Study in Rats</w:t>
      </w:r>
      <w:r w:rsidRPr="00426C3A">
        <w:t xml:space="preserve">, Unpublished report </w:t>
      </w:r>
      <w:r w:rsidR="00B617F0">
        <w:t>n</w:t>
      </w:r>
      <w:r w:rsidRPr="00426C3A">
        <w:t>o:</w:t>
      </w:r>
      <w:r w:rsidR="00B617F0">
        <w:t> </w:t>
      </w:r>
      <w:r w:rsidRPr="00426C3A">
        <w:t xml:space="preserve">BT-61-0112 from Litton </w:t>
      </w:r>
      <w:proofErr w:type="spellStart"/>
      <w:r w:rsidRPr="00426C3A">
        <w:t>Bionetics</w:t>
      </w:r>
      <w:proofErr w:type="spellEnd"/>
      <w:r w:rsidRPr="00426C3A">
        <w:t xml:space="preserve"> Inc., Rockville, Maryland, USA. Submitted by Sumitomo Chemical Co., Ltd, Osaka, Japan</w:t>
      </w:r>
      <w:r w:rsidR="00B617F0">
        <w:t>.</w:t>
      </w:r>
    </w:p>
    <w:p w14:paraId="3692DF2A" w14:textId="0195DCC1" w:rsidR="00426C3A" w:rsidRPr="00426C3A" w:rsidRDefault="00426C3A" w:rsidP="00D05130">
      <w:pPr>
        <w:pStyle w:val="APVMAText"/>
      </w:pPr>
      <w:proofErr w:type="spellStart"/>
      <w:r w:rsidRPr="00426C3A">
        <w:t>Kogiso</w:t>
      </w:r>
      <w:proofErr w:type="spellEnd"/>
      <w:r w:rsidR="00852F7D">
        <w:t>,</w:t>
      </w:r>
      <w:r w:rsidRPr="00426C3A">
        <w:t xml:space="preserve"> S</w:t>
      </w:r>
      <w:r w:rsidR="00852F7D">
        <w:t>.</w:t>
      </w:r>
      <w:r w:rsidRPr="00426C3A">
        <w:t xml:space="preserve"> </w:t>
      </w:r>
      <w:r w:rsidR="00852F7D">
        <w:t>(</w:t>
      </w:r>
      <w:r w:rsidRPr="00426C3A">
        <w:t>1991</w:t>
      </w:r>
      <w:r w:rsidR="00852F7D">
        <w:t>)</w:t>
      </w:r>
      <w:r w:rsidRPr="00426C3A">
        <w:t xml:space="preserve"> </w:t>
      </w:r>
      <w:r w:rsidRPr="00B617F0">
        <w:rPr>
          <w:i/>
          <w:iCs/>
        </w:rPr>
        <w:t xml:space="preserve">Reverse mutation test of </w:t>
      </w:r>
      <w:proofErr w:type="spellStart"/>
      <w:r w:rsidRPr="00B617F0">
        <w:rPr>
          <w:i/>
          <w:iCs/>
        </w:rPr>
        <w:t>sumilex</w:t>
      </w:r>
      <w:proofErr w:type="spellEnd"/>
      <w:r w:rsidRPr="00B617F0">
        <w:rPr>
          <w:i/>
          <w:iCs/>
        </w:rPr>
        <w:t xml:space="preserve"> in bacterial system</w:t>
      </w:r>
      <w:r w:rsidRPr="00426C3A">
        <w:t xml:space="preserve">. Report No. BT-10-0138. Study </w:t>
      </w:r>
      <w:r w:rsidR="00B617F0" w:rsidRPr="00426C3A">
        <w:t>n</w:t>
      </w:r>
      <w:r w:rsidRPr="00426C3A">
        <w:t>o. 2295. Lab &amp; Sponsor:</w:t>
      </w:r>
      <w:r w:rsidR="00B617F0" w:rsidRPr="00B617F0">
        <w:t xml:space="preserve"> </w:t>
      </w:r>
      <w:r w:rsidR="00B617F0">
        <w:t> </w:t>
      </w:r>
      <w:r w:rsidRPr="00426C3A">
        <w:t>Environmental Health Science Laboratory, Sumitomo Chemical Co. Ltd Osaka, Japan. Unpublished.</w:t>
      </w:r>
    </w:p>
    <w:p w14:paraId="3B882F84" w14:textId="0F08F1D3" w:rsidR="00426C3A" w:rsidRPr="00426C3A" w:rsidRDefault="00426C3A" w:rsidP="00D05130">
      <w:pPr>
        <w:pStyle w:val="APVMAText"/>
      </w:pPr>
      <w:proofErr w:type="spellStart"/>
      <w:r w:rsidRPr="00426C3A">
        <w:t>Kogiso</w:t>
      </w:r>
      <w:proofErr w:type="spellEnd"/>
      <w:r w:rsidR="00852F7D">
        <w:t>,</w:t>
      </w:r>
      <w:r w:rsidRPr="00426C3A">
        <w:t xml:space="preserve"> S</w:t>
      </w:r>
      <w:r w:rsidR="00852F7D">
        <w:t>.</w:t>
      </w:r>
      <w:r w:rsidRPr="00426C3A">
        <w:t xml:space="preserve"> </w:t>
      </w:r>
      <w:r w:rsidR="00852F7D">
        <w:t>(</w:t>
      </w:r>
      <w:r w:rsidRPr="00426C3A">
        <w:t>1992</w:t>
      </w:r>
      <w:r w:rsidR="00852F7D">
        <w:t>)</w:t>
      </w:r>
      <w:r w:rsidRPr="00426C3A">
        <w:t xml:space="preserve"> </w:t>
      </w:r>
      <w:r w:rsidRPr="00B617F0">
        <w:rPr>
          <w:i/>
          <w:iCs/>
        </w:rPr>
        <w:t>Reverse mutation test of CCA in bacterial system</w:t>
      </w:r>
      <w:r w:rsidRPr="00426C3A">
        <w:t xml:space="preserve">. Report No. BT-10-0148. Study </w:t>
      </w:r>
      <w:r w:rsidR="00B617F0">
        <w:t>n</w:t>
      </w:r>
      <w:r w:rsidRPr="00426C3A">
        <w:t>o. 2539. Lab &amp; Sponsor:</w:t>
      </w:r>
      <w:r w:rsidR="00B617F0">
        <w:t> </w:t>
      </w:r>
      <w:r w:rsidRPr="00426C3A">
        <w:t>Environmental Health Science Laboratory, Sumitomo Chemical Co. Ltd Osaka, Japan. Unpublished.</w:t>
      </w:r>
    </w:p>
    <w:p w14:paraId="7293ABF3" w14:textId="6531EA71" w:rsidR="00426C3A" w:rsidRPr="00426C3A" w:rsidRDefault="00426C3A" w:rsidP="00D05130">
      <w:pPr>
        <w:pStyle w:val="APVMAText"/>
      </w:pPr>
      <w:proofErr w:type="spellStart"/>
      <w:r w:rsidRPr="00426C3A">
        <w:t>Kohda</w:t>
      </w:r>
      <w:proofErr w:type="spellEnd"/>
      <w:r w:rsidR="00852F7D">
        <w:t>,</w:t>
      </w:r>
      <w:r w:rsidRPr="00426C3A">
        <w:t xml:space="preserve"> H</w:t>
      </w:r>
      <w:r w:rsidR="00852F7D">
        <w:t>.</w:t>
      </w:r>
      <w:r w:rsidRPr="00426C3A">
        <w:t>, Kawaguchi, Watanabe</w:t>
      </w:r>
      <w:r w:rsidR="00852F7D">
        <w:t>,</w:t>
      </w:r>
      <w:r w:rsidRPr="00426C3A">
        <w:t xml:space="preserve"> T</w:t>
      </w:r>
      <w:r w:rsidR="00852F7D">
        <w:t>.</w:t>
      </w:r>
      <w:r w:rsidRPr="00426C3A">
        <w:t>, Suzuki</w:t>
      </w:r>
      <w:r w:rsidR="00852F7D">
        <w:t>,</w:t>
      </w:r>
      <w:r w:rsidRPr="00426C3A">
        <w:t xml:space="preserve"> T</w:t>
      </w:r>
      <w:r w:rsidR="00852F7D">
        <w:t>.</w:t>
      </w:r>
      <w:r w:rsidRPr="00426C3A">
        <w:t>, Kato</w:t>
      </w:r>
      <w:r w:rsidR="00852F7D">
        <w:t>,</w:t>
      </w:r>
      <w:r w:rsidRPr="00426C3A">
        <w:t xml:space="preserve"> T</w:t>
      </w:r>
      <w:r w:rsidR="00852F7D">
        <w:t>. and</w:t>
      </w:r>
      <w:r w:rsidR="00852F7D" w:rsidRPr="00426C3A">
        <w:t xml:space="preserve"> </w:t>
      </w:r>
      <w:r w:rsidRPr="00426C3A">
        <w:t>Miyamoto</w:t>
      </w:r>
      <w:r w:rsidR="00852F7D">
        <w:t>,</w:t>
      </w:r>
      <w:r w:rsidRPr="00426C3A">
        <w:t xml:space="preserve"> J</w:t>
      </w:r>
      <w:r w:rsidR="00852F7D">
        <w:t>.</w:t>
      </w:r>
      <w:r w:rsidRPr="00426C3A">
        <w:t xml:space="preserve"> </w:t>
      </w:r>
      <w:r w:rsidR="00852F7D">
        <w:t>(</w:t>
      </w:r>
      <w:r w:rsidRPr="00426C3A">
        <w:t>1986</w:t>
      </w:r>
      <w:r w:rsidR="00852F7D">
        <w:t>)</w:t>
      </w:r>
      <w:r w:rsidRPr="00426C3A">
        <w:t xml:space="preserve"> </w:t>
      </w:r>
      <w:r w:rsidRPr="00B617F0">
        <w:rPr>
          <w:i/>
          <w:iCs/>
        </w:rPr>
        <w:t xml:space="preserve">Acute inhalation toxicity of </w:t>
      </w:r>
      <w:proofErr w:type="spellStart"/>
      <w:r w:rsidRPr="00B617F0">
        <w:rPr>
          <w:i/>
          <w:iCs/>
        </w:rPr>
        <w:t>Sumilex</w:t>
      </w:r>
      <w:proofErr w:type="spellEnd"/>
      <w:r w:rsidRPr="00B617F0">
        <w:rPr>
          <w:i/>
          <w:iCs/>
        </w:rPr>
        <w:t xml:space="preserve"> in rats</w:t>
      </w:r>
      <w:r w:rsidRPr="00426C3A">
        <w:t>. Unpublished. Sumitomo Chemical Co. Ltd.</w:t>
      </w:r>
    </w:p>
    <w:p w14:paraId="263870AE" w14:textId="645EF9CA" w:rsidR="00426C3A" w:rsidRPr="00426C3A" w:rsidRDefault="00426C3A" w:rsidP="00D05130">
      <w:pPr>
        <w:pStyle w:val="APVMAText"/>
      </w:pPr>
      <w:r w:rsidRPr="00426C3A">
        <w:t>Matsui</w:t>
      </w:r>
      <w:r w:rsidR="00852F7D">
        <w:t>,</w:t>
      </w:r>
      <w:r w:rsidRPr="00426C3A">
        <w:t xml:space="preserve"> M</w:t>
      </w:r>
      <w:r w:rsidR="00852F7D">
        <w:t>.</w:t>
      </w:r>
      <w:r w:rsidRPr="00426C3A">
        <w:t xml:space="preserve"> </w:t>
      </w:r>
      <w:r w:rsidR="00852F7D">
        <w:t>(</w:t>
      </w:r>
      <w:r w:rsidRPr="00426C3A">
        <w:t>2005</w:t>
      </w:r>
      <w:r w:rsidR="00852F7D">
        <w:t>)</w:t>
      </w:r>
      <w:r w:rsidRPr="00426C3A">
        <w:t xml:space="preserve"> </w:t>
      </w:r>
      <w:r w:rsidRPr="00B617F0">
        <w:rPr>
          <w:i/>
          <w:iCs/>
        </w:rPr>
        <w:t xml:space="preserve">In vitro plasma protein binding of procymidone and PCM-CH2OH in human, rat, </w:t>
      </w:r>
      <w:proofErr w:type="gramStart"/>
      <w:r w:rsidRPr="00B617F0">
        <w:rPr>
          <w:i/>
          <w:iCs/>
        </w:rPr>
        <w:t>rabbit</w:t>
      </w:r>
      <w:proofErr w:type="gramEnd"/>
      <w:r w:rsidRPr="00B617F0">
        <w:rPr>
          <w:i/>
          <w:iCs/>
        </w:rPr>
        <w:t xml:space="preserve"> and monkey</w:t>
      </w:r>
      <w:r w:rsidRPr="00426C3A">
        <w:t xml:space="preserve">. Environmental Health Science Laboratory, Osaka, Japan. Unpublished </w:t>
      </w:r>
      <w:r w:rsidR="00B617F0">
        <w:t>s</w:t>
      </w:r>
      <w:r w:rsidRPr="00426C3A">
        <w:t xml:space="preserve">tudy. Sumitomo Chemical Technical Report </w:t>
      </w:r>
      <w:r w:rsidR="00B617F0">
        <w:t>n</w:t>
      </w:r>
      <w:r w:rsidRPr="00426C3A">
        <w:t>o. BM-0114</w:t>
      </w:r>
      <w:r w:rsidR="00B617F0">
        <w:t>,</w:t>
      </w:r>
      <w:r w:rsidRPr="00426C3A">
        <w:t xml:space="preserve"> 4 August 2005.</w:t>
      </w:r>
    </w:p>
    <w:p w14:paraId="5E479029" w14:textId="7669EEF5" w:rsidR="00426C3A" w:rsidRPr="00426C3A" w:rsidRDefault="00426C3A" w:rsidP="00D05130">
      <w:pPr>
        <w:pStyle w:val="APVMAText"/>
      </w:pPr>
      <w:proofErr w:type="spellStart"/>
      <w:r w:rsidRPr="00426C3A">
        <w:t>Mikami</w:t>
      </w:r>
      <w:proofErr w:type="spellEnd"/>
      <w:r w:rsidR="00852F7D">
        <w:t>,</w:t>
      </w:r>
      <w:r w:rsidRPr="00426C3A">
        <w:t xml:space="preserve"> N</w:t>
      </w:r>
      <w:r w:rsidR="00852F7D">
        <w:t>.</w:t>
      </w:r>
      <w:r w:rsidRPr="00426C3A">
        <w:t xml:space="preserve"> and Yamamoto</w:t>
      </w:r>
      <w:r w:rsidR="00852F7D">
        <w:t>,</w:t>
      </w:r>
      <w:r w:rsidRPr="00426C3A">
        <w:t xml:space="preserve"> H</w:t>
      </w:r>
      <w:r w:rsidR="00852F7D">
        <w:t>.</w:t>
      </w:r>
      <w:r w:rsidRPr="00426C3A">
        <w:t xml:space="preserve"> </w:t>
      </w:r>
      <w:r w:rsidR="00852F7D">
        <w:t>(</w:t>
      </w:r>
      <w:r w:rsidRPr="00426C3A">
        <w:t>1976</w:t>
      </w:r>
      <w:r w:rsidR="00852F7D">
        <w:t>)</w:t>
      </w:r>
      <w:r w:rsidRPr="00426C3A">
        <w:t xml:space="preserve"> </w:t>
      </w:r>
      <w:r w:rsidRPr="00B617F0">
        <w:rPr>
          <w:i/>
          <w:iCs/>
        </w:rPr>
        <w:t>Metabolism of N-3</w:t>
      </w:r>
      <w:proofErr w:type="gramStart"/>
      <w:r w:rsidRPr="00B617F0">
        <w:rPr>
          <w:i/>
          <w:iCs/>
        </w:rPr>
        <w:t>’,S</w:t>
      </w:r>
      <w:proofErr w:type="gramEnd"/>
      <w:r w:rsidRPr="00B617F0">
        <w:rPr>
          <w:i/>
          <w:iCs/>
        </w:rPr>
        <w:t xml:space="preserve">’- </w:t>
      </w:r>
      <w:proofErr w:type="spellStart"/>
      <w:r w:rsidRPr="00B617F0">
        <w:rPr>
          <w:i/>
          <w:iCs/>
        </w:rPr>
        <w:t>dichlorophenyl</w:t>
      </w:r>
      <w:proofErr w:type="spellEnd"/>
      <w:r w:rsidRPr="00B617F0">
        <w:rPr>
          <w:i/>
          <w:iCs/>
        </w:rPr>
        <w:t>- 1 ,2-dimethylcyclopropane-1 ,2-dicarboximide in rats</w:t>
      </w:r>
      <w:r w:rsidRPr="00426C3A">
        <w:t xml:space="preserve">. Unpublished </w:t>
      </w:r>
      <w:r w:rsidR="00B617F0">
        <w:t>r</w:t>
      </w:r>
      <w:r w:rsidRPr="00426C3A">
        <w:t>eport no:</w:t>
      </w:r>
      <w:r w:rsidR="00B617F0">
        <w:t> </w:t>
      </w:r>
      <w:r w:rsidRPr="00426C3A">
        <w:t>Not stated. Sumitomo Chemical Co. Ltd, Technical report, BM-60-0002.</w:t>
      </w:r>
    </w:p>
    <w:p w14:paraId="7A7263A3" w14:textId="7EA5E27D" w:rsidR="00426C3A" w:rsidRPr="00426C3A" w:rsidRDefault="00426C3A" w:rsidP="00D05130">
      <w:pPr>
        <w:pStyle w:val="APVMAText"/>
      </w:pPr>
      <w:proofErr w:type="spellStart"/>
      <w:r w:rsidRPr="00426C3A">
        <w:t>Mikami</w:t>
      </w:r>
      <w:proofErr w:type="spellEnd"/>
      <w:r w:rsidR="00852F7D">
        <w:t>,</w:t>
      </w:r>
      <w:r w:rsidRPr="00426C3A">
        <w:t xml:space="preserve"> N</w:t>
      </w:r>
      <w:r w:rsidR="00852F7D">
        <w:t>.</w:t>
      </w:r>
      <w:r w:rsidRPr="00426C3A">
        <w:t xml:space="preserve">, </w:t>
      </w:r>
      <w:proofErr w:type="spellStart"/>
      <w:r w:rsidRPr="00426C3A">
        <w:t>Satogami</w:t>
      </w:r>
      <w:proofErr w:type="spellEnd"/>
      <w:r w:rsidR="00852F7D">
        <w:t>,</w:t>
      </w:r>
      <w:r w:rsidRPr="00426C3A">
        <w:t xml:space="preserve"> H</w:t>
      </w:r>
      <w:r w:rsidR="00852F7D">
        <w:t>.</w:t>
      </w:r>
      <w:r w:rsidRPr="00426C3A">
        <w:t xml:space="preserve">, Miyamoto </w:t>
      </w:r>
      <w:r w:rsidR="00852F7D">
        <w:t>(</w:t>
      </w:r>
      <w:r w:rsidRPr="00426C3A">
        <w:t>1979</w:t>
      </w:r>
      <w:r w:rsidR="00852F7D">
        <w:t>)</w:t>
      </w:r>
      <w:r w:rsidRPr="00426C3A">
        <w:t xml:space="preserve"> </w:t>
      </w:r>
      <w:r w:rsidRPr="00B617F0">
        <w:rPr>
          <w:i/>
          <w:iCs/>
        </w:rPr>
        <w:t>Metabolism of procymidone in rats</w:t>
      </w:r>
      <w:r w:rsidRPr="00426C3A">
        <w:t>. J Pesticide Sci 4: 165-174</w:t>
      </w:r>
    </w:p>
    <w:p w14:paraId="11654FE4" w14:textId="07FDEDDF" w:rsidR="00426C3A" w:rsidRPr="00426C3A" w:rsidRDefault="00426C3A" w:rsidP="00D05130">
      <w:pPr>
        <w:pStyle w:val="APVMAText"/>
      </w:pPr>
      <w:r w:rsidRPr="00426C3A">
        <w:t>Milburn</w:t>
      </w:r>
      <w:r w:rsidR="00852F7D">
        <w:t>,</w:t>
      </w:r>
      <w:r w:rsidRPr="00426C3A">
        <w:t xml:space="preserve"> G</w:t>
      </w:r>
      <w:r w:rsidR="00852F7D">
        <w:t>.</w:t>
      </w:r>
      <w:r w:rsidRPr="00426C3A">
        <w:t>M</w:t>
      </w:r>
      <w:r w:rsidR="00852F7D">
        <w:t>.</w:t>
      </w:r>
      <w:r w:rsidRPr="00426C3A">
        <w:t xml:space="preserve"> </w:t>
      </w:r>
      <w:r w:rsidR="00852F7D">
        <w:t>(</w:t>
      </w:r>
      <w:r w:rsidRPr="00426C3A">
        <w:t>1986</w:t>
      </w:r>
      <w:r w:rsidR="00852F7D">
        <w:t>)</w:t>
      </w:r>
      <w:r w:rsidRPr="00426C3A">
        <w:t xml:space="preserve"> </w:t>
      </w:r>
      <w:r w:rsidRPr="00B617F0">
        <w:rPr>
          <w:i/>
          <w:iCs/>
        </w:rPr>
        <w:t>Procymidone: Preliminary reproduction study in the rat</w:t>
      </w:r>
      <w:r w:rsidRPr="00426C3A">
        <w:t>. Report No. CTL/T/2470. Lab:</w:t>
      </w:r>
      <w:r w:rsidR="00B617F0">
        <w:t> </w:t>
      </w:r>
      <w:r w:rsidRPr="00426C3A">
        <w:t>ICI Ltd Central Toxicology Laboratory, Alderley Park, Macclesfield, Cheshire UK. Sponsor: Sumitomo Chemical Co. Ltd, Osaka Pesticides Division, Osaka, Japan. Unpublished.</w:t>
      </w:r>
    </w:p>
    <w:p w14:paraId="76B6920D" w14:textId="1E19C07B" w:rsidR="00426C3A" w:rsidRPr="00426C3A" w:rsidRDefault="00426C3A" w:rsidP="00D05130">
      <w:pPr>
        <w:pStyle w:val="APVMAText"/>
      </w:pPr>
      <w:r w:rsidRPr="00426C3A">
        <w:lastRenderedPageBreak/>
        <w:t>Milburn</w:t>
      </w:r>
      <w:r w:rsidR="00852F7D">
        <w:t>,</w:t>
      </w:r>
      <w:r w:rsidRPr="00426C3A">
        <w:t xml:space="preserve"> G</w:t>
      </w:r>
      <w:r w:rsidR="00852F7D">
        <w:t>.</w:t>
      </w:r>
      <w:r w:rsidRPr="00426C3A">
        <w:t>M</w:t>
      </w:r>
      <w:r w:rsidR="00852F7D">
        <w:t>.</w:t>
      </w:r>
      <w:r w:rsidRPr="00426C3A">
        <w:t xml:space="preserve"> </w:t>
      </w:r>
      <w:r w:rsidR="00852F7D">
        <w:t>(</w:t>
      </w:r>
      <w:r w:rsidRPr="00426C3A">
        <w:t>1991</w:t>
      </w:r>
      <w:r w:rsidR="00852F7D">
        <w:t>)</w:t>
      </w:r>
      <w:r w:rsidRPr="00426C3A">
        <w:t xml:space="preserve"> </w:t>
      </w:r>
      <w:r w:rsidRPr="00B617F0">
        <w:rPr>
          <w:i/>
          <w:iCs/>
        </w:rPr>
        <w:t>Procymidone: First supplement to procymidone: Multigeneration reproduction study in the rat</w:t>
      </w:r>
      <w:r w:rsidRPr="00426C3A">
        <w:t>. Report No. CTL/T/P/195. Lab:</w:t>
      </w:r>
      <w:r w:rsidR="00B617F0">
        <w:t> </w:t>
      </w:r>
      <w:r w:rsidRPr="00426C3A">
        <w:t>ICI Ltd Central Toxicology Laboratory, Alderley Park, Macclesfield, Cheshire UK. Sponsor: Sumitomo Chemical Co. Ltd, Osaka Pesticides Division, Osaka, Japan. Study duration: February 1986</w:t>
      </w:r>
      <w:r w:rsidR="00B617F0">
        <w:t xml:space="preserve"> to </w:t>
      </w:r>
      <w:r w:rsidRPr="00426C3A">
        <w:t>May 1987. Report date:</w:t>
      </w:r>
      <w:r w:rsidR="00B617F0">
        <w:t> </w:t>
      </w:r>
      <w:r w:rsidRPr="00426C3A">
        <w:t>September 1986.</w:t>
      </w:r>
    </w:p>
    <w:p w14:paraId="550DEDB7" w14:textId="15B4F9C4" w:rsidR="00426C3A" w:rsidRPr="00426C3A" w:rsidRDefault="00426C3A" w:rsidP="00D05130">
      <w:pPr>
        <w:pStyle w:val="APVMAText"/>
      </w:pPr>
      <w:r w:rsidRPr="00426C3A">
        <w:t>Mogi</w:t>
      </w:r>
      <w:r w:rsidR="00852F7D">
        <w:t>,</w:t>
      </w:r>
      <w:r w:rsidRPr="00426C3A">
        <w:t xml:space="preserve"> M</w:t>
      </w:r>
      <w:r w:rsidR="00852F7D">
        <w:t>.</w:t>
      </w:r>
      <w:r w:rsidRPr="00426C3A">
        <w:t xml:space="preserve"> </w:t>
      </w:r>
      <w:r w:rsidR="00852F7D">
        <w:t>(</w:t>
      </w:r>
      <w:r w:rsidRPr="00426C3A">
        <w:t>2005a</w:t>
      </w:r>
      <w:r w:rsidR="00852F7D">
        <w:t>)</w:t>
      </w:r>
      <w:r w:rsidRPr="00426C3A">
        <w:t xml:space="preserve"> </w:t>
      </w:r>
      <w:r w:rsidRPr="00B617F0">
        <w:rPr>
          <w:i/>
          <w:iCs/>
        </w:rPr>
        <w:t>Pharmacokinetics and excretions of [phenyl-</w:t>
      </w:r>
      <w:r w:rsidRPr="00B617F0">
        <w:rPr>
          <w:i/>
          <w:iCs/>
          <w:vertAlign w:val="superscript"/>
        </w:rPr>
        <w:t>14</w:t>
      </w:r>
      <w:r w:rsidRPr="00B617F0">
        <w:rPr>
          <w:i/>
          <w:iCs/>
        </w:rPr>
        <w:t>C]-procymidone after single oral administration to cynomolgus monkeys</w:t>
      </w:r>
      <w:r w:rsidRPr="00426C3A">
        <w:t xml:space="preserve">. Shin Nippon Biomedical Laboratories Ltd, Pharmacokinetics and Bioanalysis Center, Japan. Unpublished </w:t>
      </w:r>
      <w:r w:rsidR="00B617F0" w:rsidRPr="00426C3A">
        <w:t>study no</w:t>
      </w:r>
      <w:r w:rsidRPr="00426C3A">
        <w:t xml:space="preserve">. PBC27-61. Sumitomo Chemical Technical Report </w:t>
      </w:r>
      <w:r w:rsidR="00B617F0">
        <w:t>n</w:t>
      </w:r>
      <w:r w:rsidRPr="00426C3A">
        <w:t>o. BM-0103</w:t>
      </w:r>
      <w:r w:rsidR="00B617F0">
        <w:t>,</w:t>
      </w:r>
      <w:r w:rsidRPr="00426C3A">
        <w:t xml:space="preserve"> 29 July 2005</w:t>
      </w:r>
      <w:r w:rsidR="00B617F0">
        <w:t>.</w:t>
      </w:r>
    </w:p>
    <w:p w14:paraId="12655C07" w14:textId="62C15152" w:rsidR="00426C3A" w:rsidRPr="00426C3A" w:rsidRDefault="00426C3A" w:rsidP="00D05130">
      <w:pPr>
        <w:pStyle w:val="APVMAText"/>
      </w:pPr>
      <w:r w:rsidRPr="00426C3A">
        <w:t>Mogi</w:t>
      </w:r>
      <w:r w:rsidR="00852F7D">
        <w:t>,</w:t>
      </w:r>
      <w:r w:rsidRPr="00426C3A">
        <w:t xml:space="preserve"> M</w:t>
      </w:r>
      <w:r w:rsidR="00852F7D">
        <w:t>.</w:t>
      </w:r>
      <w:r w:rsidRPr="00426C3A">
        <w:t xml:space="preserve"> </w:t>
      </w:r>
      <w:r w:rsidR="00852F7D">
        <w:t>(</w:t>
      </w:r>
      <w:r w:rsidRPr="00426C3A">
        <w:t>2005b</w:t>
      </w:r>
      <w:r w:rsidR="00852F7D">
        <w:t>)</w:t>
      </w:r>
      <w:r w:rsidRPr="00426C3A">
        <w:t xml:space="preserve"> </w:t>
      </w:r>
      <w:r w:rsidRPr="00B617F0">
        <w:rPr>
          <w:i/>
          <w:iCs/>
        </w:rPr>
        <w:t>Pharmacokinetics and excretions of [phenyl-</w:t>
      </w:r>
      <w:r w:rsidRPr="00B617F0">
        <w:rPr>
          <w:i/>
          <w:iCs/>
          <w:vertAlign w:val="superscript"/>
        </w:rPr>
        <w:t>14</w:t>
      </w:r>
      <w:r w:rsidRPr="00B617F0">
        <w:rPr>
          <w:i/>
          <w:iCs/>
        </w:rPr>
        <w:t>C]-procymidone during and after repeated oral administration to cynomolgus monkeys</w:t>
      </w:r>
      <w:r w:rsidRPr="00426C3A">
        <w:t xml:space="preserve">. Shin Nippon Biomedical Laboratories Ltd, Pharmacokinetics and Bioanalysis Center, Wakayama, Japan. Unpublished </w:t>
      </w:r>
      <w:r w:rsidR="00B617F0">
        <w:t>s</w:t>
      </w:r>
      <w:r w:rsidRPr="00426C3A">
        <w:t xml:space="preserve">tudy. Sumitomo Chemical Technical Report </w:t>
      </w:r>
      <w:r w:rsidR="00B617F0">
        <w:t>n</w:t>
      </w:r>
      <w:r w:rsidRPr="00426C3A">
        <w:t>o. BM-0104</w:t>
      </w:r>
      <w:r w:rsidR="00B617F0">
        <w:t>,</w:t>
      </w:r>
      <w:r w:rsidRPr="00426C3A">
        <w:t xml:space="preserve"> 29 July 2005</w:t>
      </w:r>
      <w:r w:rsidR="00B617F0">
        <w:t>.</w:t>
      </w:r>
    </w:p>
    <w:p w14:paraId="55882426" w14:textId="79854DF5" w:rsidR="00426C3A" w:rsidRPr="00426C3A" w:rsidRDefault="00426C3A" w:rsidP="00D05130">
      <w:pPr>
        <w:pStyle w:val="APVMAText"/>
      </w:pPr>
      <w:r w:rsidRPr="00426C3A">
        <w:t>Mogi</w:t>
      </w:r>
      <w:r w:rsidR="00852F7D">
        <w:t>,</w:t>
      </w:r>
      <w:r w:rsidRPr="00426C3A">
        <w:t xml:space="preserve"> M</w:t>
      </w:r>
      <w:r w:rsidR="00852F7D">
        <w:t>.</w:t>
      </w:r>
      <w:r w:rsidRPr="00426C3A">
        <w:t xml:space="preserve"> </w:t>
      </w:r>
      <w:r w:rsidR="00852F7D">
        <w:t>(</w:t>
      </w:r>
      <w:r w:rsidRPr="00426C3A">
        <w:t>2005c</w:t>
      </w:r>
      <w:r w:rsidR="00852F7D">
        <w:t>)</w:t>
      </w:r>
      <w:r w:rsidRPr="00426C3A">
        <w:t xml:space="preserve"> </w:t>
      </w:r>
      <w:r w:rsidRPr="00B617F0">
        <w:rPr>
          <w:i/>
          <w:iCs/>
        </w:rPr>
        <w:t>Biliary excretions after single oral administration of [carbonyl-</w:t>
      </w:r>
      <w:r w:rsidRPr="00B617F0">
        <w:rPr>
          <w:i/>
          <w:iCs/>
          <w:vertAlign w:val="superscript"/>
        </w:rPr>
        <w:t>14</w:t>
      </w:r>
      <w:r w:rsidRPr="00B617F0">
        <w:rPr>
          <w:i/>
          <w:iCs/>
        </w:rPr>
        <w:t>C]-procymidone to monkey</w:t>
      </w:r>
      <w:r w:rsidRPr="00426C3A">
        <w:t>. Shin Nippon Biomedical Laboratories Ltd, Pharmacokinetics and Bioanalysis Center, Wakayama, Japan. Unpublished Study. Sumitomo Chemical Technical Report No. BM-0106. 29 July 2005</w:t>
      </w:r>
    </w:p>
    <w:p w14:paraId="62DFBB11" w14:textId="0D11342D" w:rsidR="00426C3A" w:rsidRPr="00426C3A" w:rsidRDefault="00426C3A" w:rsidP="00D05130">
      <w:pPr>
        <w:pStyle w:val="APVMAText"/>
      </w:pPr>
      <w:r w:rsidRPr="00426C3A">
        <w:t>Mogi</w:t>
      </w:r>
      <w:r w:rsidR="00852F7D">
        <w:t>,</w:t>
      </w:r>
      <w:r w:rsidRPr="00426C3A">
        <w:t xml:space="preserve"> M</w:t>
      </w:r>
      <w:r w:rsidR="00852F7D">
        <w:t>.</w:t>
      </w:r>
      <w:r w:rsidRPr="00426C3A">
        <w:t xml:space="preserve"> </w:t>
      </w:r>
      <w:r w:rsidR="00852F7D">
        <w:t>(</w:t>
      </w:r>
      <w:r w:rsidRPr="00426C3A">
        <w:t>2005d</w:t>
      </w:r>
      <w:r w:rsidR="00852F7D">
        <w:t>)</w:t>
      </w:r>
      <w:r w:rsidRPr="00426C3A">
        <w:t xml:space="preserve"> </w:t>
      </w:r>
      <w:r w:rsidRPr="00B617F0">
        <w:rPr>
          <w:i/>
          <w:iCs/>
        </w:rPr>
        <w:t>Biliary excretions after single oral administration of [carbonyl-</w:t>
      </w:r>
      <w:r w:rsidRPr="00B617F0">
        <w:rPr>
          <w:i/>
          <w:iCs/>
          <w:vertAlign w:val="superscript"/>
        </w:rPr>
        <w:t>14</w:t>
      </w:r>
      <w:r w:rsidRPr="00B617F0">
        <w:rPr>
          <w:i/>
          <w:iCs/>
        </w:rPr>
        <w:t>C]-procymidone to rabbit</w:t>
      </w:r>
      <w:r w:rsidRPr="00426C3A">
        <w:t xml:space="preserve">. Shin Nippon Biomedical Laboratories Ltd, Pharmacokinetics and Bioanalysis Center, Wakayama, Japan. Unpublished </w:t>
      </w:r>
      <w:r w:rsidR="00B617F0">
        <w:t>s</w:t>
      </w:r>
      <w:r w:rsidRPr="00426C3A">
        <w:t xml:space="preserve">tudy. Sumitomo Chemical Technical Report </w:t>
      </w:r>
      <w:r w:rsidR="00B617F0">
        <w:t>n</w:t>
      </w:r>
      <w:r w:rsidRPr="00426C3A">
        <w:t>o. BM-0107</w:t>
      </w:r>
      <w:r w:rsidR="00B617F0">
        <w:t>,</w:t>
      </w:r>
      <w:r w:rsidRPr="00426C3A">
        <w:t xml:space="preserve"> 29 July 2005</w:t>
      </w:r>
      <w:r w:rsidR="00B617F0">
        <w:t>.</w:t>
      </w:r>
    </w:p>
    <w:p w14:paraId="3C185F48" w14:textId="10D0D8A6" w:rsidR="00426C3A" w:rsidRPr="00426C3A" w:rsidRDefault="00426C3A" w:rsidP="00D05130">
      <w:pPr>
        <w:pStyle w:val="APVMAText"/>
      </w:pPr>
      <w:r w:rsidRPr="00426C3A">
        <w:t>Mogi</w:t>
      </w:r>
      <w:r w:rsidR="00852F7D">
        <w:t>,</w:t>
      </w:r>
      <w:r w:rsidRPr="00426C3A">
        <w:t xml:space="preserve"> M</w:t>
      </w:r>
      <w:r w:rsidR="00852F7D">
        <w:t>.</w:t>
      </w:r>
      <w:r w:rsidRPr="00426C3A">
        <w:t xml:space="preserve"> </w:t>
      </w:r>
      <w:r w:rsidR="00852F7D">
        <w:t>(</w:t>
      </w:r>
      <w:r w:rsidRPr="00426C3A">
        <w:t>2005e</w:t>
      </w:r>
      <w:r w:rsidR="00852F7D">
        <w:t>)</w:t>
      </w:r>
      <w:r w:rsidRPr="00426C3A">
        <w:t xml:space="preserve"> </w:t>
      </w:r>
      <w:r w:rsidRPr="00B617F0">
        <w:rPr>
          <w:i/>
          <w:iCs/>
        </w:rPr>
        <w:t xml:space="preserve">Tissue distribution of pregnant monkey and </w:t>
      </w:r>
      <w:proofErr w:type="spellStart"/>
      <w:r w:rsidRPr="00B617F0">
        <w:rPr>
          <w:i/>
          <w:iCs/>
        </w:rPr>
        <w:t>fetus</w:t>
      </w:r>
      <w:proofErr w:type="spellEnd"/>
      <w:r w:rsidRPr="00B617F0">
        <w:rPr>
          <w:i/>
          <w:iCs/>
        </w:rPr>
        <w:t xml:space="preserve"> after single oral administration of [phenyl-14C]-procymidone to pregnant monkeys</w:t>
      </w:r>
      <w:r w:rsidRPr="00426C3A">
        <w:t xml:space="preserve">. Shin Nippon Biomedical Laboratories Ltd, Pharmacokinetics and Bioanalysis Center, Wakayama, Japan. Unpublished </w:t>
      </w:r>
      <w:r w:rsidR="00B617F0">
        <w:t>s</w:t>
      </w:r>
      <w:r w:rsidRPr="00426C3A">
        <w:t xml:space="preserve">tudy. Sumitomo Chemical Technical Report </w:t>
      </w:r>
      <w:r w:rsidR="00B617F0">
        <w:t>n</w:t>
      </w:r>
      <w:r w:rsidRPr="00426C3A">
        <w:t>o. BM-0125</w:t>
      </w:r>
      <w:r w:rsidR="00B617F0">
        <w:t>,</w:t>
      </w:r>
      <w:r w:rsidRPr="00426C3A">
        <w:t xml:space="preserve"> 29 July 2005</w:t>
      </w:r>
      <w:r w:rsidR="00B617F0">
        <w:t>.</w:t>
      </w:r>
    </w:p>
    <w:p w14:paraId="0E0C1A69" w14:textId="7C99129E" w:rsidR="00426C3A" w:rsidRPr="00426C3A" w:rsidRDefault="00426C3A" w:rsidP="00D05130">
      <w:pPr>
        <w:pStyle w:val="APVMAText"/>
      </w:pPr>
      <w:r w:rsidRPr="00426C3A">
        <w:t xml:space="preserve">Murakami </w:t>
      </w:r>
      <w:r w:rsidRPr="00E456D9">
        <w:rPr>
          <w:i/>
          <w:iCs/>
        </w:rPr>
        <w:t>et al</w:t>
      </w:r>
      <w:r w:rsidRPr="00426C3A">
        <w:t xml:space="preserve">. </w:t>
      </w:r>
      <w:r w:rsidR="00852F7D">
        <w:t>(</w:t>
      </w:r>
      <w:r w:rsidRPr="00426C3A">
        <w:t>1988b</w:t>
      </w:r>
      <w:r w:rsidR="00852F7D">
        <w:t>)</w:t>
      </w:r>
      <w:r w:rsidRPr="00426C3A">
        <w:t xml:space="preserve"> </w:t>
      </w:r>
      <w:r w:rsidRPr="00B617F0">
        <w:rPr>
          <w:i/>
          <w:iCs/>
        </w:rPr>
        <w:t>Effect on testicular function of male rats and mice by subacute administration of procymidone</w:t>
      </w:r>
      <w:r w:rsidRPr="00426C3A">
        <w:t>. Sumitomo BT-80-0130.</w:t>
      </w:r>
    </w:p>
    <w:p w14:paraId="015DEC0A" w14:textId="37141945" w:rsidR="00426C3A" w:rsidRPr="00426C3A" w:rsidRDefault="00426C3A" w:rsidP="00D05130">
      <w:pPr>
        <w:pStyle w:val="APVMAText"/>
      </w:pPr>
      <w:r w:rsidRPr="00426C3A">
        <w:t>Murakami</w:t>
      </w:r>
      <w:r w:rsidR="00852F7D">
        <w:t>,</w:t>
      </w:r>
      <w:r w:rsidRPr="00426C3A">
        <w:t xml:space="preserve"> M, Hosokawa S, Yamada T, </w:t>
      </w:r>
      <w:proofErr w:type="spellStart"/>
      <w:r w:rsidRPr="00426C3A">
        <w:t>Harakawa</w:t>
      </w:r>
      <w:proofErr w:type="spellEnd"/>
      <w:r w:rsidRPr="00426C3A">
        <w:t xml:space="preserve"> M, Ito M, Koyama Y, Kimura J, </w:t>
      </w:r>
      <w:proofErr w:type="spellStart"/>
      <w:r w:rsidRPr="00426C3A">
        <w:t>Yoshitake</w:t>
      </w:r>
      <w:proofErr w:type="spellEnd"/>
      <w:r w:rsidRPr="00426C3A">
        <w:t xml:space="preserve"> A,</w:t>
      </w:r>
      <w:r w:rsidR="00852F7D">
        <w:t xml:space="preserve"> and</w:t>
      </w:r>
      <w:r w:rsidR="00852F7D" w:rsidRPr="00426C3A">
        <w:t xml:space="preserve"> </w:t>
      </w:r>
      <w:r w:rsidRPr="00426C3A">
        <w:t xml:space="preserve">Yamada H </w:t>
      </w:r>
      <w:r w:rsidR="00852F7D">
        <w:t>(</w:t>
      </w:r>
      <w:r w:rsidRPr="00426C3A">
        <w:t>1995</w:t>
      </w:r>
      <w:r w:rsidR="00852F7D">
        <w:t>)</w:t>
      </w:r>
      <w:r w:rsidRPr="00426C3A">
        <w:t xml:space="preserve"> </w:t>
      </w:r>
      <w:r w:rsidRPr="00B617F0">
        <w:rPr>
          <w:i/>
          <w:iCs/>
        </w:rPr>
        <w:t xml:space="preserve">Species-specific mechanism in rat </w:t>
      </w:r>
      <w:proofErr w:type="spellStart"/>
      <w:r w:rsidRPr="00B617F0">
        <w:rPr>
          <w:i/>
          <w:iCs/>
        </w:rPr>
        <w:t>leydig</w:t>
      </w:r>
      <w:proofErr w:type="spellEnd"/>
      <w:r w:rsidRPr="00B617F0">
        <w:rPr>
          <w:i/>
          <w:iCs/>
        </w:rPr>
        <w:t xml:space="preserve"> cell </w:t>
      </w:r>
      <w:proofErr w:type="spellStart"/>
      <w:r w:rsidRPr="00B617F0">
        <w:rPr>
          <w:i/>
          <w:iCs/>
        </w:rPr>
        <w:t>tumourigenesis</w:t>
      </w:r>
      <w:proofErr w:type="spellEnd"/>
      <w:r w:rsidRPr="00B617F0">
        <w:rPr>
          <w:i/>
          <w:iCs/>
        </w:rPr>
        <w:t xml:space="preserve"> by procymidone</w:t>
      </w:r>
      <w:r w:rsidRPr="00426C3A">
        <w:t xml:space="preserve">. </w:t>
      </w:r>
      <w:proofErr w:type="spellStart"/>
      <w:r w:rsidRPr="00426C3A">
        <w:t>Toxicol</w:t>
      </w:r>
      <w:proofErr w:type="spellEnd"/>
      <w:r w:rsidRPr="00426C3A">
        <w:t xml:space="preserve"> Appl </w:t>
      </w:r>
      <w:proofErr w:type="spellStart"/>
      <w:r w:rsidRPr="00426C3A">
        <w:t>Pharmacol</w:t>
      </w:r>
      <w:proofErr w:type="spellEnd"/>
      <w:r w:rsidRPr="00426C3A">
        <w:t>. 1995 Apr; 131(2):244-52</w:t>
      </w:r>
      <w:r w:rsidR="00B617F0">
        <w:t>.</w:t>
      </w:r>
    </w:p>
    <w:p w14:paraId="0B34F076" w14:textId="5F033AE8" w:rsidR="00426C3A" w:rsidRPr="00426C3A" w:rsidRDefault="00426C3A" w:rsidP="00D05130">
      <w:pPr>
        <w:pStyle w:val="APVMAText"/>
      </w:pPr>
      <w:r w:rsidRPr="00426C3A">
        <w:t>Murakami</w:t>
      </w:r>
      <w:r w:rsidR="00852F7D">
        <w:t>,</w:t>
      </w:r>
      <w:r w:rsidRPr="00426C3A">
        <w:t xml:space="preserve"> M</w:t>
      </w:r>
      <w:r w:rsidR="00852F7D">
        <w:t>.</w:t>
      </w:r>
      <w:r w:rsidRPr="00426C3A">
        <w:t xml:space="preserve">, </w:t>
      </w:r>
      <w:proofErr w:type="spellStart"/>
      <w:r w:rsidRPr="00426C3A">
        <w:t>Ineyama</w:t>
      </w:r>
      <w:proofErr w:type="spellEnd"/>
      <w:r w:rsidRPr="00426C3A">
        <w:t xml:space="preserve"> M</w:t>
      </w:r>
      <w:r w:rsidR="00852F7D">
        <w:t>.</w:t>
      </w:r>
      <w:r w:rsidRPr="00426C3A">
        <w:t>, Hosokawa S</w:t>
      </w:r>
      <w:r w:rsidR="00852F7D">
        <w:t>.</w:t>
      </w:r>
      <w:r w:rsidRPr="00426C3A">
        <w:t xml:space="preserve">, </w:t>
      </w:r>
      <w:proofErr w:type="spellStart"/>
      <w:r w:rsidRPr="00426C3A">
        <w:t>Yoshitake</w:t>
      </w:r>
      <w:proofErr w:type="spellEnd"/>
      <w:r w:rsidRPr="00426C3A">
        <w:t xml:space="preserve"> A</w:t>
      </w:r>
      <w:r w:rsidR="00852F7D">
        <w:t>. and</w:t>
      </w:r>
      <w:r w:rsidR="00852F7D" w:rsidRPr="00426C3A">
        <w:t xml:space="preserve"> </w:t>
      </w:r>
      <w:r w:rsidRPr="00426C3A">
        <w:t>Yamada H</w:t>
      </w:r>
      <w:r w:rsidR="00852F7D">
        <w:t>.</w:t>
      </w:r>
      <w:r w:rsidRPr="00426C3A">
        <w:t xml:space="preserve"> </w:t>
      </w:r>
      <w:r w:rsidR="00852F7D">
        <w:t>(</w:t>
      </w:r>
      <w:r w:rsidRPr="00426C3A">
        <w:t>1988a</w:t>
      </w:r>
      <w:r w:rsidR="00852F7D">
        <w:t>)</w:t>
      </w:r>
      <w:r w:rsidRPr="00426C3A">
        <w:t xml:space="preserve"> </w:t>
      </w:r>
      <w:r w:rsidRPr="00B617F0">
        <w:rPr>
          <w:i/>
          <w:iCs/>
        </w:rPr>
        <w:t>The affinity of procymidone to androgen receptor in rats and mice</w:t>
      </w:r>
      <w:r w:rsidRPr="00426C3A">
        <w:t xml:space="preserve">. Sumitomo Chemical Co. Ltd., </w:t>
      </w:r>
      <w:proofErr w:type="spellStart"/>
      <w:r w:rsidRPr="00426C3A">
        <w:t>Takarazuka</w:t>
      </w:r>
      <w:proofErr w:type="spellEnd"/>
      <w:r w:rsidRPr="00426C3A">
        <w:t xml:space="preserve"> Research Center, Hyogo, Japan. Unpublished </w:t>
      </w:r>
      <w:r w:rsidR="00B617F0" w:rsidRPr="00426C3A">
        <w:t>study n</w:t>
      </w:r>
      <w:r w:rsidRPr="00426C3A">
        <w:t xml:space="preserve">o. 599. Technical report, Sumitomo Chemical Co., Ltd, </w:t>
      </w:r>
      <w:r w:rsidR="00B617F0" w:rsidRPr="00426C3A">
        <w:t>reference n</w:t>
      </w:r>
      <w:r w:rsidRPr="00426C3A">
        <w:t>o. BT-80-0131</w:t>
      </w:r>
      <w:r w:rsidR="00B617F0">
        <w:t>,</w:t>
      </w:r>
      <w:r w:rsidRPr="00426C3A">
        <w:t xml:space="preserve"> 23 June 1988</w:t>
      </w:r>
      <w:r w:rsidR="00B617F0">
        <w:t>.</w:t>
      </w:r>
    </w:p>
    <w:p w14:paraId="08F99485" w14:textId="1F31A5E3" w:rsidR="00426C3A" w:rsidRPr="00426C3A" w:rsidRDefault="00426C3A" w:rsidP="00D05130">
      <w:pPr>
        <w:pStyle w:val="APVMAText"/>
      </w:pPr>
      <w:r w:rsidRPr="00426C3A">
        <w:t>Murli</w:t>
      </w:r>
      <w:r w:rsidR="00852F7D">
        <w:t>,</w:t>
      </w:r>
      <w:r w:rsidRPr="00426C3A">
        <w:t xml:space="preserve"> H</w:t>
      </w:r>
      <w:r w:rsidR="00852F7D">
        <w:t>.</w:t>
      </w:r>
      <w:r w:rsidRPr="00426C3A">
        <w:t xml:space="preserve"> </w:t>
      </w:r>
      <w:r w:rsidR="00852F7D">
        <w:t>(</w:t>
      </w:r>
      <w:r w:rsidRPr="00426C3A">
        <w:t>1992</w:t>
      </w:r>
      <w:r w:rsidR="00852F7D">
        <w:t>)</w:t>
      </w:r>
      <w:r w:rsidRPr="00426C3A">
        <w:t xml:space="preserve"> </w:t>
      </w:r>
      <w:r w:rsidRPr="00B617F0">
        <w:rPr>
          <w:i/>
          <w:iCs/>
        </w:rPr>
        <w:t>Mutagenicity test on CCA: in vivo mammalian micronucleus assay</w:t>
      </w:r>
      <w:r w:rsidRPr="00426C3A">
        <w:t xml:space="preserve">. Report </w:t>
      </w:r>
      <w:r w:rsidR="00B617F0">
        <w:t>n</w:t>
      </w:r>
      <w:r w:rsidRPr="00426C3A">
        <w:t xml:space="preserve">o. BT-21-0159. Study </w:t>
      </w:r>
      <w:r w:rsidR="00B617F0">
        <w:t>n</w:t>
      </w:r>
      <w:r w:rsidRPr="00426C3A">
        <w:t>o. 14938-0-455CO</w:t>
      </w:r>
    </w:p>
    <w:p w14:paraId="69C37364" w14:textId="0955BD79" w:rsidR="00426C3A" w:rsidRPr="00426C3A" w:rsidRDefault="00426C3A" w:rsidP="00D05130">
      <w:pPr>
        <w:pStyle w:val="APVMAText"/>
      </w:pPr>
      <w:proofErr w:type="spellStart"/>
      <w:r w:rsidRPr="00426C3A">
        <w:t>Nagahori</w:t>
      </w:r>
      <w:proofErr w:type="spellEnd"/>
      <w:r w:rsidR="00852F7D">
        <w:t>,</w:t>
      </w:r>
      <w:r w:rsidRPr="00426C3A">
        <w:t xml:space="preserve"> H</w:t>
      </w:r>
      <w:r w:rsidR="00852F7D">
        <w:t>.</w:t>
      </w:r>
      <w:r w:rsidRPr="00426C3A">
        <w:t>, Matsui</w:t>
      </w:r>
      <w:r w:rsidR="00852F7D">
        <w:t>,</w:t>
      </w:r>
      <w:r w:rsidRPr="00426C3A">
        <w:t xml:space="preserve"> M, </w:t>
      </w:r>
      <w:proofErr w:type="spellStart"/>
      <w:r w:rsidRPr="00426C3A">
        <w:t>Tomigahara</w:t>
      </w:r>
      <w:proofErr w:type="spellEnd"/>
      <w:r w:rsidR="00852F7D">
        <w:t>,</w:t>
      </w:r>
      <w:r w:rsidRPr="00426C3A">
        <w:t xml:space="preserve"> Y, Matsunaga</w:t>
      </w:r>
      <w:r w:rsidR="00852F7D">
        <w:t>,</w:t>
      </w:r>
      <w:r w:rsidRPr="00426C3A">
        <w:t xml:space="preserve"> H, Kaneko</w:t>
      </w:r>
      <w:r w:rsidR="00852F7D">
        <w:t>,</w:t>
      </w:r>
      <w:r w:rsidRPr="00426C3A">
        <w:t xml:space="preserve"> H and Nakatsuka</w:t>
      </w:r>
      <w:r w:rsidR="00852F7D">
        <w:t>,</w:t>
      </w:r>
      <w:r w:rsidRPr="00426C3A">
        <w:t xml:space="preserve"> I </w:t>
      </w:r>
      <w:r w:rsidR="00852F7D">
        <w:t>(</w:t>
      </w:r>
      <w:r w:rsidRPr="00426C3A">
        <w:t>1997</w:t>
      </w:r>
      <w:r w:rsidR="00852F7D">
        <w:t>)</w:t>
      </w:r>
      <w:r w:rsidRPr="00426C3A">
        <w:t xml:space="preserve"> </w:t>
      </w:r>
      <w:r w:rsidRPr="00B617F0">
        <w:rPr>
          <w:i/>
          <w:iCs/>
        </w:rPr>
        <w:t>Metabolism of procymidone in female rabbits</w:t>
      </w:r>
      <w:r w:rsidRPr="00426C3A">
        <w:t>. J. Pesticide Sci. 22: 293-298.</w:t>
      </w:r>
    </w:p>
    <w:p w14:paraId="0A2EA6F3" w14:textId="471BAF1C" w:rsidR="00426C3A" w:rsidRPr="00426C3A" w:rsidRDefault="00426C3A" w:rsidP="00D05130">
      <w:pPr>
        <w:pStyle w:val="APVMAText"/>
      </w:pPr>
      <w:r w:rsidRPr="00426C3A">
        <w:lastRenderedPageBreak/>
        <w:t>Nakashima</w:t>
      </w:r>
      <w:r w:rsidR="00852F7D">
        <w:t>,</w:t>
      </w:r>
      <w:r w:rsidRPr="00426C3A">
        <w:t xml:space="preserve"> N</w:t>
      </w:r>
      <w:r w:rsidR="00852F7D">
        <w:t>.</w:t>
      </w:r>
      <w:r w:rsidRPr="00426C3A">
        <w:t xml:space="preserve">, </w:t>
      </w:r>
      <w:proofErr w:type="spellStart"/>
      <w:r w:rsidRPr="00426C3A">
        <w:t>Ebino</w:t>
      </w:r>
      <w:proofErr w:type="spellEnd"/>
      <w:r w:rsidR="00852F7D">
        <w:t>,</w:t>
      </w:r>
      <w:r w:rsidRPr="00426C3A">
        <w:t xml:space="preserve"> K</w:t>
      </w:r>
      <w:r w:rsidR="00852F7D">
        <w:t>.</w:t>
      </w:r>
      <w:r w:rsidRPr="00426C3A">
        <w:t>, Tuda S</w:t>
      </w:r>
      <w:r w:rsidR="00852F7D">
        <w:t>.</w:t>
      </w:r>
      <w:r w:rsidRPr="00426C3A">
        <w:t xml:space="preserve">, Harada </w:t>
      </w:r>
      <w:proofErr w:type="gramStart"/>
      <w:r w:rsidRPr="00426C3A">
        <w:t>T</w:t>
      </w:r>
      <w:r w:rsidR="00852F7D">
        <w:t>.</w:t>
      </w:r>
      <w:proofErr w:type="gramEnd"/>
      <w:r w:rsidR="00852F7D">
        <w:t xml:space="preserve"> and</w:t>
      </w:r>
      <w:r w:rsidR="00852F7D" w:rsidRPr="00426C3A">
        <w:t xml:space="preserve"> </w:t>
      </w:r>
      <w:r w:rsidRPr="00426C3A">
        <w:t>Kitazawa T</w:t>
      </w:r>
      <w:r w:rsidR="00852F7D">
        <w:t>.</w:t>
      </w:r>
      <w:r w:rsidRPr="00426C3A">
        <w:t xml:space="preserve"> </w:t>
      </w:r>
      <w:r w:rsidR="00852F7D">
        <w:t>(</w:t>
      </w:r>
      <w:r w:rsidRPr="00426C3A">
        <w:t>1984</w:t>
      </w:r>
      <w:r w:rsidR="00852F7D">
        <w:t>)</w:t>
      </w:r>
      <w:r w:rsidRPr="00426C3A">
        <w:t xml:space="preserve"> </w:t>
      </w:r>
      <w:r w:rsidRPr="00B617F0">
        <w:rPr>
          <w:i/>
          <w:iCs/>
        </w:rPr>
        <w:t xml:space="preserve">A 6-month </w:t>
      </w:r>
      <w:proofErr w:type="spellStart"/>
      <w:r w:rsidRPr="00B617F0">
        <w:rPr>
          <w:i/>
          <w:iCs/>
        </w:rPr>
        <w:t>subchronic</w:t>
      </w:r>
      <w:proofErr w:type="spellEnd"/>
      <w:r w:rsidRPr="00B617F0">
        <w:rPr>
          <w:i/>
          <w:iCs/>
        </w:rPr>
        <w:t xml:space="preserve"> toxicity study of </w:t>
      </w:r>
      <w:proofErr w:type="spellStart"/>
      <w:r w:rsidRPr="00B617F0">
        <w:rPr>
          <w:i/>
          <w:iCs/>
        </w:rPr>
        <w:t>Sumilex</w:t>
      </w:r>
      <w:proofErr w:type="spellEnd"/>
      <w:r w:rsidRPr="00B617F0">
        <w:rPr>
          <w:i/>
          <w:iCs/>
        </w:rPr>
        <w:t xml:space="preserve"> in beagles</w:t>
      </w:r>
      <w:r w:rsidRPr="00426C3A">
        <w:t xml:space="preserve">. Unpublished </w:t>
      </w:r>
      <w:r w:rsidR="00B617F0" w:rsidRPr="00426C3A">
        <w:t>report n</w:t>
      </w:r>
      <w:r w:rsidRPr="00426C3A">
        <w:t xml:space="preserve">o. BT-41-0091 dated January 1984, from the Institute of Environmental Toxicology </w:t>
      </w:r>
      <w:proofErr w:type="spellStart"/>
      <w:r w:rsidRPr="00426C3A">
        <w:t>Kodaira</w:t>
      </w:r>
      <w:proofErr w:type="spellEnd"/>
      <w:r w:rsidRPr="00426C3A">
        <w:t>, Tokyo 187. Submitted by Sumitomo Chemical Co. Ltd, Osaka, Japan.</w:t>
      </w:r>
    </w:p>
    <w:p w14:paraId="3AC76B61" w14:textId="5A3E07C3" w:rsidR="00426C3A" w:rsidRPr="00426C3A" w:rsidRDefault="00426C3A" w:rsidP="00D05130">
      <w:pPr>
        <w:pStyle w:val="APVMAText"/>
      </w:pPr>
      <w:r w:rsidRPr="00426C3A">
        <w:t>Nakatsuka</w:t>
      </w:r>
      <w:r w:rsidR="00852F7D">
        <w:t>,</w:t>
      </w:r>
      <w:r w:rsidRPr="00426C3A">
        <w:t xml:space="preserve"> I</w:t>
      </w:r>
      <w:r w:rsidR="00852F7D">
        <w:t>.</w:t>
      </w:r>
      <w:r w:rsidRPr="00426C3A">
        <w:t xml:space="preserve">, </w:t>
      </w:r>
      <w:proofErr w:type="spellStart"/>
      <w:r w:rsidRPr="00426C3A">
        <w:t>Kosigo</w:t>
      </w:r>
      <w:proofErr w:type="spellEnd"/>
      <w:r w:rsidR="00852F7D">
        <w:t>,</w:t>
      </w:r>
      <w:r w:rsidRPr="00426C3A">
        <w:t xml:space="preserve"> S</w:t>
      </w:r>
      <w:r w:rsidR="00852F7D">
        <w:t>. and</w:t>
      </w:r>
      <w:r w:rsidR="00852F7D" w:rsidRPr="00426C3A">
        <w:t xml:space="preserve"> </w:t>
      </w:r>
      <w:proofErr w:type="spellStart"/>
      <w:r w:rsidRPr="00426C3A">
        <w:t>Nakasnishi</w:t>
      </w:r>
      <w:proofErr w:type="spellEnd"/>
      <w:r w:rsidRPr="00426C3A">
        <w:t xml:space="preserve"> T</w:t>
      </w:r>
      <w:r w:rsidR="00852F7D">
        <w:t>.</w:t>
      </w:r>
      <w:r w:rsidRPr="00426C3A">
        <w:t xml:space="preserve"> </w:t>
      </w:r>
      <w:r w:rsidR="00852F7D">
        <w:t>(</w:t>
      </w:r>
      <w:r w:rsidRPr="00426C3A">
        <w:t>1991</w:t>
      </w:r>
      <w:r w:rsidR="00852F7D">
        <w:t>)</w:t>
      </w:r>
      <w:r w:rsidRPr="00426C3A">
        <w:t xml:space="preserve"> </w:t>
      </w:r>
      <w:r w:rsidRPr="00B617F0">
        <w:rPr>
          <w:i/>
          <w:iCs/>
        </w:rPr>
        <w:t>Skin sensitisation test of procymidone in guinea pigs</w:t>
      </w:r>
      <w:r w:rsidRPr="00426C3A">
        <w:t xml:space="preserve">. Study no: 2403, Lab &amp; Sponsor: Environmental Health Science Laboratory, Sumitomo Chemical Co. Ltd Osaka, Japan. Report no: BT-10-0146, </w:t>
      </w:r>
      <w:r w:rsidR="00B617F0">
        <w:t>r</w:t>
      </w:r>
      <w:r w:rsidRPr="00426C3A">
        <w:t>eport date: December 11, 1991</w:t>
      </w:r>
      <w:r w:rsidR="00B617F0">
        <w:t>.</w:t>
      </w:r>
    </w:p>
    <w:p w14:paraId="0F6F3D6F" w14:textId="18BCBA9B" w:rsidR="00426C3A" w:rsidRPr="00426C3A" w:rsidRDefault="00426C3A" w:rsidP="00D05130">
      <w:pPr>
        <w:pStyle w:val="APVMAText"/>
      </w:pPr>
      <w:proofErr w:type="spellStart"/>
      <w:r w:rsidRPr="00426C3A">
        <w:t>Nellemann</w:t>
      </w:r>
      <w:proofErr w:type="spellEnd"/>
      <w:r w:rsidR="00852F7D">
        <w:t>,</w:t>
      </w:r>
      <w:r w:rsidRPr="00426C3A">
        <w:t xml:space="preserve"> C</w:t>
      </w:r>
      <w:r w:rsidR="00852F7D">
        <w:t>.</w:t>
      </w:r>
      <w:r w:rsidRPr="00426C3A">
        <w:t xml:space="preserve">, </w:t>
      </w:r>
      <w:proofErr w:type="spellStart"/>
      <w:r w:rsidRPr="00426C3A">
        <w:t>Dalgaard</w:t>
      </w:r>
      <w:proofErr w:type="spellEnd"/>
      <w:r w:rsidR="00852F7D">
        <w:t>,</w:t>
      </w:r>
      <w:r w:rsidRPr="00426C3A">
        <w:t xml:space="preserve"> M</w:t>
      </w:r>
      <w:r w:rsidR="00852F7D">
        <w:t>.</w:t>
      </w:r>
      <w:r w:rsidRPr="00426C3A">
        <w:t>, Lam</w:t>
      </w:r>
      <w:r w:rsidR="00852F7D">
        <w:t>,</w:t>
      </w:r>
      <w:r w:rsidRPr="00426C3A">
        <w:t xml:space="preserve"> H</w:t>
      </w:r>
      <w:r w:rsidR="00852F7D">
        <w:t>.</w:t>
      </w:r>
      <w:r w:rsidRPr="00426C3A">
        <w:t>R</w:t>
      </w:r>
      <w:r w:rsidR="00852F7D">
        <w:t>. and</w:t>
      </w:r>
      <w:r w:rsidRPr="00426C3A">
        <w:t xml:space="preserve"> </w:t>
      </w:r>
      <w:proofErr w:type="spellStart"/>
      <w:r w:rsidRPr="00426C3A">
        <w:t>Vinggaard</w:t>
      </w:r>
      <w:proofErr w:type="spellEnd"/>
      <w:r w:rsidR="00852F7D">
        <w:t>,</w:t>
      </w:r>
      <w:r w:rsidRPr="00426C3A">
        <w:t xml:space="preserve"> A</w:t>
      </w:r>
      <w:r w:rsidR="00852F7D">
        <w:t>.</w:t>
      </w:r>
      <w:r w:rsidRPr="00426C3A">
        <w:t xml:space="preserve"> </w:t>
      </w:r>
      <w:r w:rsidR="00852F7D">
        <w:t>(</w:t>
      </w:r>
      <w:r w:rsidRPr="00426C3A">
        <w:t>2003</w:t>
      </w:r>
      <w:r w:rsidR="00852F7D">
        <w:t>)</w:t>
      </w:r>
      <w:r w:rsidRPr="00426C3A">
        <w:t xml:space="preserve"> </w:t>
      </w:r>
      <w:r w:rsidRPr="00B617F0">
        <w:rPr>
          <w:i/>
          <w:iCs/>
        </w:rPr>
        <w:t>The combined effects of vinclozolin and procymidone do not deviate from expected additivity in vitro and in vivo</w:t>
      </w:r>
      <w:r w:rsidRPr="00426C3A">
        <w:t xml:space="preserve">. </w:t>
      </w:r>
      <w:proofErr w:type="spellStart"/>
      <w:r w:rsidRPr="00426C3A">
        <w:t>Toxicol</w:t>
      </w:r>
      <w:proofErr w:type="spellEnd"/>
      <w:r w:rsidRPr="00426C3A">
        <w:t xml:space="preserve"> Sci. 2003 Feb; 71(2):251-62</w:t>
      </w:r>
      <w:r w:rsidR="00B617F0">
        <w:t>.</w:t>
      </w:r>
    </w:p>
    <w:p w14:paraId="399492F5" w14:textId="60A3B229" w:rsidR="00426C3A" w:rsidRPr="00426C3A" w:rsidRDefault="00426C3A" w:rsidP="00D05130">
      <w:pPr>
        <w:pStyle w:val="APVMAText"/>
      </w:pPr>
      <w:r w:rsidRPr="00426C3A">
        <w:t xml:space="preserve">Nomura Research Institute </w:t>
      </w:r>
      <w:r w:rsidR="00852F7D">
        <w:t>(</w:t>
      </w:r>
      <w:r w:rsidRPr="00426C3A">
        <w:t>1980</w:t>
      </w:r>
      <w:r w:rsidR="00852F7D">
        <w:t>)</w:t>
      </w:r>
      <w:r w:rsidRPr="00426C3A">
        <w:t xml:space="preserve"> </w:t>
      </w:r>
      <w:r w:rsidRPr="00B617F0">
        <w:rPr>
          <w:i/>
          <w:iCs/>
        </w:rPr>
        <w:t xml:space="preserve">Inhalation toxicity study of agricultural fungicide, </w:t>
      </w:r>
      <w:proofErr w:type="spellStart"/>
      <w:r w:rsidRPr="00B617F0">
        <w:rPr>
          <w:i/>
          <w:iCs/>
        </w:rPr>
        <w:t>sumilex</w:t>
      </w:r>
      <w:proofErr w:type="spellEnd"/>
      <w:r w:rsidRPr="00B617F0">
        <w:rPr>
          <w:i/>
          <w:iCs/>
        </w:rPr>
        <w:t xml:space="preserve"> fumigant in rats</w:t>
      </w:r>
      <w:r w:rsidRPr="00426C3A">
        <w:t xml:space="preserve">. Report </w:t>
      </w:r>
      <w:r w:rsidR="00B617F0">
        <w:t>n</w:t>
      </w:r>
      <w:r w:rsidRPr="00426C3A">
        <w:t>o. BT-11-0134. Lab:</w:t>
      </w:r>
      <w:r w:rsidR="00B617F0">
        <w:t> </w:t>
      </w:r>
      <w:r w:rsidRPr="00426C3A">
        <w:t>Nomura Research Institute, unspecified location. Sponsor:</w:t>
      </w:r>
      <w:r w:rsidR="00B617F0">
        <w:t> </w:t>
      </w:r>
      <w:r w:rsidRPr="00426C3A">
        <w:t>unspecified. Unpublished.</w:t>
      </w:r>
    </w:p>
    <w:p w14:paraId="13D68D5C" w14:textId="41192C4E" w:rsidR="00426C3A" w:rsidRPr="00426C3A" w:rsidRDefault="00B617F0" w:rsidP="00D05130">
      <w:pPr>
        <w:pStyle w:val="APVMAText"/>
      </w:pPr>
      <w:r>
        <w:t>Organisation for Economic Cooperation and Development (</w:t>
      </w:r>
      <w:r w:rsidR="00426C3A" w:rsidRPr="00426C3A">
        <w:t>OECD</w:t>
      </w:r>
      <w:r w:rsidRPr="00B617F0">
        <w:t>)</w:t>
      </w:r>
      <w:r w:rsidR="00426C3A" w:rsidRPr="00B617F0">
        <w:t xml:space="preserve"> </w:t>
      </w:r>
      <w:r w:rsidR="00852F7D" w:rsidRPr="00B617F0">
        <w:t>(</w:t>
      </w:r>
      <w:r w:rsidR="00426C3A" w:rsidRPr="00B617F0">
        <w:t>2011</w:t>
      </w:r>
      <w:r w:rsidR="00852F7D" w:rsidRPr="00B617F0">
        <w:t>)</w:t>
      </w:r>
      <w:r w:rsidR="00426C3A" w:rsidRPr="00B617F0">
        <w:t xml:space="preserve"> </w:t>
      </w:r>
      <w:hyperlink r:id="rId50" w:history="1">
        <w:r w:rsidR="00426C3A" w:rsidRPr="00B617F0">
          <w:rPr>
            <w:rStyle w:val="Hyperlink"/>
            <w:i/>
            <w:iCs/>
          </w:rPr>
          <w:t>Guidance Notes on Dermal Absorption, Series on Testing and Assessment No. 156, OECD Environment, Health and Safety Publications, Environment Directorate</w:t>
        </w:r>
      </w:hyperlink>
      <w:r w:rsidR="00426C3A" w:rsidRPr="00426C3A">
        <w:t>, Organisation for Economic Co-operation and Development, Paris 2011</w:t>
      </w:r>
      <w:r>
        <w:t>.</w:t>
      </w:r>
    </w:p>
    <w:p w14:paraId="28F9B96C" w14:textId="14DB8E64" w:rsidR="00426C3A" w:rsidRPr="00426C3A" w:rsidRDefault="00426C3A" w:rsidP="00D05130">
      <w:pPr>
        <w:pStyle w:val="APVMAText"/>
      </w:pPr>
      <w:r w:rsidRPr="00426C3A">
        <w:t>Ogata</w:t>
      </w:r>
      <w:r w:rsidR="00852F7D">
        <w:t>,</w:t>
      </w:r>
      <w:r w:rsidRPr="00426C3A">
        <w:t xml:space="preserve"> H</w:t>
      </w:r>
      <w:r w:rsidR="00852F7D">
        <w:t>.</w:t>
      </w:r>
      <w:r w:rsidRPr="00426C3A">
        <w:t xml:space="preserve"> </w:t>
      </w:r>
      <w:r w:rsidR="00852F7D">
        <w:t>(</w:t>
      </w:r>
      <w:r w:rsidRPr="00426C3A">
        <w:t>2002</w:t>
      </w:r>
      <w:r w:rsidR="00852F7D">
        <w:t>)</w:t>
      </w:r>
      <w:r w:rsidRPr="00426C3A">
        <w:t xml:space="preserve"> </w:t>
      </w:r>
      <w:r w:rsidRPr="00B617F0">
        <w:rPr>
          <w:i/>
          <w:iCs/>
        </w:rPr>
        <w:t>28-</w:t>
      </w:r>
      <w:r w:rsidR="00B617F0" w:rsidRPr="00B617F0">
        <w:rPr>
          <w:i/>
          <w:iCs/>
        </w:rPr>
        <w:t>d</w:t>
      </w:r>
      <w:r w:rsidRPr="00B617F0">
        <w:rPr>
          <w:i/>
          <w:iCs/>
        </w:rPr>
        <w:t>ay repeated dose dermal toxicity study of procymidone TG in rats</w:t>
      </w:r>
      <w:r w:rsidRPr="00426C3A">
        <w:t xml:space="preserve">. </w:t>
      </w:r>
      <w:proofErr w:type="spellStart"/>
      <w:r w:rsidRPr="00426C3A">
        <w:t>Panapharm</w:t>
      </w:r>
      <w:proofErr w:type="spellEnd"/>
      <w:r w:rsidRPr="00426C3A">
        <w:t xml:space="preserve"> Laboratories, Co., Ltd., Kumamoto, Japan. Unpublished Study No. 20139. Technical report, Sumitomo Chemical Co. Ltd, BT-0200. 25 January 2002.</w:t>
      </w:r>
    </w:p>
    <w:p w14:paraId="0F4B2427" w14:textId="492D1E15" w:rsidR="00426C3A" w:rsidRPr="00426C3A" w:rsidRDefault="00426C3A" w:rsidP="00D05130">
      <w:pPr>
        <w:pStyle w:val="APVMAText"/>
      </w:pPr>
      <w:proofErr w:type="spellStart"/>
      <w:r w:rsidRPr="00426C3A">
        <w:t>Ohzone</w:t>
      </w:r>
      <w:proofErr w:type="spellEnd"/>
      <w:r w:rsidR="00852F7D">
        <w:t>,</w:t>
      </w:r>
      <w:r w:rsidRPr="00426C3A">
        <w:t xml:space="preserve"> Y</w:t>
      </w:r>
      <w:r w:rsidR="00852F7D">
        <w:t>.</w:t>
      </w:r>
      <w:r w:rsidRPr="00426C3A">
        <w:t xml:space="preserve"> </w:t>
      </w:r>
      <w:r w:rsidR="00852F7D">
        <w:t>(</w:t>
      </w:r>
      <w:r w:rsidRPr="00426C3A">
        <w:t>2005a</w:t>
      </w:r>
      <w:r w:rsidR="00852F7D">
        <w:t>)</w:t>
      </w:r>
      <w:r w:rsidRPr="00426C3A">
        <w:t xml:space="preserve"> </w:t>
      </w:r>
      <w:r w:rsidRPr="00B617F0">
        <w:rPr>
          <w:i/>
          <w:iCs/>
        </w:rPr>
        <w:t>Excretions of procymidone in chimeric mice</w:t>
      </w:r>
      <w:r w:rsidRPr="00426C3A">
        <w:t xml:space="preserve">. ADME/TOX Research Institute, Daiichi Pure Chemicals Co. Ltd, Ibaraki, Japan, </w:t>
      </w:r>
      <w:r w:rsidR="00B617F0" w:rsidRPr="00426C3A">
        <w:t>unpublished study</w:t>
      </w:r>
      <w:r w:rsidRPr="00426C3A">
        <w:t>, Sumitomo Chemical Co. Ltd, Technical report, Sumitomo Chemical, Technical Report No. BM-0108</w:t>
      </w:r>
      <w:r w:rsidR="00B617F0">
        <w:t>,</w:t>
      </w:r>
      <w:r w:rsidRPr="00426C3A">
        <w:t xml:space="preserve"> 03 August 2003</w:t>
      </w:r>
      <w:r w:rsidR="00B617F0">
        <w:t>.</w:t>
      </w:r>
    </w:p>
    <w:p w14:paraId="50B69D52" w14:textId="109D6048" w:rsidR="00426C3A" w:rsidRPr="00426C3A" w:rsidRDefault="00426C3A" w:rsidP="00D05130">
      <w:pPr>
        <w:pStyle w:val="APVMAText"/>
      </w:pPr>
      <w:proofErr w:type="spellStart"/>
      <w:r w:rsidRPr="00426C3A">
        <w:t>Ohzone</w:t>
      </w:r>
      <w:proofErr w:type="spellEnd"/>
      <w:r w:rsidR="00852F7D">
        <w:t>,</w:t>
      </w:r>
      <w:r w:rsidRPr="00426C3A">
        <w:t xml:space="preserve"> Y</w:t>
      </w:r>
      <w:r w:rsidR="00852F7D">
        <w:t>.</w:t>
      </w:r>
      <w:r w:rsidRPr="00426C3A">
        <w:t xml:space="preserve"> </w:t>
      </w:r>
      <w:r w:rsidR="00852F7D">
        <w:t>(</w:t>
      </w:r>
      <w:r w:rsidRPr="00426C3A">
        <w:t>2005b</w:t>
      </w:r>
      <w:r w:rsidR="00852F7D">
        <w:t>)</w:t>
      </w:r>
      <w:r w:rsidRPr="00426C3A">
        <w:t xml:space="preserve"> </w:t>
      </w:r>
      <w:r w:rsidRPr="00B617F0">
        <w:rPr>
          <w:i/>
          <w:iCs/>
        </w:rPr>
        <w:t>Biliary excretion of procymidone in chimeric mice</w:t>
      </w:r>
      <w:r w:rsidRPr="00426C3A">
        <w:t xml:space="preserve">. ADME/TOX Research Institute, Daiichi Pure Chemicals Co. Ltd, Ibaraki, Japan, </w:t>
      </w:r>
      <w:r w:rsidR="00B617F0" w:rsidRPr="00426C3A">
        <w:t>unpublished study</w:t>
      </w:r>
      <w:r w:rsidRPr="00426C3A">
        <w:t>, Sumitomo Chemical Co. Ltd, Technical report, Sumitomo Chemical, Technical Report No., BM-0126</w:t>
      </w:r>
      <w:r w:rsidR="00B617F0">
        <w:t>,</w:t>
      </w:r>
      <w:r w:rsidRPr="00426C3A">
        <w:t xml:space="preserve"> 03 August 2003</w:t>
      </w:r>
      <w:r w:rsidR="00B617F0">
        <w:t>.</w:t>
      </w:r>
    </w:p>
    <w:p w14:paraId="08BE32A0" w14:textId="3B0AC5D6" w:rsidR="00426C3A" w:rsidRPr="00426C3A" w:rsidRDefault="00426C3A" w:rsidP="00D05130">
      <w:pPr>
        <w:pStyle w:val="APVMAText"/>
      </w:pPr>
      <w:proofErr w:type="spellStart"/>
      <w:r w:rsidRPr="00426C3A">
        <w:t>Ostby</w:t>
      </w:r>
      <w:proofErr w:type="spellEnd"/>
      <w:r w:rsidR="00852F7D">
        <w:t>,</w:t>
      </w:r>
      <w:r w:rsidRPr="00426C3A">
        <w:t xml:space="preserve"> J</w:t>
      </w:r>
      <w:r w:rsidR="00852F7D">
        <w:t>.</w:t>
      </w:r>
      <w:r w:rsidRPr="00426C3A">
        <w:t>, Kelce</w:t>
      </w:r>
      <w:r w:rsidR="00852F7D">
        <w:t>,</w:t>
      </w:r>
      <w:r w:rsidRPr="00426C3A">
        <w:t xml:space="preserve"> W</w:t>
      </w:r>
      <w:r w:rsidR="00852F7D">
        <w:t>.</w:t>
      </w:r>
      <w:r w:rsidRPr="00426C3A">
        <w:t>, Lambright</w:t>
      </w:r>
      <w:r w:rsidR="00852F7D">
        <w:t>,</w:t>
      </w:r>
      <w:r w:rsidRPr="00426C3A">
        <w:t xml:space="preserve"> C</w:t>
      </w:r>
      <w:r w:rsidR="00852F7D">
        <w:t>.</w:t>
      </w:r>
      <w:r w:rsidRPr="00426C3A">
        <w:t>, Wolf</w:t>
      </w:r>
      <w:r w:rsidR="00852F7D">
        <w:t>,</w:t>
      </w:r>
      <w:r w:rsidRPr="00426C3A">
        <w:t xml:space="preserve"> C</w:t>
      </w:r>
      <w:r w:rsidR="00852F7D">
        <w:t>.</w:t>
      </w:r>
      <w:r w:rsidRPr="00426C3A">
        <w:t>, Mann</w:t>
      </w:r>
      <w:r w:rsidR="00852F7D">
        <w:t>,</w:t>
      </w:r>
      <w:r w:rsidRPr="00426C3A">
        <w:t xml:space="preserve"> P</w:t>
      </w:r>
      <w:r w:rsidR="00852F7D">
        <w:t>. and</w:t>
      </w:r>
      <w:r w:rsidR="00852F7D" w:rsidRPr="00426C3A">
        <w:t xml:space="preserve"> </w:t>
      </w:r>
      <w:r w:rsidRPr="00426C3A">
        <w:t>Gray</w:t>
      </w:r>
      <w:r w:rsidR="00852F7D">
        <w:t>,</w:t>
      </w:r>
      <w:r w:rsidRPr="00426C3A">
        <w:t xml:space="preserve"> L</w:t>
      </w:r>
      <w:r w:rsidR="00852F7D">
        <w:t>.</w:t>
      </w:r>
      <w:r w:rsidRPr="00426C3A">
        <w:t xml:space="preserve"> </w:t>
      </w:r>
      <w:r w:rsidR="00852F7D">
        <w:t>(</w:t>
      </w:r>
      <w:r w:rsidRPr="00426C3A">
        <w:t>1999</w:t>
      </w:r>
      <w:r w:rsidR="00852F7D">
        <w:t>)</w:t>
      </w:r>
      <w:r w:rsidRPr="00426C3A">
        <w:t xml:space="preserve"> </w:t>
      </w:r>
      <w:r w:rsidRPr="00B617F0">
        <w:rPr>
          <w:i/>
          <w:iCs/>
        </w:rPr>
        <w:t>The fungicide procymidone alters sexual differentiation in the male rat by acting as an androgen-receptor antagonist in vivo and in vitro</w:t>
      </w:r>
      <w:r w:rsidRPr="00426C3A">
        <w:t xml:space="preserve">. </w:t>
      </w:r>
      <w:proofErr w:type="spellStart"/>
      <w:r w:rsidRPr="00426C3A">
        <w:t>Toxicol</w:t>
      </w:r>
      <w:proofErr w:type="spellEnd"/>
      <w:r w:rsidRPr="00426C3A">
        <w:t xml:space="preserve"> Ind Health. 1999 Jan</w:t>
      </w:r>
      <w:r w:rsidR="00B617F0">
        <w:t>–</w:t>
      </w:r>
      <w:r w:rsidRPr="00426C3A">
        <w:t>Mar; 15(1-2):80-93</w:t>
      </w:r>
      <w:r w:rsidR="00B617F0">
        <w:t>.</w:t>
      </w:r>
    </w:p>
    <w:p w14:paraId="03A8E3D1" w14:textId="32FD5EE9" w:rsidR="00426C3A" w:rsidRPr="00426C3A" w:rsidRDefault="00426C3A" w:rsidP="00D05130">
      <w:pPr>
        <w:pStyle w:val="APVMAText"/>
      </w:pPr>
      <w:r w:rsidRPr="00426C3A">
        <w:t>Owen</w:t>
      </w:r>
      <w:r w:rsidR="00852F7D">
        <w:t>,</w:t>
      </w:r>
      <w:r w:rsidRPr="00426C3A">
        <w:t xml:space="preserve"> H</w:t>
      </w:r>
      <w:r w:rsidR="00852F7D">
        <w:t>.</w:t>
      </w:r>
      <w:r w:rsidRPr="00426C3A">
        <w:t>M</w:t>
      </w:r>
      <w:r w:rsidR="00852F7D">
        <w:t>.</w:t>
      </w:r>
      <w:r w:rsidRPr="00426C3A">
        <w:t xml:space="preserve"> </w:t>
      </w:r>
      <w:r w:rsidR="00852F7D">
        <w:t>(</w:t>
      </w:r>
      <w:r w:rsidRPr="00426C3A">
        <w:t>2002</w:t>
      </w:r>
      <w:r w:rsidR="00852F7D">
        <w:t>)</w:t>
      </w:r>
      <w:r w:rsidRPr="00426C3A">
        <w:t xml:space="preserve"> </w:t>
      </w:r>
      <w:r w:rsidRPr="00B617F0">
        <w:rPr>
          <w:i/>
          <w:iCs/>
        </w:rPr>
        <w:t>Procymidone: In vitro absorption through human and rat epidermis</w:t>
      </w:r>
      <w:r w:rsidRPr="00426C3A">
        <w:t xml:space="preserve">. Central Toxicology Laboratory, Cheshire, UK. Unpublished </w:t>
      </w:r>
      <w:r w:rsidR="00B617F0">
        <w:t>s</w:t>
      </w:r>
      <w:r w:rsidRPr="00426C3A">
        <w:t xml:space="preserve">tudy </w:t>
      </w:r>
      <w:r w:rsidR="00B617F0">
        <w:t>n</w:t>
      </w:r>
      <w:r w:rsidRPr="00426C3A">
        <w:t>o. JV 1689. Technical report, Sumitomo Chemical Co. Ltd, BM-0076</w:t>
      </w:r>
      <w:r w:rsidR="00B617F0">
        <w:t>,</w:t>
      </w:r>
      <w:r w:rsidRPr="00426C3A">
        <w:t xml:space="preserve"> 1 May 2002.</w:t>
      </w:r>
    </w:p>
    <w:p w14:paraId="01388B8B" w14:textId="31E1BDF8" w:rsidR="00426C3A" w:rsidRPr="00426C3A" w:rsidRDefault="00426C3A" w:rsidP="00D05130">
      <w:pPr>
        <w:pStyle w:val="APVMAText"/>
      </w:pPr>
      <w:r w:rsidRPr="00426C3A">
        <w:t>Pence</w:t>
      </w:r>
      <w:r w:rsidR="00852F7D">
        <w:t>,</w:t>
      </w:r>
      <w:r w:rsidRPr="00426C3A">
        <w:t xml:space="preserve"> D</w:t>
      </w:r>
      <w:r w:rsidR="00852F7D">
        <w:t>.</w:t>
      </w:r>
      <w:r w:rsidRPr="00426C3A">
        <w:t>H</w:t>
      </w:r>
      <w:r w:rsidR="00852F7D">
        <w:t>.</w:t>
      </w:r>
      <w:r w:rsidRPr="00426C3A">
        <w:t>, Hoberman</w:t>
      </w:r>
      <w:r w:rsidR="00852F7D">
        <w:t>,</w:t>
      </w:r>
      <w:r w:rsidRPr="00426C3A">
        <w:t xml:space="preserve"> A</w:t>
      </w:r>
      <w:r w:rsidR="00852F7D">
        <w:t>.</w:t>
      </w:r>
      <w:r w:rsidRPr="00426C3A">
        <w:t>M</w:t>
      </w:r>
      <w:r w:rsidR="00852F7D">
        <w:t>.</w:t>
      </w:r>
      <w:r w:rsidRPr="00426C3A">
        <w:t>, Spicer</w:t>
      </w:r>
      <w:r w:rsidR="00852F7D">
        <w:t>,</w:t>
      </w:r>
      <w:r w:rsidRPr="00426C3A">
        <w:t xml:space="preserve"> K</w:t>
      </w:r>
      <w:r w:rsidR="00852F7D">
        <w:t>.</w:t>
      </w:r>
      <w:r w:rsidRPr="00426C3A">
        <w:t>M</w:t>
      </w:r>
      <w:r w:rsidR="00852F7D">
        <w:t>.</w:t>
      </w:r>
      <w:r w:rsidRPr="00426C3A">
        <w:t xml:space="preserve"> </w:t>
      </w:r>
      <w:r w:rsidR="00852F7D">
        <w:t>(</w:t>
      </w:r>
      <w:r w:rsidRPr="00426C3A">
        <w:t>1980</w:t>
      </w:r>
      <w:r w:rsidR="00852F7D">
        <w:t>)</w:t>
      </w:r>
      <w:r w:rsidRPr="00426C3A">
        <w:t xml:space="preserve"> </w:t>
      </w:r>
      <w:r w:rsidRPr="00B617F0">
        <w:rPr>
          <w:i/>
          <w:iCs/>
        </w:rPr>
        <w:t>Pilot teratology study in rats S-7131 (technical) final report</w:t>
      </w:r>
      <w:r w:rsidRPr="00426C3A">
        <w:t xml:space="preserve">. Report </w:t>
      </w:r>
      <w:r w:rsidR="00B617F0">
        <w:t>n</w:t>
      </w:r>
      <w:r w:rsidRPr="00426C3A">
        <w:t>o.BT-01-0041. Lab Hazelton Laboratories America Inc, Vienna, Virginia, USA. Sponsor: Sumitomo Chemical Co. Ltd, Osaka Pesticides Division, Osaka, Japan. Unpublished. Study duration:</w:t>
      </w:r>
      <w:r w:rsidR="00B617F0">
        <w:t> </w:t>
      </w:r>
      <w:r w:rsidRPr="00426C3A">
        <w:t>29th May to 22nd June 1980. Report date:</w:t>
      </w:r>
      <w:r w:rsidR="00B617F0">
        <w:t> </w:t>
      </w:r>
      <w:r w:rsidRPr="00426C3A">
        <w:t>26th September 1980.</w:t>
      </w:r>
    </w:p>
    <w:p w14:paraId="714DF2F7" w14:textId="0729244F" w:rsidR="00426C3A" w:rsidRPr="00426C3A" w:rsidRDefault="00426C3A" w:rsidP="00D05130">
      <w:pPr>
        <w:pStyle w:val="APVMAText"/>
      </w:pPr>
      <w:r w:rsidRPr="00426C3A">
        <w:t>Rosen</w:t>
      </w:r>
      <w:r w:rsidR="00852F7D">
        <w:t>,</w:t>
      </w:r>
      <w:r w:rsidRPr="00426C3A">
        <w:t xml:space="preserve"> M</w:t>
      </w:r>
      <w:r w:rsidR="00852F7D">
        <w:t>.</w:t>
      </w:r>
      <w:r w:rsidRPr="00426C3A">
        <w:t>B</w:t>
      </w:r>
      <w:r w:rsidR="00852F7D">
        <w:t>.</w:t>
      </w:r>
      <w:r w:rsidRPr="00426C3A">
        <w:t>, Wilson V</w:t>
      </w:r>
      <w:r w:rsidR="00B617F0">
        <w:t>.</w:t>
      </w:r>
      <w:r w:rsidRPr="00426C3A">
        <w:t>S</w:t>
      </w:r>
      <w:r w:rsidR="00B617F0">
        <w:t>.</w:t>
      </w:r>
      <w:r w:rsidRPr="00426C3A">
        <w:t xml:space="preserve">, </w:t>
      </w:r>
      <w:proofErr w:type="spellStart"/>
      <w:r w:rsidRPr="00426C3A">
        <w:t>Scmid</w:t>
      </w:r>
      <w:proofErr w:type="spellEnd"/>
      <w:r w:rsidRPr="00426C3A">
        <w:t xml:space="preserve"> J</w:t>
      </w:r>
      <w:r w:rsidR="00B617F0">
        <w:t>.</w:t>
      </w:r>
      <w:r w:rsidRPr="00426C3A">
        <w:t>E</w:t>
      </w:r>
      <w:r w:rsidR="00B617F0">
        <w:t>.</w:t>
      </w:r>
      <w:r w:rsidR="00852F7D">
        <w:t xml:space="preserve"> and</w:t>
      </w:r>
      <w:r w:rsidR="00852F7D" w:rsidRPr="00426C3A">
        <w:t xml:space="preserve"> </w:t>
      </w:r>
      <w:r w:rsidRPr="00426C3A">
        <w:t>Gray</w:t>
      </w:r>
      <w:r w:rsidR="00852F7D">
        <w:t>,</w:t>
      </w:r>
      <w:r w:rsidRPr="00426C3A">
        <w:t xml:space="preserve"> L</w:t>
      </w:r>
      <w:r w:rsidR="00B617F0">
        <w:t>.</w:t>
      </w:r>
      <w:r w:rsidRPr="00426C3A">
        <w:t xml:space="preserve"> </w:t>
      </w:r>
      <w:r w:rsidR="00852F7D">
        <w:t>(</w:t>
      </w:r>
      <w:r w:rsidRPr="00426C3A">
        <w:t>2005</w:t>
      </w:r>
      <w:r w:rsidR="00852F7D">
        <w:t>)</w:t>
      </w:r>
      <w:r w:rsidRPr="00426C3A">
        <w:t xml:space="preserve"> </w:t>
      </w:r>
      <w:r w:rsidRPr="00B617F0">
        <w:rPr>
          <w:i/>
          <w:iCs/>
        </w:rPr>
        <w:t>Gene expression analysis in the ventral prostate of rats exposed to vinclozolin or procymidone</w:t>
      </w:r>
      <w:r w:rsidRPr="00426C3A">
        <w:t xml:space="preserve">. </w:t>
      </w:r>
      <w:proofErr w:type="spellStart"/>
      <w:r w:rsidRPr="00426C3A">
        <w:t>Reprod</w:t>
      </w:r>
      <w:proofErr w:type="spellEnd"/>
      <w:r w:rsidRPr="00426C3A">
        <w:t xml:space="preserve"> </w:t>
      </w:r>
      <w:proofErr w:type="spellStart"/>
      <w:r w:rsidRPr="00426C3A">
        <w:t>Toxicol</w:t>
      </w:r>
      <w:proofErr w:type="spellEnd"/>
      <w:r w:rsidRPr="00426C3A">
        <w:t>. 2005 Jan-Feb; 19(3):367-79</w:t>
      </w:r>
      <w:r w:rsidR="00B617F0">
        <w:t>.</w:t>
      </w:r>
    </w:p>
    <w:p w14:paraId="566ED2A9" w14:textId="0BD31479" w:rsidR="00426C3A" w:rsidRPr="00426C3A" w:rsidRDefault="00426C3A" w:rsidP="00D05130">
      <w:pPr>
        <w:pStyle w:val="APVMAText"/>
      </w:pPr>
      <w:r w:rsidRPr="00426C3A">
        <w:lastRenderedPageBreak/>
        <w:t>Saito</w:t>
      </w:r>
      <w:r w:rsidR="00852F7D">
        <w:t>,</w:t>
      </w:r>
      <w:r w:rsidRPr="00426C3A">
        <w:t xml:space="preserve"> K</w:t>
      </w:r>
      <w:r w:rsidR="00852F7D">
        <w:t>.</w:t>
      </w:r>
      <w:r w:rsidRPr="00426C3A">
        <w:t xml:space="preserve"> </w:t>
      </w:r>
      <w:r w:rsidR="00852F7D">
        <w:t>(</w:t>
      </w:r>
      <w:r w:rsidRPr="00426C3A">
        <w:t>1992</w:t>
      </w:r>
      <w:r w:rsidR="00852F7D">
        <w:t>)</w:t>
      </w:r>
      <w:r w:rsidRPr="00426C3A">
        <w:t xml:space="preserve"> </w:t>
      </w:r>
      <w:r w:rsidRPr="00B617F0">
        <w:rPr>
          <w:i/>
          <w:iCs/>
        </w:rPr>
        <w:t>Metabolism of CCA in rats</w:t>
      </w:r>
      <w:r w:rsidRPr="00426C3A">
        <w:t xml:space="preserve">. Sumitomo Chemical Co., Environmental Health Science Laboratory, Osaka, Japan. Unpublished </w:t>
      </w:r>
      <w:r w:rsidR="00B617F0">
        <w:t>s</w:t>
      </w:r>
      <w:r w:rsidRPr="00426C3A">
        <w:t>tudy no. 2519. Technical report, Sumitomo Chemical Co. Ltd BM-20-0032. 22 June 1992.</w:t>
      </w:r>
    </w:p>
    <w:p w14:paraId="7494762F" w14:textId="3BC52F3D" w:rsidR="00426C3A" w:rsidRPr="00426C3A" w:rsidRDefault="00426C3A" w:rsidP="00D05130">
      <w:pPr>
        <w:pStyle w:val="APVMAText"/>
      </w:pPr>
      <w:proofErr w:type="spellStart"/>
      <w:r w:rsidRPr="00426C3A">
        <w:t>Sapone</w:t>
      </w:r>
      <w:proofErr w:type="spellEnd"/>
      <w:r w:rsidR="00852F7D">
        <w:t>,</w:t>
      </w:r>
      <w:r w:rsidRPr="00426C3A">
        <w:t xml:space="preserve"> A</w:t>
      </w:r>
      <w:r w:rsidR="00852F7D">
        <w:t>.</w:t>
      </w:r>
      <w:r w:rsidRPr="00426C3A">
        <w:t xml:space="preserve">, </w:t>
      </w:r>
      <w:proofErr w:type="spellStart"/>
      <w:r w:rsidRPr="00426C3A">
        <w:t>Affatato</w:t>
      </w:r>
      <w:proofErr w:type="spellEnd"/>
      <w:r w:rsidR="00852F7D">
        <w:t>,</w:t>
      </w:r>
      <w:r w:rsidRPr="00426C3A">
        <w:t xml:space="preserve"> A</w:t>
      </w:r>
      <w:r w:rsidR="00852F7D">
        <w:t>.</w:t>
      </w:r>
      <w:r w:rsidRPr="00426C3A">
        <w:t xml:space="preserve">, </w:t>
      </w:r>
      <w:proofErr w:type="spellStart"/>
      <w:r w:rsidRPr="00426C3A">
        <w:t>Canistro</w:t>
      </w:r>
      <w:proofErr w:type="spellEnd"/>
      <w:r w:rsidR="00852F7D">
        <w:t>,</w:t>
      </w:r>
      <w:r w:rsidRPr="00426C3A">
        <w:t xml:space="preserve"> D</w:t>
      </w:r>
      <w:r w:rsidR="00852F7D">
        <w:t>.</w:t>
      </w:r>
      <w:r w:rsidRPr="00426C3A">
        <w:t>, Broccoli</w:t>
      </w:r>
      <w:r w:rsidR="00852F7D">
        <w:t>,</w:t>
      </w:r>
      <w:r w:rsidRPr="00426C3A">
        <w:t xml:space="preserve"> M</w:t>
      </w:r>
      <w:r w:rsidR="00852F7D">
        <w:t>.</w:t>
      </w:r>
      <w:r w:rsidRPr="00426C3A">
        <w:t xml:space="preserve">, </w:t>
      </w:r>
      <w:proofErr w:type="spellStart"/>
      <w:r w:rsidRPr="00426C3A">
        <w:t>Trespidi</w:t>
      </w:r>
      <w:proofErr w:type="spellEnd"/>
      <w:r w:rsidR="00852F7D">
        <w:t>,</w:t>
      </w:r>
      <w:r w:rsidRPr="00426C3A">
        <w:t xml:space="preserve"> S</w:t>
      </w:r>
      <w:r w:rsidR="00852F7D">
        <w:t>.</w:t>
      </w:r>
      <w:r w:rsidRPr="00426C3A">
        <w:t xml:space="preserve">, </w:t>
      </w:r>
      <w:proofErr w:type="spellStart"/>
      <w:r w:rsidRPr="00426C3A">
        <w:t>Pozzetti</w:t>
      </w:r>
      <w:proofErr w:type="spellEnd"/>
      <w:r w:rsidR="00852F7D">
        <w:t>,</w:t>
      </w:r>
      <w:r w:rsidRPr="00426C3A">
        <w:t xml:space="preserve"> L</w:t>
      </w:r>
      <w:r w:rsidR="00852F7D">
        <w:t>.</w:t>
      </w:r>
      <w:r w:rsidRPr="00426C3A">
        <w:t xml:space="preserve">, </w:t>
      </w:r>
      <w:proofErr w:type="spellStart"/>
      <w:r w:rsidRPr="00426C3A">
        <w:t>Biagi</w:t>
      </w:r>
      <w:proofErr w:type="spellEnd"/>
      <w:r w:rsidR="00852F7D">
        <w:t>,</w:t>
      </w:r>
      <w:r w:rsidRPr="00426C3A">
        <w:t xml:space="preserve"> G</w:t>
      </w:r>
      <w:r w:rsidR="00852F7D">
        <w:t>.</w:t>
      </w:r>
      <w:r w:rsidRPr="00426C3A">
        <w:t>L</w:t>
      </w:r>
      <w:r w:rsidR="00852F7D">
        <w:t>.</w:t>
      </w:r>
      <w:r w:rsidRPr="00426C3A">
        <w:t xml:space="preserve">, </w:t>
      </w:r>
      <w:proofErr w:type="spellStart"/>
      <w:r w:rsidRPr="00426C3A">
        <w:t>Cantelli</w:t>
      </w:r>
      <w:proofErr w:type="spellEnd"/>
      <w:r w:rsidRPr="00426C3A">
        <w:t>-Forti</w:t>
      </w:r>
      <w:r w:rsidR="00852F7D">
        <w:t>,</w:t>
      </w:r>
      <w:r w:rsidRPr="00426C3A">
        <w:t xml:space="preserve"> G</w:t>
      </w:r>
      <w:r w:rsidR="00852F7D">
        <w:t>. and</w:t>
      </w:r>
      <w:r w:rsidR="00852F7D" w:rsidRPr="00426C3A">
        <w:t xml:space="preserve"> </w:t>
      </w:r>
      <w:proofErr w:type="spellStart"/>
      <w:r w:rsidRPr="00426C3A">
        <w:t>Paolini</w:t>
      </w:r>
      <w:proofErr w:type="spellEnd"/>
      <w:r w:rsidR="00852F7D">
        <w:t>,</w:t>
      </w:r>
      <w:r w:rsidRPr="00426C3A">
        <w:t xml:space="preserve"> M</w:t>
      </w:r>
      <w:r w:rsidR="00852F7D">
        <w:t>.</w:t>
      </w:r>
      <w:r w:rsidRPr="00426C3A">
        <w:t xml:space="preserve"> </w:t>
      </w:r>
      <w:r w:rsidR="00852F7D">
        <w:t>(</w:t>
      </w:r>
      <w:r w:rsidRPr="00426C3A">
        <w:t>2003</w:t>
      </w:r>
      <w:r w:rsidR="00852F7D">
        <w:t>)</w:t>
      </w:r>
      <w:r w:rsidRPr="00426C3A">
        <w:t xml:space="preserve"> </w:t>
      </w:r>
      <w:r w:rsidRPr="00B617F0">
        <w:rPr>
          <w:i/>
          <w:iCs/>
        </w:rPr>
        <w:t xml:space="preserve">Induction and suppression of cytochrome P450 isoenzymes and generation of oxygen radicals by procymidone in liver, </w:t>
      </w:r>
      <w:proofErr w:type="gramStart"/>
      <w:r w:rsidRPr="00B617F0">
        <w:rPr>
          <w:i/>
          <w:iCs/>
        </w:rPr>
        <w:t>kidney</w:t>
      </w:r>
      <w:proofErr w:type="gramEnd"/>
      <w:r w:rsidRPr="00B617F0">
        <w:rPr>
          <w:i/>
          <w:iCs/>
        </w:rPr>
        <w:t xml:space="preserve"> and lung of CD1 mice</w:t>
      </w:r>
      <w:r w:rsidRPr="00426C3A">
        <w:t xml:space="preserve">. </w:t>
      </w:r>
      <w:proofErr w:type="spellStart"/>
      <w:r w:rsidRPr="00426C3A">
        <w:t>Mutat</w:t>
      </w:r>
      <w:proofErr w:type="spellEnd"/>
      <w:r w:rsidRPr="00426C3A">
        <w:t xml:space="preserve"> Res. 2003 Jun 19; 527(1-2):67-80</w:t>
      </w:r>
      <w:r w:rsidR="00B617F0">
        <w:t>.</w:t>
      </w:r>
    </w:p>
    <w:p w14:paraId="7E86CC47" w14:textId="50252352" w:rsidR="00426C3A" w:rsidRPr="00426C3A" w:rsidRDefault="00426C3A" w:rsidP="00D05130">
      <w:pPr>
        <w:pStyle w:val="APVMAText"/>
      </w:pPr>
      <w:proofErr w:type="spellStart"/>
      <w:r w:rsidRPr="00426C3A">
        <w:t>Savides</w:t>
      </w:r>
      <w:proofErr w:type="spellEnd"/>
      <w:r w:rsidR="00852F7D">
        <w:t>,</w:t>
      </w:r>
      <w:r w:rsidRPr="00426C3A">
        <w:t xml:space="preserve"> M</w:t>
      </w:r>
      <w:r w:rsidR="00852F7D">
        <w:t>.</w:t>
      </w:r>
      <w:r w:rsidRPr="00426C3A">
        <w:t>C</w:t>
      </w:r>
      <w:r w:rsidR="00852F7D">
        <w:t>.</w:t>
      </w:r>
      <w:r w:rsidRPr="00426C3A">
        <w:t xml:space="preserve"> </w:t>
      </w:r>
      <w:r w:rsidR="00852F7D">
        <w:t>(</w:t>
      </w:r>
      <w:r w:rsidRPr="00426C3A">
        <w:t>2002</w:t>
      </w:r>
      <w:r w:rsidR="00852F7D">
        <w:t>)</w:t>
      </w:r>
      <w:r w:rsidRPr="00426C3A">
        <w:t xml:space="preserve"> </w:t>
      </w:r>
      <w:r w:rsidRPr="00B617F0">
        <w:rPr>
          <w:i/>
          <w:iCs/>
        </w:rPr>
        <w:t>The in vivo dermal absorption of [</w:t>
      </w:r>
      <w:r w:rsidRPr="00B617F0">
        <w:rPr>
          <w:i/>
          <w:iCs/>
          <w:vertAlign w:val="superscript"/>
        </w:rPr>
        <w:t>14</w:t>
      </w:r>
      <w:r w:rsidRPr="00B617F0">
        <w:rPr>
          <w:i/>
          <w:iCs/>
        </w:rPr>
        <w:t>C] procymidone SC in the rat</w:t>
      </w:r>
      <w:r w:rsidRPr="00426C3A">
        <w:t xml:space="preserve">. </w:t>
      </w:r>
      <w:proofErr w:type="spellStart"/>
      <w:r w:rsidRPr="00426C3A">
        <w:t>Ricerca</w:t>
      </w:r>
      <w:proofErr w:type="spellEnd"/>
      <w:r w:rsidRPr="00426C3A">
        <w:t xml:space="preserve"> LLC, Concord OH-440777-1000, USA. Unpublished study </w:t>
      </w:r>
      <w:r w:rsidR="00B617F0">
        <w:t>n</w:t>
      </w:r>
      <w:r w:rsidRPr="00426C3A">
        <w:t xml:space="preserve">o. 03-13903. Technical </w:t>
      </w:r>
      <w:r w:rsidR="00B617F0">
        <w:t>r</w:t>
      </w:r>
      <w:r w:rsidRPr="00426C3A">
        <w:t>eport, Sumitomo Chemical C</w:t>
      </w:r>
      <w:r w:rsidR="00B617F0">
        <w:t>o</w:t>
      </w:r>
      <w:r w:rsidRPr="00426C3A">
        <w:t>. Ltd, BM-0075</w:t>
      </w:r>
      <w:r w:rsidR="00B617F0">
        <w:t>.</w:t>
      </w:r>
    </w:p>
    <w:p w14:paraId="1457AC84" w14:textId="3BC8E126" w:rsidR="00426C3A" w:rsidRPr="00426C3A" w:rsidRDefault="00426C3A" w:rsidP="00D05130">
      <w:pPr>
        <w:pStyle w:val="APVMAText"/>
      </w:pPr>
      <w:proofErr w:type="spellStart"/>
      <w:r w:rsidRPr="00426C3A">
        <w:t>Seidlova-Wuttke</w:t>
      </w:r>
      <w:proofErr w:type="spellEnd"/>
      <w:r w:rsidR="00852F7D">
        <w:t>,</w:t>
      </w:r>
      <w:r w:rsidRPr="00426C3A">
        <w:t xml:space="preserve"> D</w:t>
      </w:r>
      <w:r w:rsidR="00852F7D">
        <w:t>.</w:t>
      </w:r>
      <w:r w:rsidRPr="00426C3A">
        <w:t xml:space="preserve">, </w:t>
      </w:r>
      <w:proofErr w:type="spellStart"/>
      <w:r w:rsidRPr="00426C3A">
        <w:t>Jarry</w:t>
      </w:r>
      <w:proofErr w:type="spellEnd"/>
      <w:r w:rsidR="00852F7D">
        <w:t>,</w:t>
      </w:r>
      <w:r w:rsidRPr="00426C3A">
        <w:t xml:space="preserve"> H</w:t>
      </w:r>
      <w:r w:rsidR="00852F7D">
        <w:t>.</w:t>
      </w:r>
      <w:r w:rsidRPr="00426C3A">
        <w:t>, Christoffel</w:t>
      </w:r>
      <w:r w:rsidR="00852F7D">
        <w:t>,</w:t>
      </w:r>
      <w:r w:rsidRPr="00426C3A">
        <w:t xml:space="preserve"> J</w:t>
      </w:r>
      <w:r w:rsidR="00852F7D">
        <w:t>.</w:t>
      </w:r>
      <w:r w:rsidRPr="00426C3A">
        <w:t xml:space="preserve">, </w:t>
      </w:r>
      <w:proofErr w:type="spellStart"/>
      <w:r w:rsidRPr="00426C3A">
        <w:t>Rimoldi</w:t>
      </w:r>
      <w:proofErr w:type="spellEnd"/>
      <w:r w:rsidR="00852F7D">
        <w:t>,</w:t>
      </w:r>
      <w:r w:rsidRPr="00426C3A">
        <w:t xml:space="preserve"> G</w:t>
      </w:r>
      <w:r w:rsidR="00852F7D">
        <w:t>. and</w:t>
      </w:r>
      <w:r w:rsidR="00852F7D" w:rsidRPr="00426C3A">
        <w:t xml:space="preserve"> </w:t>
      </w:r>
      <w:proofErr w:type="spellStart"/>
      <w:r w:rsidRPr="00426C3A">
        <w:t>Wuttke</w:t>
      </w:r>
      <w:proofErr w:type="spellEnd"/>
      <w:r w:rsidR="00852F7D">
        <w:t>,</w:t>
      </w:r>
      <w:r w:rsidRPr="00426C3A">
        <w:t xml:space="preserve"> W</w:t>
      </w:r>
      <w:r w:rsidR="00852F7D">
        <w:t>.</w:t>
      </w:r>
      <w:r w:rsidRPr="00426C3A">
        <w:t xml:space="preserve"> </w:t>
      </w:r>
      <w:r w:rsidR="00852F7D">
        <w:t>(</w:t>
      </w:r>
      <w:r w:rsidRPr="00426C3A">
        <w:t>2005</w:t>
      </w:r>
      <w:r w:rsidR="00852F7D">
        <w:t>)</w:t>
      </w:r>
      <w:r w:rsidRPr="00426C3A">
        <w:t xml:space="preserve"> </w:t>
      </w:r>
      <w:r w:rsidRPr="00B617F0">
        <w:rPr>
          <w:i/>
          <w:iCs/>
        </w:rPr>
        <w:t xml:space="preserve">Effects of bisphenol-A (BPA), </w:t>
      </w:r>
      <w:proofErr w:type="spellStart"/>
      <w:r w:rsidRPr="00B617F0">
        <w:rPr>
          <w:i/>
          <w:iCs/>
        </w:rPr>
        <w:t>dibutylphtalate</w:t>
      </w:r>
      <w:proofErr w:type="spellEnd"/>
      <w:r w:rsidRPr="00B617F0">
        <w:rPr>
          <w:i/>
          <w:iCs/>
        </w:rPr>
        <w:t xml:space="preserve"> (DBP), benzophenone-2 (BP2), procymidone (Proc), and </w:t>
      </w:r>
      <w:proofErr w:type="spellStart"/>
      <w:r w:rsidRPr="00B617F0">
        <w:rPr>
          <w:i/>
          <w:iCs/>
        </w:rPr>
        <w:t>linurone</w:t>
      </w:r>
      <w:proofErr w:type="spellEnd"/>
      <w:r w:rsidRPr="00B617F0">
        <w:rPr>
          <w:i/>
          <w:iCs/>
        </w:rPr>
        <w:t xml:space="preserve"> (Lin) on fat tissue, a variety of hormones and metabolic parameters: A 3 </w:t>
      </w:r>
      <w:proofErr w:type="gramStart"/>
      <w:r w:rsidRPr="00B617F0">
        <w:rPr>
          <w:i/>
          <w:iCs/>
        </w:rPr>
        <w:t>months</w:t>
      </w:r>
      <w:proofErr w:type="gramEnd"/>
      <w:r w:rsidRPr="00B617F0">
        <w:rPr>
          <w:i/>
          <w:iCs/>
        </w:rPr>
        <w:t xml:space="preserve"> comparison with effects of </w:t>
      </w:r>
      <w:proofErr w:type="spellStart"/>
      <w:r w:rsidRPr="00B617F0">
        <w:rPr>
          <w:i/>
          <w:iCs/>
        </w:rPr>
        <w:t>estradiol</w:t>
      </w:r>
      <w:proofErr w:type="spellEnd"/>
      <w:r w:rsidRPr="00B617F0">
        <w:rPr>
          <w:i/>
          <w:iCs/>
        </w:rPr>
        <w:t xml:space="preserve"> (E2) in ovariectomized (</w:t>
      </w:r>
      <w:proofErr w:type="spellStart"/>
      <w:r w:rsidRPr="00B617F0">
        <w:rPr>
          <w:i/>
          <w:iCs/>
        </w:rPr>
        <w:t>ovx</w:t>
      </w:r>
      <w:proofErr w:type="spellEnd"/>
      <w:r w:rsidRPr="00B617F0">
        <w:rPr>
          <w:i/>
          <w:iCs/>
        </w:rPr>
        <w:t>) rats</w:t>
      </w:r>
      <w:r w:rsidRPr="00426C3A">
        <w:t>. Toxicology. 2005 Sep 15; 213(1-2):13-24</w:t>
      </w:r>
      <w:r w:rsidR="00B617F0">
        <w:t>.</w:t>
      </w:r>
    </w:p>
    <w:p w14:paraId="02820D03" w14:textId="49898A63" w:rsidR="00426C3A" w:rsidRPr="00426C3A" w:rsidRDefault="00426C3A" w:rsidP="00D05130">
      <w:pPr>
        <w:pStyle w:val="APVMAText"/>
      </w:pPr>
      <w:r w:rsidRPr="00426C3A">
        <w:t>Shiba</w:t>
      </w:r>
      <w:r w:rsidR="00852F7D">
        <w:t>,</w:t>
      </w:r>
      <w:r w:rsidRPr="00426C3A">
        <w:t xml:space="preserve"> K</w:t>
      </w:r>
      <w:r w:rsidR="00852F7D">
        <w:t>.</w:t>
      </w:r>
      <w:r w:rsidRPr="00426C3A">
        <w:t>, Kaneko</w:t>
      </w:r>
      <w:r w:rsidR="00852F7D">
        <w:t>,</w:t>
      </w:r>
      <w:r w:rsidRPr="00426C3A">
        <w:t xml:space="preserve"> H</w:t>
      </w:r>
      <w:r w:rsidR="00852F7D">
        <w:t>.</w:t>
      </w:r>
      <w:r w:rsidRPr="00426C3A">
        <w:t>, Yoshino</w:t>
      </w:r>
      <w:r w:rsidR="00852F7D">
        <w:t>,</w:t>
      </w:r>
      <w:r w:rsidRPr="00426C3A">
        <w:t xml:space="preserve"> H</w:t>
      </w:r>
      <w:r w:rsidR="00852F7D">
        <w:t>.</w:t>
      </w:r>
      <w:r w:rsidRPr="00426C3A">
        <w:t xml:space="preserve">, </w:t>
      </w:r>
      <w:proofErr w:type="spellStart"/>
      <w:r w:rsidRPr="00426C3A">
        <w:t>Kakuta</w:t>
      </w:r>
      <w:proofErr w:type="spellEnd"/>
      <w:r w:rsidR="00852F7D">
        <w:t>,</w:t>
      </w:r>
      <w:r w:rsidRPr="00426C3A">
        <w:t xml:space="preserve"> N</w:t>
      </w:r>
      <w:r w:rsidR="00852F7D">
        <w:t>.</w:t>
      </w:r>
      <w:r w:rsidRPr="00426C3A">
        <w:t xml:space="preserve">, </w:t>
      </w:r>
      <w:proofErr w:type="spellStart"/>
      <w:r w:rsidRPr="00426C3A">
        <w:t>Iha</w:t>
      </w:r>
      <w:proofErr w:type="spellEnd"/>
      <w:r w:rsidR="00852F7D">
        <w:t>,</w:t>
      </w:r>
      <w:r w:rsidRPr="00426C3A">
        <w:t xml:space="preserve"> K</w:t>
      </w:r>
      <w:r w:rsidR="00852F7D">
        <w:t>.</w:t>
      </w:r>
      <w:r w:rsidRPr="00426C3A">
        <w:t>, Nakatsuka</w:t>
      </w:r>
      <w:r w:rsidR="00852F7D">
        <w:t>,</w:t>
      </w:r>
      <w:r w:rsidRPr="00426C3A">
        <w:t xml:space="preserve"> I</w:t>
      </w:r>
      <w:r w:rsidR="00852F7D">
        <w:t>.</w:t>
      </w:r>
      <w:r w:rsidRPr="00426C3A">
        <w:t xml:space="preserve">, </w:t>
      </w:r>
      <w:proofErr w:type="spellStart"/>
      <w:r w:rsidRPr="00426C3A">
        <w:t>Yoshitake</w:t>
      </w:r>
      <w:proofErr w:type="spellEnd"/>
      <w:r w:rsidR="00852F7D">
        <w:t>,</w:t>
      </w:r>
      <w:r w:rsidRPr="00426C3A">
        <w:t xml:space="preserve"> A</w:t>
      </w:r>
      <w:r w:rsidR="00852F7D">
        <w:t>.</w:t>
      </w:r>
      <w:r w:rsidRPr="00426C3A">
        <w:t>, Yamada</w:t>
      </w:r>
      <w:r w:rsidR="00852F7D">
        <w:t>,</w:t>
      </w:r>
      <w:r w:rsidRPr="00426C3A">
        <w:t xml:space="preserve"> H</w:t>
      </w:r>
      <w:r w:rsidR="00852F7D">
        <w:t>. and</w:t>
      </w:r>
      <w:r w:rsidR="00852F7D" w:rsidRPr="00426C3A">
        <w:t xml:space="preserve"> </w:t>
      </w:r>
      <w:r w:rsidRPr="00426C3A">
        <w:t>Miyamoto</w:t>
      </w:r>
      <w:r w:rsidR="00852F7D">
        <w:t>,</w:t>
      </w:r>
      <w:r w:rsidRPr="00426C3A">
        <w:t xml:space="preserve"> J</w:t>
      </w:r>
      <w:r w:rsidR="00852F7D">
        <w:t>.</w:t>
      </w:r>
      <w:r w:rsidRPr="00426C3A">
        <w:t xml:space="preserve"> </w:t>
      </w:r>
      <w:r w:rsidR="00852F7D">
        <w:t>(</w:t>
      </w:r>
      <w:r w:rsidRPr="00426C3A">
        <w:t>1988</w:t>
      </w:r>
      <w:r w:rsidR="00852F7D">
        <w:t>)</w:t>
      </w:r>
      <w:r w:rsidRPr="00426C3A">
        <w:t xml:space="preserve"> </w:t>
      </w:r>
      <w:r w:rsidRPr="00B617F0">
        <w:rPr>
          <w:i/>
          <w:iCs/>
        </w:rPr>
        <w:t>Comparative metabolism of procymidone in rats and mice</w:t>
      </w:r>
      <w:r w:rsidRPr="00426C3A">
        <w:t xml:space="preserve">. Sumitomo study </w:t>
      </w:r>
      <w:proofErr w:type="spellStart"/>
      <w:r w:rsidR="00B617F0">
        <w:t>n</w:t>
      </w:r>
      <w:r w:rsidRPr="00426C3A">
        <w:t>os</w:t>
      </w:r>
      <w:proofErr w:type="spellEnd"/>
      <w:r w:rsidRPr="00426C3A">
        <w:t xml:space="preserve"> 1228, 1229, 1343, 1344</w:t>
      </w:r>
      <w:r w:rsidR="00B617F0">
        <w:t>.</w:t>
      </w:r>
    </w:p>
    <w:p w14:paraId="5239E363" w14:textId="4C0B54EA" w:rsidR="00426C3A" w:rsidRPr="00426C3A" w:rsidRDefault="00426C3A" w:rsidP="00D05130">
      <w:pPr>
        <w:pStyle w:val="APVMAText"/>
      </w:pPr>
      <w:r w:rsidRPr="00426C3A">
        <w:t>Singh</w:t>
      </w:r>
      <w:r w:rsidR="00852F7D">
        <w:t>,</w:t>
      </w:r>
      <w:r w:rsidRPr="00426C3A">
        <w:t xml:space="preserve"> A</w:t>
      </w:r>
      <w:r w:rsidR="00852F7D">
        <w:t>.</w:t>
      </w:r>
      <w:r w:rsidRPr="00426C3A">
        <w:t>R</w:t>
      </w:r>
      <w:r w:rsidR="00852F7D">
        <w:t>.</w:t>
      </w:r>
      <w:r w:rsidRPr="00426C3A">
        <w:t>, Weir</w:t>
      </w:r>
      <w:r w:rsidR="00852F7D">
        <w:t>,</w:t>
      </w:r>
      <w:r w:rsidRPr="00426C3A">
        <w:t xml:space="preserve"> </w:t>
      </w:r>
      <w:proofErr w:type="gramStart"/>
      <w:r w:rsidRPr="00426C3A">
        <w:t>R</w:t>
      </w:r>
      <w:r w:rsidR="00852F7D">
        <w:t>.</w:t>
      </w:r>
      <w:r w:rsidRPr="00426C3A">
        <w:t>J</w:t>
      </w:r>
      <w:r w:rsidR="00852F7D">
        <w:t>.</w:t>
      </w:r>
      <w:proofErr w:type="gramEnd"/>
      <w:r w:rsidR="00852F7D">
        <w:t xml:space="preserve"> and</w:t>
      </w:r>
      <w:r w:rsidR="00852F7D" w:rsidRPr="00426C3A">
        <w:t xml:space="preserve"> </w:t>
      </w:r>
      <w:proofErr w:type="spellStart"/>
      <w:r w:rsidRPr="00426C3A">
        <w:t>Graig</w:t>
      </w:r>
      <w:proofErr w:type="spellEnd"/>
      <w:r w:rsidR="00852F7D">
        <w:t>,</w:t>
      </w:r>
      <w:r w:rsidRPr="00426C3A">
        <w:t xml:space="preserve"> D</w:t>
      </w:r>
      <w:r w:rsidR="00852F7D">
        <w:t>.</w:t>
      </w:r>
      <w:r w:rsidRPr="00426C3A">
        <w:t>K</w:t>
      </w:r>
      <w:r w:rsidR="00852F7D">
        <w:t>.</w:t>
      </w:r>
      <w:r w:rsidRPr="00426C3A">
        <w:t xml:space="preserve"> </w:t>
      </w:r>
      <w:r w:rsidR="00852F7D">
        <w:t>(</w:t>
      </w:r>
      <w:r w:rsidRPr="00426C3A">
        <w:t>1981</w:t>
      </w:r>
      <w:r w:rsidR="00852F7D">
        <w:t>)</w:t>
      </w:r>
      <w:r w:rsidRPr="00426C3A">
        <w:t xml:space="preserve"> </w:t>
      </w:r>
      <w:r w:rsidR="00852F7D" w:rsidRPr="00B617F0">
        <w:rPr>
          <w:i/>
          <w:iCs/>
        </w:rPr>
        <w:t>Five-week</w:t>
      </w:r>
      <w:r w:rsidRPr="00B617F0">
        <w:rPr>
          <w:i/>
          <w:iCs/>
        </w:rPr>
        <w:t xml:space="preserve"> dose range study in rats </w:t>
      </w:r>
      <w:proofErr w:type="spellStart"/>
      <w:r w:rsidRPr="00B617F0">
        <w:rPr>
          <w:i/>
          <w:iCs/>
        </w:rPr>
        <w:t>Sumilex</w:t>
      </w:r>
      <w:proofErr w:type="spellEnd"/>
      <w:r w:rsidRPr="00B617F0">
        <w:rPr>
          <w:i/>
          <w:iCs/>
        </w:rPr>
        <w:t>® final report</w:t>
      </w:r>
      <w:r w:rsidRPr="00426C3A">
        <w:t xml:space="preserve">. Report </w:t>
      </w:r>
      <w:r w:rsidR="00B617F0">
        <w:t>n</w:t>
      </w:r>
      <w:r w:rsidRPr="00426C3A">
        <w:t xml:space="preserve">o. BT-11-0051. Lab: Litton </w:t>
      </w:r>
      <w:proofErr w:type="spellStart"/>
      <w:r w:rsidRPr="00426C3A">
        <w:t>Bionetics</w:t>
      </w:r>
      <w:proofErr w:type="spellEnd"/>
      <w:r w:rsidRPr="00426C3A">
        <w:t xml:space="preserve"> Inc, Kensington, Maryland, USA. Sponsor: Sumitomo Chemical Co. Ltd, Osaka Pesticides Division, Osaka, Japan. Unpublished.</w:t>
      </w:r>
    </w:p>
    <w:p w14:paraId="11D528C2" w14:textId="58B58FEC" w:rsidR="00426C3A" w:rsidRPr="00426C3A" w:rsidRDefault="00426C3A" w:rsidP="00D05130">
      <w:pPr>
        <w:pStyle w:val="APVMAText"/>
      </w:pPr>
      <w:r w:rsidRPr="00426C3A">
        <w:t>Struble</w:t>
      </w:r>
      <w:r w:rsidR="00852F7D">
        <w:t>,</w:t>
      </w:r>
      <w:r w:rsidRPr="00426C3A">
        <w:t xml:space="preserve"> C</w:t>
      </w:r>
      <w:r w:rsidR="00852F7D">
        <w:t>.</w:t>
      </w:r>
      <w:r w:rsidRPr="00426C3A">
        <w:t>B</w:t>
      </w:r>
      <w:r w:rsidR="00852F7D">
        <w:t>.</w:t>
      </w:r>
      <w:r w:rsidRPr="00426C3A">
        <w:t xml:space="preserve"> </w:t>
      </w:r>
      <w:r w:rsidR="00852F7D">
        <w:t>(</w:t>
      </w:r>
      <w:r w:rsidRPr="00426C3A">
        <w:t>1992a</w:t>
      </w:r>
      <w:r w:rsidR="00852F7D">
        <w:t>)</w:t>
      </w:r>
      <w:r w:rsidRPr="00426C3A">
        <w:t xml:space="preserve"> </w:t>
      </w:r>
      <w:r w:rsidRPr="00B617F0">
        <w:rPr>
          <w:i/>
          <w:iCs/>
        </w:rPr>
        <w:t xml:space="preserve">Metabolism of 14C-procymidone in rats (Preliminary and definitive phases) Volume 1 of 2: Absorption, distribution, </w:t>
      </w:r>
      <w:proofErr w:type="gramStart"/>
      <w:r w:rsidRPr="00B617F0">
        <w:rPr>
          <w:i/>
          <w:iCs/>
        </w:rPr>
        <w:t>elimination</w:t>
      </w:r>
      <w:proofErr w:type="gramEnd"/>
      <w:r w:rsidRPr="00B617F0">
        <w:rPr>
          <w:i/>
          <w:iCs/>
        </w:rPr>
        <w:t xml:space="preserve"> and tissue residues</w:t>
      </w:r>
      <w:r w:rsidRPr="00426C3A">
        <w:t>. Hazleton Wisconsin Inc., Madison, Wisconsin 53704, USA. Project Identification No. HWI 6311-136. Unpublished Technical report, Sumitomo Chemical Co. Ltd BM-21-0033. 30 June 1992.</w:t>
      </w:r>
    </w:p>
    <w:p w14:paraId="39895226" w14:textId="2DD20D93" w:rsidR="00426C3A" w:rsidRPr="00426C3A" w:rsidRDefault="00426C3A" w:rsidP="00D05130">
      <w:pPr>
        <w:pStyle w:val="APVMAText"/>
      </w:pPr>
      <w:r w:rsidRPr="00426C3A">
        <w:t>Struble</w:t>
      </w:r>
      <w:r w:rsidR="00852F7D">
        <w:t>,</w:t>
      </w:r>
      <w:r w:rsidRPr="00426C3A">
        <w:t xml:space="preserve"> C</w:t>
      </w:r>
      <w:r w:rsidR="00852F7D">
        <w:t>.</w:t>
      </w:r>
      <w:r w:rsidRPr="00426C3A">
        <w:t>B</w:t>
      </w:r>
      <w:r w:rsidR="00852F7D">
        <w:t>.</w:t>
      </w:r>
      <w:r w:rsidRPr="00426C3A">
        <w:t xml:space="preserve"> </w:t>
      </w:r>
      <w:r w:rsidR="00852F7D">
        <w:t>(</w:t>
      </w:r>
      <w:r w:rsidRPr="00426C3A">
        <w:t>1992b</w:t>
      </w:r>
      <w:r w:rsidR="00852F7D">
        <w:t>)</w:t>
      </w:r>
      <w:r w:rsidRPr="00426C3A">
        <w:t xml:space="preserve"> </w:t>
      </w:r>
      <w:r w:rsidRPr="00B617F0">
        <w:rPr>
          <w:i/>
          <w:iCs/>
        </w:rPr>
        <w:t>Metabolism of 14C-procymidone in rats (Preliminary and definitive phases) Volume 2 of 2: Metabolite identification</w:t>
      </w:r>
      <w:r w:rsidRPr="00426C3A">
        <w:t xml:space="preserve">. Hazleton Wisconsin Inc., Madison, Wisconsin 53704, USA. Project Identification No. HWI 6311-136. Unpublished </w:t>
      </w:r>
      <w:r w:rsidR="00B617F0">
        <w:t>t</w:t>
      </w:r>
      <w:r w:rsidRPr="00426C3A">
        <w:t>echnical report, Sumitomo Chemical Co. Ltd</w:t>
      </w:r>
      <w:r w:rsidR="00B617F0">
        <w:t>,</w:t>
      </w:r>
      <w:r w:rsidRPr="00426C3A">
        <w:t xml:space="preserve"> BM-21-0034. 30 June 1992. [Sumitomo; </w:t>
      </w:r>
      <w:proofErr w:type="gramStart"/>
      <w:r w:rsidRPr="00426C3A">
        <w:t>sub 12351</w:t>
      </w:r>
      <w:proofErr w:type="gramEnd"/>
      <w:r w:rsidRPr="00426C3A">
        <w:t>] Sumitomo study</w:t>
      </w:r>
      <w:r w:rsidR="00852F7D">
        <w:t xml:space="preserve"> </w:t>
      </w:r>
      <w:proofErr w:type="spellStart"/>
      <w:r w:rsidR="00852F7D">
        <w:t>n</w:t>
      </w:r>
      <w:r w:rsidRPr="00426C3A">
        <w:t>os</w:t>
      </w:r>
      <w:proofErr w:type="spellEnd"/>
      <w:r w:rsidRPr="00426C3A">
        <w:t xml:space="preserve"> 1228, 1229, 1343, 1344.</w:t>
      </w:r>
    </w:p>
    <w:p w14:paraId="64215411" w14:textId="50DFAAC3" w:rsidR="00426C3A" w:rsidRPr="00426C3A" w:rsidRDefault="00426C3A" w:rsidP="00D05130">
      <w:pPr>
        <w:pStyle w:val="APVMAText"/>
      </w:pPr>
      <w:r w:rsidRPr="00426C3A">
        <w:t>Sugimoto</w:t>
      </w:r>
      <w:r w:rsidR="00852F7D">
        <w:t>,</w:t>
      </w:r>
      <w:r w:rsidRPr="00426C3A">
        <w:t xml:space="preserve"> K</w:t>
      </w:r>
      <w:r w:rsidR="00852F7D">
        <w:t>.</w:t>
      </w:r>
      <w:r w:rsidRPr="00426C3A">
        <w:t xml:space="preserve"> </w:t>
      </w:r>
      <w:r w:rsidR="00852F7D">
        <w:t>(</w:t>
      </w:r>
      <w:r w:rsidRPr="00426C3A">
        <w:t>2005a</w:t>
      </w:r>
      <w:r w:rsidR="00852F7D">
        <w:t>)</w:t>
      </w:r>
      <w:r w:rsidRPr="00426C3A">
        <w:t xml:space="preserve"> </w:t>
      </w:r>
      <w:r w:rsidRPr="00B617F0">
        <w:rPr>
          <w:i/>
          <w:iCs/>
        </w:rPr>
        <w:t>Pharmacokinetics and excretions of [phenyl-</w:t>
      </w:r>
      <w:r w:rsidRPr="00B617F0">
        <w:rPr>
          <w:i/>
          <w:iCs/>
          <w:vertAlign w:val="superscript"/>
        </w:rPr>
        <w:t>14</w:t>
      </w:r>
      <w:r w:rsidRPr="00B617F0">
        <w:rPr>
          <w:i/>
          <w:iCs/>
        </w:rPr>
        <w:t>C]-procymidone in female rats (single oral administration)</w:t>
      </w:r>
      <w:r w:rsidRPr="00426C3A">
        <w:t xml:space="preserve">. Laboratory of Pharmacokinetics &amp; Pharmacology, </w:t>
      </w:r>
      <w:proofErr w:type="spellStart"/>
      <w:r w:rsidRPr="00426C3A">
        <w:t>Panapharm</w:t>
      </w:r>
      <w:proofErr w:type="spellEnd"/>
      <w:r w:rsidRPr="00426C3A">
        <w:t xml:space="preserve"> Laboratories Co Ltd, Kumamoto, Japan. Unpublished </w:t>
      </w:r>
      <w:r w:rsidR="00B617F0">
        <w:t>s</w:t>
      </w:r>
      <w:r w:rsidRPr="00426C3A">
        <w:t xml:space="preserve">tudy. Sumitomo Chemical Technical Report </w:t>
      </w:r>
      <w:r w:rsidR="00B617F0">
        <w:t>n</w:t>
      </w:r>
      <w:r w:rsidRPr="00426C3A">
        <w:t>o. BM-0096</w:t>
      </w:r>
      <w:r w:rsidR="00B617F0">
        <w:t>,</w:t>
      </w:r>
      <w:r w:rsidRPr="00426C3A">
        <w:t xml:space="preserve"> 8 August 2005</w:t>
      </w:r>
      <w:r w:rsidR="00B617F0">
        <w:t>.</w:t>
      </w:r>
    </w:p>
    <w:p w14:paraId="6DA30F54" w14:textId="05AC1525" w:rsidR="00426C3A" w:rsidRPr="00426C3A" w:rsidRDefault="00426C3A" w:rsidP="00D05130">
      <w:pPr>
        <w:pStyle w:val="APVMAText"/>
      </w:pPr>
      <w:r w:rsidRPr="00426C3A">
        <w:t>Sugimoto</w:t>
      </w:r>
      <w:r w:rsidR="00852F7D">
        <w:t>,</w:t>
      </w:r>
      <w:r w:rsidRPr="00426C3A">
        <w:t xml:space="preserve"> K</w:t>
      </w:r>
      <w:r w:rsidR="00852F7D">
        <w:t>.</w:t>
      </w:r>
      <w:r w:rsidRPr="00426C3A">
        <w:t xml:space="preserve"> </w:t>
      </w:r>
      <w:r w:rsidR="00852F7D">
        <w:t>(</w:t>
      </w:r>
      <w:r w:rsidRPr="00426C3A">
        <w:t>2005b</w:t>
      </w:r>
      <w:r w:rsidR="00852F7D">
        <w:t>)</w:t>
      </w:r>
      <w:r w:rsidRPr="00426C3A">
        <w:t xml:space="preserve"> </w:t>
      </w:r>
      <w:r w:rsidRPr="00B617F0">
        <w:rPr>
          <w:i/>
          <w:iCs/>
        </w:rPr>
        <w:t>Pharmacokinetics and excretions of [phenyl-</w:t>
      </w:r>
      <w:r w:rsidRPr="00B617F0">
        <w:rPr>
          <w:i/>
          <w:iCs/>
          <w:vertAlign w:val="superscript"/>
        </w:rPr>
        <w:t>14</w:t>
      </w:r>
      <w:r w:rsidRPr="00B617F0">
        <w:rPr>
          <w:i/>
          <w:iCs/>
        </w:rPr>
        <w:t>C] procymidone in female rabbits (single oral administration)</w:t>
      </w:r>
      <w:r w:rsidRPr="00426C3A">
        <w:t xml:space="preserve">. Laboratory of Pharmacokinetics &amp; Pharmacology, </w:t>
      </w:r>
      <w:proofErr w:type="spellStart"/>
      <w:r w:rsidRPr="00426C3A">
        <w:t>Panapharm</w:t>
      </w:r>
      <w:proofErr w:type="spellEnd"/>
      <w:r w:rsidRPr="00426C3A">
        <w:t xml:space="preserve"> Laboratories Co Ltd, Kumamoto, Japan. Unpublished </w:t>
      </w:r>
      <w:r w:rsidR="00B617F0">
        <w:t>s</w:t>
      </w:r>
      <w:r w:rsidRPr="00426C3A">
        <w:t xml:space="preserve">tudy. Sumitomo Chemical Technical Report </w:t>
      </w:r>
      <w:r w:rsidR="00B617F0">
        <w:t>n</w:t>
      </w:r>
      <w:r w:rsidRPr="00426C3A">
        <w:t>o. BM-0102</w:t>
      </w:r>
      <w:r w:rsidR="00B617F0">
        <w:t>,</w:t>
      </w:r>
      <w:r w:rsidRPr="00426C3A">
        <w:t xml:space="preserve"> 8 August 2005</w:t>
      </w:r>
      <w:r w:rsidR="00B617F0">
        <w:t>.</w:t>
      </w:r>
    </w:p>
    <w:p w14:paraId="238FECB9" w14:textId="1B9FBAE1" w:rsidR="00426C3A" w:rsidRPr="00426C3A" w:rsidRDefault="00426C3A" w:rsidP="00D05130">
      <w:pPr>
        <w:pStyle w:val="APVMAText"/>
      </w:pPr>
      <w:r w:rsidRPr="00426C3A">
        <w:t>Sugimoto</w:t>
      </w:r>
      <w:r w:rsidR="00852F7D">
        <w:t>,</w:t>
      </w:r>
      <w:r w:rsidRPr="00426C3A">
        <w:t xml:space="preserve"> K</w:t>
      </w:r>
      <w:r w:rsidR="00852F7D">
        <w:t>.</w:t>
      </w:r>
      <w:r w:rsidRPr="00426C3A">
        <w:t xml:space="preserve"> </w:t>
      </w:r>
      <w:r w:rsidR="00852F7D">
        <w:t>(</w:t>
      </w:r>
      <w:r w:rsidRPr="00426C3A">
        <w:t>2005c</w:t>
      </w:r>
      <w:r w:rsidR="00852F7D">
        <w:t>)</w:t>
      </w:r>
      <w:r w:rsidRPr="00426C3A">
        <w:t xml:space="preserve"> </w:t>
      </w:r>
      <w:r w:rsidRPr="00B617F0">
        <w:rPr>
          <w:i/>
          <w:iCs/>
        </w:rPr>
        <w:t>Pharmacokinetics and excretions of [phenyl-</w:t>
      </w:r>
      <w:r w:rsidRPr="00B617F0">
        <w:rPr>
          <w:i/>
          <w:iCs/>
          <w:vertAlign w:val="superscript"/>
        </w:rPr>
        <w:t>14</w:t>
      </w:r>
      <w:r w:rsidRPr="00B617F0">
        <w:rPr>
          <w:i/>
          <w:iCs/>
        </w:rPr>
        <w:t>C-] procymidone in female rats (repeat oral administration for 14 days)</w:t>
      </w:r>
      <w:r w:rsidRPr="00426C3A">
        <w:t xml:space="preserve">. Laboratory of Pharmacokinetics &amp; Pharmacology, </w:t>
      </w:r>
      <w:proofErr w:type="spellStart"/>
      <w:r w:rsidRPr="00426C3A">
        <w:t>Panapharm</w:t>
      </w:r>
      <w:proofErr w:type="spellEnd"/>
      <w:r w:rsidRPr="00426C3A">
        <w:t xml:space="preserve"> Laboratories Co Ltd, Kumamoto, Japan. Unpublished </w:t>
      </w:r>
      <w:r w:rsidR="00B617F0">
        <w:t>s</w:t>
      </w:r>
      <w:r w:rsidRPr="00426C3A">
        <w:t xml:space="preserve">tudy. Sumitomo Chemical Technical Report </w:t>
      </w:r>
      <w:r w:rsidR="00B617F0">
        <w:t>n</w:t>
      </w:r>
      <w:r w:rsidRPr="00426C3A">
        <w:t>o. BM-0098</w:t>
      </w:r>
      <w:r w:rsidR="00B617F0">
        <w:t>,</w:t>
      </w:r>
      <w:r w:rsidRPr="00426C3A">
        <w:t xml:space="preserve"> 8 August 2005</w:t>
      </w:r>
      <w:r w:rsidR="00B617F0">
        <w:t>.</w:t>
      </w:r>
    </w:p>
    <w:p w14:paraId="63793B90" w14:textId="3883049D" w:rsidR="00426C3A" w:rsidRPr="00426C3A" w:rsidRDefault="00426C3A" w:rsidP="00D05130">
      <w:pPr>
        <w:pStyle w:val="APVMAText"/>
      </w:pPr>
      <w:r w:rsidRPr="00426C3A">
        <w:lastRenderedPageBreak/>
        <w:t>Sugimoto</w:t>
      </w:r>
      <w:r w:rsidR="00852F7D">
        <w:t>,</w:t>
      </w:r>
      <w:r w:rsidRPr="00426C3A">
        <w:t xml:space="preserve"> K</w:t>
      </w:r>
      <w:r w:rsidR="00852F7D">
        <w:t>.</w:t>
      </w:r>
      <w:r w:rsidRPr="00426C3A">
        <w:t xml:space="preserve"> </w:t>
      </w:r>
      <w:r w:rsidR="00852F7D">
        <w:t>(</w:t>
      </w:r>
      <w:r w:rsidRPr="00426C3A">
        <w:t>2005d</w:t>
      </w:r>
      <w:r w:rsidR="00852F7D">
        <w:t>)</w:t>
      </w:r>
      <w:r w:rsidRPr="00426C3A">
        <w:t xml:space="preserve"> </w:t>
      </w:r>
      <w:r w:rsidRPr="00B617F0">
        <w:rPr>
          <w:i/>
          <w:iCs/>
        </w:rPr>
        <w:t>Excretions of [carbonyl-</w:t>
      </w:r>
      <w:r w:rsidRPr="00B617F0">
        <w:rPr>
          <w:i/>
          <w:iCs/>
          <w:vertAlign w:val="superscript"/>
        </w:rPr>
        <w:t>14</w:t>
      </w:r>
      <w:r w:rsidRPr="00B617F0">
        <w:rPr>
          <w:i/>
          <w:iCs/>
        </w:rPr>
        <w:t>C]-procymidone in bile of female rats (single oral administration)</w:t>
      </w:r>
      <w:r w:rsidRPr="00426C3A">
        <w:t xml:space="preserve">. Laboratory of Pharmacokinetics &amp; Pharmacology, </w:t>
      </w:r>
      <w:proofErr w:type="spellStart"/>
      <w:r w:rsidRPr="00426C3A">
        <w:t>Panapharm</w:t>
      </w:r>
      <w:proofErr w:type="spellEnd"/>
      <w:r w:rsidRPr="00426C3A">
        <w:t xml:space="preserve"> Laboratories Co Ltd, Kumamoto, Japan. Unpublished </w:t>
      </w:r>
      <w:r w:rsidR="00B617F0">
        <w:t>s</w:t>
      </w:r>
      <w:r w:rsidRPr="00426C3A">
        <w:t xml:space="preserve">tudy. Sumitomo Chemical Technical Report </w:t>
      </w:r>
      <w:r w:rsidR="00B617F0">
        <w:t>n</w:t>
      </w:r>
      <w:r w:rsidRPr="00426C3A">
        <w:t>o. BM-0099</w:t>
      </w:r>
      <w:r w:rsidR="00B617F0">
        <w:t>,</w:t>
      </w:r>
      <w:r w:rsidRPr="00426C3A">
        <w:t xml:space="preserve"> 8 August 2005</w:t>
      </w:r>
      <w:r w:rsidR="00B617F0">
        <w:t>.</w:t>
      </w:r>
    </w:p>
    <w:p w14:paraId="3CEEF2A8" w14:textId="5E2DF138" w:rsidR="00426C3A" w:rsidRPr="00426C3A" w:rsidRDefault="00426C3A" w:rsidP="00D05130">
      <w:pPr>
        <w:pStyle w:val="APVMAText"/>
      </w:pPr>
      <w:r w:rsidRPr="00426C3A">
        <w:t>Sugimoto</w:t>
      </w:r>
      <w:r w:rsidR="00852F7D">
        <w:t>,</w:t>
      </w:r>
      <w:r w:rsidRPr="00426C3A">
        <w:t xml:space="preserve"> K</w:t>
      </w:r>
      <w:r w:rsidR="00852F7D">
        <w:t>.</w:t>
      </w:r>
      <w:r w:rsidRPr="00426C3A">
        <w:t xml:space="preserve"> </w:t>
      </w:r>
      <w:r w:rsidR="00852F7D">
        <w:t>(</w:t>
      </w:r>
      <w:r w:rsidRPr="00426C3A">
        <w:t>2005e</w:t>
      </w:r>
      <w:r w:rsidR="00852F7D">
        <w:t>)</w:t>
      </w:r>
      <w:r w:rsidRPr="00426C3A">
        <w:t xml:space="preserve"> </w:t>
      </w:r>
      <w:r w:rsidRPr="00B617F0">
        <w:rPr>
          <w:i/>
          <w:iCs/>
        </w:rPr>
        <w:t>Fetoplacental transfer of [phenyl-</w:t>
      </w:r>
      <w:r w:rsidRPr="00B617F0">
        <w:rPr>
          <w:i/>
          <w:iCs/>
          <w:vertAlign w:val="superscript"/>
        </w:rPr>
        <w:t>14</w:t>
      </w:r>
      <w:r w:rsidRPr="00B617F0">
        <w:rPr>
          <w:i/>
          <w:iCs/>
        </w:rPr>
        <w:t>C]-procymidone in rats (single oral administration). Laboratory of Pharmacokinetics &amp; Pharmacology</w:t>
      </w:r>
      <w:r w:rsidRPr="00426C3A">
        <w:t xml:space="preserve">, </w:t>
      </w:r>
      <w:proofErr w:type="spellStart"/>
      <w:r w:rsidRPr="00426C3A">
        <w:t>Panapharm</w:t>
      </w:r>
      <w:proofErr w:type="spellEnd"/>
      <w:r w:rsidRPr="00426C3A">
        <w:t xml:space="preserve"> Laboratories Co Ltd, Kumamoto, Japan. Unpublished </w:t>
      </w:r>
      <w:r w:rsidR="00B617F0">
        <w:t>s</w:t>
      </w:r>
      <w:r w:rsidRPr="00426C3A">
        <w:t xml:space="preserve">tudy. Sumitomo Chemical Technical Report </w:t>
      </w:r>
      <w:r w:rsidR="00B617F0">
        <w:t>n</w:t>
      </w:r>
      <w:r w:rsidRPr="00426C3A">
        <w:t>o. BM-0100</w:t>
      </w:r>
      <w:r w:rsidR="00B617F0">
        <w:t>,</w:t>
      </w:r>
      <w:r w:rsidRPr="00426C3A">
        <w:t xml:space="preserve"> 08 August 2005</w:t>
      </w:r>
      <w:r w:rsidR="00B617F0">
        <w:t>.</w:t>
      </w:r>
    </w:p>
    <w:p w14:paraId="35DFEDB9" w14:textId="77C33593" w:rsidR="00426C3A" w:rsidRPr="00426C3A" w:rsidRDefault="00426C3A" w:rsidP="00D05130">
      <w:pPr>
        <w:pStyle w:val="APVMAText"/>
      </w:pPr>
      <w:r w:rsidRPr="00426C3A">
        <w:t>Sugimoto</w:t>
      </w:r>
      <w:r w:rsidR="00852F7D">
        <w:t>,</w:t>
      </w:r>
      <w:r w:rsidRPr="00426C3A">
        <w:t xml:space="preserve"> K</w:t>
      </w:r>
      <w:r w:rsidR="00852F7D">
        <w:t>.</w:t>
      </w:r>
      <w:r w:rsidRPr="00426C3A">
        <w:t xml:space="preserve"> </w:t>
      </w:r>
      <w:r w:rsidR="00852F7D">
        <w:t>(</w:t>
      </w:r>
      <w:r w:rsidRPr="00426C3A">
        <w:t>2005f</w:t>
      </w:r>
      <w:r w:rsidR="00852F7D">
        <w:t>)</w:t>
      </w:r>
      <w:r w:rsidRPr="00426C3A">
        <w:t xml:space="preserve"> </w:t>
      </w:r>
      <w:r w:rsidRPr="00B617F0">
        <w:rPr>
          <w:i/>
          <w:iCs/>
        </w:rPr>
        <w:t>Fetoplacental transfer of [phenyl-</w:t>
      </w:r>
      <w:r w:rsidRPr="00B617F0">
        <w:rPr>
          <w:i/>
          <w:iCs/>
          <w:vertAlign w:val="superscript"/>
        </w:rPr>
        <w:t>14</w:t>
      </w:r>
      <w:r w:rsidRPr="00B617F0">
        <w:rPr>
          <w:i/>
          <w:iCs/>
        </w:rPr>
        <w:t>C]-procymidone in rabbits (single oral administration)</w:t>
      </w:r>
      <w:r w:rsidRPr="00426C3A">
        <w:t xml:space="preserve">. Pharmacokinetics and Bioanalysis Center, Wakayama, Japan. Unpublished </w:t>
      </w:r>
      <w:r w:rsidR="00B617F0">
        <w:t>s</w:t>
      </w:r>
      <w:r w:rsidRPr="00426C3A">
        <w:t xml:space="preserve">tudy. Sumitomo Chemical Technical Report </w:t>
      </w:r>
      <w:r w:rsidR="00B617F0">
        <w:t>n</w:t>
      </w:r>
      <w:r w:rsidRPr="00426C3A">
        <w:t>o. BM-0101</w:t>
      </w:r>
      <w:r w:rsidR="00B617F0">
        <w:t>,</w:t>
      </w:r>
      <w:r w:rsidRPr="00426C3A">
        <w:t xml:space="preserve"> 08 August 2005.</w:t>
      </w:r>
    </w:p>
    <w:p w14:paraId="6AAFB21D" w14:textId="06414F71" w:rsidR="00426C3A" w:rsidRPr="00426C3A" w:rsidRDefault="00426C3A" w:rsidP="00D05130">
      <w:pPr>
        <w:pStyle w:val="APVMAText"/>
      </w:pPr>
      <w:r w:rsidRPr="00426C3A">
        <w:t>Suzuki</w:t>
      </w:r>
      <w:r w:rsidR="00852F7D">
        <w:t>,</w:t>
      </w:r>
      <w:r w:rsidRPr="00426C3A">
        <w:t xml:space="preserve"> N</w:t>
      </w:r>
      <w:r w:rsidR="00852F7D">
        <w:t>.</w:t>
      </w:r>
      <w:r w:rsidRPr="00426C3A">
        <w:t xml:space="preserve"> </w:t>
      </w:r>
      <w:r w:rsidR="00852F7D">
        <w:t>(</w:t>
      </w:r>
      <w:r w:rsidRPr="00426C3A">
        <w:t>2005</w:t>
      </w:r>
      <w:r w:rsidR="00852F7D">
        <w:t>)</w:t>
      </w:r>
      <w:r w:rsidRPr="00426C3A">
        <w:t xml:space="preserve"> </w:t>
      </w:r>
      <w:r w:rsidRPr="00B617F0">
        <w:rPr>
          <w:iCs/>
        </w:rPr>
        <w:t>In vitro assays for procymidone and its metabolites with rat and human androgen receptor</w:t>
      </w:r>
      <w:r w:rsidRPr="00426C3A">
        <w:t xml:space="preserve">. Sumitomo Chemical Co. Ltd, Environmental Health Science Laboratory, Osaka, Japan. Unpublished </w:t>
      </w:r>
      <w:r w:rsidR="00B617F0">
        <w:t>s</w:t>
      </w:r>
      <w:r w:rsidRPr="00426C3A">
        <w:t xml:space="preserve">tudy </w:t>
      </w:r>
      <w:r w:rsidR="00B617F0">
        <w:t>n</w:t>
      </w:r>
      <w:r w:rsidRPr="00426C3A">
        <w:t>o. X0118. Technical report, Sumitomo Chemical Co. Ltd, BM-0120</w:t>
      </w:r>
      <w:r w:rsidR="00B617F0">
        <w:t>,</w:t>
      </w:r>
      <w:r w:rsidRPr="00426C3A">
        <w:t xml:space="preserve"> 03 August 2005</w:t>
      </w:r>
      <w:r w:rsidR="00B617F0">
        <w:t>.</w:t>
      </w:r>
    </w:p>
    <w:p w14:paraId="7150EF8E" w14:textId="22DB7877" w:rsidR="00426C3A" w:rsidRPr="00426C3A" w:rsidRDefault="00426C3A" w:rsidP="00D05130">
      <w:pPr>
        <w:pStyle w:val="APVMAText"/>
      </w:pPr>
      <w:r w:rsidRPr="00426C3A">
        <w:t>Suzuki</w:t>
      </w:r>
      <w:r w:rsidR="00852F7D">
        <w:t>,</w:t>
      </w:r>
      <w:r w:rsidRPr="00426C3A">
        <w:t xml:space="preserve"> T</w:t>
      </w:r>
      <w:r w:rsidR="00852F7D">
        <w:t>.</w:t>
      </w:r>
      <w:r w:rsidRPr="00426C3A">
        <w:t xml:space="preserve">, </w:t>
      </w:r>
      <w:proofErr w:type="spellStart"/>
      <w:r w:rsidRPr="00426C3A">
        <w:t>Kadota</w:t>
      </w:r>
      <w:proofErr w:type="spellEnd"/>
      <w:r w:rsidR="00B617F0">
        <w:t>,</w:t>
      </w:r>
      <w:r w:rsidRPr="00426C3A">
        <w:t xml:space="preserve"> </w:t>
      </w:r>
      <w:proofErr w:type="gramStart"/>
      <w:r w:rsidRPr="00426C3A">
        <w:t>T</w:t>
      </w:r>
      <w:r w:rsidR="00852F7D">
        <w:t>.</w:t>
      </w:r>
      <w:proofErr w:type="gramEnd"/>
      <w:r w:rsidR="00852F7D">
        <w:t xml:space="preserve"> and</w:t>
      </w:r>
      <w:r w:rsidR="00852F7D" w:rsidRPr="00426C3A">
        <w:t xml:space="preserve"> </w:t>
      </w:r>
      <w:r w:rsidRPr="00426C3A">
        <w:t>Miyamoto J</w:t>
      </w:r>
      <w:r w:rsidR="00852F7D">
        <w:t>.</w:t>
      </w:r>
      <w:r w:rsidRPr="00426C3A">
        <w:t xml:space="preserve"> </w:t>
      </w:r>
      <w:r w:rsidR="00852F7D">
        <w:t>(</w:t>
      </w:r>
      <w:r w:rsidRPr="00426C3A">
        <w:t>1979</w:t>
      </w:r>
      <w:r w:rsidR="00852F7D">
        <w:t>)</w:t>
      </w:r>
      <w:r w:rsidRPr="00426C3A">
        <w:t xml:space="preserve"> </w:t>
      </w:r>
      <w:r w:rsidRPr="00B617F0">
        <w:rPr>
          <w:i/>
          <w:iCs/>
        </w:rPr>
        <w:t xml:space="preserve">Comparative study on the </w:t>
      </w:r>
      <w:proofErr w:type="spellStart"/>
      <w:r w:rsidRPr="00B617F0">
        <w:rPr>
          <w:i/>
          <w:iCs/>
        </w:rPr>
        <w:t>cataractogenic</w:t>
      </w:r>
      <w:proofErr w:type="spellEnd"/>
      <w:r w:rsidRPr="00B617F0">
        <w:rPr>
          <w:i/>
          <w:iCs/>
        </w:rPr>
        <w:t xml:space="preserve"> activity of procymidone, </w:t>
      </w:r>
      <w:proofErr w:type="spellStart"/>
      <w:r w:rsidRPr="00B617F0">
        <w:rPr>
          <w:i/>
          <w:iCs/>
        </w:rPr>
        <w:t>vinchlozoline</w:t>
      </w:r>
      <w:proofErr w:type="spellEnd"/>
      <w:r w:rsidRPr="00B617F0">
        <w:rPr>
          <w:i/>
          <w:iCs/>
        </w:rPr>
        <w:t xml:space="preserve"> and dichlozoline in rats</w:t>
      </w:r>
      <w:r w:rsidRPr="00426C3A">
        <w:t xml:space="preserve">. Report </w:t>
      </w:r>
      <w:r w:rsidR="00B617F0">
        <w:t>n</w:t>
      </w:r>
      <w:r w:rsidRPr="00426C3A">
        <w:t>o. BT-70-0028. Lab: Research Department, Pesticide Division, Sumitomo Chemical Co. Ltd, unspecified location. Sponsor: Sumitomo Chemical Co. Ltd, Osaka Pesticides Division, Osaka, Japan. Unpublished.</w:t>
      </w:r>
    </w:p>
    <w:p w14:paraId="4902FF70" w14:textId="15BD6E08" w:rsidR="00426C3A" w:rsidRPr="00426C3A" w:rsidRDefault="00426C3A" w:rsidP="00D05130">
      <w:pPr>
        <w:pStyle w:val="APVMAText"/>
      </w:pPr>
      <w:proofErr w:type="spellStart"/>
      <w:r w:rsidRPr="00426C3A">
        <w:t>Tarui</w:t>
      </w:r>
      <w:proofErr w:type="spellEnd"/>
      <w:r w:rsidR="00852F7D">
        <w:t>,</w:t>
      </w:r>
      <w:r w:rsidRPr="00426C3A">
        <w:t xml:space="preserve"> H</w:t>
      </w:r>
      <w:r w:rsidR="00852F7D">
        <w:t>.</w:t>
      </w:r>
      <w:r w:rsidRPr="00426C3A">
        <w:t xml:space="preserve"> </w:t>
      </w:r>
      <w:r w:rsidR="00852F7D">
        <w:t>(</w:t>
      </w:r>
      <w:r w:rsidRPr="00426C3A">
        <w:t>2005a</w:t>
      </w:r>
      <w:r w:rsidR="00852F7D">
        <w:t>)</w:t>
      </w:r>
      <w:r w:rsidRPr="00426C3A">
        <w:t xml:space="preserve"> </w:t>
      </w:r>
      <w:r w:rsidRPr="00B617F0">
        <w:rPr>
          <w:i/>
          <w:iCs/>
        </w:rPr>
        <w:t>In vitro metabolism of procymidone in human hepatocytes</w:t>
      </w:r>
      <w:r w:rsidRPr="00426C3A">
        <w:t>. Crop Protection Division-International Sumitomo Chemical Co. Ltd, Technical report, Sumitomo Chemical Co., Ltd., BT-0113</w:t>
      </w:r>
      <w:r w:rsidR="00B617F0">
        <w:t>,</w:t>
      </w:r>
      <w:r w:rsidRPr="00426C3A">
        <w:t xml:space="preserve"> 01 August 2005</w:t>
      </w:r>
      <w:r w:rsidR="00B617F0">
        <w:t>.</w:t>
      </w:r>
    </w:p>
    <w:p w14:paraId="130E5869" w14:textId="298F3393" w:rsidR="00426C3A" w:rsidRPr="00426C3A" w:rsidRDefault="00426C3A" w:rsidP="00D05130">
      <w:pPr>
        <w:pStyle w:val="APVMAText"/>
      </w:pPr>
      <w:proofErr w:type="spellStart"/>
      <w:r w:rsidRPr="00426C3A">
        <w:t>Tarui</w:t>
      </w:r>
      <w:proofErr w:type="spellEnd"/>
      <w:r w:rsidR="00852F7D">
        <w:t>,</w:t>
      </w:r>
      <w:r w:rsidRPr="00426C3A">
        <w:t xml:space="preserve"> H</w:t>
      </w:r>
      <w:r w:rsidR="00852F7D">
        <w:t>.</w:t>
      </w:r>
      <w:r w:rsidRPr="00426C3A">
        <w:t xml:space="preserve"> </w:t>
      </w:r>
      <w:r w:rsidR="00852F7D">
        <w:t>(</w:t>
      </w:r>
      <w:r w:rsidRPr="00426C3A">
        <w:t>2005b</w:t>
      </w:r>
      <w:r w:rsidR="00852F7D">
        <w:t>)</w:t>
      </w:r>
      <w:r w:rsidRPr="00426C3A">
        <w:t xml:space="preserve"> </w:t>
      </w:r>
      <w:r w:rsidRPr="00B617F0">
        <w:rPr>
          <w:i/>
          <w:iCs/>
        </w:rPr>
        <w:t>Transformation of procymidone and its metabolites in various pH conditions</w:t>
      </w:r>
      <w:r w:rsidRPr="00426C3A">
        <w:t xml:space="preserve">. Environmental Health Science Laboratory, Sumitomo Chemical Co Ltd, Osaka, Japan. Unpublished Study. Sumitomo Chemical Technical Report </w:t>
      </w:r>
      <w:r w:rsidR="00B617F0">
        <w:t>n</w:t>
      </w:r>
      <w:r w:rsidRPr="00426C3A">
        <w:t>o. BM-0116</w:t>
      </w:r>
      <w:r w:rsidR="00B617F0">
        <w:t>,</w:t>
      </w:r>
      <w:r w:rsidRPr="00426C3A">
        <w:t xml:space="preserve"> 2 August 2005</w:t>
      </w:r>
      <w:r w:rsidR="00B617F0">
        <w:t>.</w:t>
      </w:r>
    </w:p>
    <w:p w14:paraId="28627D20" w14:textId="1390DEB6" w:rsidR="00426C3A" w:rsidRPr="00426C3A" w:rsidRDefault="00426C3A" w:rsidP="00D05130">
      <w:pPr>
        <w:pStyle w:val="APVMAText"/>
      </w:pPr>
      <w:proofErr w:type="spellStart"/>
      <w:r w:rsidRPr="00426C3A">
        <w:t>Tatematsu</w:t>
      </w:r>
      <w:proofErr w:type="spellEnd"/>
      <w:r w:rsidR="00852F7D">
        <w:t>,</w:t>
      </w:r>
      <w:r w:rsidRPr="00426C3A">
        <w:t xml:space="preserve"> M</w:t>
      </w:r>
      <w:r w:rsidR="00852F7D">
        <w:t>.</w:t>
      </w:r>
      <w:r w:rsidRPr="00426C3A">
        <w:t xml:space="preserve">, </w:t>
      </w:r>
      <w:proofErr w:type="spellStart"/>
      <w:r w:rsidRPr="00426C3A">
        <w:t>Takatsuka</w:t>
      </w:r>
      <w:proofErr w:type="spellEnd"/>
      <w:r w:rsidR="00852F7D">
        <w:t>,</w:t>
      </w:r>
      <w:r w:rsidRPr="00426C3A">
        <w:t xml:space="preserve"> M</w:t>
      </w:r>
      <w:r w:rsidR="00852F7D">
        <w:t>.</w:t>
      </w:r>
      <w:r w:rsidRPr="00426C3A">
        <w:t xml:space="preserve"> and Arai</w:t>
      </w:r>
      <w:r w:rsidR="00852F7D">
        <w:t>,</w:t>
      </w:r>
      <w:r w:rsidRPr="00426C3A">
        <w:t xml:space="preserve"> M</w:t>
      </w:r>
      <w:r w:rsidR="00852F7D">
        <w:t>.</w:t>
      </w:r>
      <w:r w:rsidRPr="00426C3A">
        <w:t xml:space="preserve"> </w:t>
      </w:r>
      <w:r w:rsidR="00852F7D">
        <w:t>(</w:t>
      </w:r>
      <w:r w:rsidRPr="00426C3A">
        <w:t>1979</w:t>
      </w:r>
      <w:r w:rsidR="00852F7D">
        <w:t>)</w:t>
      </w:r>
      <w:r w:rsidRPr="00426C3A">
        <w:t xml:space="preserve"> </w:t>
      </w:r>
      <w:r w:rsidR="00852F7D" w:rsidRPr="00B617F0">
        <w:rPr>
          <w:i/>
          <w:iCs/>
        </w:rPr>
        <w:t>2-year</w:t>
      </w:r>
      <w:r w:rsidRPr="00B617F0">
        <w:rPr>
          <w:i/>
          <w:iCs/>
        </w:rPr>
        <w:t xml:space="preserve"> toxicity study of </w:t>
      </w:r>
      <w:proofErr w:type="spellStart"/>
      <w:r w:rsidRPr="00B617F0">
        <w:rPr>
          <w:i/>
          <w:iCs/>
        </w:rPr>
        <w:t>Sumilex</w:t>
      </w:r>
      <w:proofErr w:type="spellEnd"/>
      <w:r w:rsidRPr="00B617F0">
        <w:rPr>
          <w:i/>
          <w:iCs/>
        </w:rPr>
        <w:t>® (S-7131) in beagle dogs</w:t>
      </w:r>
      <w:r w:rsidRPr="00426C3A">
        <w:t>. Report No. BT-10-0056. Lab: Laboratory of Biochemistry and Toxicology, Research Department, Pesticides Division, Sumitomo Chemical Co. Ltd, Hyogo, Japan. Sponsor: Sumitomo Chemical Co. Ltd, Osaka Pesticides Division, Osaka, Japan. Unpublished.</w:t>
      </w:r>
    </w:p>
    <w:p w14:paraId="65670B51" w14:textId="21BE1FBD" w:rsidR="00426C3A" w:rsidRPr="00426C3A" w:rsidRDefault="00426C3A" w:rsidP="00D05130">
      <w:pPr>
        <w:pStyle w:val="APVMAText"/>
      </w:pPr>
      <w:proofErr w:type="spellStart"/>
      <w:r w:rsidRPr="00426C3A">
        <w:t>Tomigahara</w:t>
      </w:r>
      <w:proofErr w:type="spellEnd"/>
      <w:r w:rsidR="00852F7D">
        <w:t>,</w:t>
      </w:r>
      <w:r w:rsidRPr="00426C3A">
        <w:t xml:space="preserve"> Y</w:t>
      </w:r>
      <w:r w:rsidR="00852F7D">
        <w:t>.</w:t>
      </w:r>
      <w:r w:rsidRPr="00426C3A">
        <w:t xml:space="preserve"> </w:t>
      </w:r>
      <w:r w:rsidR="00852F7D">
        <w:t>(</w:t>
      </w:r>
      <w:r w:rsidRPr="00426C3A">
        <w:t>2005</w:t>
      </w:r>
      <w:r w:rsidR="00852F7D">
        <w:t>)</w:t>
      </w:r>
      <w:r w:rsidRPr="00426C3A">
        <w:t xml:space="preserve"> </w:t>
      </w:r>
      <w:r w:rsidRPr="00B617F0">
        <w:rPr>
          <w:i/>
          <w:iCs/>
        </w:rPr>
        <w:t>Placental transfer of [phenyl-</w:t>
      </w:r>
      <w:r w:rsidRPr="00B617F0">
        <w:rPr>
          <w:i/>
          <w:iCs/>
          <w:vertAlign w:val="superscript"/>
        </w:rPr>
        <w:t>14</w:t>
      </w:r>
      <w:r w:rsidRPr="00B617F0">
        <w:rPr>
          <w:i/>
          <w:iCs/>
        </w:rPr>
        <w:t>C]-procymidone in rats (repeated oral administration)</w:t>
      </w:r>
      <w:r w:rsidRPr="00426C3A">
        <w:t xml:space="preserve">. Environmental Health Science Laboratory Sumitomo Chemical Co Ltd, Osaka, Japan. Unpublished </w:t>
      </w:r>
      <w:r w:rsidR="00B617F0">
        <w:t>s</w:t>
      </w:r>
      <w:r w:rsidRPr="00426C3A">
        <w:t xml:space="preserve">tudy. Sumitomo Chemical Technical Report </w:t>
      </w:r>
      <w:r w:rsidR="00B617F0">
        <w:t>n</w:t>
      </w:r>
      <w:r w:rsidRPr="00426C3A">
        <w:t>o. BM-0117</w:t>
      </w:r>
      <w:r w:rsidR="00B617F0">
        <w:t>,</w:t>
      </w:r>
      <w:r w:rsidRPr="00426C3A">
        <w:t xml:space="preserve"> 02 August 2005</w:t>
      </w:r>
      <w:r w:rsidR="00B617F0">
        <w:t>.</w:t>
      </w:r>
    </w:p>
    <w:p w14:paraId="3D2A0256" w14:textId="54B8B3DC" w:rsidR="00426C3A" w:rsidRPr="00426C3A" w:rsidRDefault="00426C3A" w:rsidP="00D05130">
      <w:pPr>
        <w:pStyle w:val="APVMAText"/>
      </w:pPr>
      <w:proofErr w:type="spellStart"/>
      <w:r w:rsidRPr="00426C3A">
        <w:t>Tomigahara</w:t>
      </w:r>
      <w:proofErr w:type="spellEnd"/>
      <w:r w:rsidR="00852F7D">
        <w:t>,</w:t>
      </w:r>
      <w:r w:rsidRPr="00426C3A">
        <w:t xml:space="preserve"> Y</w:t>
      </w:r>
      <w:r w:rsidR="00852F7D">
        <w:t>.</w:t>
      </w:r>
      <w:r w:rsidRPr="00426C3A">
        <w:t xml:space="preserve"> </w:t>
      </w:r>
      <w:r w:rsidR="00852F7D">
        <w:t>(</w:t>
      </w:r>
      <w:r w:rsidRPr="00426C3A">
        <w:t>2005a</w:t>
      </w:r>
      <w:r w:rsidR="00852F7D">
        <w:t>)</w:t>
      </w:r>
      <w:r w:rsidRPr="00426C3A">
        <w:t xml:space="preserve"> </w:t>
      </w:r>
      <w:r w:rsidRPr="00B617F0">
        <w:rPr>
          <w:i/>
          <w:iCs/>
        </w:rPr>
        <w:t>Metabolism of [phenyl-</w:t>
      </w:r>
      <w:r w:rsidRPr="00B617F0">
        <w:rPr>
          <w:i/>
          <w:iCs/>
          <w:vertAlign w:val="superscript"/>
        </w:rPr>
        <w:t>14</w:t>
      </w:r>
      <w:r w:rsidRPr="00B617F0">
        <w:rPr>
          <w:i/>
          <w:iCs/>
        </w:rPr>
        <w:t>C]-PA-CH</w:t>
      </w:r>
      <w:r w:rsidRPr="00B617F0">
        <w:rPr>
          <w:i/>
          <w:iCs/>
          <w:vertAlign w:val="subscript"/>
        </w:rPr>
        <w:t>2</w:t>
      </w:r>
      <w:r w:rsidRPr="00B617F0">
        <w:rPr>
          <w:i/>
          <w:iCs/>
        </w:rPr>
        <w:t>OH in female rats</w:t>
      </w:r>
      <w:r w:rsidRPr="00426C3A">
        <w:t xml:space="preserve">. Environmental Health Science Laboratory, Sumitomo Chemical Co Ltd, Osaka, Japan. Unpublished </w:t>
      </w:r>
      <w:r w:rsidR="00B617F0">
        <w:t>s</w:t>
      </w:r>
      <w:r w:rsidRPr="00426C3A">
        <w:t xml:space="preserve">tudy. Sumitomo Chemical Technical Report </w:t>
      </w:r>
      <w:r w:rsidR="00B617F0">
        <w:t>n</w:t>
      </w:r>
      <w:r w:rsidRPr="00426C3A">
        <w:t>o. BM-0115</w:t>
      </w:r>
      <w:r w:rsidR="00B617F0">
        <w:t>,</w:t>
      </w:r>
      <w:r w:rsidRPr="00426C3A">
        <w:t xml:space="preserve"> 3 August 2005</w:t>
      </w:r>
      <w:r w:rsidR="00B617F0">
        <w:t>.</w:t>
      </w:r>
    </w:p>
    <w:p w14:paraId="0FA863E7" w14:textId="1BBEA033" w:rsidR="00426C3A" w:rsidRPr="00426C3A" w:rsidRDefault="00426C3A" w:rsidP="00D05130">
      <w:pPr>
        <w:pStyle w:val="APVMAText"/>
      </w:pPr>
      <w:proofErr w:type="spellStart"/>
      <w:r w:rsidRPr="00426C3A">
        <w:t>Tomigahara</w:t>
      </w:r>
      <w:proofErr w:type="spellEnd"/>
      <w:r w:rsidR="00852F7D">
        <w:t>,</w:t>
      </w:r>
      <w:r w:rsidRPr="00426C3A">
        <w:t xml:space="preserve"> Y</w:t>
      </w:r>
      <w:r w:rsidR="00852F7D">
        <w:t>.</w:t>
      </w:r>
      <w:r w:rsidRPr="00426C3A">
        <w:t xml:space="preserve"> </w:t>
      </w:r>
      <w:r w:rsidR="00852F7D">
        <w:t>(</w:t>
      </w:r>
      <w:r w:rsidRPr="00426C3A">
        <w:t>2005b</w:t>
      </w:r>
      <w:r w:rsidR="00852F7D">
        <w:t>)</w:t>
      </w:r>
      <w:r w:rsidRPr="00426C3A">
        <w:t xml:space="preserve"> </w:t>
      </w:r>
      <w:r w:rsidRPr="00167CD7">
        <w:rPr>
          <w:i/>
          <w:iCs/>
        </w:rPr>
        <w:t>Metabolism of [phenyl-</w:t>
      </w:r>
      <w:r w:rsidRPr="00167CD7">
        <w:rPr>
          <w:i/>
          <w:iCs/>
          <w:vertAlign w:val="superscript"/>
        </w:rPr>
        <w:t>14</w:t>
      </w:r>
      <w:r w:rsidRPr="00167CD7">
        <w:rPr>
          <w:i/>
          <w:iCs/>
        </w:rPr>
        <w:t>C]-PCM-CH</w:t>
      </w:r>
      <w:r w:rsidRPr="00167CD7">
        <w:rPr>
          <w:i/>
          <w:iCs/>
          <w:vertAlign w:val="subscript"/>
        </w:rPr>
        <w:t>2</w:t>
      </w:r>
      <w:r w:rsidRPr="00167CD7">
        <w:rPr>
          <w:i/>
          <w:iCs/>
        </w:rPr>
        <w:t>OH in female rats</w:t>
      </w:r>
      <w:r w:rsidRPr="00426C3A">
        <w:t xml:space="preserve">. Environmental Health Science Laboratory, Sumitomo Chemical Co Ltd, Osaka, Japan. Unpublished </w:t>
      </w:r>
      <w:r w:rsidR="00167CD7">
        <w:t>s</w:t>
      </w:r>
      <w:r w:rsidRPr="00426C3A">
        <w:t xml:space="preserve">tudy. Sumitomo Chemical Technical Report </w:t>
      </w:r>
      <w:r w:rsidR="00167CD7">
        <w:t>n</w:t>
      </w:r>
      <w:r w:rsidRPr="00426C3A">
        <w:t>o. BM-0119. 5 August 2005</w:t>
      </w:r>
      <w:r w:rsidR="00167CD7">
        <w:t>.</w:t>
      </w:r>
    </w:p>
    <w:p w14:paraId="4A0D5368" w14:textId="20CDA3D6" w:rsidR="00426C3A" w:rsidRPr="00426C3A" w:rsidRDefault="00426C3A" w:rsidP="00D05130">
      <w:pPr>
        <w:pStyle w:val="APVMAText"/>
      </w:pPr>
      <w:proofErr w:type="spellStart"/>
      <w:r w:rsidRPr="00426C3A">
        <w:lastRenderedPageBreak/>
        <w:t>Tomigahara</w:t>
      </w:r>
      <w:proofErr w:type="spellEnd"/>
      <w:r w:rsidR="00852F7D">
        <w:t>,</w:t>
      </w:r>
      <w:r w:rsidRPr="00426C3A">
        <w:t xml:space="preserve"> Y</w:t>
      </w:r>
      <w:r w:rsidR="00852F7D">
        <w:t>.</w:t>
      </w:r>
      <w:r w:rsidRPr="00426C3A">
        <w:t xml:space="preserve"> </w:t>
      </w:r>
      <w:r w:rsidR="00852F7D">
        <w:t>(</w:t>
      </w:r>
      <w:r w:rsidRPr="00426C3A">
        <w:t>2005c</w:t>
      </w:r>
      <w:r w:rsidR="00852F7D">
        <w:t>)</w:t>
      </w:r>
      <w:r w:rsidRPr="00426C3A">
        <w:t xml:space="preserve"> </w:t>
      </w:r>
      <w:r w:rsidRPr="00167CD7">
        <w:rPr>
          <w:i/>
          <w:iCs/>
        </w:rPr>
        <w:t>Pharmacokinetics and excretions of [phenyl-</w:t>
      </w:r>
      <w:r w:rsidRPr="00167CD7">
        <w:rPr>
          <w:i/>
          <w:iCs/>
          <w:vertAlign w:val="superscript"/>
        </w:rPr>
        <w:t>14</w:t>
      </w:r>
      <w:r w:rsidRPr="00167CD7">
        <w:rPr>
          <w:i/>
          <w:iCs/>
        </w:rPr>
        <w:t>C]-PCM-CH</w:t>
      </w:r>
      <w:r w:rsidRPr="00167CD7">
        <w:rPr>
          <w:i/>
          <w:iCs/>
          <w:vertAlign w:val="subscript"/>
        </w:rPr>
        <w:t>2</w:t>
      </w:r>
      <w:r w:rsidRPr="00167CD7">
        <w:rPr>
          <w:i/>
          <w:iCs/>
        </w:rPr>
        <w:t>OH in female rats (single oral and subcutaneous administration)</w:t>
      </w:r>
      <w:r w:rsidRPr="00426C3A">
        <w:t xml:space="preserve">. Environmental Health Science Laboratory, Sumitomo Chemical Co Ltd, Osaka, Japan. Unpublished </w:t>
      </w:r>
      <w:r w:rsidR="00167CD7">
        <w:t>s</w:t>
      </w:r>
      <w:r w:rsidRPr="00426C3A">
        <w:t xml:space="preserve">tudy. Sumitomo Chemical Technical Report </w:t>
      </w:r>
      <w:r w:rsidR="00167CD7">
        <w:t>n</w:t>
      </w:r>
      <w:r w:rsidRPr="00426C3A">
        <w:t>o. BM-0114</w:t>
      </w:r>
      <w:r w:rsidR="00167CD7">
        <w:t>,</w:t>
      </w:r>
      <w:r w:rsidRPr="00426C3A">
        <w:t xml:space="preserve"> 4 August 2005.Unpublished Study </w:t>
      </w:r>
      <w:r w:rsidR="00167CD7">
        <w:t>n</w:t>
      </w:r>
      <w:r w:rsidRPr="00426C3A">
        <w:t xml:space="preserve">o. RR0505, </w:t>
      </w:r>
      <w:r w:rsidR="00167CD7">
        <w:t>r</w:t>
      </w:r>
      <w:r w:rsidRPr="00426C3A">
        <w:t xml:space="preserve">eport no. CTL/P/3232. Sumitomo Chemical Technical Report </w:t>
      </w:r>
      <w:r w:rsidR="00167CD7">
        <w:t>n</w:t>
      </w:r>
      <w:r w:rsidRPr="00426C3A">
        <w:t>o. BT-0144</w:t>
      </w:r>
      <w:r w:rsidR="00167CD7">
        <w:t>,</w:t>
      </w:r>
      <w:r w:rsidRPr="00426C3A">
        <w:t xml:space="preserve"> 27 August 1991.</w:t>
      </w:r>
    </w:p>
    <w:p w14:paraId="7C45A959" w14:textId="79A268CA" w:rsidR="00426C3A" w:rsidRPr="00426C3A" w:rsidRDefault="00426C3A" w:rsidP="00D05130">
      <w:pPr>
        <w:pStyle w:val="APVMAText"/>
      </w:pPr>
      <w:proofErr w:type="spellStart"/>
      <w:r w:rsidRPr="00426C3A">
        <w:t>Tomigahara</w:t>
      </w:r>
      <w:proofErr w:type="spellEnd"/>
      <w:r w:rsidR="00852F7D">
        <w:t>,</w:t>
      </w:r>
      <w:r w:rsidRPr="00426C3A">
        <w:t xml:space="preserve"> Y</w:t>
      </w:r>
      <w:r w:rsidR="00852F7D">
        <w:t>.</w:t>
      </w:r>
      <w:r w:rsidRPr="00426C3A">
        <w:t xml:space="preserve"> and Matsui</w:t>
      </w:r>
      <w:r w:rsidR="00852F7D">
        <w:t>,</w:t>
      </w:r>
      <w:r w:rsidRPr="00426C3A">
        <w:t xml:space="preserve"> M</w:t>
      </w:r>
      <w:r w:rsidR="00852F7D">
        <w:t>.</w:t>
      </w:r>
      <w:r w:rsidRPr="00426C3A">
        <w:t xml:space="preserve"> </w:t>
      </w:r>
      <w:r w:rsidR="00852F7D">
        <w:t>(</w:t>
      </w:r>
      <w:r w:rsidRPr="00426C3A">
        <w:t>2003</w:t>
      </w:r>
      <w:r w:rsidR="00852F7D">
        <w:t>)</w:t>
      </w:r>
      <w:r w:rsidRPr="00426C3A">
        <w:t xml:space="preserve"> </w:t>
      </w:r>
      <w:r w:rsidRPr="000227E9">
        <w:rPr>
          <w:i/>
        </w:rPr>
        <w:t xml:space="preserve">In vitro metabolism of procymidone in S9 fraction of human, </w:t>
      </w:r>
      <w:proofErr w:type="gramStart"/>
      <w:r w:rsidRPr="000227E9">
        <w:rPr>
          <w:i/>
        </w:rPr>
        <w:t>rat</w:t>
      </w:r>
      <w:proofErr w:type="gramEnd"/>
      <w:r w:rsidRPr="000227E9">
        <w:rPr>
          <w:i/>
        </w:rPr>
        <w:t xml:space="preserve"> and monkey female livers</w:t>
      </w:r>
      <w:r w:rsidRPr="00426C3A">
        <w:t xml:space="preserve">. Sumitomo Chemical Co. Ltd, Environmental Health Science Laboratory, Osaka, Japan. Unpublished </w:t>
      </w:r>
      <w:r w:rsidR="000227E9">
        <w:t>s</w:t>
      </w:r>
      <w:r w:rsidRPr="00426C3A">
        <w:t xml:space="preserve">tudy </w:t>
      </w:r>
      <w:r w:rsidR="000227E9">
        <w:t>n</w:t>
      </w:r>
      <w:r w:rsidRPr="00426C3A">
        <w:t>o. X0110. Technical report, BM-0086</w:t>
      </w:r>
      <w:r w:rsidR="000227E9">
        <w:t>,</w:t>
      </w:r>
      <w:r w:rsidRPr="00426C3A">
        <w:t xml:space="preserve"> 5 December 2003.</w:t>
      </w:r>
    </w:p>
    <w:p w14:paraId="177EC31B" w14:textId="3CA52352" w:rsidR="00426C3A" w:rsidRPr="00426C3A" w:rsidRDefault="00426C3A" w:rsidP="00D05130">
      <w:pPr>
        <w:pStyle w:val="APVMAText"/>
      </w:pPr>
      <w:r w:rsidRPr="00426C3A">
        <w:t>Weir R</w:t>
      </w:r>
      <w:r w:rsidR="00852F7D">
        <w:t>.</w:t>
      </w:r>
      <w:r w:rsidRPr="00426C3A">
        <w:t>J</w:t>
      </w:r>
      <w:r w:rsidR="00852F7D">
        <w:t>.</w:t>
      </w:r>
      <w:r w:rsidRPr="00426C3A">
        <w:t xml:space="preserve"> and Keller J</w:t>
      </w:r>
      <w:r w:rsidR="00852F7D">
        <w:t>.</w:t>
      </w:r>
      <w:r w:rsidRPr="00426C3A">
        <w:t>G</w:t>
      </w:r>
      <w:r w:rsidR="00852F7D">
        <w:t>.</w:t>
      </w:r>
      <w:r w:rsidRPr="00426C3A">
        <w:t xml:space="preserve"> </w:t>
      </w:r>
      <w:r w:rsidR="00852F7D">
        <w:t>(</w:t>
      </w:r>
      <w:r w:rsidRPr="00426C3A">
        <w:t>1984</w:t>
      </w:r>
      <w:r w:rsidR="00852F7D">
        <w:t>)</w:t>
      </w:r>
      <w:r w:rsidRPr="00426C3A">
        <w:t xml:space="preserve"> </w:t>
      </w:r>
      <w:r w:rsidRPr="000227E9">
        <w:rPr>
          <w:i/>
          <w:iCs/>
        </w:rPr>
        <w:t xml:space="preserve">13-week pilot study in mice </w:t>
      </w:r>
      <w:proofErr w:type="spellStart"/>
      <w:r w:rsidRPr="000227E9">
        <w:rPr>
          <w:i/>
          <w:iCs/>
        </w:rPr>
        <w:t>Sumilex</w:t>
      </w:r>
      <w:proofErr w:type="spellEnd"/>
      <w:r w:rsidRPr="000227E9">
        <w:rPr>
          <w:i/>
          <w:iCs/>
        </w:rPr>
        <w:t xml:space="preserve"> Final Report</w:t>
      </w:r>
      <w:r w:rsidRPr="00426C3A">
        <w:t xml:space="preserve">. Report </w:t>
      </w:r>
      <w:r w:rsidR="000227E9">
        <w:t>n</w:t>
      </w:r>
      <w:r w:rsidRPr="00426C3A">
        <w:t xml:space="preserve">o. BT-41-0092. LBI </w:t>
      </w:r>
      <w:r w:rsidR="000227E9">
        <w:t>p</w:t>
      </w:r>
      <w:r w:rsidRPr="00426C3A">
        <w:t xml:space="preserve">roject </w:t>
      </w:r>
      <w:r w:rsidR="000227E9">
        <w:t>n</w:t>
      </w:r>
      <w:r w:rsidRPr="00426C3A">
        <w:t xml:space="preserve">o. 22253. Lab: Litton </w:t>
      </w:r>
      <w:proofErr w:type="spellStart"/>
      <w:r w:rsidRPr="00426C3A">
        <w:t>Bionetics</w:t>
      </w:r>
      <w:proofErr w:type="spellEnd"/>
      <w:r w:rsidRPr="00426C3A">
        <w:t xml:space="preserve"> Inc., Kensington, Maryland, USA. Sponsor: Sumitomo Chemical Co. Ltd., Osaka, Japan. Study duration: not specified. Report date: 10 May 1984. Unpublished.</w:t>
      </w:r>
    </w:p>
    <w:p w14:paraId="750F9B60" w14:textId="11A1D110" w:rsidR="00426C3A" w:rsidRPr="00426C3A" w:rsidRDefault="00426C3A" w:rsidP="00D05130">
      <w:pPr>
        <w:pStyle w:val="APVMAText"/>
      </w:pPr>
      <w:proofErr w:type="spellStart"/>
      <w:r w:rsidRPr="00426C3A">
        <w:t>Wickramaratne</w:t>
      </w:r>
      <w:proofErr w:type="spellEnd"/>
      <w:r w:rsidR="00852F7D">
        <w:t>,</w:t>
      </w:r>
      <w:r w:rsidRPr="00426C3A">
        <w:t xml:space="preserve"> G</w:t>
      </w:r>
      <w:r w:rsidR="00852F7D">
        <w:t>.</w:t>
      </w:r>
      <w:r w:rsidRPr="00426C3A">
        <w:t>A</w:t>
      </w:r>
      <w:r w:rsidR="00852F7D">
        <w:t>.</w:t>
      </w:r>
      <w:r w:rsidRPr="00426C3A">
        <w:t xml:space="preserve"> (1988) </w:t>
      </w:r>
      <w:r w:rsidRPr="000227E9">
        <w:rPr>
          <w:i/>
          <w:iCs/>
        </w:rPr>
        <w:t>Procymidone: teratogenicity study in the rabbit</w:t>
      </w:r>
      <w:r w:rsidRPr="00426C3A">
        <w:t>. ICI Central Toxicology Lab. Study No. RB0349.</w:t>
      </w:r>
    </w:p>
    <w:p w14:paraId="72C8B765" w14:textId="372ADF2E" w:rsidR="00426C3A" w:rsidRPr="00426C3A" w:rsidRDefault="00426C3A" w:rsidP="00D05130">
      <w:pPr>
        <w:pStyle w:val="APVMAText"/>
      </w:pPr>
      <w:proofErr w:type="spellStart"/>
      <w:r w:rsidRPr="00426C3A">
        <w:t>Wickramaratne</w:t>
      </w:r>
      <w:proofErr w:type="spellEnd"/>
      <w:r w:rsidR="00852F7D">
        <w:t>,</w:t>
      </w:r>
      <w:r w:rsidRPr="00426C3A">
        <w:t xml:space="preserve"> G</w:t>
      </w:r>
      <w:r w:rsidR="00852F7D">
        <w:t>.</w:t>
      </w:r>
      <w:r w:rsidRPr="00426C3A">
        <w:t>A</w:t>
      </w:r>
      <w:r w:rsidR="00852F7D">
        <w:t>.</w:t>
      </w:r>
      <w:r w:rsidRPr="00426C3A">
        <w:t xml:space="preserve"> (</w:t>
      </w:r>
      <w:r w:rsidR="000227E9">
        <w:t>n.d.</w:t>
      </w:r>
      <w:r w:rsidRPr="00426C3A">
        <w:t xml:space="preserve">) </w:t>
      </w:r>
      <w:r w:rsidRPr="000227E9">
        <w:rPr>
          <w:i/>
          <w:iCs/>
        </w:rPr>
        <w:t>Multigeneration reproduction study in the rats</w:t>
      </w:r>
      <w:r w:rsidRPr="00426C3A">
        <w:t>. Report No. CTL/RR0332. Lab: ICI Ltd Central Toxicology Laboratory, Alderley Park, Macclesfield, Cheshire UK. Sponsor: Sumitomo Chemical Co. Ltd, Osaka Pesticides Division, Osaka, Japan. Study duration: Not specified. Report date: Not specified. GLP &amp; QC: Not specified.</w:t>
      </w:r>
    </w:p>
    <w:p w14:paraId="193091E8" w14:textId="32A28088" w:rsidR="00426C3A" w:rsidRPr="00426C3A" w:rsidRDefault="00426C3A" w:rsidP="00D05130">
      <w:pPr>
        <w:pStyle w:val="APVMAText"/>
      </w:pPr>
      <w:r w:rsidRPr="00426C3A">
        <w:t>Wolf</w:t>
      </w:r>
      <w:r w:rsidR="00852F7D">
        <w:t>,</w:t>
      </w:r>
      <w:r w:rsidRPr="00426C3A">
        <w:t xml:space="preserve"> C</w:t>
      </w:r>
      <w:r w:rsidR="00852F7D">
        <w:t>.</w:t>
      </w:r>
      <w:r w:rsidRPr="00426C3A">
        <w:t>, Lambright</w:t>
      </w:r>
      <w:r w:rsidR="00852F7D">
        <w:t>,</w:t>
      </w:r>
      <w:r w:rsidRPr="00426C3A">
        <w:t xml:space="preserve"> C</w:t>
      </w:r>
      <w:r w:rsidR="00852F7D">
        <w:t>.</w:t>
      </w:r>
      <w:r w:rsidRPr="00426C3A">
        <w:t>, Mann</w:t>
      </w:r>
      <w:r w:rsidR="00852F7D">
        <w:t>,</w:t>
      </w:r>
      <w:r w:rsidRPr="00426C3A">
        <w:t xml:space="preserve"> P</w:t>
      </w:r>
      <w:r w:rsidR="00852F7D">
        <w:t>.</w:t>
      </w:r>
      <w:r w:rsidRPr="00426C3A">
        <w:t>, Price</w:t>
      </w:r>
      <w:r w:rsidR="00852F7D">
        <w:t>,</w:t>
      </w:r>
      <w:r w:rsidRPr="00426C3A">
        <w:t xml:space="preserve"> M</w:t>
      </w:r>
      <w:r w:rsidR="00852F7D">
        <w:t>.</w:t>
      </w:r>
      <w:r w:rsidRPr="00426C3A">
        <w:t>, Cooper</w:t>
      </w:r>
      <w:r w:rsidR="00852F7D">
        <w:t>,</w:t>
      </w:r>
      <w:r w:rsidRPr="00426C3A">
        <w:t xml:space="preserve"> R</w:t>
      </w:r>
      <w:r w:rsidR="00852F7D">
        <w:t>.</w:t>
      </w:r>
      <w:r w:rsidRPr="00426C3A">
        <w:t>L</w:t>
      </w:r>
      <w:r w:rsidR="00852F7D">
        <w:t>.</w:t>
      </w:r>
      <w:r w:rsidRPr="00426C3A">
        <w:t xml:space="preserve">, </w:t>
      </w:r>
      <w:proofErr w:type="spellStart"/>
      <w:r w:rsidRPr="00426C3A">
        <w:t>Ostby</w:t>
      </w:r>
      <w:proofErr w:type="spellEnd"/>
      <w:r w:rsidR="00852F7D">
        <w:t>,</w:t>
      </w:r>
      <w:r w:rsidRPr="00426C3A">
        <w:t xml:space="preserve"> J</w:t>
      </w:r>
      <w:r w:rsidR="00852F7D">
        <w:t>. and</w:t>
      </w:r>
      <w:r w:rsidR="00852F7D" w:rsidRPr="00426C3A">
        <w:t xml:space="preserve"> </w:t>
      </w:r>
      <w:r w:rsidRPr="00426C3A">
        <w:t>Earl Gray</w:t>
      </w:r>
      <w:r w:rsidR="00852F7D">
        <w:t>,</w:t>
      </w:r>
      <w:r w:rsidRPr="00426C3A">
        <w:t xml:space="preserve"> L</w:t>
      </w:r>
      <w:r w:rsidR="00852F7D">
        <w:t>.</w:t>
      </w:r>
      <w:r w:rsidRPr="00426C3A">
        <w:t xml:space="preserve"> Jr (1999) </w:t>
      </w:r>
      <w:r w:rsidRPr="000227E9">
        <w:rPr>
          <w:i/>
          <w:iCs/>
        </w:rPr>
        <w:t xml:space="preserve">Administration of potentially antiandrogenic pesticides (procymidone, linuron, iprodione, chlozolinate, </w:t>
      </w:r>
      <w:proofErr w:type="spellStart"/>
      <w:proofErr w:type="gramStart"/>
      <w:r w:rsidRPr="000227E9">
        <w:rPr>
          <w:i/>
          <w:iCs/>
        </w:rPr>
        <w:t>p,p</w:t>
      </w:r>
      <w:proofErr w:type="spellEnd"/>
      <w:proofErr w:type="gramEnd"/>
      <w:r w:rsidRPr="000227E9">
        <w:rPr>
          <w:i/>
          <w:iCs/>
        </w:rPr>
        <w:t xml:space="preserve">’-DDE, and ketoconazole) and toxic substances (dibutyl- and </w:t>
      </w:r>
      <w:proofErr w:type="spellStart"/>
      <w:r w:rsidRPr="000227E9">
        <w:rPr>
          <w:i/>
          <w:iCs/>
        </w:rPr>
        <w:t>diethylhexyl</w:t>
      </w:r>
      <w:proofErr w:type="spellEnd"/>
      <w:r w:rsidRPr="000227E9">
        <w:rPr>
          <w:i/>
          <w:iCs/>
        </w:rPr>
        <w:t xml:space="preserve"> phthalate, PCB 169 and ethane </w:t>
      </w:r>
      <w:proofErr w:type="spellStart"/>
      <w:r w:rsidRPr="000227E9">
        <w:rPr>
          <w:i/>
          <w:iCs/>
        </w:rPr>
        <w:t>dimethane</w:t>
      </w:r>
      <w:proofErr w:type="spellEnd"/>
      <w:r w:rsidRPr="000227E9">
        <w:rPr>
          <w:i/>
          <w:iCs/>
        </w:rPr>
        <w:t xml:space="preserve"> sulphonate) during sexual differentiation produces diverse profiles in reproductive malformations in the male rat</w:t>
      </w:r>
      <w:r w:rsidRPr="00426C3A">
        <w:t xml:space="preserve">. </w:t>
      </w:r>
      <w:proofErr w:type="spellStart"/>
      <w:r w:rsidRPr="00426C3A">
        <w:t>Toxicol</w:t>
      </w:r>
      <w:proofErr w:type="spellEnd"/>
      <w:r w:rsidRPr="00426C3A">
        <w:t xml:space="preserve"> Ind Health. 1999 Jan</w:t>
      </w:r>
      <w:r w:rsidR="000227E9">
        <w:t>–</w:t>
      </w:r>
      <w:r w:rsidRPr="00426C3A">
        <w:t>Mar; 15 (1-2):94-118</w:t>
      </w:r>
      <w:r w:rsidR="000227E9">
        <w:t>.</w:t>
      </w:r>
    </w:p>
    <w:p w14:paraId="75A6FA20" w14:textId="079609CB" w:rsidR="00426C3A" w:rsidRPr="00D05130" w:rsidRDefault="00426C3A" w:rsidP="00D05130">
      <w:pPr>
        <w:pStyle w:val="AppendixH3"/>
      </w:pPr>
      <w:bookmarkStart w:id="162" w:name="_Toc116301593"/>
      <w:r w:rsidRPr="00D05130">
        <w:t>Other human health and toxicology references</w:t>
      </w:r>
      <w:bookmarkEnd w:id="162"/>
    </w:p>
    <w:p w14:paraId="66CB463B" w14:textId="71C2B999" w:rsidR="00426C3A" w:rsidRPr="00426C3A" w:rsidRDefault="000227E9" w:rsidP="00D05130">
      <w:pPr>
        <w:pStyle w:val="APVMAText"/>
      </w:pPr>
      <w:r>
        <w:t xml:space="preserve">Australian Government </w:t>
      </w:r>
      <w:r w:rsidR="00426C3A" w:rsidRPr="00426C3A">
        <w:t>Department of Health</w:t>
      </w:r>
      <w:r>
        <w:t xml:space="preserve"> and Aged Care</w:t>
      </w:r>
      <w:r w:rsidR="00426C3A" w:rsidRPr="00426C3A">
        <w:t xml:space="preserve"> (2015) </w:t>
      </w:r>
      <w:hyperlink r:id="rId51" w:history="1">
        <w:r w:rsidR="00426C3A" w:rsidRPr="000227E9">
          <w:rPr>
            <w:rStyle w:val="Hyperlink"/>
            <w:i/>
            <w:iCs/>
          </w:rPr>
          <w:t>Standard for the Uniform Scheduling of Medicines and Poisons (SUSMP)</w:t>
        </w:r>
      </w:hyperlink>
      <w:r>
        <w:t>, accessed 25 May 2017.</w:t>
      </w:r>
    </w:p>
    <w:p w14:paraId="1F523933" w14:textId="56572914" w:rsidR="00426C3A" w:rsidRPr="00426C3A" w:rsidRDefault="00426C3A" w:rsidP="00D05130">
      <w:pPr>
        <w:pStyle w:val="APVMAText"/>
      </w:pPr>
      <w:proofErr w:type="spellStart"/>
      <w:r w:rsidRPr="00426C3A">
        <w:t>Derelanko</w:t>
      </w:r>
      <w:proofErr w:type="spellEnd"/>
      <w:r w:rsidRPr="00426C3A">
        <w:t xml:space="preserve"> MJ (2000). </w:t>
      </w:r>
      <w:r w:rsidRPr="000227E9">
        <w:rPr>
          <w:i/>
          <w:iCs/>
        </w:rPr>
        <w:t>Toxicologist’s Pocket Handbook</w:t>
      </w:r>
      <w:r w:rsidRPr="00426C3A">
        <w:t>. CRC Press, Florida, US</w:t>
      </w:r>
      <w:r w:rsidR="000227E9">
        <w:t>A</w:t>
      </w:r>
      <w:r w:rsidRPr="00426C3A">
        <w:t>.</w:t>
      </w:r>
    </w:p>
    <w:p w14:paraId="3069255B" w14:textId="3A5BC15A" w:rsidR="00426C3A" w:rsidRPr="00426C3A" w:rsidRDefault="00426C3A" w:rsidP="00D05130">
      <w:pPr>
        <w:pStyle w:val="APVMAText"/>
      </w:pPr>
      <w:r w:rsidRPr="00426C3A">
        <w:t xml:space="preserve">European Commission Health </w:t>
      </w:r>
      <w:r w:rsidR="000227E9">
        <w:t>and Consumer Protection Directorate-General</w:t>
      </w:r>
      <w:r w:rsidRPr="00426C3A">
        <w:t xml:space="preserve"> (2007) </w:t>
      </w:r>
      <w:r w:rsidRPr="000227E9">
        <w:rPr>
          <w:i/>
          <w:iCs/>
        </w:rPr>
        <w:t>Procymidone SANCO/4064/2001 – rev. 19 January 2006</w:t>
      </w:r>
    </w:p>
    <w:p w14:paraId="4CCAE701" w14:textId="651BECC1" w:rsidR="00426C3A" w:rsidRPr="00426C3A" w:rsidRDefault="00D05CE7" w:rsidP="00D05130">
      <w:pPr>
        <w:pStyle w:val="APVMAText"/>
      </w:pPr>
      <w:r w:rsidRPr="00426C3A">
        <w:t>Commonwealth Department of Health and Family Services and National Occupational Health and Safety Commission</w:t>
      </w:r>
      <w:r>
        <w:t xml:space="preserve"> </w:t>
      </w:r>
      <w:r w:rsidRPr="00426C3A">
        <w:t xml:space="preserve">(2004)., </w:t>
      </w:r>
      <w:r w:rsidR="00426C3A" w:rsidRPr="00D05CE7">
        <w:rPr>
          <w:i/>
          <w:iCs/>
        </w:rPr>
        <w:t>Handbook of First Aid Instructions and Safety Directions</w:t>
      </w:r>
      <w:r w:rsidR="00426C3A" w:rsidRPr="00426C3A">
        <w:t>, Australian Government Publishing Service, Canberra</w:t>
      </w:r>
    </w:p>
    <w:p w14:paraId="1F0CEE20" w14:textId="07E10D8A" w:rsidR="00426C3A" w:rsidRPr="00426C3A" w:rsidRDefault="000227E9" w:rsidP="00D05130">
      <w:pPr>
        <w:pStyle w:val="APVMAText"/>
      </w:pPr>
      <w:r w:rsidRPr="000227E9">
        <w:t xml:space="preserve">Joint FAO/WHO Meeting on Pesticide Residues (JMPR) </w:t>
      </w:r>
      <w:r w:rsidR="00426C3A" w:rsidRPr="00426C3A">
        <w:t xml:space="preserve">(1981) </w:t>
      </w:r>
      <w:hyperlink r:id="rId52" w:history="1">
        <w:r w:rsidR="00426C3A" w:rsidRPr="000227E9">
          <w:rPr>
            <w:rStyle w:val="Hyperlink"/>
            <w:i/>
            <w:iCs/>
          </w:rPr>
          <w:t>Procymidone (Pesticide residues in food: 1981 evaluations)</w:t>
        </w:r>
      </w:hyperlink>
      <w:r>
        <w:t>, Internationally Peer Reviewed Chemical Safety Information (INCHEM) website, accessed 25 May 2017</w:t>
      </w:r>
      <w:r w:rsidR="00426C3A" w:rsidRPr="00426C3A">
        <w:t>.</w:t>
      </w:r>
    </w:p>
    <w:p w14:paraId="4E181685" w14:textId="68E9AD35" w:rsidR="00426C3A" w:rsidRPr="00426C3A" w:rsidRDefault="000227E9" w:rsidP="00D05130">
      <w:pPr>
        <w:pStyle w:val="APVMAText"/>
      </w:pPr>
      <w:r w:rsidRPr="000227E9">
        <w:lastRenderedPageBreak/>
        <w:t xml:space="preserve">Joint FAO/WHO Meeting on Pesticide Residues (JMPR) </w:t>
      </w:r>
      <w:r w:rsidR="00426C3A" w:rsidRPr="00426C3A">
        <w:t xml:space="preserve">(1989) </w:t>
      </w:r>
      <w:hyperlink r:id="rId53" w:history="1">
        <w:r w:rsidR="00426C3A" w:rsidRPr="000227E9">
          <w:rPr>
            <w:rStyle w:val="Hyperlink"/>
            <w:i/>
            <w:iCs/>
          </w:rPr>
          <w:t>Procymidone (Pesticide residues in food: 1989 evaluations Part II Toxicology)</w:t>
        </w:r>
      </w:hyperlink>
      <w:r w:rsidR="00426C3A" w:rsidRPr="00426C3A">
        <w:t xml:space="preserve">. </w:t>
      </w:r>
      <w:r>
        <w:t>Internationally Peer Reviewed Chemical Safety Information (INCHEM) website, accessed 25 May 2017</w:t>
      </w:r>
      <w:r w:rsidRPr="00426C3A">
        <w:t>.</w:t>
      </w:r>
    </w:p>
    <w:p w14:paraId="0D24BE71" w14:textId="176F2B9C" w:rsidR="00426C3A" w:rsidRPr="00426C3A" w:rsidRDefault="000227E9" w:rsidP="00D05130">
      <w:pPr>
        <w:pStyle w:val="APVMAText"/>
      </w:pPr>
      <w:r w:rsidRPr="000227E9">
        <w:t xml:space="preserve">Joint FAO/WHO Meeting on Pesticide Residues (JMPR) </w:t>
      </w:r>
      <w:r w:rsidR="00426C3A" w:rsidRPr="00426C3A">
        <w:t xml:space="preserve">(2007) </w:t>
      </w:r>
      <w:hyperlink r:id="rId54" w:history="1">
        <w:r w:rsidR="00426C3A" w:rsidRPr="000227E9">
          <w:rPr>
            <w:rStyle w:val="Hyperlink"/>
            <w:i/>
            <w:iCs/>
          </w:rPr>
          <w:t>Procymidone 349</w:t>
        </w:r>
        <w:r w:rsidRPr="000227E9">
          <w:rPr>
            <w:rStyle w:val="Hyperlink"/>
            <w:i/>
            <w:iCs/>
          </w:rPr>
          <w:t>–</w:t>
        </w:r>
        <w:r w:rsidR="00426C3A" w:rsidRPr="000227E9">
          <w:rPr>
            <w:rStyle w:val="Hyperlink"/>
            <w:i/>
            <w:iCs/>
          </w:rPr>
          <w:t>401</w:t>
        </w:r>
      </w:hyperlink>
      <w:r>
        <w:t>, World Health Organisation (WHO) website, accessed 25 May 2017</w:t>
      </w:r>
      <w:r w:rsidR="00426C3A" w:rsidRPr="00426C3A">
        <w:t>.</w:t>
      </w:r>
    </w:p>
    <w:p w14:paraId="55AAAB86" w14:textId="1EE8BA1E" w:rsidR="00426C3A" w:rsidRPr="00426C3A" w:rsidRDefault="00426C3A" w:rsidP="00D05130">
      <w:pPr>
        <w:pStyle w:val="APVMAText"/>
      </w:pPr>
      <w:proofErr w:type="spellStart"/>
      <w:r w:rsidRPr="00426C3A">
        <w:t>Rosenheck</w:t>
      </w:r>
      <w:proofErr w:type="spellEnd"/>
      <w:r w:rsidR="00852F7D">
        <w:t>,</w:t>
      </w:r>
      <w:r w:rsidRPr="00426C3A">
        <w:t xml:space="preserve"> L</w:t>
      </w:r>
      <w:r w:rsidR="00852F7D">
        <w:t>.</w:t>
      </w:r>
      <w:r w:rsidRPr="00426C3A">
        <w:t>A</w:t>
      </w:r>
      <w:r w:rsidR="00852F7D">
        <w:t>.</w:t>
      </w:r>
      <w:r w:rsidRPr="00426C3A">
        <w:t>, Schuster</w:t>
      </w:r>
      <w:r w:rsidR="00852F7D">
        <w:t>,</w:t>
      </w:r>
      <w:r w:rsidRPr="00426C3A">
        <w:t xml:space="preserve"> </w:t>
      </w:r>
      <w:proofErr w:type="gramStart"/>
      <w:r w:rsidRPr="00426C3A">
        <w:t>L</w:t>
      </w:r>
      <w:r w:rsidR="00852F7D">
        <w:t>.</w:t>
      </w:r>
      <w:proofErr w:type="gramEnd"/>
      <w:r w:rsidRPr="00426C3A">
        <w:t xml:space="preserve"> and Selman</w:t>
      </w:r>
      <w:r w:rsidR="00852F7D">
        <w:t>,</w:t>
      </w:r>
      <w:r w:rsidRPr="00426C3A">
        <w:t xml:space="preserve"> F</w:t>
      </w:r>
      <w:r w:rsidR="00852F7D">
        <w:t>.</w:t>
      </w:r>
      <w:r w:rsidRPr="00426C3A">
        <w:t>B</w:t>
      </w:r>
      <w:r w:rsidR="00852F7D">
        <w:t>.</w:t>
      </w:r>
      <w:r w:rsidRPr="00426C3A">
        <w:t xml:space="preserve"> (1993). </w:t>
      </w:r>
      <w:r w:rsidRPr="000227E9">
        <w:rPr>
          <w:i/>
          <w:iCs/>
        </w:rPr>
        <w:t>Worker Exposure to Apron Flowable While Treating Seed Commercially</w:t>
      </w:r>
      <w:r w:rsidRPr="00426C3A">
        <w:t>, Ciba-Geigy Corporation USA, AE-91-512, March 1993</w:t>
      </w:r>
      <w:r w:rsidR="000227E9">
        <w:t>.</w:t>
      </w:r>
    </w:p>
    <w:p w14:paraId="0F830F8C" w14:textId="72B0CD6D" w:rsidR="00426C3A" w:rsidRPr="00426C3A" w:rsidRDefault="00426C3A" w:rsidP="00D05130">
      <w:pPr>
        <w:pStyle w:val="APVMAText"/>
      </w:pPr>
      <w:r w:rsidRPr="00426C3A">
        <w:t>US E</w:t>
      </w:r>
      <w:r w:rsidR="000227E9">
        <w:t>nvironmental Protection Agency (E</w:t>
      </w:r>
      <w:r w:rsidRPr="00426C3A">
        <w:t>PA</w:t>
      </w:r>
      <w:r w:rsidR="000227E9">
        <w:t>)</w:t>
      </w:r>
      <w:r w:rsidRPr="00426C3A">
        <w:t xml:space="preserve"> (1997) </w:t>
      </w:r>
      <w:r w:rsidRPr="000227E9">
        <w:rPr>
          <w:i/>
          <w:iCs/>
        </w:rPr>
        <w:t xml:space="preserve">Standard Operating Procedures (SOPs) for Residential Exposure Assessments DRAFT of December 19, </w:t>
      </w:r>
      <w:r w:rsidR="00852F7D" w:rsidRPr="000227E9">
        <w:rPr>
          <w:i/>
          <w:iCs/>
        </w:rPr>
        <w:t>1997</w:t>
      </w:r>
      <w:r w:rsidR="00852F7D" w:rsidRPr="00426C3A">
        <w:t>,</w:t>
      </w:r>
      <w:r w:rsidRPr="00426C3A">
        <w:t xml:space="preserve"> prepared by The Residential Exposure Assessment Work Group Contract </w:t>
      </w:r>
      <w:r w:rsidR="000227E9">
        <w:t>n</w:t>
      </w:r>
      <w:r w:rsidRPr="00426C3A">
        <w:t xml:space="preserve">o. 68-W6-0030 Work Assignment </w:t>
      </w:r>
      <w:r w:rsidR="000227E9">
        <w:t>n</w:t>
      </w:r>
      <w:r w:rsidRPr="00426C3A">
        <w:t>o. 3385.102</w:t>
      </w:r>
      <w:r w:rsidR="000227E9">
        <w:t>.</w:t>
      </w:r>
    </w:p>
    <w:p w14:paraId="31F8157F" w14:textId="1AF44443" w:rsidR="00426C3A" w:rsidRPr="00426C3A" w:rsidRDefault="00426C3A" w:rsidP="00D05130">
      <w:pPr>
        <w:pStyle w:val="APVMAText"/>
      </w:pPr>
      <w:r w:rsidRPr="00426C3A">
        <w:t xml:space="preserve">US </w:t>
      </w:r>
      <w:r w:rsidR="000227E9" w:rsidRPr="00426C3A">
        <w:t>E</w:t>
      </w:r>
      <w:r w:rsidR="000227E9">
        <w:t>nvironmental Protection Agency (E</w:t>
      </w:r>
      <w:r w:rsidR="000227E9" w:rsidRPr="00426C3A">
        <w:t>PA</w:t>
      </w:r>
      <w:r w:rsidR="000227E9">
        <w:t>)</w:t>
      </w:r>
      <w:r w:rsidRPr="00426C3A">
        <w:t xml:space="preserve"> (2005) </w:t>
      </w:r>
      <w:hyperlink r:id="rId55" w:history="1">
        <w:r w:rsidRPr="000227E9">
          <w:rPr>
            <w:rStyle w:val="Hyperlink"/>
            <w:i/>
            <w:iCs/>
          </w:rPr>
          <w:t>Report of the Food Quality Protection Act (FQPA) Tolerance Reassessment Progress and Risk Management Decision (TRED) for Procymidone</w:t>
        </w:r>
      </w:hyperlink>
      <w:r w:rsidR="000227E9">
        <w:t>, EPA website, accessed 25 May 2017.</w:t>
      </w:r>
    </w:p>
    <w:p w14:paraId="155D865A" w14:textId="6138AC65" w:rsidR="00426C3A" w:rsidRPr="00426C3A" w:rsidRDefault="00426C3A" w:rsidP="00D05130">
      <w:pPr>
        <w:pStyle w:val="APVMAText"/>
      </w:pPr>
      <w:r w:rsidRPr="00426C3A">
        <w:t>US</w:t>
      </w:r>
      <w:r w:rsidR="000227E9" w:rsidRPr="00426C3A">
        <w:t xml:space="preserve"> E</w:t>
      </w:r>
      <w:r w:rsidR="000227E9">
        <w:t>nvironmental Protection Agency (E</w:t>
      </w:r>
      <w:r w:rsidR="000227E9" w:rsidRPr="00426C3A">
        <w:t>PA</w:t>
      </w:r>
      <w:r w:rsidR="000227E9">
        <w:t>)</w:t>
      </w:r>
      <w:r w:rsidRPr="00426C3A">
        <w:t xml:space="preserve"> (2013) </w:t>
      </w:r>
      <w:r w:rsidRPr="000227E9">
        <w:rPr>
          <w:i/>
          <w:iCs/>
        </w:rPr>
        <w:t>Occupational Post-Application Risk Assessment Calculator</w:t>
      </w:r>
      <w:r w:rsidRPr="00426C3A">
        <w:t xml:space="preserve">. </w:t>
      </w:r>
      <w:proofErr w:type="spellStart"/>
      <w:r w:rsidRPr="00426C3A">
        <w:t>Exposac</w:t>
      </w:r>
      <w:proofErr w:type="spellEnd"/>
      <w:r w:rsidRPr="00426C3A">
        <w:t xml:space="preserve"> Policy 3 Calculator, March 2013</w:t>
      </w:r>
      <w:r w:rsidR="000227E9">
        <w:t>.</w:t>
      </w:r>
    </w:p>
    <w:p w14:paraId="3FF7DCAC" w14:textId="69D38F8B" w:rsidR="00426C3A" w:rsidRPr="00426C3A" w:rsidRDefault="000227E9" w:rsidP="00D05130">
      <w:pPr>
        <w:pStyle w:val="APVMAText"/>
      </w:pPr>
      <w:r w:rsidRPr="00426C3A">
        <w:t>US E</w:t>
      </w:r>
      <w:r>
        <w:t>nvironmental Protection Agency (E</w:t>
      </w:r>
      <w:r w:rsidRPr="00426C3A">
        <w:t>PA</w:t>
      </w:r>
      <w:r>
        <w:t>)</w:t>
      </w:r>
      <w:r w:rsidR="00426C3A" w:rsidRPr="00426C3A">
        <w:t xml:space="preserve"> (2020). </w:t>
      </w:r>
      <w:hyperlink r:id="rId56" w:anchor="calculator%20https://www.epa.gov/sites/production/files/2020-03/opp-hed-occupational-handler-exposure-march-2020.xlsx" w:history="1">
        <w:r w:rsidR="00426C3A" w:rsidRPr="000227E9">
          <w:rPr>
            <w:rStyle w:val="Hyperlink"/>
            <w:i/>
            <w:iCs/>
          </w:rPr>
          <w:t>Occupational Pesticide Handler Exposure Calculator</w:t>
        </w:r>
      </w:hyperlink>
      <w:r>
        <w:t>, EPA website.</w:t>
      </w:r>
    </w:p>
    <w:sectPr w:rsidR="00426C3A" w:rsidRPr="00426C3A">
      <w:headerReference w:type="default" r:id="rId5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9B154" w14:textId="77777777" w:rsidR="00280D6F" w:rsidRDefault="00280D6F">
      <w:r>
        <w:separator/>
      </w:r>
    </w:p>
    <w:p w14:paraId="62A4E12B" w14:textId="77777777" w:rsidR="00280D6F" w:rsidRDefault="00280D6F"/>
    <w:p w14:paraId="6A5F1FE9" w14:textId="77777777" w:rsidR="00280D6F" w:rsidRDefault="00280D6F"/>
  </w:endnote>
  <w:endnote w:type="continuationSeparator" w:id="0">
    <w:p w14:paraId="75D2C74C" w14:textId="77777777" w:rsidR="00280D6F" w:rsidRDefault="00280D6F">
      <w:r>
        <w:continuationSeparator/>
      </w:r>
    </w:p>
    <w:p w14:paraId="3234A55F" w14:textId="77777777" w:rsidR="00280D6F" w:rsidRDefault="00280D6F"/>
    <w:p w14:paraId="28B9039B" w14:textId="77777777" w:rsidR="00280D6F" w:rsidRDefault="00280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2B210B" w:rsidRPr="0026493F" w:rsidRDefault="002B210B"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29F0" w14:textId="77777777" w:rsidR="002B210B" w:rsidRPr="002A3239" w:rsidRDefault="002B210B"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9D8E" w14:textId="77777777" w:rsidR="00280D6F" w:rsidRDefault="00280D6F">
      <w:r>
        <w:separator/>
      </w:r>
    </w:p>
  </w:footnote>
  <w:footnote w:type="continuationSeparator" w:id="0">
    <w:p w14:paraId="1D41007E" w14:textId="77777777" w:rsidR="00280D6F" w:rsidRDefault="00280D6F">
      <w:pPr>
        <w:spacing w:line="180" w:lineRule="exact"/>
      </w:pPr>
      <w:r>
        <w:continuationSeparator/>
      </w:r>
    </w:p>
    <w:p w14:paraId="61BCB624" w14:textId="77777777" w:rsidR="00280D6F" w:rsidRDefault="00280D6F"/>
    <w:p w14:paraId="1FA47126" w14:textId="77777777" w:rsidR="00280D6F" w:rsidRDefault="00280D6F"/>
  </w:footnote>
  <w:footnote w:type="continuationNotice" w:id="1">
    <w:p w14:paraId="3F13AEDD" w14:textId="77777777" w:rsidR="00280D6F" w:rsidRDefault="00280D6F"/>
    <w:p w14:paraId="71283AF0" w14:textId="77777777" w:rsidR="00280D6F" w:rsidRDefault="00280D6F"/>
    <w:p w14:paraId="2F69F430" w14:textId="77777777" w:rsidR="00280D6F" w:rsidRDefault="00280D6F"/>
  </w:footnote>
  <w:footnote w:id="2">
    <w:p w14:paraId="56974105" w14:textId="44F5BF3D" w:rsidR="002B210B" w:rsidRDefault="002B210B" w:rsidP="00CD0D9E">
      <w:pPr>
        <w:pStyle w:val="FootnoteText"/>
      </w:pPr>
      <w:r>
        <w:rPr>
          <w:rStyle w:val="FootnoteReference"/>
        </w:rPr>
        <w:footnoteRef/>
      </w:r>
      <w:r>
        <w:t xml:space="preserve"> </w:t>
      </w:r>
      <w:r w:rsidRPr="007C119E">
        <w:rPr>
          <w:rStyle w:val="FootnoteTextChar"/>
        </w:rPr>
        <w:t xml:space="preserve">British Crop Production Council, </w:t>
      </w:r>
      <w:r w:rsidRPr="007C119E">
        <w:rPr>
          <w:rStyle w:val="FootnoteTextChar"/>
          <w:i/>
          <w:iCs/>
        </w:rPr>
        <w:t>The Pesticide Manual 18th edition</w:t>
      </w:r>
      <w:r w:rsidRPr="007C119E">
        <w:rPr>
          <w:rStyle w:val="FootnoteTextChar"/>
        </w:rPr>
        <w:t>, 2016.</w:t>
      </w:r>
    </w:p>
  </w:footnote>
  <w:footnote w:id="3">
    <w:p w14:paraId="66082749" w14:textId="1F3798A0" w:rsidR="002B210B" w:rsidRDefault="002B210B" w:rsidP="00CD0D9E">
      <w:pPr>
        <w:pStyle w:val="FootnoteText"/>
      </w:pPr>
      <w:r>
        <w:rPr>
          <w:rStyle w:val="FootnoteReference"/>
        </w:rPr>
        <w:footnoteRef/>
      </w:r>
      <w:r w:rsidRPr="00426C3A">
        <w:rPr>
          <w:rStyle w:val="FootnoteTextChar"/>
        </w:rPr>
        <w:t xml:space="preserve"> Food and Agriculture Organization of the United Nations,</w:t>
      </w:r>
      <w:hyperlink r:id="rId1" w:history="1">
        <w:r w:rsidRPr="00426C3A">
          <w:rPr>
            <w:rStyle w:val="Hyperlink"/>
            <w:i/>
            <w:iCs/>
          </w:rPr>
          <w:t xml:space="preserve"> FAO specifications and evaluations for plant protection products – procymidone</w:t>
        </w:r>
      </w:hyperlink>
      <w:r w:rsidRPr="00426C3A">
        <w:rPr>
          <w:rStyle w:val="FootnoteTextChar"/>
        </w:rPr>
        <w:t>, FAO website, 2001.</w:t>
      </w:r>
    </w:p>
  </w:footnote>
  <w:footnote w:id="4">
    <w:p w14:paraId="68718173" w14:textId="37C59C03" w:rsidR="002B210B" w:rsidRPr="001C4729" w:rsidRDefault="002B210B" w:rsidP="001C4729">
      <w:pPr>
        <w:pStyle w:val="FootnoteText"/>
      </w:pPr>
      <w:r w:rsidRPr="001C4729">
        <w:rPr>
          <w:rStyle w:val="FootnoteReference"/>
        </w:rPr>
        <w:footnoteRef/>
      </w:r>
      <w:r w:rsidRPr="001C4729">
        <w:rPr>
          <w:vertAlign w:val="superscript"/>
        </w:rPr>
        <w:t xml:space="preserve"> </w:t>
      </w:r>
      <w:r w:rsidRPr="001C4729">
        <w:t>Australian Pesticides and Veterinary Medicines Authority</w:t>
      </w:r>
      <w:r w:rsidR="007C119E">
        <w:t xml:space="preserve"> (APVMA)</w:t>
      </w:r>
      <w:r w:rsidRPr="001C4729">
        <w:t>,</w:t>
      </w:r>
      <w:r w:rsidR="0041501F">
        <w:t xml:space="preserve"> </w:t>
      </w:r>
      <w:r w:rsidR="007C119E">
        <w:t>2022</w:t>
      </w:r>
      <w:r w:rsidR="0041501F">
        <w:t>,</w:t>
      </w:r>
      <w:r w:rsidRPr="001C4729">
        <w:t xml:space="preserve"> </w:t>
      </w:r>
      <w:hyperlink r:id="rId2" w:history="1">
        <w:r w:rsidRPr="001C4729">
          <w:rPr>
            <w:rStyle w:val="Hyperlink"/>
            <w:i/>
            <w:iCs/>
          </w:rPr>
          <w:t>APVMA standards for active constituents for use in agricultural chemical products</w:t>
        </w:r>
      </w:hyperlink>
      <w:r w:rsidRPr="001C4729">
        <w:t>, APVM</w:t>
      </w:r>
      <w:r>
        <w:t>A</w:t>
      </w:r>
      <w:r w:rsidRPr="001C4729">
        <w:t xml:space="preserve"> website, 8 March 2022.</w:t>
      </w:r>
    </w:p>
  </w:footnote>
  <w:footnote w:id="5">
    <w:p w14:paraId="657FFAEE" w14:textId="7A6436D8" w:rsidR="002B210B" w:rsidRPr="001C4729" w:rsidRDefault="002B210B" w:rsidP="001C4729">
      <w:pPr>
        <w:pStyle w:val="FootnoteText"/>
      </w:pPr>
      <w:r w:rsidRPr="001C4729">
        <w:rPr>
          <w:rStyle w:val="FootnoteReference"/>
        </w:rPr>
        <w:footnoteRef/>
      </w:r>
      <w:r w:rsidRPr="001C4729">
        <w:rPr>
          <w:vertAlign w:val="superscript"/>
        </w:rPr>
        <w:t xml:space="preserve"> </w:t>
      </w:r>
      <w:r w:rsidRPr="001C4729">
        <w:t>Food and Agriculture Organization of the United Nations</w:t>
      </w:r>
      <w:r w:rsidR="007C119E">
        <w:t xml:space="preserve"> (FAO)</w:t>
      </w:r>
      <w:r w:rsidRPr="001C4729">
        <w:t>,</w:t>
      </w:r>
      <w:r w:rsidR="0041501F">
        <w:t xml:space="preserve"> </w:t>
      </w:r>
      <w:hyperlink r:id="rId3" w:history="1">
        <w:r w:rsidRPr="001C4729">
          <w:rPr>
            <w:rStyle w:val="Hyperlink"/>
            <w:i/>
            <w:iCs/>
          </w:rPr>
          <w:t>FAO specifications and evaluations for plant protection products –procymidone</w:t>
        </w:r>
      </w:hyperlink>
      <w:r w:rsidRPr="001C4729">
        <w:t>, FAO website, 2001.</w:t>
      </w:r>
    </w:p>
  </w:footnote>
  <w:footnote w:id="6">
    <w:p w14:paraId="155EF3A3" w14:textId="168973FE" w:rsidR="002B210B" w:rsidRPr="00E16C13" w:rsidRDefault="002B210B" w:rsidP="001C4729">
      <w:pPr>
        <w:pStyle w:val="FootnoteText"/>
      </w:pPr>
      <w:r w:rsidRPr="001C4729">
        <w:rPr>
          <w:rStyle w:val="FootnoteReference"/>
        </w:rPr>
        <w:footnoteRef/>
      </w:r>
      <w:r w:rsidRPr="001C4729">
        <w:t xml:space="preserve"> Australian Pesticides and Veterinary Medicines Authority</w:t>
      </w:r>
      <w:r w:rsidR="007C119E">
        <w:t xml:space="preserve"> (APVMA)</w:t>
      </w:r>
      <w:r w:rsidRPr="001C4729">
        <w:t>,</w:t>
      </w:r>
      <w:r w:rsidR="007C119E">
        <w:t xml:space="preserve"> 2015</w:t>
      </w:r>
      <w:r w:rsidR="0041501F">
        <w:t>,</w:t>
      </w:r>
      <w:r w:rsidRPr="001C4729">
        <w:t xml:space="preserve"> </w:t>
      </w:r>
      <w:hyperlink r:id="rId4" w:history="1">
        <w:r w:rsidRPr="001C4729">
          <w:rPr>
            <w:rStyle w:val="Hyperlink"/>
            <w:i/>
            <w:iCs/>
          </w:rPr>
          <w:t>General list of impurities and classes of impurities of toxicological concern for agricultural active constituents</w:t>
        </w:r>
      </w:hyperlink>
      <w:r w:rsidRPr="001C4729">
        <w:t>, APVMA website, 6 December 2018.</w:t>
      </w:r>
    </w:p>
  </w:footnote>
  <w:footnote w:id="7">
    <w:p w14:paraId="4588104B" w14:textId="019A942E" w:rsidR="002B210B" w:rsidRDefault="002B210B" w:rsidP="00426C3A">
      <w:pPr>
        <w:pStyle w:val="FootnoteText"/>
      </w:pPr>
      <w:r>
        <w:rPr>
          <w:rStyle w:val="FootnoteReference"/>
        </w:rPr>
        <w:footnoteRef/>
      </w:r>
      <w:r>
        <w:t xml:space="preserve"> </w:t>
      </w:r>
      <w:r w:rsidRPr="00426C3A">
        <w:t>Food and Agriculture Organization of the United Nations</w:t>
      </w:r>
      <w:r w:rsidR="007C119E">
        <w:t xml:space="preserve"> (FAO)</w:t>
      </w:r>
      <w:r>
        <w:t>,</w:t>
      </w:r>
      <w:r w:rsidR="0041501F">
        <w:t xml:space="preserve"> </w:t>
      </w:r>
      <w:hyperlink r:id="rId5" w:history="1">
        <w:r w:rsidRPr="00426C3A">
          <w:rPr>
            <w:rStyle w:val="Hyperlink"/>
            <w:i/>
            <w:iCs/>
          </w:rPr>
          <w:t>FAO specifications and evaluations for plant protection products – procymidone</w:t>
        </w:r>
      </w:hyperlink>
      <w:r>
        <w:t>, FAO website, 2001.</w:t>
      </w:r>
    </w:p>
  </w:footnote>
  <w:footnote w:id="8">
    <w:p w14:paraId="187CF929" w14:textId="46F1FC99" w:rsidR="002B210B" w:rsidRPr="00CD0D9E" w:rsidRDefault="002B210B" w:rsidP="00CD0D9E">
      <w:pPr>
        <w:pStyle w:val="FootnoteText"/>
      </w:pPr>
      <w:r w:rsidRPr="00CD0D9E">
        <w:rPr>
          <w:rStyle w:val="FootnoteReference"/>
        </w:rPr>
        <w:footnoteRef/>
      </w:r>
      <w:r w:rsidRPr="00CD0D9E">
        <w:rPr>
          <w:vertAlign w:val="superscript"/>
        </w:rPr>
        <w:t xml:space="preserve"> </w:t>
      </w:r>
      <w:r w:rsidRPr="00CD0D9E">
        <w:t>The increased incidence of spermatocystitis in parental males is likely secondary to anti-androgenic effects.</w:t>
      </w:r>
    </w:p>
  </w:footnote>
  <w:footnote w:id="9">
    <w:p w14:paraId="06DA3BE8" w14:textId="0CC3F926" w:rsidR="002B210B" w:rsidRPr="00CD0D9E" w:rsidRDefault="002B210B" w:rsidP="00CD0D9E">
      <w:pPr>
        <w:pStyle w:val="FootnoteText"/>
      </w:pPr>
      <w:r w:rsidRPr="00CD0D9E">
        <w:rPr>
          <w:rStyle w:val="FootnoteReference"/>
        </w:rPr>
        <w:footnoteRef/>
      </w:r>
      <w:r w:rsidRPr="00CD0D9E">
        <w:t xml:space="preserve"> Test method requires some </w:t>
      </w:r>
      <w:proofErr w:type="spellStart"/>
      <w:r w:rsidRPr="00CD0D9E">
        <w:t>maternotoxicity</w:t>
      </w:r>
      <w:proofErr w:type="spellEnd"/>
      <w:r w:rsidRPr="00CD0D9E">
        <w:t xml:space="preserve"> at the highest dose unless the limit dose is used.</w:t>
      </w:r>
    </w:p>
  </w:footnote>
  <w:footnote w:id="10">
    <w:p w14:paraId="3124F1E8" w14:textId="5539CDC4" w:rsidR="002B210B" w:rsidRPr="008A782B" w:rsidRDefault="002B210B" w:rsidP="00CD0D9E">
      <w:pPr>
        <w:pStyle w:val="FootnoteText"/>
        <w:rPr>
          <w:lang w:val="en-US"/>
        </w:rPr>
      </w:pPr>
      <w:r w:rsidRPr="00CD0D9E">
        <w:rPr>
          <w:rStyle w:val="FootnoteReference"/>
        </w:rPr>
        <w:footnoteRef/>
      </w:r>
      <w:r w:rsidRPr="00CD0D9E">
        <w:rPr>
          <w:vertAlign w:val="superscript"/>
        </w:rPr>
        <w:t xml:space="preserve"> </w:t>
      </w:r>
      <w:r w:rsidRPr="00CD0D9E">
        <w:t>Limit dose study.</w:t>
      </w:r>
    </w:p>
  </w:footnote>
  <w:footnote w:id="11">
    <w:p w14:paraId="35799561" w14:textId="63247254" w:rsidR="002B210B" w:rsidRPr="00C877B7" w:rsidRDefault="002B210B" w:rsidP="00426C3A">
      <w:pPr>
        <w:pStyle w:val="FootnoteText"/>
        <w:rPr>
          <w:lang w:val="en-US"/>
        </w:rPr>
      </w:pPr>
      <w:r>
        <w:rPr>
          <w:rStyle w:val="FootnoteReference"/>
        </w:rPr>
        <w:footnoteRef/>
      </w:r>
      <w:r>
        <w:t xml:space="preserve"> Australian Pesticides and Veterinary Medicines Authority</w:t>
      </w:r>
      <w:r w:rsidR="007C119E">
        <w:t xml:space="preserve"> (APVMA)</w:t>
      </w:r>
      <w:r>
        <w:t>,</w:t>
      </w:r>
      <w:r w:rsidR="007C119E">
        <w:t xml:space="preserve"> 2022</w:t>
      </w:r>
      <w:r w:rsidR="0041501F">
        <w:t>,</w:t>
      </w:r>
      <w:r>
        <w:t xml:space="preserve"> </w:t>
      </w:r>
      <w:hyperlink r:id="rId6" w:history="1">
        <w:r w:rsidRPr="00426C3A">
          <w:rPr>
            <w:rStyle w:val="Hyperlink"/>
            <w:i/>
            <w:iCs/>
          </w:rPr>
          <w:t>FAISD Handbook</w:t>
        </w:r>
      </w:hyperlink>
      <w:r>
        <w:t>, APVMA website, 31 March 2022.</w:t>
      </w:r>
    </w:p>
  </w:footnote>
  <w:footnote w:id="12">
    <w:p w14:paraId="4CC3B240" w14:textId="088BBD8D" w:rsidR="002B210B" w:rsidRDefault="002B210B">
      <w:pPr>
        <w:pStyle w:val="FootnoteText"/>
      </w:pPr>
      <w:r>
        <w:rPr>
          <w:rStyle w:val="FootnoteReference"/>
        </w:rPr>
        <w:footnoteRef/>
      </w:r>
      <w:r>
        <w:t xml:space="preserve"> Organisation for Economic Co-operation and Development</w:t>
      </w:r>
      <w:r w:rsidR="007C119E">
        <w:t xml:space="preserve"> (OECD)</w:t>
      </w:r>
      <w:r>
        <w:t>,</w:t>
      </w:r>
      <w:r w:rsidR="007C119E">
        <w:t xml:space="preserve"> 2020</w:t>
      </w:r>
      <w:r w:rsidR="0041501F">
        <w:t>,</w:t>
      </w:r>
      <w:r>
        <w:t xml:space="preserve"> </w:t>
      </w:r>
      <w:hyperlink r:id="rId7" w:history="1">
        <w:r w:rsidRPr="001C4729">
          <w:rPr>
            <w:rStyle w:val="Hyperlink"/>
            <w:i/>
            <w:iCs/>
          </w:rPr>
          <w:t>OECD Maximum Residue Limit Calculator</w:t>
        </w:r>
      </w:hyperlink>
      <w:r>
        <w:t>, OECD website.</w:t>
      </w:r>
    </w:p>
  </w:footnote>
  <w:footnote w:id="13">
    <w:p w14:paraId="3CFBD8E1" w14:textId="217580BE" w:rsidR="002B210B" w:rsidRDefault="002B210B" w:rsidP="00426C3A">
      <w:pPr>
        <w:pStyle w:val="FootnoteText"/>
      </w:pPr>
      <w:r>
        <w:rPr>
          <w:rStyle w:val="FootnoteReference"/>
        </w:rPr>
        <w:footnoteRef/>
      </w:r>
      <w:r>
        <w:t xml:space="preserve"> Australian Pesticides and Veterinary Medicines Authority</w:t>
      </w:r>
      <w:r w:rsidR="007C119E">
        <w:t xml:space="preserve"> (APVMA),</w:t>
      </w:r>
      <w:r>
        <w:t xml:space="preserve"> </w:t>
      </w:r>
      <w:hyperlink r:id="rId8" w:history="1">
        <w:r w:rsidRPr="00426C3A">
          <w:rPr>
            <w:rStyle w:val="Hyperlink"/>
            <w:i/>
            <w:iCs/>
          </w:rPr>
          <w:t>APVMA crop group list for pulses</w:t>
        </w:r>
      </w:hyperlink>
      <w:r>
        <w:t>, accessed 15 October 2021.</w:t>
      </w:r>
    </w:p>
  </w:footnote>
  <w:footnote w:id="14">
    <w:p w14:paraId="60B66B5A" w14:textId="73F38B8F" w:rsidR="002B210B" w:rsidRPr="00963148" w:rsidRDefault="002B210B" w:rsidP="00426C3A">
      <w:pPr>
        <w:pStyle w:val="FootnoteText"/>
        <w:rPr>
          <w:lang w:val="en-US"/>
        </w:rPr>
      </w:pPr>
      <w:r>
        <w:rPr>
          <w:rStyle w:val="FootnoteReference"/>
        </w:rPr>
        <w:footnoteRef/>
      </w:r>
      <w:r>
        <w:t xml:space="preserve"> Organisation for Economic Co-operation and Development</w:t>
      </w:r>
      <w:r w:rsidR="007C119E" w:rsidRPr="007C119E">
        <w:t xml:space="preserve"> </w:t>
      </w:r>
      <w:r w:rsidR="007C119E">
        <w:t>(OECD)</w:t>
      </w:r>
      <w:r w:rsidR="0041501F">
        <w:t>,</w:t>
      </w:r>
      <w:r>
        <w:t xml:space="preserve"> </w:t>
      </w:r>
      <w:hyperlink r:id="rId9" w:history="1">
        <w:r w:rsidRPr="001C4729">
          <w:rPr>
            <w:rStyle w:val="Hyperlink"/>
            <w:i/>
            <w:iCs/>
          </w:rPr>
          <w:t>Guidance document on residues in livestock</w:t>
        </w:r>
      </w:hyperlink>
      <w:r>
        <w:t>, OECD website, 4 September 2013.</w:t>
      </w:r>
    </w:p>
  </w:footnote>
  <w:footnote w:id="15">
    <w:p w14:paraId="04E38E04" w14:textId="6B8E2294" w:rsidR="002B210B" w:rsidRDefault="002B210B" w:rsidP="00426C3A">
      <w:pPr>
        <w:pStyle w:val="FootnoteText"/>
      </w:pPr>
      <w:r>
        <w:rPr>
          <w:rStyle w:val="FootnoteReference"/>
        </w:rPr>
        <w:footnoteRef/>
      </w:r>
      <w:r>
        <w:t xml:space="preserve"> </w:t>
      </w:r>
      <w:r w:rsidR="007C119E" w:rsidRPr="007C119E">
        <w:t>Department of Agriculture, Fisheries and Forestry</w:t>
      </w:r>
      <w:r>
        <w:t xml:space="preserve">, </w:t>
      </w:r>
      <w:hyperlink r:id="rId10" w:history="1">
        <w:r w:rsidRPr="00426C3A">
          <w:rPr>
            <w:rStyle w:val="Hyperlink"/>
            <w:i/>
            <w:iCs/>
          </w:rPr>
          <w:t>National Residue Survey results and publications</w:t>
        </w:r>
      </w:hyperlink>
      <w:r>
        <w:t>, DA</w:t>
      </w:r>
      <w:r w:rsidR="007C119E">
        <w:t>FF</w:t>
      </w:r>
      <w:r>
        <w:t xml:space="preserve"> website, accessed 1 December 2021.</w:t>
      </w:r>
    </w:p>
  </w:footnote>
  <w:footnote w:id="16">
    <w:p w14:paraId="27E675A3" w14:textId="4B216658" w:rsidR="002B210B" w:rsidRDefault="002B210B" w:rsidP="00426C3A">
      <w:pPr>
        <w:pStyle w:val="FootnoteText"/>
      </w:pPr>
      <w:r>
        <w:rPr>
          <w:rStyle w:val="FootnoteReference"/>
        </w:rPr>
        <w:footnoteRef/>
      </w:r>
      <w:r>
        <w:t xml:space="preserve"> Australian Pesticides and Veterinary Medicines Authority</w:t>
      </w:r>
      <w:r w:rsidR="007C119E">
        <w:t xml:space="preserve"> (APVMA),</w:t>
      </w:r>
      <w:r>
        <w:t xml:space="preserve"> </w:t>
      </w:r>
      <w:hyperlink r:id="rId11" w:history="1">
        <w:r w:rsidRPr="00426C3A">
          <w:rPr>
            <w:rStyle w:val="Hyperlink"/>
            <w:i/>
            <w:iCs/>
          </w:rPr>
          <w:t>APVMA crop group list for stone fruits</w:t>
        </w:r>
      </w:hyperlink>
      <w:r>
        <w:t>, accessed 15 October 2021.</w:t>
      </w:r>
    </w:p>
  </w:footnote>
  <w:footnote w:id="17">
    <w:p w14:paraId="58DC1E16" w14:textId="45ED02F7" w:rsidR="002B210B" w:rsidRDefault="002B210B" w:rsidP="00426C3A">
      <w:pPr>
        <w:pStyle w:val="FootnoteText"/>
      </w:pPr>
      <w:r>
        <w:rPr>
          <w:rStyle w:val="FootnoteReference"/>
        </w:rPr>
        <w:footnoteRef/>
      </w:r>
      <w:r>
        <w:t xml:space="preserve"> Australian Pesticides and Veterinary Medicines Authority,</w:t>
      </w:r>
      <w:r w:rsidR="007C119E" w:rsidRPr="007C119E">
        <w:t xml:space="preserve"> </w:t>
      </w:r>
      <w:r w:rsidR="007C119E">
        <w:t xml:space="preserve">(APVMA), </w:t>
      </w:r>
      <w:hyperlink r:id="rId12" w:history="1">
        <w:r w:rsidRPr="001C4729">
          <w:rPr>
            <w:rStyle w:val="Hyperlink"/>
            <w:i/>
            <w:iCs/>
          </w:rPr>
          <w:t>Pesticides: Overseas trade (Part 5B)</w:t>
        </w:r>
      </w:hyperlink>
      <w:r>
        <w:t>, APVMA website, 20 July 2020.</w:t>
      </w:r>
    </w:p>
  </w:footnote>
  <w:footnote w:id="18">
    <w:p w14:paraId="36B3527D" w14:textId="025C13EF" w:rsidR="002B210B" w:rsidRPr="00426C3A" w:rsidRDefault="002B210B" w:rsidP="00426C3A">
      <w:pPr>
        <w:pStyle w:val="FootnoteText"/>
      </w:pPr>
      <w:r w:rsidRPr="00426C3A">
        <w:rPr>
          <w:rStyle w:val="FootnoteReference"/>
        </w:rPr>
        <w:footnoteRef/>
      </w:r>
      <w:r w:rsidRPr="00426C3A">
        <w:rPr>
          <w:vertAlign w:val="superscript"/>
        </w:rPr>
        <w:t xml:space="preserve"> </w:t>
      </w:r>
      <w:r w:rsidRPr="00426C3A">
        <w:t>RAL (g/</w:t>
      </w:r>
      <w:proofErr w:type="gramStart"/>
      <w:r w:rsidRPr="00426C3A">
        <w:t>ha)=</w:t>
      </w:r>
      <w:proofErr w:type="gramEnd"/>
      <w:r w:rsidRPr="00426C3A">
        <w:t xml:space="preserve"> contact LD</w:t>
      </w:r>
      <w:r w:rsidRPr="007C119E">
        <w:rPr>
          <w:vertAlign w:val="superscript"/>
        </w:rPr>
        <w:t>50</w:t>
      </w:r>
      <w:r w:rsidRPr="00426C3A">
        <w:t xml:space="preserve"> in μg/bee× LOC 0.4/ExpE 2.4× 1000</w:t>
      </w:r>
    </w:p>
  </w:footnote>
  <w:footnote w:id="19">
    <w:p w14:paraId="45E51BF3" w14:textId="5E7E8476" w:rsidR="002B210B" w:rsidRPr="00426C3A" w:rsidRDefault="002B210B" w:rsidP="00426C3A">
      <w:pPr>
        <w:pStyle w:val="FootnoteText"/>
      </w:pPr>
      <w:r w:rsidRPr="00426C3A">
        <w:rPr>
          <w:rStyle w:val="FootnoteReference"/>
        </w:rPr>
        <w:footnoteRef/>
      </w:r>
      <w:r w:rsidRPr="00426C3A">
        <w:rPr>
          <w:vertAlign w:val="superscript"/>
        </w:rPr>
        <w:t xml:space="preserve"> </w:t>
      </w:r>
      <w:r w:rsidRPr="00426C3A">
        <w:t>Australian Pesticid</w:t>
      </w:r>
      <w:r>
        <w:t>es and Veterinary Medicines Authority</w:t>
      </w:r>
      <w:r w:rsidR="007C119E">
        <w:t xml:space="preserve"> (APVMA), </w:t>
      </w:r>
      <w:hyperlink r:id="rId13" w:history="1">
        <w:r w:rsidRPr="00426C3A">
          <w:rPr>
            <w:rStyle w:val="Hyperlink"/>
            <w:i/>
            <w:iCs/>
          </w:rPr>
          <w:t>Environment (Part 7)</w:t>
        </w:r>
      </w:hyperlink>
      <w:r>
        <w:t>, APVMA website, 13 January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A852" w14:textId="1DC825CC" w:rsidR="002B210B" w:rsidRDefault="002B210B"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516066">
      <w:rPr>
        <w:rStyle w:val="PageNumber"/>
        <w:noProof/>
        <w:szCs w:val="24"/>
      </w:rPr>
      <w:t>viii</w:t>
    </w:r>
    <w:r>
      <w:rPr>
        <w:rStyle w:val="PageNumber"/>
        <w:b w:val="0"/>
        <w:caps/>
        <w:szCs w:val="24"/>
      </w:rPr>
      <w:fldChar w:fldCharType="end"/>
    </w:r>
    <w:r>
      <w:tab/>
    </w:r>
    <w:r w:rsidRPr="00426C3A">
      <w:t>Procymidone</w:t>
    </w:r>
    <w:r w:rsidR="0041501F">
      <w:t xml:space="preserve"> Final</w:t>
    </w:r>
    <w:r w:rsidRPr="00426C3A">
      <w:t xml:space="preserve"> Review Technical Report</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7995" w14:textId="5DBB886B" w:rsidR="002B210B" w:rsidRDefault="002B210B">
    <w:pPr>
      <w:pStyle w:val="OddHeader"/>
    </w:pPr>
    <w:r>
      <w:tab/>
      <w:t>Environment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16066">
      <w:rPr>
        <w:rStyle w:val="PageNumber"/>
        <w:rFonts w:cs="Times New Roman"/>
        <w:bCs w:val="0"/>
        <w:noProof/>
        <w:szCs w:val="24"/>
      </w:rPr>
      <w:t>31</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F697" w14:textId="418C421F" w:rsidR="002B210B" w:rsidRDefault="0041501F" w:rsidP="0041501F">
    <w:pPr>
      <w:pStyle w:val="OddHeader"/>
    </w:pPr>
    <w:r>
      <w:tab/>
    </w:r>
    <w:r>
      <w:t>Spray drift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33</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5095" w14:textId="1AEDF14E" w:rsidR="002B210B" w:rsidRDefault="002B210B">
    <w:pPr>
      <w:pStyle w:val="OddHeader"/>
    </w:pPr>
    <w:r>
      <w:tab/>
      <w:t>Appendix</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Cs w:val="0"/>
        <w:noProof/>
        <w:color w:val="53284F"/>
        <w:szCs w:val="24"/>
      </w:rPr>
      <w:t>33</w:t>
    </w:r>
    <w:r w:rsidRPr="00D67788">
      <w:rPr>
        <w:rStyle w:val="PageNumber"/>
        <w:rFonts w:cs="Times New Roman"/>
        <w:b w:val="0"/>
        <w:bCs w:val="0"/>
        <w:caps/>
        <w:color w:val="53284F"/>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95C2" w14:textId="4E4BF15E" w:rsidR="002B210B" w:rsidRDefault="002B210B">
    <w:pPr>
      <w:pStyle w:val="OddHeader"/>
    </w:pPr>
    <w:r>
      <w:tab/>
      <w:t>Appendix A</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sidR="00516066">
      <w:rPr>
        <w:rStyle w:val="PageNumber"/>
        <w:rFonts w:cs="Times New Roman"/>
        <w:bCs w:val="0"/>
        <w:noProof/>
        <w:color w:val="53284F"/>
        <w:szCs w:val="24"/>
      </w:rPr>
      <w:t>41</w:t>
    </w:r>
    <w:r w:rsidRPr="00D67788">
      <w:rPr>
        <w:rStyle w:val="PageNumber"/>
        <w:rFonts w:cs="Times New Roman"/>
        <w:b w:val="0"/>
        <w:bCs w:val="0"/>
        <w:caps/>
        <w:color w:val="53284F"/>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DA43" w14:textId="1D6FBBA1" w:rsidR="0041501F" w:rsidRDefault="0041501F">
    <w:pPr>
      <w:pStyle w:val="OddHeader"/>
    </w:pPr>
    <w:r>
      <w:tab/>
      <w:t>Appendix B</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Cs w:val="0"/>
        <w:noProof/>
        <w:color w:val="53284F"/>
        <w:szCs w:val="24"/>
      </w:rPr>
      <w:t>41</w:t>
    </w:r>
    <w:r w:rsidRPr="00D67788">
      <w:rPr>
        <w:rStyle w:val="PageNumber"/>
        <w:rFonts w:cs="Times New Roman"/>
        <w:b w:val="0"/>
        <w:bCs w:val="0"/>
        <w:caps/>
        <w:color w:val="53284F"/>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92CB" w14:textId="486B30EA" w:rsidR="002B210B" w:rsidRDefault="002B210B">
    <w:pPr>
      <w:pStyle w:val="EvenHeade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516066">
      <w:rPr>
        <w:rStyle w:val="PageNumber"/>
        <w:noProof/>
        <w:szCs w:val="24"/>
      </w:rPr>
      <w:t>50</w:t>
    </w:r>
    <w:r>
      <w:rPr>
        <w:rStyle w:val="PageNumber"/>
        <w:b w:val="0"/>
        <w:caps/>
        <w:szCs w:val="24"/>
      </w:rPr>
      <w:fldChar w:fldCharType="end"/>
    </w:r>
    <w:r>
      <w:tab/>
    </w:r>
    <w:r w:rsidRPr="00426C3A">
      <w:t xml:space="preserve">Procymidone </w:t>
    </w:r>
    <w:r w:rsidR="0041501F">
      <w:t xml:space="preserve">Final </w:t>
    </w:r>
    <w:r w:rsidRPr="00426C3A">
      <w:t>Review Technical Report</w:t>
    </w: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FD09" w14:textId="33CA3A56" w:rsidR="002B210B" w:rsidRDefault="002B210B">
    <w:pPr>
      <w:pStyle w:val="OddHeader"/>
    </w:pPr>
    <w:r>
      <w:ta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16066">
      <w:rPr>
        <w:rStyle w:val="PageNumber"/>
        <w:rFonts w:cs="Times New Roman"/>
        <w:bCs w:val="0"/>
        <w:noProof/>
        <w:szCs w:val="24"/>
      </w:rPr>
      <w:t>43</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35D8" w14:textId="68B84B88" w:rsidR="002B210B" w:rsidRDefault="002B210B">
    <w:pPr>
      <w:pStyle w:val="OddHeader"/>
    </w:pPr>
    <w:r>
      <w:tab/>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16066">
      <w:rPr>
        <w:rStyle w:val="PageNumber"/>
        <w:rFonts w:cs="Times New Roman"/>
        <w:bCs w:val="0"/>
        <w:noProof/>
        <w:szCs w:val="24"/>
      </w:rPr>
      <w:t>51</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2DD205B5" w:rsidR="002B210B" w:rsidRDefault="002B210B">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16066">
      <w:rPr>
        <w:rStyle w:val="PageNumber"/>
        <w:rFonts w:cs="Times New Roman"/>
        <w:bCs w:val="0"/>
        <w:noProof/>
        <w:szCs w:val="24"/>
      </w:rPr>
      <w:t>ix</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5233" w14:textId="712C497E" w:rsidR="002B210B" w:rsidRDefault="002B210B" w:rsidP="00426C3A">
    <w:pPr>
      <w:pStyle w:val="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16066">
      <w:rPr>
        <w:rStyle w:val="PageNumber"/>
        <w:rFonts w:cs="Times New Roman"/>
        <w:bCs w:val="0"/>
        <w:noProof/>
        <w:szCs w:val="24"/>
      </w:rPr>
      <w:t>1</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C2A6" w14:textId="52CCC0C4" w:rsidR="002B210B" w:rsidRDefault="002B210B"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516066">
      <w:rPr>
        <w:rStyle w:val="PageNumber"/>
        <w:noProof/>
        <w:szCs w:val="24"/>
      </w:rPr>
      <w:t>42</w:t>
    </w:r>
    <w:r>
      <w:rPr>
        <w:rStyle w:val="PageNumber"/>
        <w:b w:val="0"/>
        <w:caps/>
        <w:szCs w:val="24"/>
      </w:rPr>
      <w:fldChar w:fldCharType="end"/>
    </w:r>
    <w:r>
      <w:tab/>
    </w:r>
    <w:r w:rsidRPr="00426C3A">
      <w:t xml:space="preserve">Procymidone </w:t>
    </w:r>
    <w:r w:rsidR="0041501F">
      <w:t xml:space="preserve">Final </w:t>
    </w:r>
    <w:r w:rsidRPr="00426C3A">
      <w:t>Review Technical Report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12E" w14:textId="1AA4872B" w:rsidR="002B210B" w:rsidRDefault="002B210B" w:rsidP="00426C3A">
    <w:pPr>
      <w:pStyle w:val="OddHeader"/>
    </w:pPr>
    <w:r>
      <w:ta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16066">
      <w:rPr>
        <w:rStyle w:val="PageNumber"/>
        <w:rFonts w:cs="Times New Roman"/>
        <w:bCs w:val="0"/>
        <w:noProof/>
        <w:szCs w:val="24"/>
      </w:rPr>
      <w:t>3</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6F10" w14:textId="0D529121" w:rsidR="002B210B" w:rsidRDefault="002B210B" w:rsidP="00426C3A">
    <w:pPr>
      <w:pStyle w:val="OddHeader"/>
    </w:pPr>
    <w:r>
      <w:tab/>
      <w:t>Chemistry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16066">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A06A" w14:textId="08E1D554" w:rsidR="002B210B" w:rsidRDefault="002B210B" w:rsidP="00426C3A">
    <w:pPr>
      <w:pStyle w:val="OddHeader"/>
    </w:pPr>
    <w:r>
      <w:tab/>
      <w:t>Toxicology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16066">
      <w:rPr>
        <w:rStyle w:val="PageNumber"/>
        <w:rFonts w:cs="Times New Roman"/>
        <w:bCs w:val="0"/>
        <w:noProof/>
        <w:szCs w:val="24"/>
      </w:rPr>
      <w:t>13</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189E3" w14:textId="56BFB7B4" w:rsidR="002B210B" w:rsidRDefault="002B210B" w:rsidP="00426C3A">
    <w:pPr>
      <w:pStyle w:val="OddHeader"/>
    </w:pPr>
    <w:r>
      <w:tab/>
      <w:t>Occupational health and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16066">
      <w:rPr>
        <w:rStyle w:val="PageNumber"/>
        <w:rFonts w:cs="Times New Roman"/>
        <w:bCs w:val="0"/>
        <w:noProof/>
        <w:szCs w:val="24"/>
      </w:rPr>
      <w:t>17</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A9D7" w14:textId="683AAD1D" w:rsidR="002B210B" w:rsidRDefault="002B210B">
    <w:pPr>
      <w:pStyle w:val="OddHeader"/>
    </w:pPr>
    <w:r>
      <w:tab/>
      <w:t>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16066">
      <w:rPr>
        <w:rStyle w:val="PageNumber"/>
        <w:rFonts w:cs="Times New Roman"/>
        <w:bCs w:val="0"/>
        <w:noProof/>
        <w:szCs w:val="24"/>
      </w:rPr>
      <w:t>27</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2E4D63"/>
    <w:multiLevelType w:val="hybridMultilevel"/>
    <w:tmpl w:val="F9E2F30C"/>
    <w:lvl w:ilvl="0" w:tplc="16C028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B40D41"/>
    <w:multiLevelType w:val="hybridMultilevel"/>
    <w:tmpl w:val="76A0720E"/>
    <w:lvl w:ilvl="0" w:tplc="8D602CB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876745676">
    <w:abstractNumId w:val="20"/>
  </w:num>
  <w:num w:numId="2" w16cid:durableId="2120025331">
    <w:abstractNumId w:val="20"/>
  </w:num>
  <w:num w:numId="3" w16cid:durableId="441537314">
    <w:abstractNumId w:val="17"/>
  </w:num>
  <w:num w:numId="4" w16cid:durableId="864248380">
    <w:abstractNumId w:val="18"/>
  </w:num>
  <w:num w:numId="5" w16cid:durableId="2127113473">
    <w:abstractNumId w:val="17"/>
  </w:num>
  <w:num w:numId="6" w16cid:durableId="1960404782">
    <w:abstractNumId w:val="22"/>
  </w:num>
  <w:num w:numId="7" w16cid:durableId="1737974282">
    <w:abstractNumId w:val="19"/>
  </w:num>
  <w:num w:numId="8" w16cid:durableId="1123647341">
    <w:abstractNumId w:val="11"/>
  </w:num>
  <w:num w:numId="9" w16cid:durableId="1237277106">
    <w:abstractNumId w:val="10"/>
  </w:num>
  <w:num w:numId="10" w16cid:durableId="1021859003">
    <w:abstractNumId w:val="13"/>
  </w:num>
  <w:num w:numId="11" w16cid:durableId="1835491459">
    <w:abstractNumId w:val="16"/>
  </w:num>
  <w:num w:numId="12" w16cid:durableId="1696037190">
    <w:abstractNumId w:val="22"/>
  </w:num>
  <w:num w:numId="13" w16cid:durableId="284428058">
    <w:abstractNumId w:val="22"/>
  </w:num>
  <w:num w:numId="14" w16cid:durableId="1211573827">
    <w:abstractNumId w:val="17"/>
  </w:num>
  <w:num w:numId="15" w16cid:durableId="820387268">
    <w:abstractNumId w:val="11"/>
  </w:num>
  <w:num w:numId="16" w16cid:durableId="310603474">
    <w:abstractNumId w:val="18"/>
  </w:num>
  <w:num w:numId="17" w16cid:durableId="1897010534">
    <w:abstractNumId w:val="10"/>
  </w:num>
  <w:num w:numId="18" w16cid:durableId="671567666">
    <w:abstractNumId w:val="13"/>
  </w:num>
  <w:num w:numId="19" w16cid:durableId="1397624098">
    <w:abstractNumId w:val="20"/>
  </w:num>
  <w:num w:numId="20" w16cid:durableId="740562927">
    <w:abstractNumId w:val="23"/>
  </w:num>
  <w:num w:numId="21" w16cid:durableId="205337616">
    <w:abstractNumId w:val="12"/>
  </w:num>
  <w:num w:numId="22" w16cid:durableId="1116100094">
    <w:abstractNumId w:val="22"/>
  </w:num>
  <w:num w:numId="23" w16cid:durableId="990255244">
    <w:abstractNumId w:val="22"/>
  </w:num>
  <w:num w:numId="24" w16cid:durableId="67001232">
    <w:abstractNumId w:val="22"/>
  </w:num>
  <w:num w:numId="25" w16cid:durableId="1408646531">
    <w:abstractNumId w:val="22"/>
  </w:num>
  <w:num w:numId="26" w16cid:durableId="274138737">
    <w:abstractNumId w:val="22"/>
  </w:num>
  <w:num w:numId="27" w16cid:durableId="1136679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109049">
    <w:abstractNumId w:val="9"/>
  </w:num>
  <w:num w:numId="29" w16cid:durableId="1023093306">
    <w:abstractNumId w:val="7"/>
  </w:num>
  <w:num w:numId="30" w16cid:durableId="228423322">
    <w:abstractNumId w:val="6"/>
  </w:num>
  <w:num w:numId="31" w16cid:durableId="182400199">
    <w:abstractNumId w:val="5"/>
  </w:num>
  <w:num w:numId="32" w16cid:durableId="810560660">
    <w:abstractNumId w:val="4"/>
  </w:num>
  <w:num w:numId="33" w16cid:durableId="1188836694">
    <w:abstractNumId w:val="8"/>
  </w:num>
  <w:num w:numId="34" w16cid:durableId="1914588082">
    <w:abstractNumId w:val="3"/>
  </w:num>
  <w:num w:numId="35" w16cid:durableId="397749970">
    <w:abstractNumId w:val="2"/>
  </w:num>
  <w:num w:numId="36" w16cid:durableId="399252635">
    <w:abstractNumId w:val="1"/>
  </w:num>
  <w:num w:numId="37" w16cid:durableId="360739975">
    <w:abstractNumId w:val="0"/>
  </w:num>
  <w:num w:numId="38" w16cid:durableId="931284593">
    <w:abstractNumId w:val="15"/>
    <w:lvlOverride w:ilvl="0">
      <w:startOverride w:val="1"/>
    </w:lvlOverride>
    <w:lvlOverride w:ilvl="1"/>
    <w:lvlOverride w:ilvl="2"/>
    <w:lvlOverride w:ilvl="3"/>
    <w:lvlOverride w:ilvl="4"/>
    <w:lvlOverride w:ilvl="5"/>
    <w:lvlOverride w:ilvl="6"/>
    <w:lvlOverride w:ilvl="7"/>
    <w:lvlOverride w:ilvl="8"/>
  </w:num>
  <w:num w:numId="39" w16cid:durableId="1722513804">
    <w:abstractNumId w:val="21"/>
  </w:num>
  <w:num w:numId="40" w16cid:durableId="301038378">
    <w:abstractNumId w:val="14"/>
  </w:num>
  <w:num w:numId="41" w16cid:durableId="241835732">
    <w:abstractNumId w:val="17"/>
  </w:num>
  <w:num w:numId="42" w16cid:durableId="356006372">
    <w:abstractNumId w:val="17"/>
  </w:num>
  <w:num w:numId="43" w16cid:durableId="164365309">
    <w:abstractNumId w:val="17"/>
  </w:num>
  <w:num w:numId="44" w16cid:durableId="2110350066">
    <w:abstractNumId w:val="17"/>
  </w:num>
  <w:num w:numId="45" w16cid:durableId="62493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675"/>
    <w:rsid w:val="00004F9C"/>
    <w:rsid w:val="000227E9"/>
    <w:rsid w:val="00023BD8"/>
    <w:rsid w:val="000302D0"/>
    <w:rsid w:val="00037F0C"/>
    <w:rsid w:val="00067828"/>
    <w:rsid w:val="000765C1"/>
    <w:rsid w:val="0008350E"/>
    <w:rsid w:val="000841FC"/>
    <w:rsid w:val="00096163"/>
    <w:rsid w:val="000A7EF6"/>
    <w:rsid w:val="000C2C1B"/>
    <w:rsid w:val="000D045A"/>
    <w:rsid w:val="000D49ED"/>
    <w:rsid w:val="000E372E"/>
    <w:rsid w:val="00120E00"/>
    <w:rsid w:val="0013220C"/>
    <w:rsid w:val="00132513"/>
    <w:rsid w:val="00150442"/>
    <w:rsid w:val="001534D8"/>
    <w:rsid w:val="00156A73"/>
    <w:rsid w:val="00167BB3"/>
    <w:rsid w:val="00167CD7"/>
    <w:rsid w:val="00174E15"/>
    <w:rsid w:val="00184190"/>
    <w:rsid w:val="00185CF6"/>
    <w:rsid w:val="00190326"/>
    <w:rsid w:val="00193533"/>
    <w:rsid w:val="0019428D"/>
    <w:rsid w:val="001B335C"/>
    <w:rsid w:val="001C4729"/>
    <w:rsid w:val="001C6607"/>
    <w:rsid w:val="001D3257"/>
    <w:rsid w:val="001F3046"/>
    <w:rsid w:val="002250DD"/>
    <w:rsid w:val="0025418F"/>
    <w:rsid w:val="002600F8"/>
    <w:rsid w:val="0026493F"/>
    <w:rsid w:val="00280720"/>
    <w:rsid w:val="002807F9"/>
    <w:rsid w:val="00280D6F"/>
    <w:rsid w:val="00282A32"/>
    <w:rsid w:val="0029428E"/>
    <w:rsid w:val="00295DF8"/>
    <w:rsid w:val="002A3239"/>
    <w:rsid w:val="002A394F"/>
    <w:rsid w:val="002A4475"/>
    <w:rsid w:val="002A69DD"/>
    <w:rsid w:val="002A7966"/>
    <w:rsid w:val="002B210B"/>
    <w:rsid w:val="002B5703"/>
    <w:rsid w:val="002C732E"/>
    <w:rsid w:val="002D7779"/>
    <w:rsid w:val="002E20AC"/>
    <w:rsid w:val="002E7AE3"/>
    <w:rsid w:val="002F3497"/>
    <w:rsid w:val="002F4591"/>
    <w:rsid w:val="0030255E"/>
    <w:rsid w:val="00302B5B"/>
    <w:rsid w:val="0031487D"/>
    <w:rsid w:val="00316612"/>
    <w:rsid w:val="00347883"/>
    <w:rsid w:val="003506C5"/>
    <w:rsid w:val="003567C2"/>
    <w:rsid w:val="003610F7"/>
    <w:rsid w:val="00370CD2"/>
    <w:rsid w:val="00370EBC"/>
    <w:rsid w:val="00376071"/>
    <w:rsid w:val="00381544"/>
    <w:rsid w:val="00393E2F"/>
    <w:rsid w:val="003A558F"/>
    <w:rsid w:val="003A7137"/>
    <w:rsid w:val="003C0891"/>
    <w:rsid w:val="004070E1"/>
    <w:rsid w:val="0041228F"/>
    <w:rsid w:val="0041501F"/>
    <w:rsid w:val="0041559F"/>
    <w:rsid w:val="00421C26"/>
    <w:rsid w:val="00426C3A"/>
    <w:rsid w:val="00443234"/>
    <w:rsid w:val="00444045"/>
    <w:rsid w:val="00444FF1"/>
    <w:rsid w:val="004616C8"/>
    <w:rsid w:val="00461D26"/>
    <w:rsid w:val="004628AB"/>
    <w:rsid w:val="00470304"/>
    <w:rsid w:val="00472197"/>
    <w:rsid w:val="00473575"/>
    <w:rsid w:val="0049603E"/>
    <w:rsid w:val="004C5C3C"/>
    <w:rsid w:val="004C6B37"/>
    <w:rsid w:val="004D2C4F"/>
    <w:rsid w:val="004E2737"/>
    <w:rsid w:val="00500078"/>
    <w:rsid w:val="005064D5"/>
    <w:rsid w:val="0051258E"/>
    <w:rsid w:val="00515F30"/>
    <w:rsid w:val="00516066"/>
    <w:rsid w:val="00520963"/>
    <w:rsid w:val="00522B49"/>
    <w:rsid w:val="00522E27"/>
    <w:rsid w:val="00525157"/>
    <w:rsid w:val="0053721F"/>
    <w:rsid w:val="00540ECD"/>
    <w:rsid w:val="005527B9"/>
    <w:rsid w:val="00556804"/>
    <w:rsid w:val="00560E83"/>
    <w:rsid w:val="00563297"/>
    <w:rsid w:val="00565D3B"/>
    <w:rsid w:val="00566590"/>
    <w:rsid w:val="00566D2F"/>
    <w:rsid w:val="00572131"/>
    <w:rsid w:val="005858AA"/>
    <w:rsid w:val="00591192"/>
    <w:rsid w:val="00595C90"/>
    <w:rsid w:val="005A67B2"/>
    <w:rsid w:val="005B1414"/>
    <w:rsid w:val="005D19CA"/>
    <w:rsid w:val="005D1A47"/>
    <w:rsid w:val="005D6CB8"/>
    <w:rsid w:val="005D76F1"/>
    <w:rsid w:val="005E3AB5"/>
    <w:rsid w:val="006110AE"/>
    <w:rsid w:val="006137A3"/>
    <w:rsid w:val="0062466B"/>
    <w:rsid w:val="00643052"/>
    <w:rsid w:val="0064579C"/>
    <w:rsid w:val="00654B4D"/>
    <w:rsid w:val="00657A28"/>
    <w:rsid w:val="00662404"/>
    <w:rsid w:val="00675D15"/>
    <w:rsid w:val="006A1802"/>
    <w:rsid w:val="006A3E7B"/>
    <w:rsid w:val="006C08BC"/>
    <w:rsid w:val="006D279E"/>
    <w:rsid w:val="006E2753"/>
    <w:rsid w:val="006E33F7"/>
    <w:rsid w:val="006F2FE5"/>
    <w:rsid w:val="00700C27"/>
    <w:rsid w:val="00702B7D"/>
    <w:rsid w:val="007275CF"/>
    <w:rsid w:val="007339E9"/>
    <w:rsid w:val="00734103"/>
    <w:rsid w:val="007418EF"/>
    <w:rsid w:val="00755937"/>
    <w:rsid w:val="00770B96"/>
    <w:rsid w:val="007722B6"/>
    <w:rsid w:val="00794B71"/>
    <w:rsid w:val="0079772A"/>
    <w:rsid w:val="007A27EB"/>
    <w:rsid w:val="007C119E"/>
    <w:rsid w:val="007C41E4"/>
    <w:rsid w:val="007D2FA8"/>
    <w:rsid w:val="007D6B10"/>
    <w:rsid w:val="007E13F3"/>
    <w:rsid w:val="007E1C0B"/>
    <w:rsid w:val="007E420B"/>
    <w:rsid w:val="007F0146"/>
    <w:rsid w:val="007F117F"/>
    <w:rsid w:val="008278AA"/>
    <w:rsid w:val="00832D38"/>
    <w:rsid w:val="008362F6"/>
    <w:rsid w:val="008366A3"/>
    <w:rsid w:val="00847050"/>
    <w:rsid w:val="00852F7D"/>
    <w:rsid w:val="008545E1"/>
    <w:rsid w:val="00860B66"/>
    <w:rsid w:val="00862E63"/>
    <w:rsid w:val="00865803"/>
    <w:rsid w:val="0088709A"/>
    <w:rsid w:val="00892292"/>
    <w:rsid w:val="00893DB3"/>
    <w:rsid w:val="008B550C"/>
    <w:rsid w:val="008C5C0D"/>
    <w:rsid w:val="008C6B9D"/>
    <w:rsid w:val="008E41A0"/>
    <w:rsid w:val="008E4ED4"/>
    <w:rsid w:val="008F14C4"/>
    <w:rsid w:val="00900251"/>
    <w:rsid w:val="00916969"/>
    <w:rsid w:val="00927403"/>
    <w:rsid w:val="0093318A"/>
    <w:rsid w:val="00934317"/>
    <w:rsid w:val="00935F57"/>
    <w:rsid w:val="009472FD"/>
    <w:rsid w:val="0095647E"/>
    <w:rsid w:val="00972247"/>
    <w:rsid w:val="009A4448"/>
    <w:rsid w:val="009A7614"/>
    <w:rsid w:val="009B55AA"/>
    <w:rsid w:val="009B6ACE"/>
    <w:rsid w:val="009C471D"/>
    <w:rsid w:val="009C5354"/>
    <w:rsid w:val="009D0E59"/>
    <w:rsid w:val="009D452E"/>
    <w:rsid w:val="009E2AD6"/>
    <w:rsid w:val="009E586C"/>
    <w:rsid w:val="009F16FF"/>
    <w:rsid w:val="009F74F7"/>
    <w:rsid w:val="00A23729"/>
    <w:rsid w:val="00A2448D"/>
    <w:rsid w:val="00A27C21"/>
    <w:rsid w:val="00A35765"/>
    <w:rsid w:val="00A56F71"/>
    <w:rsid w:val="00A6283D"/>
    <w:rsid w:val="00A6343F"/>
    <w:rsid w:val="00A66116"/>
    <w:rsid w:val="00A77CE7"/>
    <w:rsid w:val="00A800C0"/>
    <w:rsid w:val="00A87101"/>
    <w:rsid w:val="00A955AD"/>
    <w:rsid w:val="00AA25C3"/>
    <w:rsid w:val="00AA755F"/>
    <w:rsid w:val="00AB659C"/>
    <w:rsid w:val="00AF15D7"/>
    <w:rsid w:val="00AF232A"/>
    <w:rsid w:val="00AF632D"/>
    <w:rsid w:val="00B15647"/>
    <w:rsid w:val="00B27675"/>
    <w:rsid w:val="00B50074"/>
    <w:rsid w:val="00B57CA7"/>
    <w:rsid w:val="00B617F0"/>
    <w:rsid w:val="00B7019E"/>
    <w:rsid w:val="00B90717"/>
    <w:rsid w:val="00BA057D"/>
    <w:rsid w:val="00BA461A"/>
    <w:rsid w:val="00BA46DB"/>
    <w:rsid w:val="00BC5423"/>
    <w:rsid w:val="00BD021C"/>
    <w:rsid w:val="00BD2289"/>
    <w:rsid w:val="00BD50AD"/>
    <w:rsid w:val="00BD55DB"/>
    <w:rsid w:val="00BD70E8"/>
    <w:rsid w:val="00C061D5"/>
    <w:rsid w:val="00C13E09"/>
    <w:rsid w:val="00C36537"/>
    <w:rsid w:val="00C53C96"/>
    <w:rsid w:val="00C73D24"/>
    <w:rsid w:val="00C7653F"/>
    <w:rsid w:val="00C828AD"/>
    <w:rsid w:val="00C95323"/>
    <w:rsid w:val="00C9656F"/>
    <w:rsid w:val="00CA17DC"/>
    <w:rsid w:val="00CA2603"/>
    <w:rsid w:val="00CC6A6F"/>
    <w:rsid w:val="00CD0D9E"/>
    <w:rsid w:val="00CD26C5"/>
    <w:rsid w:val="00CD6650"/>
    <w:rsid w:val="00CE456A"/>
    <w:rsid w:val="00CE7F45"/>
    <w:rsid w:val="00D05130"/>
    <w:rsid w:val="00D05CE7"/>
    <w:rsid w:val="00D10F59"/>
    <w:rsid w:val="00D11337"/>
    <w:rsid w:val="00D115DC"/>
    <w:rsid w:val="00D23D6A"/>
    <w:rsid w:val="00D2734E"/>
    <w:rsid w:val="00D4087B"/>
    <w:rsid w:val="00D4143D"/>
    <w:rsid w:val="00D4549F"/>
    <w:rsid w:val="00D505AD"/>
    <w:rsid w:val="00D62840"/>
    <w:rsid w:val="00D67788"/>
    <w:rsid w:val="00D85656"/>
    <w:rsid w:val="00D874AA"/>
    <w:rsid w:val="00D9318E"/>
    <w:rsid w:val="00D942C8"/>
    <w:rsid w:val="00D957E2"/>
    <w:rsid w:val="00DA066C"/>
    <w:rsid w:val="00DB3BF5"/>
    <w:rsid w:val="00DC386A"/>
    <w:rsid w:val="00DD08E2"/>
    <w:rsid w:val="00DD2C7C"/>
    <w:rsid w:val="00E03A6D"/>
    <w:rsid w:val="00E24C4B"/>
    <w:rsid w:val="00E30533"/>
    <w:rsid w:val="00E318E3"/>
    <w:rsid w:val="00E33D53"/>
    <w:rsid w:val="00E35DE7"/>
    <w:rsid w:val="00E41FED"/>
    <w:rsid w:val="00E456D9"/>
    <w:rsid w:val="00E57E70"/>
    <w:rsid w:val="00E602D5"/>
    <w:rsid w:val="00E70840"/>
    <w:rsid w:val="00E74F67"/>
    <w:rsid w:val="00E77D33"/>
    <w:rsid w:val="00E97570"/>
    <w:rsid w:val="00EA511C"/>
    <w:rsid w:val="00EA7C06"/>
    <w:rsid w:val="00ED7319"/>
    <w:rsid w:val="00EE297E"/>
    <w:rsid w:val="00EE358A"/>
    <w:rsid w:val="00EE5B09"/>
    <w:rsid w:val="00F01055"/>
    <w:rsid w:val="00F0383D"/>
    <w:rsid w:val="00F23093"/>
    <w:rsid w:val="00F30BDA"/>
    <w:rsid w:val="00F3534C"/>
    <w:rsid w:val="00F35A55"/>
    <w:rsid w:val="00F3703D"/>
    <w:rsid w:val="00F4593E"/>
    <w:rsid w:val="00F51A0A"/>
    <w:rsid w:val="00F51AA7"/>
    <w:rsid w:val="00F561E8"/>
    <w:rsid w:val="00F56C76"/>
    <w:rsid w:val="00F6733A"/>
    <w:rsid w:val="00F916A0"/>
    <w:rsid w:val="00F92A4A"/>
    <w:rsid w:val="00F93387"/>
    <w:rsid w:val="00F93778"/>
    <w:rsid w:val="00FA3770"/>
    <w:rsid w:val="00FB0015"/>
    <w:rsid w:val="00FC09D2"/>
    <w:rsid w:val="00FC198C"/>
    <w:rsid w:val="00FD344F"/>
    <w:rsid w:val="00FE24F5"/>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426C3A"/>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aliases w:val="OECD 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99"/>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OddHeader">
    <w:name w:val="APVMA_Odd_Header"/>
    <w:basedOn w:val="NormalText"/>
    <w:uiPriority w:val="4"/>
    <w:rsid w:val="00426C3A"/>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TableBullet">
    <w:name w:val="APVMA_TableBullet"/>
    <w:basedOn w:val="Normal"/>
    <w:uiPriority w:val="4"/>
    <w:rsid w:val="00426C3A"/>
    <w:pPr>
      <w:tabs>
        <w:tab w:val="num" w:pos="227"/>
      </w:tabs>
      <w:suppressAutoHyphens/>
      <w:spacing w:before="120" w:after="60" w:line="210" w:lineRule="exact"/>
      <w:ind w:left="227" w:hanging="227"/>
    </w:pPr>
    <w:rPr>
      <w:rFonts w:cs="Arial"/>
      <w:color w:val="auto"/>
      <w:spacing w:val="6"/>
      <w:kern w:val="20"/>
      <w:sz w:val="17"/>
      <w:u w:color="000000"/>
    </w:rPr>
  </w:style>
  <w:style w:type="paragraph" w:customStyle="1" w:styleId="APVMAText">
    <w:name w:val="APVMA_Text"/>
    <w:basedOn w:val="Normal"/>
    <w:link w:val="APVMATextChar"/>
    <w:qFormat/>
    <w:rsid w:val="00426C3A"/>
    <w:pPr>
      <w:suppressAutoHyphens/>
      <w:spacing w:before="240" w:after="240" w:line="280" w:lineRule="exact"/>
    </w:pPr>
    <w:rPr>
      <w:rFonts w:cs="Arial"/>
      <w:color w:val="auto"/>
      <w:sz w:val="20"/>
      <w:u w:color="000000"/>
    </w:rPr>
  </w:style>
  <w:style w:type="character" w:customStyle="1" w:styleId="APVMATextChar">
    <w:name w:val="APVMA_Text Char"/>
    <w:basedOn w:val="DefaultParagraphFont"/>
    <w:link w:val="APVMAText"/>
    <w:locked/>
    <w:rsid w:val="00426C3A"/>
    <w:rPr>
      <w:rFonts w:ascii="Arial" w:hAnsi="Arial" w:cs="Arial"/>
      <w:szCs w:val="24"/>
      <w:u w:color="000000"/>
      <w:lang w:eastAsia="en-US"/>
    </w:rPr>
  </w:style>
  <w:style w:type="paragraph" w:customStyle="1" w:styleId="APVMATableText">
    <w:name w:val="APVMA_TableText"/>
    <w:basedOn w:val="NormalText"/>
    <w:link w:val="APVMATableTextChar"/>
    <w:uiPriority w:val="4"/>
    <w:qFormat/>
    <w:rsid w:val="00426C3A"/>
    <w:pPr>
      <w:spacing w:before="120" w:after="120" w:line="210" w:lineRule="exact"/>
    </w:pPr>
    <w:rPr>
      <w:color w:val="auto"/>
      <w:spacing w:val="6"/>
      <w:sz w:val="17"/>
    </w:rPr>
  </w:style>
  <w:style w:type="character" w:customStyle="1" w:styleId="APVMATableTextChar">
    <w:name w:val="APVMA_TableText Char"/>
    <w:link w:val="APVMATableText"/>
    <w:uiPriority w:val="4"/>
    <w:rsid w:val="00426C3A"/>
    <w:rPr>
      <w:rFonts w:ascii="Arial" w:hAnsi="Arial" w:cs="Arial"/>
      <w:spacing w:val="6"/>
      <w:kern w:val="20"/>
      <w:sz w:val="17"/>
      <w:szCs w:val="24"/>
      <w:u w:color="000000"/>
      <w:lang w:eastAsia="en-US"/>
    </w:rPr>
  </w:style>
  <w:style w:type="character" w:styleId="HTMLCite">
    <w:name w:val="HTML Cite"/>
    <w:basedOn w:val="DefaultParagraphFont"/>
    <w:uiPriority w:val="99"/>
    <w:semiHidden/>
    <w:unhideWhenUsed/>
    <w:rsid w:val="00426C3A"/>
    <w:rPr>
      <w:i w:val="0"/>
      <w:iCs w:val="0"/>
      <w:color w:val="006621"/>
    </w:rPr>
  </w:style>
  <w:style w:type="character" w:customStyle="1" w:styleId="UnresolvedMention1">
    <w:name w:val="Unresolved Mention1"/>
    <w:basedOn w:val="DefaultParagraphFont"/>
    <w:uiPriority w:val="99"/>
    <w:semiHidden/>
    <w:unhideWhenUsed/>
    <w:rsid w:val="00426C3A"/>
    <w:rPr>
      <w:color w:val="605E5C"/>
      <w:shd w:val="clear" w:color="auto" w:fill="E1DFDD"/>
    </w:rPr>
  </w:style>
  <w:style w:type="character" w:customStyle="1" w:styleId="APVMASuperscript">
    <w:name w:val="APVMA_Superscript"/>
    <w:basedOn w:val="DefaultParagraphFont"/>
    <w:uiPriority w:val="1"/>
    <w:qFormat/>
    <w:rsid w:val="00426C3A"/>
    <w:rPr>
      <w:vertAlign w:val="superscript"/>
    </w:rPr>
  </w:style>
  <w:style w:type="character" w:customStyle="1" w:styleId="FootnoteTextChar">
    <w:name w:val="Footnote Text Char"/>
    <w:aliases w:val="APVMA_Footnote Char,DAR001 Char"/>
    <w:basedOn w:val="DefaultParagraphFont"/>
    <w:link w:val="FootnoteText"/>
    <w:rsid w:val="00426C3A"/>
    <w:rPr>
      <w:rFonts w:ascii="Arial" w:hAnsi="Arial" w:cs="Arial"/>
      <w:color w:val="1A1B1A" w:themeColor="text1" w:themeShade="80"/>
      <w:spacing w:val="6"/>
      <w:kern w:val="20"/>
      <w:sz w:val="16"/>
      <w:u w:color="000000"/>
      <w:lang w:eastAsia="en-US"/>
    </w:rPr>
  </w:style>
  <w:style w:type="paragraph" w:customStyle="1" w:styleId="APVMATableHead">
    <w:name w:val="APVMA_TableHead"/>
    <w:basedOn w:val="APVMATableText"/>
    <w:uiPriority w:val="4"/>
    <w:qFormat/>
    <w:rsid w:val="00426C3A"/>
    <w:pPr>
      <w:keepNext/>
      <w:keepLines/>
      <w:spacing w:before="60" w:after="60" w:line="240" w:lineRule="exact"/>
    </w:pPr>
    <w:rPr>
      <w:rFonts w:ascii="Franklin Gothic Medium" w:hAnsi="Franklin Gothic Medium"/>
      <w:bCs/>
      <w:color w:val="F8F8F8"/>
      <w:sz w:val="18"/>
    </w:rPr>
  </w:style>
  <w:style w:type="character" w:customStyle="1" w:styleId="UnresolvedMention2">
    <w:name w:val="Unresolved Mention2"/>
    <w:basedOn w:val="DefaultParagraphFont"/>
    <w:uiPriority w:val="99"/>
    <w:semiHidden/>
    <w:unhideWhenUsed/>
    <w:rsid w:val="001C4729"/>
    <w:rPr>
      <w:color w:val="605E5C"/>
      <w:shd w:val="clear" w:color="auto" w:fill="E1DFDD"/>
    </w:rPr>
  </w:style>
  <w:style w:type="character" w:customStyle="1" w:styleId="UnresolvedMention3">
    <w:name w:val="Unresolved Mention3"/>
    <w:basedOn w:val="DefaultParagraphFont"/>
    <w:uiPriority w:val="99"/>
    <w:semiHidden/>
    <w:unhideWhenUsed/>
    <w:rsid w:val="00023BD8"/>
    <w:rPr>
      <w:color w:val="605E5C"/>
      <w:shd w:val="clear" w:color="auto" w:fill="E1DFDD"/>
    </w:rPr>
  </w:style>
  <w:style w:type="character" w:styleId="UnresolvedMention">
    <w:name w:val="Unresolved Mention"/>
    <w:basedOn w:val="DefaultParagraphFont"/>
    <w:uiPriority w:val="99"/>
    <w:semiHidden/>
    <w:unhideWhenUsed/>
    <w:rsid w:val="00D05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microsoft.com/office/2007/relationships/hdphoto" Target="media/hdphoto1.wdp" Id="rId26" /><Relationship Type="http://schemas.openxmlformats.org/officeDocument/2006/relationships/footer" Target="footer2.xml" Id="rId39" /><Relationship Type="http://schemas.openxmlformats.org/officeDocument/2006/relationships/header" Target="header3.xml" Id="rId21" /><Relationship Type="http://schemas.openxmlformats.org/officeDocument/2006/relationships/header" Target="header10.xml" Id="rId34" /><Relationship Type="http://schemas.openxmlformats.org/officeDocument/2006/relationships/hyperlink" Target="https://apvma.gov.au/node/51381" TargetMode="External" Id="rId42" /><Relationship Type="http://schemas.openxmlformats.org/officeDocument/2006/relationships/hyperlink" Target="https://echa.europa.eu/documents/10162/b41f2253-824c-48f8-b494-df54bd901e6a" TargetMode="External" Id="rId47" /><Relationship Type="http://schemas.openxmlformats.org/officeDocument/2006/relationships/hyperlink" Target="https://www.oecd.org/chemicalsafety/testing/48532204.pdf" TargetMode="External" Id="rId50" /><Relationship Type="http://schemas.openxmlformats.org/officeDocument/2006/relationships/hyperlink" Target="https://www3.epa.gov/pesticides/chem_search/reg_actions/reregistration/tred_PC-129044_7-Jul-05.pdf" TargetMode="External" Id="rId55"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header" Target="header7.xml" Id="rId29" /><Relationship Type="http://schemas.openxmlformats.org/officeDocument/2006/relationships/image" Target="media/image3.png" Id="rId11" /><Relationship Type="http://schemas.openxmlformats.org/officeDocument/2006/relationships/hyperlink" Target="https://apvma.gov.au/node/100286" TargetMode="External" Id="rId24" /><Relationship Type="http://schemas.openxmlformats.org/officeDocument/2006/relationships/header" Target="header8.xml" Id="rId32" /><Relationship Type="http://schemas.openxmlformats.org/officeDocument/2006/relationships/image" Target="media/image6.png" Id="rId37" /><Relationship Type="http://schemas.openxmlformats.org/officeDocument/2006/relationships/header" Target="header13.xml" Id="rId40" /><Relationship Type="http://schemas.openxmlformats.org/officeDocument/2006/relationships/header" Target="header16.xml" Id="rId45" /><Relationship Type="http://schemas.openxmlformats.org/officeDocument/2006/relationships/hyperlink" Target="https://inchem.org/documents/jmpr/jmpmono/v89pr12.htm" TargetMode="External" Id="rId53" /><Relationship Type="http://schemas.openxmlformats.org/officeDocument/2006/relationships/fontTable" Target="fontTable.xml" Id="rId58" /><Relationship Type="http://schemas.openxmlformats.org/officeDocument/2006/relationships/settings" Target="settings.xml" Id="rId5"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4.xml" Id="rId22" /><Relationship Type="http://schemas.openxmlformats.org/officeDocument/2006/relationships/header" Target="header6.xml" Id="rId27" /><Relationship Type="http://schemas.openxmlformats.org/officeDocument/2006/relationships/hyperlink" Target="https://apvma.gov.au/node/27621" TargetMode="External" Id="rId30" /><Relationship Type="http://schemas.openxmlformats.org/officeDocument/2006/relationships/hyperlink" Target="https://apvma.gov.au/node/39701" TargetMode="External" Id="rId35" /><Relationship Type="http://schemas.openxmlformats.org/officeDocument/2006/relationships/header" Target="header14.xml" Id="rId43" /><Relationship Type="http://schemas.openxmlformats.org/officeDocument/2006/relationships/hyperlink" Target="https://www.tga.gov.au/how-we-regulate/ingredients-and-scheduling-medicines-and-chemicals/poisons-standard-and-scheduling-medicines-and-chemicals/poisons-standard-susmp-0" TargetMode="External" Id="rId48" /><Relationship Type="http://schemas.openxmlformats.org/officeDocument/2006/relationships/hyperlink" Target="https://www.epa.gov/pesticide-science-and-assessing-pesticide-risks/occupational-pesticide-handler-exposure-data" TargetMode="External" Id="rId56" /><Relationship Type="http://schemas.openxmlformats.org/officeDocument/2006/relationships/endnotes" Target="endnotes.xml" Id="rId8" /><Relationship Type="http://schemas.openxmlformats.org/officeDocument/2006/relationships/hyperlink" Target="https://www.legislation.gov.au/Details/F2017L00057" TargetMode="External" Id="rId51"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image" Target="media/image5.png" Id="rId25" /><Relationship Type="http://schemas.openxmlformats.org/officeDocument/2006/relationships/header" Target="header9.xml" Id="rId33" /><Relationship Type="http://schemas.openxmlformats.org/officeDocument/2006/relationships/header" Target="header12.xml" Id="rId38" /><Relationship Type="http://schemas.openxmlformats.org/officeDocument/2006/relationships/hyperlink" Target="https://www.industrialchemicals.gov.au/sites/default/files/Dichloroanilines_Human%20health%20tier%20II%20assessment.pdf" TargetMode="External" Id="rId46" /><Relationship Type="http://schemas.openxmlformats.org/officeDocument/2006/relationships/theme" Target="theme/theme1.xml" Id="rId59" /><Relationship Type="http://schemas.openxmlformats.org/officeDocument/2006/relationships/footer" Target="footer1.xml" Id="rId20" /><Relationship Type="http://schemas.openxmlformats.org/officeDocument/2006/relationships/hyperlink" Target="https://www.agriculture.gov.au/agriculture-land/farm-food-drought/food/nrs/nrs-results-publications" TargetMode="External" Id="rId41" /><Relationship Type="http://schemas.openxmlformats.org/officeDocument/2006/relationships/hyperlink" Target="https://apps.who.int/pesticide-residues-jmpr-database/pesticide?name=PROCYMIDONE" TargetMode="External" Id="rId54" /><Relationship Type="http://schemas.openxmlformats.org/officeDocument/2006/relationships/webSettings" Target="webSettings.xml" Id="rId6" /><Relationship Type="http://schemas.openxmlformats.org/officeDocument/2006/relationships/hyperlink" Target="http://www.dpmc.gov.au/pmc/publication/commonwealth-coat-arms-information-and-guidelines" TargetMode="External" Id="rId15" /><Relationship Type="http://schemas.openxmlformats.org/officeDocument/2006/relationships/header" Target="header5.xml" Id="rId23" /><Relationship Type="http://schemas.openxmlformats.org/officeDocument/2006/relationships/hyperlink" Target="https://apvma.gov.au/node/27621" TargetMode="External" Id="rId28" /><Relationship Type="http://schemas.openxmlformats.org/officeDocument/2006/relationships/header" Target="header11.xml" Id="rId36" /><Relationship Type="http://schemas.openxmlformats.org/officeDocument/2006/relationships/hyperlink" Target="https://www.epa.gov/pesticide-science-and-assessing-pesticide-risks/occupational-pesticide-handler-exposure-data" TargetMode="External" Id="rId49" /><Relationship Type="http://schemas.openxmlformats.org/officeDocument/2006/relationships/header" Target="header17.xml" Id="rId57" /><Relationship Type="http://schemas.openxmlformats.org/officeDocument/2006/relationships/image" Target="media/image2.png" Id="rId10" /><Relationship Type="http://schemas.openxmlformats.org/officeDocument/2006/relationships/hyperlink" Target="https://apvma.gov.au/node/51826" TargetMode="External" Id="rId31" /><Relationship Type="http://schemas.openxmlformats.org/officeDocument/2006/relationships/header" Target="header15.xml" Id="rId44" /><Relationship Type="http://schemas.openxmlformats.org/officeDocument/2006/relationships/hyperlink" Target="https://inchem.org/documents/jmpr/jmpmono/v81pr27.htm" TargetMode="External" Id="rId52" /><Relationship Type="http://schemas.openxmlformats.org/officeDocument/2006/relationships/customXml" Target="/customXML/item3.xml" Id="R1e5fc36c5b21442a" /></Relationships>
</file>

<file path=word/_rels/footnotes.xml.rels><?xml version="1.0" encoding="UTF-8" standalone="yes"?>
<Relationships xmlns="http://schemas.openxmlformats.org/package/2006/relationships"><Relationship Id="rId8" Type="http://schemas.openxmlformats.org/officeDocument/2006/relationships/hyperlink" Target="https://apvma.gov.au/taxonomy/term/7516" TargetMode="External"/><Relationship Id="rId13" Type="http://schemas.openxmlformats.org/officeDocument/2006/relationships/hyperlink" Target="https://apvma.gov.au/node/805" TargetMode="External"/><Relationship Id="rId3" Type="http://schemas.openxmlformats.org/officeDocument/2006/relationships/hyperlink" Target="https://www.fao.org/fileadmin/templates/agphome/documents/Pests_Pesticides/Specs/procymid.pdf" TargetMode="External"/><Relationship Id="rId7" Type="http://schemas.openxmlformats.org/officeDocument/2006/relationships/hyperlink" Target="https://www.oecd.org/env/ehs/pesticides-biocides/oecdmaximumresiduelimitcalculator.htm" TargetMode="External"/><Relationship Id="rId12" Type="http://schemas.openxmlformats.org/officeDocument/2006/relationships/hyperlink" Target="https://apvma.gov.au/node/1017" TargetMode="External"/><Relationship Id="rId2" Type="http://schemas.openxmlformats.org/officeDocument/2006/relationships/hyperlink" Target="https://apvma.gov.au/node/97446" TargetMode="External"/><Relationship Id="rId1" Type="http://schemas.openxmlformats.org/officeDocument/2006/relationships/hyperlink" Target="http://www.fao.org/fileadmin/templates/agphome/documents/pests_pesticides/specs/procymid.pdf" TargetMode="External"/><Relationship Id="rId6" Type="http://schemas.openxmlformats.org/officeDocument/2006/relationships/hyperlink" Target="https://apvma.gov.au/node/26586" TargetMode="External"/><Relationship Id="rId11" Type="http://schemas.openxmlformats.org/officeDocument/2006/relationships/hyperlink" Target="https://apvma.gov.au/taxonomy/term/7906" TargetMode="External"/><Relationship Id="rId5" Type="http://schemas.openxmlformats.org/officeDocument/2006/relationships/hyperlink" Target="https://www.fao.org/fileadmin/templates/agphome/documents/Pests_Pesticides/Specs/procymid.pdf" TargetMode="External"/><Relationship Id="rId10" Type="http://schemas.openxmlformats.org/officeDocument/2006/relationships/hyperlink" Target="https://www.awe.gov.au/agriculture-land/farm-food-drought/food/nrs/nrs-results-publications" TargetMode="External"/><Relationship Id="rId4" Type="http://schemas.openxmlformats.org/officeDocument/2006/relationships/hyperlink" Target="https://apvma.gov.au/node/10706" TargetMode="External"/><Relationship Id="rId9" Type="http://schemas.openxmlformats.org/officeDocument/2006/relationships/hyperlink" Target="https://one.oecd.org/document/ENV/JM/MONO(2013)8/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A2729117</value>
    </field>
    <field name="Objective-Title">
      <value order="0">2022 - Procymidone - Final RTR</value>
    </field>
    <field name="Objective-Description">
      <value order="0"/>
    </field>
    <field name="Objective-CreationStamp">
      <value order="0">2022-07-01T03:10:17Z</value>
    </field>
    <field name="Objective-IsApproved">
      <value order="0">false</value>
    </field>
    <field name="Objective-IsPublished">
      <value order="0">false</value>
    </field>
    <field name="Objective-DatePublished">
      <value order="0"/>
    </field>
    <field name="Objective-ModificationStamp">
      <value order="0">2022-10-10T02:50:57Z</value>
    </field>
    <field name="Objective-Owner">
      <value order="0">Nial Gursanscky</value>
    </field>
    <field name="Objective-Path">
      <value order="0">APVMA:SCIENTIFIC ASSESSMENT:Scientific Assessment - Chemical Review:Scientific Assessment - Chemical Review - Products and Actives:Scientific Assessment - Chemical Review - Products and Actives - P:Chemical Review - Procymidone:08-Regulatory Decision</value>
    </field>
    <field name="Objective-Parent">
      <value order="0">08-Regulatory Decision</value>
    </field>
    <field name="Objective-State">
      <value order="0">Being Drafted</value>
    </field>
    <field name="Objective-VersionId">
      <value order="0">vA4256313</value>
    </field>
    <field name="Objective-Version">
      <value order="0">1.15</value>
    </field>
    <field name="Objective-VersionNumber">
      <value order="0">31</value>
    </field>
    <field name="Objective-VersionComment">
      <value order="0"/>
    </field>
    <field name="Objective-FileNumber">
      <value order="0">2014\3325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E9F38C50-FB04-4446-83B7-58832DC4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20</TotalTime>
  <Pages>73</Pages>
  <Words>23519</Words>
  <Characters>134061</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Procymidone Review Technical Report</vt:lpstr>
    </vt:vector>
  </TitlesOfParts>
  <Manager/>
  <Company>Australian Pesticides and Veterinary Medicines Authority</Company>
  <LinksUpToDate>false</LinksUpToDate>
  <CharactersWithSpaces>157266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Procymidone Final Review Technical Report</dc:title>
  <dc:subject/>
  <dc:creator>APVMA</dc:creator>
  <cp:keywords/>
  <dc:description/>
  <cp:lastModifiedBy>ELLIOTT, Amy</cp:lastModifiedBy>
  <cp:revision>4</cp:revision>
  <cp:lastPrinted>2022-05-05T03:19:00Z</cp:lastPrinted>
  <dcterms:created xsi:type="dcterms:W3CDTF">2022-10-10T00:05:00Z</dcterms:created>
  <dcterms:modified xsi:type="dcterms:W3CDTF">2022-10-10T02:50:00Z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A2729117</vt:lpwstr>
  </property>
  <property fmtid="{D5CDD505-2E9C-101B-9397-08002B2CF9AE}" pid="4" name="Objective-Title">
    <vt:lpwstr>2022 - Procymidone - Final RTR</vt:lpwstr>
  </property>
  <property fmtid="{D5CDD505-2E9C-101B-9397-08002B2CF9AE}" pid="5" name="Objective-Comment">
    <vt:lpwstr/>
  </property>
  <property fmtid="{D5CDD505-2E9C-101B-9397-08002B2CF9AE}" pid="6" name="Objective-CreationStamp">
    <vt:filetime>2022-07-01T03:10:26Z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2022-10-10T02:50:57Z</vt:filetime>
  </property>
  <property fmtid="{D5CDD505-2E9C-101B-9397-08002B2CF9AE}" pid="11" name="Objective-Owner">
    <vt:lpwstr>Nial Gursanscky</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P:Chemical Review - Procymidone:08-Regulatory Decision:</vt:lpwstr>
  </property>
  <property fmtid="{D5CDD505-2E9C-101B-9397-08002B2CF9AE}" pid="13" name="Objective-Parent">
    <vt:lpwstr>08-Regulatory Decision</vt:lpwstr>
  </property>
  <property fmtid="{D5CDD505-2E9C-101B-9397-08002B2CF9AE}" pid="14" name="Objective-State">
    <vt:lpwstr>Being Drafted</vt:lpwstr>
  </property>
  <property fmtid="{D5CDD505-2E9C-101B-9397-08002B2CF9AE}" pid="15" name="Objective-Version">
    <vt:lpwstr>1.15</vt:lpwstr>
  </property>
  <property fmtid="{D5CDD505-2E9C-101B-9397-08002B2CF9AE}" pid="16" name="Objective-VersionNumber">
    <vt:r8>31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vA4256313</vt:lpwstr>
  </property>
  <property fmtid="{D5CDD505-2E9C-101B-9397-08002B2CF9AE}" pid="23" name="Objective-Connect Creator">
    <vt:lpwstr/>
  </property>
</Properties>
</file>