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EFDD" w14:textId="6784DBE6" w:rsidR="005510CD" w:rsidRPr="00BA6CF5" w:rsidRDefault="005510CD" w:rsidP="003A673C">
      <w:pPr>
        <w:pStyle w:val="APVMACoverTitle"/>
        <w:spacing w:before="1400"/>
        <w:jc w:val="center"/>
        <w:rPr>
          <w:sz w:val="40"/>
        </w:rPr>
      </w:pPr>
      <w:bookmarkStart w:id="0" w:name="_Toc168724484"/>
      <w:r w:rsidRPr="00BA6CF5">
        <w:rPr>
          <w:i/>
          <w:noProof/>
          <w:sz w:val="40"/>
          <w:lang w:eastAsia="en-AU"/>
        </w:rPr>
        <w:drawing>
          <wp:inline distT="0" distB="0" distL="0" distR="0" wp14:anchorId="13B59825" wp14:editId="02337E93">
            <wp:extent cx="1200150" cy="1074420"/>
            <wp:effectExtent l="0" t="0" r="0" b="0"/>
            <wp:docPr id="3" name="Picture 3" descr="Australian Government Coat of Arm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1074420"/>
                    </a:xfrm>
                    <a:prstGeom prst="rect">
                      <a:avLst/>
                    </a:prstGeom>
                    <a:noFill/>
                    <a:ln>
                      <a:noFill/>
                    </a:ln>
                  </pic:spPr>
                </pic:pic>
              </a:graphicData>
            </a:graphic>
          </wp:inline>
        </w:drawing>
      </w:r>
      <w:r w:rsidR="003A673C" w:rsidRPr="00BA6CF5">
        <w:rPr>
          <w:sz w:val="40"/>
        </w:rPr>
        <w:br/>
      </w:r>
      <w:r w:rsidRPr="00BA6CF5">
        <w:rPr>
          <w:sz w:val="40"/>
        </w:rPr>
        <w:t>Australian Government</w:t>
      </w:r>
    </w:p>
    <w:p w14:paraId="7275F455" w14:textId="77777777" w:rsidR="005510CD" w:rsidRPr="00BA6CF5" w:rsidRDefault="005510CD" w:rsidP="005510CD">
      <w:pPr>
        <w:pStyle w:val="APVMACoverTitle"/>
        <w:spacing w:before="240" w:after="240" w:line="320" w:lineRule="exact"/>
        <w:jc w:val="center"/>
        <w:rPr>
          <w:sz w:val="32"/>
        </w:rPr>
      </w:pPr>
      <w:r w:rsidRPr="00BA6CF5">
        <w:rPr>
          <w:sz w:val="32"/>
        </w:rPr>
        <w:t>Australian Pesticides and Veterinary Medicines Authority</w:t>
      </w:r>
    </w:p>
    <w:p w14:paraId="170835B3" w14:textId="282CCCCA" w:rsidR="002C42B4" w:rsidRDefault="006438BB" w:rsidP="00D0686C">
      <w:pPr>
        <w:pStyle w:val="APVMACoverTitle"/>
        <w:spacing w:before="1600" w:after="240" w:line="360" w:lineRule="exact"/>
        <w:jc w:val="center"/>
        <w:rPr>
          <w:sz w:val="40"/>
        </w:rPr>
      </w:pPr>
      <w:r>
        <w:rPr>
          <w:sz w:val="40"/>
        </w:rPr>
        <w:t xml:space="preserve">Fees and Charges </w:t>
      </w:r>
      <w:r w:rsidR="002D0386">
        <w:rPr>
          <w:sz w:val="40"/>
        </w:rPr>
        <w:t>202</w:t>
      </w:r>
      <w:r w:rsidR="0091088C">
        <w:rPr>
          <w:sz w:val="40"/>
        </w:rPr>
        <w:t>7</w:t>
      </w:r>
      <w:r w:rsidR="002D0386">
        <w:rPr>
          <w:sz w:val="40"/>
        </w:rPr>
        <w:t>–2</w:t>
      </w:r>
      <w:r w:rsidR="0091088C">
        <w:rPr>
          <w:sz w:val="40"/>
        </w:rPr>
        <w:t>8</w:t>
      </w:r>
    </w:p>
    <w:p w14:paraId="1AF567BF" w14:textId="0792B942" w:rsidR="005510CD" w:rsidRPr="00BA6CF5" w:rsidRDefault="008579E5" w:rsidP="00D0686C">
      <w:pPr>
        <w:pStyle w:val="APVMACoverTitle"/>
        <w:spacing w:before="1000" w:after="240" w:line="360" w:lineRule="exact"/>
        <w:jc w:val="center"/>
        <w:sectPr w:rsidR="005510CD" w:rsidRPr="00BA6CF5" w:rsidSect="00D0686C">
          <w:headerReference w:type="even" r:id="rId13"/>
          <w:footerReference w:type="even" r:id="rId14"/>
          <w:pgSz w:w="11906" w:h="16838" w:code="9"/>
          <w:pgMar w:top="2126" w:right="1134" w:bottom="1134" w:left="1134" w:header="0" w:footer="0" w:gutter="0"/>
          <w:pgNumType w:fmt="lowerRoman"/>
          <w:cols w:space="708"/>
          <w:docGrid w:linePitch="360"/>
        </w:sectPr>
      </w:pPr>
      <w:r>
        <w:rPr>
          <w:sz w:val="40"/>
        </w:rPr>
        <w:t>Consultation Paper</w:t>
      </w:r>
    </w:p>
    <w:p w14:paraId="5399CD99" w14:textId="51891A08" w:rsidR="00862E63" w:rsidRPr="00BA6CF5" w:rsidRDefault="00862E63" w:rsidP="00862E63">
      <w:pPr>
        <w:autoSpaceDE w:val="0"/>
        <w:autoSpaceDN w:val="0"/>
        <w:adjustRightInd w:val="0"/>
        <w:spacing w:after="120" w:line="240" w:lineRule="exact"/>
        <w:ind w:left="-284" w:right="-330"/>
        <w:rPr>
          <w:rFonts w:cs="Arial"/>
          <w:sz w:val="16"/>
          <w:szCs w:val="16"/>
          <w:lang w:eastAsia="en-AU"/>
        </w:rPr>
      </w:pPr>
      <w:r w:rsidRPr="00BA6CF5">
        <w:rPr>
          <w:rFonts w:cs="Arial"/>
          <w:sz w:val="16"/>
          <w:szCs w:val="16"/>
          <w:lang w:eastAsia="en-AU"/>
        </w:rPr>
        <w:lastRenderedPageBreak/>
        <w:t xml:space="preserve">© Australian Pesticides and Veterinary Medicines Authority </w:t>
      </w:r>
      <w:r w:rsidR="008B7032" w:rsidRPr="00BA6CF5">
        <w:rPr>
          <w:rFonts w:cs="Arial"/>
          <w:sz w:val="16"/>
          <w:szCs w:val="16"/>
          <w:lang w:eastAsia="en-AU"/>
        </w:rPr>
        <w:t>202</w:t>
      </w:r>
      <w:r w:rsidR="002C740A">
        <w:rPr>
          <w:rFonts w:cs="Arial"/>
          <w:sz w:val="16"/>
          <w:szCs w:val="16"/>
          <w:lang w:eastAsia="en-AU"/>
        </w:rPr>
        <w:t>6</w:t>
      </w:r>
    </w:p>
    <w:p w14:paraId="4E713DCC" w14:textId="77777777" w:rsidR="00862E63" w:rsidRPr="00BA6CF5" w:rsidRDefault="00862E63" w:rsidP="00862E63">
      <w:pPr>
        <w:autoSpaceDE w:val="0"/>
        <w:autoSpaceDN w:val="0"/>
        <w:adjustRightInd w:val="0"/>
        <w:spacing w:before="240" w:line="240" w:lineRule="exact"/>
        <w:ind w:left="-284" w:right="-330"/>
        <w:rPr>
          <w:rFonts w:cs="Arial"/>
          <w:b/>
          <w:bCs/>
          <w:sz w:val="16"/>
          <w:szCs w:val="16"/>
          <w:lang w:eastAsia="en-AU"/>
        </w:rPr>
      </w:pPr>
      <w:r w:rsidRPr="00BA6CF5">
        <w:rPr>
          <w:rFonts w:cs="Arial"/>
          <w:b/>
          <w:bCs/>
          <w:sz w:val="16"/>
          <w:szCs w:val="16"/>
          <w:lang w:eastAsia="en-AU"/>
        </w:rPr>
        <w:t>Ownership of intellectual property rights in this publication</w:t>
      </w:r>
    </w:p>
    <w:p w14:paraId="695CA56E" w14:textId="77777777" w:rsidR="00862E63" w:rsidRPr="00BA6CF5" w:rsidRDefault="00862E63" w:rsidP="00862E63">
      <w:pPr>
        <w:autoSpaceDE w:val="0"/>
        <w:autoSpaceDN w:val="0"/>
        <w:adjustRightInd w:val="0"/>
        <w:spacing w:before="60" w:after="240" w:line="240" w:lineRule="exact"/>
        <w:ind w:left="-284" w:right="-330"/>
        <w:rPr>
          <w:rFonts w:cs="Arial"/>
          <w:sz w:val="16"/>
          <w:szCs w:val="16"/>
          <w:lang w:eastAsia="en-AU"/>
        </w:rPr>
      </w:pPr>
      <w:r w:rsidRPr="00BA6CF5">
        <w:rPr>
          <w:rFonts w:cs="Arial"/>
          <w:sz w:val="16"/>
          <w:szCs w:val="16"/>
          <w:lang w:eastAsia="en-AU"/>
        </w:rPr>
        <w:t>Unless otherwise noted, copyright (and any other intellectual property rights, if any) in this publication is owned by the Australian Pesticides and Veterinary Medicines Authority (APVMA).</w:t>
      </w:r>
    </w:p>
    <w:p w14:paraId="22436380" w14:textId="77777777" w:rsidR="008366A3" w:rsidRPr="00BA6CF5" w:rsidRDefault="008366A3" w:rsidP="008366A3">
      <w:pPr>
        <w:autoSpaceDE w:val="0"/>
        <w:autoSpaceDN w:val="0"/>
        <w:adjustRightInd w:val="0"/>
        <w:spacing w:line="240" w:lineRule="exact"/>
        <w:ind w:left="-284" w:right="-330"/>
        <w:rPr>
          <w:rFonts w:cs="Arial"/>
          <w:b/>
          <w:bCs/>
          <w:sz w:val="16"/>
          <w:szCs w:val="16"/>
          <w:lang w:eastAsia="en-AU"/>
        </w:rPr>
      </w:pPr>
      <w:r w:rsidRPr="00BA6CF5">
        <w:rPr>
          <w:rFonts w:cs="Arial"/>
          <w:b/>
          <w:bCs/>
          <w:sz w:val="16"/>
          <w:szCs w:val="16"/>
          <w:lang w:eastAsia="en-AU"/>
        </w:rPr>
        <w:t>Creative Commons licence</w:t>
      </w:r>
    </w:p>
    <w:p w14:paraId="0E4CE69E" w14:textId="77777777" w:rsidR="002F4591" w:rsidRPr="00BA6CF5" w:rsidRDefault="008366A3" w:rsidP="002F4591">
      <w:pPr>
        <w:autoSpaceDE w:val="0"/>
        <w:autoSpaceDN w:val="0"/>
        <w:adjustRightInd w:val="0"/>
        <w:spacing w:before="60" w:after="240" w:line="240" w:lineRule="exact"/>
        <w:ind w:left="-284" w:right="-330"/>
        <w:rPr>
          <w:rFonts w:cs="Arial"/>
          <w:sz w:val="16"/>
          <w:szCs w:val="16"/>
          <w:lang w:eastAsia="en-AU"/>
        </w:rPr>
      </w:pPr>
      <w:proofErr w:type="gramStart"/>
      <w:r w:rsidRPr="00BA6CF5">
        <w:rPr>
          <w:rFonts w:cs="Arial"/>
          <w:sz w:val="16"/>
          <w:szCs w:val="16"/>
          <w:lang w:eastAsia="en-AU"/>
        </w:rPr>
        <w:t>With the exception of</w:t>
      </w:r>
      <w:proofErr w:type="gramEnd"/>
      <w:r w:rsidRPr="00BA6CF5">
        <w:rPr>
          <w:rFonts w:cs="Arial"/>
          <w:sz w:val="16"/>
          <w:szCs w:val="16"/>
          <w:lang w:eastAsia="en-AU"/>
        </w:rPr>
        <w:t xml:space="preserve"> the Coat of Arms and other elements specifically identified, this publication is licensed under a Creative Commons Attribution 4.0 Australia Licence. This is a standard form agreement that allows you to copy, distribute, transmit and adapt this publication </w:t>
      </w:r>
      <w:proofErr w:type="gramStart"/>
      <w:r w:rsidRPr="00BA6CF5">
        <w:rPr>
          <w:rFonts w:cs="Arial"/>
          <w:sz w:val="16"/>
          <w:szCs w:val="16"/>
          <w:lang w:eastAsia="en-AU"/>
        </w:rPr>
        <w:t>provided that</w:t>
      </w:r>
      <w:proofErr w:type="gramEnd"/>
      <w:r w:rsidRPr="00BA6CF5">
        <w:rPr>
          <w:rFonts w:cs="Arial"/>
          <w:sz w:val="16"/>
          <w:szCs w:val="16"/>
          <w:lang w:eastAsia="en-AU"/>
        </w:rPr>
        <w:t xml:space="preserve"> you attribute the work.</w:t>
      </w:r>
    </w:p>
    <w:p w14:paraId="3737E8F5" w14:textId="77777777" w:rsidR="002F4591" w:rsidRPr="00BA6CF5" w:rsidRDefault="002F4591" w:rsidP="002F4591">
      <w:pPr>
        <w:autoSpaceDE w:val="0"/>
        <w:autoSpaceDN w:val="0"/>
        <w:adjustRightInd w:val="0"/>
        <w:spacing w:after="240"/>
        <w:ind w:left="-284" w:right="-329"/>
        <w:rPr>
          <w:rFonts w:cs="Arial"/>
          <w:sz w:val="16"/>
          <w:szCs w:val="16"/>
          <w:lang w:eastAsia="en-AU"/>
        </w:rPr>
      </w:pPr>
      <w:r w:rsidRPr="00BA6CF5">
        <w:rPr>
          <w:rFonts w:ascii="Times New Roman" w:hAnsi="Times New Roman"/>
          <w:noProof/>
          <w:sz w:val="16"/>
          <w:szCs w:val="16"/>
          <w:lang w:eastAsia="en-AU"/>
        </w:rPr>
        <w:drawing>
          <wp:inline distT="0" distB="0" distL="0" distR="0" wp14:anchorId="18A5C8FC" wp14:editId="2B1C3607">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BA6CF5">
        <w:rPr>
          <w:rFonts w:ascii="Times New Roman" w:hAnsi="Times New Roman"/>
          <w:noProof/>
          <w:sz w:val="16"/>
          <w:szCs w:val="16"/>
          <w:lang w:eastAsia="en-AU"/>
        </w:rPr>
        <w:drawing>
          <wp:inline distT="0" distB="0" distL="0" distR="0" wp14:anchorId="74517325" wp14:editId="73BB5304">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76F0C343" w14:textId="6A01B62C" w:rsidR="008366A3" w:rsidRPr="00BA6CF5" w:rsidRDefault="008366A3" w:rsidP="008366A3">
      <w:pPr>
        <w:autoSpaceDE w:val="0"/>
        <w:autoSpaceDN w:val="0"/>
        <w:adjustRightInd w:val="0"/>
        <w:spacing w:before="120" w:line="240" w:lineRule="exact"/>
        <w:ind w:left="-284" w:right="-330"/>
        <w:rPr>
          <w:rFonts w:cs="Arial"/>
          <w:sz w:val="16"/>
          <w:szCs w:val="16"/>
          <w:lang w:eastAsia="en-AU"/>
        </w:rPr>
      </w:pPr>
      <w:r w:rsidRPr="00BA6CF5">
        <w:rPr>
          <w:rFonts w:cs="Arial"/>
          <w:sz w:val="16"/>
          <w:szCs w:val="16"/>
          <w:lang w:eastAsia="en-AU"/>
        </w:rPr>
        <w:t xml:space="preserve">A </w:t>
      </w:r>
      <w:hyperlink r:id="rId17" w:history="1">
        <w:r w:rsidRPr="00BA6CF5">
          <w:rPr>
            <w:rStyle w:val="Hyperlink"/>
            <w:rFonts w:cs="Arial"/>
            <w:sz w:val="16"/>
            <w:szCs w:val="16"/>
            <w:lang w:eastAsia="en-AU"/>
          </w:rPr>
          <w:t>summary of</w:t>
        </w:r>
        <w:r w:rsidR="008545E1" w:rsidRPr="00BA6CF5">
          <w:rPr>
            <w:rStyle w:val="Hyperlink"/>
            <w:rFonts w:cs="Arial"/>
            <w:sz w:val="16"/>
            <w:szCs w:val="16"/>
            <w:lang w:eastAsia="en-AU"/>
          </w:rPr>
          <w:t xml:space="preserve"> the licence terms</w:t>
        </w:r>
      </w:hyperlink>
      <w:r w:rsidR="008545E1" w:rsidRPr="00BA6CF5">
        <w:rPr>
          <w:rFonts w:cs="Arial"/>
          <w:sz w:val="16"/>
          <w:szCs w:val="16"/>
          <w:lang w:eastAsia="en-AU"/>
        </w:rPr>
        <w:t xml:space="preserve"> and </w:t>
      </w:r>
      <w:hyperlink r:id="rId18" w:history="1">
        <w:r w:rsidR="008545E1" w:rsidRPr="00BA6CF5">
          <w:rPr>
            <w:rStyle w:val="Hyperlink"/>
            <w:rFonts w:cs="Arial"/>
            <w:sz w:val="16"/>
            <w:szCs w:val="16"/>
            <w:lang w:eastAsia="en-AU"/>
          </w:rPr>
          <w:t>full</w:t>
        </w:r>
        <w:r w:rsidRPr="00BA6CF5">
          <w:rPr>
            <w:rStyle w:val="Hyperlink"/>
            <w:rFonts w:cs="Arial"/>
            <w:sz w:val="16"/>
            <w:szCs w:val="16"/>
            <w:lang w:eastAsia="en-AU"/>
          </w:rPr>
          <w:t xml:space="preserve"> licence terms</w:t>
        </w:r>
      </w:hyperlink>
      <w:r w:rsidR="008545E1" w:rsidRPr="00BA6CF5">
        <w:rPr>
          <w:rFonts w:cs="Arial"/>
          <w:sz w:val="16"/>
          <w:szCs w:val="16"/>
          <w:lang w:eastAsia="en-AU"/>
        </w:rPr>
        <w:t xml:space="preserve"> are</w:t>
      </w:r>
      <w:r w:rsidRPr="00BA6CF5">
        <w:rPr>
          <w:rFonts w:cs="Arial"/>
          <w:sz w:val="16"/>
          <w:szCs w:val="16"/>
          <w:lang w:eastAsia="en-AU"/>
        </w:rPr>
        <w:t xml:space="preserve"> available from</w:t>
      </w:r>
      <w:r w:rsidR="008545E1" w:rsidRPr="00BA6CF5">
        <w:rPr>
          <w:rFonts w:cs="Arial"/>
          <w:sz w:val="16"/>
          <w:szCs w:val="16"/>
          <w:lang w:eastAsia="en-AU"/>
        </w:rPr>
        <w:t xml:space="preserve"> Creative Commons.</w:t>
      </w:r>
    </w:p>
    <w:p w14:paraId="0D7FCD64" w14:textId="77777777" w:rsidR="008366A3" w:rsidRPr="00BA6CF5" w:rsidRDefault="008366A3" w:rsidP="008366A3">
      <w:pPr>
        <w:autoSpaceDE w:val="0"/>
        <w:autoSpaceDN w:val="0"/>
        <w:adjustRightInd w:val="0"/>
        <w:spacing w:before="120" w:line="240" w:lineRule="exact"/>
        <w:ind w:left="-284" w:right="-330"/>
        <w:rPr>
          <w:rFonts w:cs="Arial"/>
          <w:i/>
          <w:iCs/>
          <w:sz w:val="16"/>
          <w:szCs w:val="16"/>
          <w:lang w:eastAsia="en-AU"/>
        </w:rPr>
      </w:pPr>
      <w:r w:rsidRPr="00BA6CF5">
        <w:rPr>
          <w:rFonts w:cs="Arial"/>
          <w:sz w:val="16"/>
          <w:szCs w:val="16"/>
          <w:lang w:eastAsia="en-AU"/>
        </w:rPr>
        <w:t>The APVMA’s preference is that you attribute this publication (and any approved material sourced from it) using the following wording:</w:t>
      </w:r>
    </w:p>
    <w:p w14:paraId="7AF7261A" w14:textId="0977BB88" w:rsidR="008366A3" w:rsidRPr="00BA6CF5" w:rsidRDefault="008366A3" w:rsidP="008366A3">
      <w:pPr>
        <w:autoSpaceDE w:val="0"/>
        <w:autoSpaceDN w:val="0"/>
        <w:adjustRightInd w:val="0"/>
        <w:spacing w:before="120" w:line="240" w:lineRule="exact"/>
        <w:ind w:left="-284" w:right="-330"/>
        <w:rPr>
          <w:rFonts w:cs="Arial"/>
          <w:i/>
          <w:iCs/>
          <w:sz w:val="16"/>
          <w:szCs w:val="16"/>
          <w:lang w:eastAsia="en-AU"/>
        </w:rPr>
      </w:pPr>
      <w:r w:rsidRPr="00BA6CF5">
        <w:rPr>
          <w:rFonts w:cs="Arial"/>
          <w:i/>
          <w:iCs/>
          <w:sz w:val="16"/>
          <w:szCs w:val="16"/>
          <w:lang w:eastAsia="en-AU"/>
        </w:rPr>
        <w:t>Source: Licensed from the Australian Pesticides and Veterinary Medicines Authority (APVMA) under a Creative Commons Attribution 4.0 Australia Licence.</w:t>
      </w:r>
    </w:p>
    <w:p w14:paraId="767DBD29" w14:textId="77777777" w:rsidR="008366A3" w:rsidRPr="00BA6CF5" w:rsidRDefault="008366A3" w:rsidP="008366A3">
      <w:pPr>
        <w:autoSpaceDE w:val="0"/>
        <w:autoSpaceDN w:val="0"/>
        <w:adjustRightInd w:val="0"/>
        <w:spacing w:before="120" w:after="120" w:line="240" w:lineRule="exact"/>
        <w:ind w:left="-284" w:right="-330"/>
        <w:rPr>
          <w:rFonts w:cs="Arial"/>
          <w:sz w:val="16"/>
          <w:szCs w:val="16"/>
          <w:lang w:eastAsia="en-AU"/>
        </w:rPr>
      </w:pPr>
      <w:r w:rsidRPr="00BA6CF5">
        <w:rPr>
          <w:rFonts w:cs="Arial"/>
          <w:sz w:val="16"/>
          <w:szCs w:val="16"/>
          <w:lang w:eastAsia="en-AU"/>
        </w:rPr>
        <w:t xml:space="preserve">In referencing this </w:t>
      </w:r>
      <w:bookmarkStart w:id="1" w:name="_Int_NuovIxdY"/>
      <w:proofErr w:type="gramStart"/>
      <w:r w:rsidRPr="00BA6CF5">
        <w:rPr>
          <w:rFonts w:cs="Arial"/>
          <w:sz w:val="16"/>
          <w:szCs w:val="16"/>
          <w:lang w:eastAsia="en-AU"/>
        </w:rPr>
        <w:t>document</w:t>
      </w:r>
      <w:bookmarkEnd w:id="1"/>
      <w:proofErr w:type="gramEnd"/>
      <w:r w:rsidRPr="00BA6CF5">
        <w:rPr>
          <w:rFonts w:cs="Arial"/>
          <w:sz w:val="16"/>
          <w:szCs w:val="16"/>
          <w:lang w:eastAsia="en-AU"/>
        </w:rPr>
        <w:t xml:space="preserve"> the Australian Pesticides and Veterinary Medicines Authority should be cited as the author, publisher and copyright owner.</w:t>
      </w:r>
    </w:p>
    <w:p w14:paraId="3438EB3F" w14:textId="77777777" w:rsidR="00862E63" w:rsidRPr="00BA6CF5" w:rsidRDefault="00862E63" w:rsidP="00862E63">
      <w:pPr>
        <w:autoSpaceDE w:val="0"/>
        <w:autoSpaceDN w:val="0"/>
        <w:adjustRightInd w:val="0"/>
        <w:spacing w:before="120" w:line="240" w:lineRule="exact"/>
        <w:ind w:left="-284" w:right="-330"/>
        <w:rPr>
          <w:rFonts w:cs="Arial"/>
          <w:b/>
          <w:bCs/>
          <w:sz w:val="16"/>
          <w:szCs w:val="16"/>
          <w:lang w:eastAsia="en-AU"/>
        </w:rPr>
      </w:pPr>
      <w:r w:rsidRPr="00BA6CF5">
        <w:rPr>
          <w:rFonts w:cs="Arial"/>
          <w:b/>
          <w:bCs/>
          <w:sz w:val="16"/>
          <w:szCs w:val="16"/>
          <w:lang w:eastAsia="en-AU"/>
        </w:rPr>
        <w:t>Use of the Coat of Arms</w:t>
      </w:r>
    </w:p>
    <w:p w14:paraId="06A5A562" w14:textId="1DF4951A" w:rsidR="00862E63" w:rsidRPr="00BA6CF5" w:rsidRDefault="00862E63" w:rsidP="00862E63">
      <w:pPr>
        <w:autoSpaceDE w:val="0"/>
        <w:autoSpaceDN w:val="0"/>
        <w:adjustRightInd w:val="0"/>
        <w:spacing w:before="60" w:line="240" w:lineRule="exact"/>
        <w:ind w:left="-284" w:right="-330"/>
        <w:rPr>
          <w:rFonts w:cs="Arial"/>
          <w:sz w:val="16"/>
          <w:szCs w:val="16"/>
          <w:lang w:eastAsia="en-AU"/>
        </w:rPr>
      </w:pPr>
      <w:r w:rsidRPr="00BA6CF5">
        <w:rPr>
          <w:rFonts w:cs="Arial"/>
          <w:sz w:val="16"/>
          <w:szCs w:val="16"/>
          <w:lang w:eastAsia="en-AU"/>
        </w:rPr>
        <w:t xml:space="preserve">The terms under which the Coat of Arms can be used are set out on the </w:t>
      </w:r>
      <w:hyperlink r:id="rId19" w:history="1">
        <w:r w:rsidRPr="00BA6CF5">
          <w:rPr>
            <w:rStyle w:val="Hyperlink"/>
            <w:rFonts w:cs="Arial"/>
            <w:sz w:val="16"/>
            <w:szCs w:val="16"/>
            <w:lang w:eastAsia="en-AU"/>
          </w:rPr>
          <w:t xml:space="preserve">Department of the Prime Minister and </w:t>
        </w:r>
        <w:r w:rsidR="008545E1" w:rsidRPr="00BA6CF5">
          <w:rPr>
            <w:rStyle w:val="Hyperlink"/>
            <w:rFonts w:cs="Arial"/>
            <w:sz w:val="16"/>
            <w:szCs w:val="16"/>
            <w:lang w:eastAsia="en-AU"/>
          </w:rPr>
          <w:t>Cabinet website</w:t>
        </w:r>
      </w:hyperlink>
      <w:r w:rsidRPr="00BA6CF5">
        <w:rPr>
          <w:rFonts w:cs="Arial"/>
          <w:sz w:val="16"/>
          <w:szCs w:val="16"/>
          <w:lang w:eastAsia="en-AU"/>
        </w:rPr>
        <w:t>.</w:t>
      </w:r>
    </w:p>
    <w:p w14:paraId="1BC65DBF" w14:textId="77777777" w:rsidR="00862E63" w:rsidRPr="00BA6CF5" w:rsidRDefault="00862E63" w:rsidP="00862E63">
      <w:pPr>
        <w:spacing w:before="120" w:line="240" w:lineRule="exact"/>
        <w:ind w:left="-284" w:right="-330"/>
        <w:rPr>
          <w:rFonts w:cs="Arial"/>
          <w:b/>
          <w:bCs/>
          <w:sz w:val="16"/>
          <w:szCs w:val="16"/>
          <w:lang w:eastAsia="en-AU"/>
        </w:rPr>
      </w:pPr>
      <w:r w:rsidRPr="00BA6CF5">
        <w:rPr>
          <w:rFonts w:cs="Arial"/>
          <w:b/>
          <w:bCs/>
          <w:sz w:val="16"/>
          <w:szCs w:val="16"/>
          <w:lang w:eastAsia="en-AU"/>
        </w:rPr>
        <w:t>Disclaimer</w:t>
      </w:r>
    </w:p>
    <w:p w14:paraId="24072442" w14:textId="3FE5A3CF" w:rsidR="00862E63" w:rsidRPr="00BA6CF5" w:rsidRDefault="00862E63" w:rsidP="009A7614">
      <w:pPr>
        <w:autoSpaceDE w:val="0"/>
        <w:autoSpaceDN w:val="0"/>
        <w:adjustRightInd w:val="0"/>
        <w:spacing w:before="60" w:line="240" w:lineRule="exact"/>
        <w:ind w:left="-284" w:right="-330"/>
        <w:rPr>
          <w:rFonts w:cs="Arial"/>
          <w:sz w:val="16"/>
          <w:szCs w:val="16"/>
          <w:lang w:eastAsia="en-AU"/>
        </w:rPr>
      </w:pPr>
      <w:r w:rsidRPr="00BA6CF5">
        <w:rPr>
          <w:rFonts w:cs="Arial"/>
          <w:sz w:val="16"/>
          <w:szCs w:val="16"/>
          <w:lang w:eastAsia="en-AU"/>
        </w:rPr>
        <w:t xml:space="preserve">The material in or linking from this report may contain the views or recommendations of third parties. Third party material does not necessarily reflect the views of the </w:t>
      </w:r>
      <w:proofErr w:type="gramStart"/>
      <w:r w:rsidRPr="00BA6CF5">
        <w:rPr>
          <w:rFonts w:cs="Arial"/>
          <w:sz w:val="16"/>
          <w:szCs w:val="16"/>
          <w:lang w:eastAsia="en-AU"/>
        </w:rPr>
        <w:t>APVMA, or</w:t>
      </w:r>
      <w:proofErr w:type="gramEnd"/>
      <w:r w:rsidRPr="00BA6CF5">
        <w:rPr>
          <w:rFonts w:cs="Arial"/>
          <w:sz w:val="16"/>
          <w:szCs w:val="16"/>
          <w:lang w:eastAsia="en-AU"/>
        </w:rPr>
        <w:t xml:space="preserve"> indicate a commitment to</w:t>
      </w:r>
      <w:r w:rsidR="009A7614" w:rsidRPr="00BA6CF5">
        <w:rPr>
          <w:rFonts w:cs="Arial"/>
          <w:sz w:val="16"/>
          <w:szCs w:val="16"/>
          <w:lang w:eastAsia="en-AU"/>
        </w:rPr>
        <w:t xml:space="preserve"> a particular course of action. </w:t>
      </w:r>
      <w:r w:rsidRPr="00BA6CF5">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sidRPr="00BA6CF5">
        <w:rPr>
          <w:rFonts w:cs="Arial"/>
          <w:sz w:val="16"/>
          <w:szCs w:val="16"/>
          <w:lang w:eastAsia="en-AU"/>
        </w:rPr>
        <w:t xml:space="preserve"> </w:t>
      </w:r>
      <w:r w:rsidRPr="00BA6CF5">
        <w:rPr>
          <w:rFonts w:cs="Arial"/>
          <w:bCs/>
          <w:sz w:val="16"/>
          <w:szCs w:val="16"/>
          <w:lang w:eastAsia="en-AU"/>
        </w:rPr>
        <w:t>The APVMA is not responsible for any errors, omissions or matters of interpretation in any third-party information contained within this document.</w:t>
      </w:r>
    </w:p>
    <w:p w14:paraId="4106B079" w14:textId="77777777" w:rsidR="00862E63" w:rsidRPr="00BA6CF5" w:rsidRDefault="00862E63" w:rsidP="009A7614">
      <w:pPr>
        <w:autoSpaceDE w:val="0"/>
        <w:autoSpaceDN w:val="0"/>
        <w:adjustRightInd w:val="0"/>
        <w:spacing w:before="120" w:line="240" w:lineRule="exact"/>
        <w:ind w:left="-284" w:right="-330"/>
        <w:rPr>
          <w:rFonts w:cs="Arial"/>
          <w:b/>
          <w:bCs/>
          <w:sz w:val="16"/>
          <w:szCs w:val="16"/>
          <w:lang w:eastAsia="en-AU"/>
        </w:rPr>
      </w:pPr>
      <w:r w:rsidRPr="00BA6CF5">
        <w:rPr>
          <w:rFonts w:cs="Arial"/>
          <w:b/>
          <w:bCs/>
          <w:sz w:val="16"/>
          <w:szCs w:val="16"/>
          <w:lang w:eastAsia="en-AU"/>
        </w:rPr>
        <w:t>Comments and enquiries regarding copyright:</w:t>
      </w:r>
    </w:p>
    <w:p w14:paraId="38ACEA26" w14:textId="77777777" w:rsidR="00862E63" w:rsidRPr="00BA6CF5" w:rsidRDefault="00D23D6A" w:rsidP="00862E63">
      <w:pPr>
        <w:autoSpaceDE w:val="0"/>
        <w:autoSpaceDN w:val="0"/>
        <w:adjustRightInd w:val="0"/>
        <w:spacing w:before="60" w:line="240" w:lineRule="exact"/>
        <w:ind w:left="-284" w:right="-330"/>
        <w:rPr>
          <w:rFonts w:cs="Arial"/>
          <w:sz w:val="16"/>
          <w:szCs w:val="16"/>
          <w:lang w:eastAsia="en-AU"/>
        </w:rPr>
      </w:pPr>
      <w:r w:rsidRPr="00BA6CF5">
        <w:rPr>
          <w:rFonts w:cs="Arial"/>
          <w:sz w:val="16"/>
          <w:szCs w:val="16"/>
          <w:lang w:eastAsia="en-AU"/>
        </w:rPr>
        <w:t>Assistant Director, Communications</w:t>
      </w:r>
    </w:p>
    <w:p w14:paraId="5C9F85A0" w14:textId="77777777" w:rsidR="00862E63" w:rsidRPr="00BA6CF5" w:rsidRDefault="00862E63" w:rsidP="00862E63">
      <w:pPr>
        <w:autoSpaceDE w:val="0"/>
        <w:autoSpaceDN w:val="0"/>
        <w:adjustRightInd w:val="0"/>
        <w:spacing w:line="240" w:lineRule="exact"/>
        <w:ind w:left="-284" w:right="-330"/>
        <w:rPr>
          <w:rFonts w:cs="Arial"/>
          <w:sz w:val="16"/>
          <w:szCs w:val="16"/>
          <w:lang w:eastAsia="en-AU"/>
        </w:rPr>
      </w:pPr>
      <w:r w:rsidRPr="00BA6CF5">
        <w:rPr>
          <w:rFonts w:cs="Arial"/>
          <w:sz w:val="16"/>
          <w:szCs w:val="16"/>
          <w:lang w:eastAsia="en-AU"/>
        </w:rPr>
        <w:t>Australian Pesticides and Veterinary Medicines Authority</w:t>
      </w:r>
    </w:p>
    <w:p w14:paraId="6ED63273" w14:textId="6199F568" w:rsidR="00862E63" w:rsidRPr="00BA6CF5" w:rsidRDefault="005510CD" w:rsidP="00862E63">
      <w:pPr>
        <w:autoSpaceDE w:val="0"/>
        <w:autoSpaceDN w:val="0"/>
        <w:adjustRightInd w:val="0"/>
        <w:spacing w:line="240" w:lineRule="exact"/>
        <w:ind w:left="-284" w:right="-330"/>
        <w:rPr>
          <w:rFonts w:cs="Arial"/>
          <w:sz w:val="16"/>
          <w:szCs w:val="16"/>
          <w:lang w:eastAsia="en-AU"/>
        </w:rPr>
      </w:pPr>
      <w:r w:rsidRPr="00BA6CF5">
        <w:rPr>
          <w:rFonts w:cs="Arial"/>
          <w:sz w:val="16"/>
          <w:szCs w:val="16"/>
          <w:lang w:eastAsia="en-AU"/>
        </w:rPr>
        <w:t xml:space="preserve">GPO Box </w:t>
      </w:r>
      <w:r w:rsidR="00D0686C">
        <w:rPr>
          <w:rFonts w:cs="Arial"/>
          <w:sz w:val="16"/>
          <w:szCs w:val="16"/>
          <w:lang w:eastAsia="en-AU"/>
        </w:rPr>
        <w:t>574</w:t>
      </w:r>
    </w:p>
    <w:p w14:paraId="2A5A5220" w14:textId="2221E385" w:rsidR="00862E63" w:rsidRPr="00BA6CF5" w:rsidRDefault="00D0686C" w:rsidP="00862E63">
      <w:pPr>
        <w:autoSpaceDE w:val="0"/>
        <w:autoSpaceDN w:val="0"/>
        <w:adjustRightInd w:val="0"/>
        <w:spacing w:line="240" w:lineRule="exact"/>
        <w:ind w:left="-284" w:right="-330"/>
        <w:rPr>
          <w:rFonts w:cs="Arial"/>
          <w:sz w:val="16"/>
          <w:szCs w:val="16"/>
          <w:lang w:eastAsia="en-AU"/>
        </w:rPr>
      </w:pPr>
      <w:r w:rsidRPr="00C9012E">
        <w:rPr>
          <w:rFonts w:cs="Arial"/>
          <w:sz w:val="16"/>
          <w:szCs w:val="16"/>
          <w:lang w:eastAsia="en-AU"/>
        </w:rPr>
        <w:t xml:space="preserve">Canberra ACT 2601 </w:t>
      </w:r>
      <w:r w:rsidR="005510CD" w:rsidRPr="00BA6CF5">
        <w:rPr>
          <w:rFonts w:cs="Arial"/>
          <w:sz w:val="16"/>
          <w:szCs w:val="16"/>
          <w:lang w:eastAsia="en-AU"/>
        </w:rPr>
        <w:t>Australia</w:t>
      </w:r>
    </w:p>
    <w:p w14:paraId="660D6246" w14:textId="47553955" w:rsidR="00862E63" w:rsidRPr="00BA6CF5" w:rsidRDefault="006110AE" w:rsidP="00862E63">
      <w:pPr>
        <w:autoSpaceDE w:val="0"/>
        <w:autoSpaceDN w:val="0"/>
        <w:adjustRightInd w:val="0"/>
        <w:spacing w:before="120" w:line="240" w:lineRule="exact"/>
        <w:ind w:left="-284" w:right="-330"/>
        <w:rPr>
          <w:rFonts w:cs="Arial"/>
          <w:sz w:val="16"/>
          <w:szCs w:val="16"/>
          <w:lang w:eastAsia="en-AU"/>
        </w:rPr>
      </w:pPr>
      <w:r w:rsidRPr="00BA6CF5">
        <w:rPr>
          <w:rFonts w:cs="Arial"/>
          <w:sz w:val="16"/>
          <w:szCs w:val="16"/>
          <w:lang w:eastAsia="en-AU"/>
        </w:rPr>
        <w:t xml:space="preserve">Telephone: +61 2 </w:t>
      </w:r>
      <w:r w:rsidR="008545E1" w:rsidRPr="00BA6CF5">
        <w:rPr>
          <w:rFonts w:cs="Arial"/>
          <w:sz w:val="16"/>
          <w:szCs w:val="16"/>
          <w:lang w:eastAsia="en-AU"/>
        </w:rPr>
        <w:t>6770 2300</w:t>
      </w:r>
    </w:p>
    <w:p w14:paraId="2A8010AA" w14:textId="29CE5907" w:rsidR="00862E63" w:rsidRPr="00BA6CF5"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BA6CF5">
        <w:rPr>
          <w:rFonts w:cs="Arial"/>
          <w:sz w:val="16"/>
          <w:szCs w:val="16"/>
          <w:lang w:eastAsia="en-AU"/>
        </w:rPr>
        <w:t xml:space="preserve">Email: </w:t>
      </w:r>
      <w:hyperlink r:id="rId20" w:history="1">
        <w:r w:rsidRPr="00BA6CF5">
          <w:rPr>
            <w:rFonts w:cs="Arial"/>
            <w:color w:val="0000FF"/>
            <w:sz w:val="16"/>
            <w:szCs w:val="16"/>
            <w:u w:val="single"/>
            <w:lang w:eastAsia="en-AU"/>
          </w:rPr>
          <w:t>communications@apvma.gov.au</w:t>
        </w:r>
      </w:hyperlink>
      <w:r w:rsidRPr="00BA6CF5">
        <w:rPr>
          <w:rFonts w:cs="Arial"/>
          <w:color w:val="0000FF"/>
          <w:sz w:val="16"/>
          <w:szCs w:val="16"/>
          <w:u w:val="single"/>
          <w:lang w:eastAsia="en-AU"/>
        </w:rPr>
        <w:t>.</w:t>
      </w:r>
    </w:p>
    <w:p w14:paraId="02233D3E" w14:textId="0E58CF0E" w:rsidR="002E20AC" w:rsidRPr="00BA6CF5" w:rsidRDefault="00862E63" w:rsidP="00A11B48">
      <w:pPr>
        <w:pStyle w:val="APVMAImprintText"/>
        <w:ind w:left="-284" w:right="-330"/>
        <w:rPr>
          <w:szCs w:val="16"/>
        </w:rPr>
        <w:sectPr w:rsidR="002E20AC" w:rsidRPr="00BA6CF5" w:rsidSect="00F13B15">
          <w:headerReference w:type="even" r:id="rId21"/>
          <w:headerReference w:type="default" r:id="rId22"/>
          <w:footerReference w:type="even" r:id="rId23"/>
          <w:footerReference w:type="default" r:id="rId24"/>
          <w:headerReference w:type="first" r:id="rId25"/>
          <w:pgSz w:w="11906" w:h="16838" w:code="9"/>
          <w:pgMar w:top="2127" w:right="1134" w:bottom="1134" w:left="1134" w:header="1701" w:footer="450" w:gutter="0"/>
          <w:pgNumType w:fmt="lowerRoman"/>
          <w:cols w:space="708"/>
          <w:docGrid w:linePitch="360"/>
        </w:sectPr>
      </w:pPr>
      <w:r w:rsidRPr="00BA6CF5">
        <w:rPr>
          <w:spacing w:val="0"/>
          <w:szCs w:val="16"/>
          <w:lang w:eastAsia="en-AU"/>
        </w:rPr>
        <w:t xml:space="preserve">This publication is available from the </w:t>
      </w:r>
      <w:hyperlink r:id="rId26" w:history="1">
        <w:r w:rsidRPr="00BA6CF5">
          <w:rPr>
            <w:rStyle w:val="Hyperlink"/>
            <w:spacing w:val="0"/>
            <w:szCs w:val="16"/>
            <w:lang w:eastAsia="en-AU"/>
          </w:rPr>
          <w:t>APVMA website</w:t>
        </w:r>
      </w:hyperlink>
      <w:r w:rsidRPr="00BA6CF5">
        <w:rPr>
          <w:spacing w:val="0"/>
          <w:szCs w:val="16"/>
          <w:lang w:eastAsia="en-AU"/>
        </w:rPr>
        <w:t>.</w:t>
      </w:r>
      <w:bookmarkEnd w:id="0"/>
    </w:p>
    <w:p w14:paraId="1CF11EE9" w14:textId="7CEEEAED" w:rsidR="002E20AC" w:rsidRPr="00BA6CF5" w:rsidRDefault="00DA4EC6" w:rsidP="00DD21E1">
      <w:pPr>
        <w:pStyle w:val="Heading1"/>
      </w:pPr>
      <w:bookmarkStart w:id="2" w:name="_Toc234585887"/>
      <w:r w:rsidRPr="00DD21E1">
        <w:lastRenderedPageBreak/>
        <w:t>Contents</w:t>
      </w:r>
      <w:bookmarkEnd w:id="2"/>
    </w:p>
    <w:p w14:paraId="2212143B" w14:textId="14ECB6D8" w:rsidR="00E90E7A"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sidRPr="00BA6CF5">
        <w:rPr>
          <w:rFonts w:ascii="Trebuchet MS" w:hAnsi="Trebuchet MS"/>
          <w:b/>
          <w:bCs w:val="0"/>
          <w:caps/>
          <w:noProof w:val="0"/>
        </w:rPr>
        <w:fldChar w:fldCharType="begin"/>
      </w:r>
      <w:r w:rsidRPr="00BA6CF5">
        <w:rPr>
          <w:bCs w:val="0"/>
          <w:noProof w:val="0"/>
        </w:rPr>
        <w:instrText xml:space="preserve"> TOC \o "1-3" \h \z \u </w:instrText>
      </w:r>
      <w:r w:rsidRPr="00BA6CF5">
        <w:rPr>
          <w:rFonts w:ascii="Trebuchet MS" w:hAnsi="Trebuchet MS"/>
          <w:b/>
          <w:bCs w:val="0"/>
          <w:caps/>
          <w:noProof w:val="0"/>
        </w:rPr>
        <w:fldChar w:fldCharType="separate"/>
      </w:r>
      <w:hyperlink w:anchor="_Toc234585887" w:history="1">
        <w:r w:rsidR="00E90E7A" w:rsidRPr="00493F0B">
          <w:rPr>
            <w:rStyle w:val="Hyperlink"/>
          </w:rPr>
          <w:t>Contents</w:t>
        </w:r>
        <w:r w:rsidR="00E90E7A">
          <w:rPr>
            <w:webHidden/>
          </w:rPr>
          <w:tab/>
        </w:r>
        <w:r w:rsidR="00E90E7A">
          <w:rPr>
            <w:webHidden/>
          </w:rPr>
          <w:fldChar w:fldCharType="begin"/>
        </w:r>
        <w:r w:rsidR="00E90E7A">
          <w:rPr>
            <w:webHidden/>
          </w:rPr>
          <w:instrText xml:space="preserve"> PAGEREF _Toc234585887 \h </w:instrText>
        </w:r>
        <w:r w:rsidR="00E90E7A">
          <w:rPr>
            <w:webHidden/>
          </w:rPr>
        </w:r>
        <w:r w:rsidR="00E90E7A">
          <w:rPr>
            <w:webHidden/>
          </w:rPr>
          <w:fldChar w:fldCharType="separate"/>
        </w:r>
        <w:r w:rsidR="00E90E7A">
          <w:rPr>
            <w:webHidden/>
          </w:rPr>
          <w:t>iii</w:t>
        </w:r>
        <w:r w:rsidR="00E90E7A">
          <w:rPr>
            <w:webHidden/>
          </w:rPr>
          <w:fldChar w:fldCharType="end"/>
        </w:r>
      </w:hyperlink>
    </w:p>
    <w:p w14:paraId="2A9EDD39" w14:textId="253DE95D" w:rsidR="00E90E7A" w:rsidRDefault="00E90E7A">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85888" w:history="1">
        <w:r w:rsidRPr="00493F0B">
          <w:rPr>
            <w:rStyle w:val="Hyperlink"/>
          </w:rPr>
          <w:t>Executive Summary</w:t>
        </w:r>
        <w:r>
          <w:rPr>
            <w:webHidden/>
          </w:rPr>
          <w:tab/>
        </w:r>
        <w:r>
          <w:rPr>
            <w:webHidden/>
          </w:rPr>
          <w:fldChar w:fldCharType="begin"/>
        </w:r>
        <w:r>
          <w:rPr>
            <w:webHidden/>
          </w:rPr>
          <w:instrText xml:space="preserve"> PAGEREF _Toc234585888 \h </w:instrText>
        </w:r>
        <w:r>
          <w:rPr>
            <w:webHidden/>
          </w:rPr>
        </w:r>
        <w:r>
          <w:rPr>
            <w:webHidden/>
          </w:rPr>
          <w:fldChar w:fldCharType="separate"/>
        </w:r>
        <w:r>
          <w:rPr>
            <w:webHidden/>
          </w:rPr>
          <w:t>1</w:t>
        </w:r>
        <w:r>
          <w:rPr>
            <w:webHidden/>
          </w:rPr>
          <w:fldChar w:fldCharType="end"/>
        </w:r>
      </w:hyperlink>
    </w:p>
    <w:p w14:paraId="2B99999E" w14:textId="353A5A1C"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889" w:history="1">
        <w:r w:rsidRPr="00493F0B">
          <w:rPr>
            <w:rStyle w:val="Hyperlink"/>
          </w:rPr>
          <w:t>Purpose of this paper</w:t>
        </w:r>
        <w:r>
          <w:rPr>
            <w:webHidden/>
          </w:rPr>
          <w:tab/>
        </w:r>
        <w:r>
          <w:rPr>
            <w:webHidden/>
          </w:rPr>
          <w:fldChar w:fldCharType="begin"/>
        </w:r>
        <w:r>
          <w:rPr>
            <w:webHidden/>
          </w:rPr>
          <w:instrText xml:space="preserve"> PAGEREF _Toc234585889 \h </w:instrText>
        </w:r>
        <w:r>
          <w:rPr>
            <w:webHidden/>
          </w:rPr>
        </w:r>
        <w:r>
          <w:rPr>
            <w:webHidden/>
          </w:rPr>
          <w:fldChar w:fldCharType="separate"/>
        </w:r>
        <w:r>
          <w:rPr>
            <w:webHidden/>
          </w:rPr>
          <w:t>1</w:t>
        </w:r>
        <w:r>
          <w:rPr>
            <w:webHidden/>
          </w:rPr>
          <w:fldChar w:fldCharType="end"/>
        </w:r>
      </w:hyperlink>
    </w:p>
    <w:p w14:paraId="3EA707EF" w14:textId="7E577E9A" w:rsidR="00E90E7A" w:rsidRDefault="00E90E7A">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85890" w:history="1">
        <w:r w:rsidRPr="00493F0B">
          <w:rPr>
            <w:rStyle w:val="Hyperlink"/>
          </w:rPr>
          <w:t>Introduction</w:t>
        </w:r>
        <w:r>
          <w:rPr>
            <w:webHidden/>
          </w:rPr>
          <w:tab/>
        </w:r>
        <w:r>
          <w:rPr>
            <w:webHidden/>
          </w:rPr>
          <w:fldChar w:fldCharType="begin"/>
        </w:r>
        <w:r>
          <w:rPr>
            <w:webHidden/>
          </w:rPr>
          <w:instrText xml:space="preserve"> PAGEREF _Toc234585890 \h </w:instrText>
        </w:r>
        <w:r>
          <w:rPr>
            <w:webHidden/>
          </w:rPr>
        </w:r>
        <w:r>
          <w:rPr>
            <w:webHidden/>
          </w:rPr>
          <w:fldChar w:fldCharType="separate"/>
        </w:r>
        <w:r>
          <w:rPr>
            <w:webHidden/>
          </w:rPr>
          <w:t>3</w:t>
        </w:r>
        <w:r>
          <w:rPr>
            <w:webHidden/>
          </w:rPr>
          <w:fldChar w:fldCharType="end"/>
        </w:r>
      </w:hyperlink>
    </w:p>
    <w:p w14:paraId="28E824E2" w14:textId="1E3CBCCC"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891" w:history="1">
        <w:r w:rsidRPr="00493F0B">
          <w:rPr>
            <w:rStyle w:val="Hyperlink"/>
          </w:rPr>
          <w:t>Previous policy settings and their market impact</w:t>
        </w:r>
        <w:r>
          <w:rPr>
            <w:webHidden/>
          </w:rPr>
          <w:tab/>
        </w:r>
        <w:r>
          <w:rPr>
            <w:webHidden/>
          </w:rPr>
          <w:fldChar w:fldCharType="begin"/>
        </w:r>
        <w:r>
          <w:rPr>
            <w:webHidden/>
          </w:rPr>
          <w:instrText xml:space="preserve"> PAGEREF _Toc234585891 \h </w:instrText>
        </w:r>
        <w:r>
          <w:rPr>
            <w:webHidden/>
          </w:rPr>
        </w:r>
        <w:r>
          <w:rPr>
            <w:webHidden/>
          </w:rPr>
          <w:fldChar w:fldCharType="separate"/>
        </w:r>
        <w:r>
          <w:rPr>
            <w:webHidden/>
          </w:rPr>
          <w:t>3</w:t>
        </w:r>
        <w:r>
          <w:rPr>
            <w:webHidden/>
          </w:rPr>
          <w:fldChar w:fldCharType="end"/>
        </w:r>
      </w:hyperlink>
    </w:p>
    <w:p w14:paraId="6CDBA965" w14:textId="3FA8ECC0"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892" w:history="1">
        <w:r w:rsidRPr="00493F0B">
          <w:rPr>
            <w:rStyle w:val="Hyperlink"/>
          </w:rPr>
          <w:t>Building a sustainable funding model for the APVMA</w:t>
        </w:r>
        <w:r>
          <w:rPr>
            <w:webHidden/>
          </w:rPr>
          <w:tab/>
        </w:r>
        <w:r>
          <w:rPr>
            <w:webHidden/>
          </w:rPr>
          <w:fldChar w:fldCharType="begin"/>
        </w:r>
        <w:r>
          <w:rPr>
            <w:webHidden/>
          </w:rPr>
          <w:instrText xml:space="preserve"> PAGEREF _Toc234585892 \h </w:instrText>
        </w:r>
        <w:r>
          <w:rPr>
            <w:webHidden/>
          </w:rPr>
        </w:r>
        <w:r>
          <w:rPr>
            <w:webHidden/>
          </w:rPr>
          <w:fldChar w:fldCharType="separate"/>
        </w:r>
        <w:r>
          <w:rPr>
            <w:webHidden/>
          </w:rPr>
          <w:t>4</w:t>
        </w:r>
        <w:r>
          <w:rPr>
            <w:webHidden/>
          </w:rPr>
          <w:fldChar w:fldCharType="end"/>
        </w:r>
      </w:hyperlink>
    </w:p>
    <w:p w14:paraId="41FE89D8" w14:textId="6ADC56FE"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893" w:history="1">
        <w:r w:rsidRPr="00493F0B">
          <w:rPr>
            <w:rStyle w:val="Hyperlink"/>
          </w:rPr>
          <w:t>Findings from independent market impact analysis</w:t>
        </w:r>
        <w:r>
          <w:rPr>
            <w:webHidden/>
          </w:rPr>
          <w:tab/>
        </w:r>
        <w:r>
          <w:rPr>
            <w:webHidden/>
          </w:rPr>
          <w:fldChar w:fldCharType="begin"/>
        </w:r>
        <w:r>
          <w:rPr>
            <w:webHidden/>
          </w:rPr>
          <w:instrText xml:space="preserve"> PAGEREF _Toc234585893 \h </w:instrText>
        </w:r>
        <w:r>
          <w:rPr>
            <w:webHidden/>
          </w:rPr>
        </w:r>
        <w:r>
          <w:rPr>
            <w:webHidden/>
          </w:rPr>
          <w:fldChar w:fldCharType="separate"/>
        </w:r>
        <w:r>
          <w:rPr>
            <w:webHidden/>
          </w:rPr>
          <w:t>5</w:t>
        </w:r>
        <w:r>
          <w:rPr>
            <w:webHidden/>
          </w:rPr>
          <w:fldChar w:fldCharType="end"/>
        </w:r>
      </w:hyperlink>
    </w:p>
    <w:p w14:paraId="5CFAEA93" w14:textId="4C80FBF7"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894" w:history="1">
        <w:r w:rsidRPr="00493F0B">
          <w:rPr>
            <w:rStyle w:val="Hyperlink"/>
          </w:rPr>
          <w:t>New cost recovery policy for the APVMA</w:t>
        </w:r>
        <w:r>
          <w:rPr>
            <w:webHidden/>
          </w:rPr>
          <w:tab/>
        </w:r>
        <w:r>
          <w:rPr>
            <w:webHidden/>
          </w:rPr>
          <w:fldChar w:fldCharType="begin"/>
        </w:r>
        <w:r>
          <w:rPr>
            <w:webHidden/>
          </w:rPr>
          <w:instrText xml:space="preserve"> PAGEREF _Toc234585894 \h </w:instrText>
        </w:r>
        <w:r>
          <w:rPr>
            <w:webHidden/>
          </w:rPr>
        </w:r>
        <w:r>
          <w:rPr>
            <w:webHidden/>
          </w:rPr>
          <w:fldChar w:fldCharType="separate"/>
        </w:r>
        <w:r>
          <w:rPr>
            <w:webHidden/>
          </w:rPr>
          <w:t>6</w:t>
        </w:r>
        <w:r>
          <w:rPr>
            <w:webHidden/>
          </w:rPr>
          <w:fldChar w:fldCharType="end"/>
        </w:r>
      </w:hyperlink>
    </w:p>
    <w:p w14:paraId="2105F1B4" w14:textId="72EFAB37" w:rsidR="00E90E7A" w:rsidRDefault="00E90E7A">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85895" w:history="1">
        <w:r w:rsidRPr="00493F0B">
          <w:rPr>
            <w:rStyle w:val="Hyperlink"/>
          </w:rPr>
          <w:t>Summary of key changes</w:t>
        </w:r>
        <w:r>
          <w:rPr>
            <w:webHidden/>
          </w:rPr>
          <w:tab/>
        </w:r>
        <w:r>
          <w:rPr>
            <w:webHidden/>
          </w:rPr>
          <w:fldChar w:fldCharType="begin"/>
        </w:r>
        <w:r>
          <w:rPr>
            <w:webHidden/>
          </w:rPr>
          <w:instrText xml:space="preserve"> PAGEREF _Toc234585895 \h </w:instrText>
        </w:r>
        <w:r>
          <w:rPr>
            <w:webHidden/>
          </w:rPr>
        </w:r>
        <w:r>
          <w:rPr>
            <w:webHidden/>
          </w:rPr>
          <w:fldChar w:fldCharType="separate"/>
        </w:r>
        <w:r>
          <w:rPr>
            <w:webHidden/>
          </w:rPr>
          <w:t>7</w:t>
        </w:r>
        <w:r>
          <w:rPr>
            <w:webHidden/>
          </w:rPr>
          <w:fldChar w:fldCharType="end"/>
        </w:r>
      </w:hyperlink>
    </w:p>
    <w:p w14:paraId="7C165A3B" w14:textId="5DECFFED"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896" w:history="1">
        <w:r w:rsidRPr="00493F0B">
          <w:rPr>
            <w:rStyle w:val="Hyperlink"/>
          </w:rPr>
          <w:t>Full cost recovery of pre-market fee-for-service activities</w:t>
        </w:r>
        <w:r>
          <w:rPr>
            <w:webHidden/>
          </w:rPr>
          <w:tab/>
        </w:r>
        <w:r>
          <w:rPr>
            <w:webHidden/>
          </w:rPr>
          <w:fldChar w:fldCharType="begin"/>
        </w:r>
        <w:r>
          <w:rPr>
            <w:webHidden/>
          </w:rPr>
          <w:instrText xml:space="preserve"> PAGEREF _Toc234585896 \h </w:instrText>
        </w:r>
        <w:r>
          <w:rPr>
            <w:webHidden/>
          </w:rPr>
        </w:r>
        <w:r>
          <w:rPr>
            <w:webHidden/>
          </w:rPr>
          <w:fldChar w:fldCharType="separate"/>
        </w:r>
        <w:r>
          <w:rPr>
            <w:webHidden/>
          </w:rPr>
          <w:t>7</w:t>
        </w:r>
        <w:r>
          <w:rPr>
            <w:webHidden/>
          </w:rPr>
          <w:fldChar w:fldCharType="end"/>
        </w:r>
      </w:hyperlink>
    </w:p>
    <w:p w14:paraId="00909375" w14:textId="22CDBE84"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897" w:history="1">
        <w:r w:rsidRPr="00493F0B">
          <w:rPr>
            <w:rStyle w:val="Hyperlink"/>
          </w:rPr>
          <w:t>Post-market activities including regulatory licensing, certification, variations and compliance activities</w:t>
        </w:r>
        <w:r>
          <w:rPr>
            <w:webHidden/>
          </w:rPr>
          <w:tab/>
        </w:r>
        <w:r>
          <w:rPr>
            <w:webHidden/>
          </w:rPr>
          <w:fldChar w:fldCharType="begin"/>
        </w:r>
        <w:r>
          <w:rPr>
            <w:webHidden/>
          </w:rPr>
          <w:instrText xml:space="preserve"> PAGEREF _Toc234585897 \h </w:instrText>
        </w:r>
        <w:r>
          <w:rPr>
            <w:webHidden/>
          </w:rPr>
        </w:r>
        <w:r>
          <w:rPr>
            <w:webHidden/>
          </w:rPr>
          <w:fldChar w:fldCharType="separate"/>
        </w:r>
        <w:r>
          <w:rPr>
            <w:webHidden/>
          </w:rPr>
          <w:t>11</w:t>
        </w:r>
        <w:r>
          <w:rPr>
            <w:webHidden/>
          </w:rPr>
          <w:fldChar w:fldCharType="end"/>
        </w:r>
      </w:hyperlink>
    </w:p>
    <w:p w14:paraId="45759318" w14:textId="4540D082"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898" w:history="1">
        <w:r w:rsidRPr="00493F0B">
          <w:rPr>
            <w:rStyle w:val="Hyperlink"/>
          </w:rPr>
          <w:t>Exclusion of minor use and emergency permits</w:t>
        </w:r>
        <w:r>
          <w:rPr>
            <w:webHidden/>
          </w:rPr>
          <w:tab/>
        </w:r>
        <w:r>
          <w:rPr>
            <w:webHidden/>
          </w:rPr>
          <w:fldChar w:fldCharType="begin"/>
        </w:r>
        <w:r>
          <w:rPr>
            <w:webHidden/>
          </w:rPr>
          <w:instrText xml:space="preserve"> PAGEREF _Toc234585898 \h </w:instrText>
        </w:r>
        <w:r>
          <w:rPr>
            <w:webHidden/>
          </w:rPr>
        </w:r>
        <w:r>
          <w:rPr>
            <w:webHidden/>
          </w:rPr>
          <w:fldChar w:fldCharType="separate"/>
        </w:r>
        <w:r>
          <w:rPr>
            <w:webHidden/>
          </w:rPr>
          <w:t>13</w:t>
        </w:r>
        <w:r>
          <w:rPr>
            <w:webHidden/>
          </w:rPr>
          <w:fldChar w:fldCharType="end"/>
        </w:r>
      </w:hyperlink>
    </w:p>
    <w:p w14:paraId="4A98E446" w14:textId="2D88FBB5"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899" w:history="1">
        <w:r w:rsidRPr="00493F0B">
          <w:rPr>
            <w:rStyle w:val="Hyperlink"/>
          </w:rPr>
          <w:t>Minor use permits (Items 20 and 21)</w:t>
        </w:r>
        <w:r>
          <w:rPr>
            <w:webHidden/>
          </w:rPr>
          <w:tab/>
        </w:r>
        <w:r>
          <w:rPr>
            <w:webHidden/>
          </w:rPr>
          <w:fldChar w:fldCharType="begin"/>
        </w:r>
        <w:r>
          <w:rPr>
            <w:webHidden/>
          </w:rPr>
          <w:instrText xml:space="preserve"> PAGEREF _Toc234585899 \h </w:instrText>
        </w:r>
        <w:r>
          <w:rPr>
            <w:webHidden/>
          </w:rPr>
        </w:r>
        <w:r>
          <w:rPr>
            <w:webHidden/>
          </w:rPr>
          <w:fldChar w:fldCharType="separate"/>
        </w:r>
        <w:r>
          <w:rPr>
            <w:webHidden/>
          </w:rPr>
          <w:t>13</w:t>
        </w:r>
        <w:r>
          <w:rPr>
            <w:webHidden/>
          </w:rPr>
          <w:fldChar w:fldCharType="end"/>
        </w:r>
      </w:hyperlink>
    </w:p>
    <w:p w14:paraId="667A2D97" w14:textId="0EFF5AF2"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00" w:history="1">
        <w:r w:rsidRPr="00493F0B">
          <w:rPr>
            <w:rStyle w:val="Hyperlink"/>
          </w:rPr>
          <w:t>Emergency use permits (Item 22)</w:t>
        </w:r>
        <w:r>
          <w:rPr>
            <w:webHidden/>
          </w:rPr>
          <w:tab/>
        </w:r>
        <w:r>
          <w:rPr>
            <w:webHidden/>
          </w:rPr>
          <w:fldChar w:fldCharType="begin"/>
        </w:r>
        <w:r>
          <w:rPr>
            <w:webHidden/>
          </w:rPr>
          <w:instrText xml:space="preserve"> PAGEREF _Toc234585900 \h </w:instrText>
        </w:r>
        <w:r>
          <w:rPr>
            <w:webHidden/>
          </w:rPr>
        </w:r>
        <w:r>
          <w:rPr>
            <w:webHidden/>
          </w:rPr>
          <w:fldChar w:fldCharType="separate"/>
        </w:r>
        <w:r>
          <w:rPr>
            <w:webHidden/>
          </w:rPr>
          <w:t>14</w:t>
        </w:r>
        <w:r>
          <w:rPr>
            <w:webHidden/>
          </w:rPr>
          <w:fldChar w:fldCharType="end"/>
        </w:r>
      </w:hyperlink>
    </w:p>
    <w:p w14:paraId="7833E3BA" w14:textId="32C42FE6"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01" w:history="1">
        <w:r w:rsidRPr="00493F0B">
          <w:rPr>
            <w:rStyle w:val="Hyperlink"/>
          </w:rPr>
          <w:t>Low-value manufacture license renewals</w:t>
        </w:r>
        <w:r>
          <w:rPr>
            <w:webHidden/>
          </w:rPr>
          <w:tab/>
        </w:r>
        <w:r>
          <w:rPr>
            <w:webHidden/>
          </w:rPr>
          <w:fldChar w:fldCharType="begin"/>
        </w:r>
        <w:r>
          <w:rPr>
            <w:webHidden/>
          </w:rPr>
          <w:instrText xml:space="preserve"> PAGEREF _Toc234585901 \h </w:instrText>
        </w:r>
        <w:r>
          <w:rPr>
            <w:webHidden/>
          </w:rPr>
        </w:r>
        <w:r>
          <w:rPr>
            <w:webHidden/>
          </w:rPr>
          <w:fldChar w:fldCharType="separate"/>
        </w:r>
        <w:r>
          <w:rPr>
            <w:webHidden/>
          </w:rPr>
          <w:t>14</w:t>
        </w:r>
        <w:r>
          <w:rPr>
            <w:webHidden/>
          </w:rPr>
          <w:fldChar w:fldCharType="end"/>
        </w:r>
      </w:hyperlink>
    </w:p>
    <w:p w14:paraId="79B449A8" w14:textId="41AFEF29"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02" w:history="1">
        <w:r w:rsidRPr="00493F0B">
          <w:rPr>
            <w:rStyle w:val="Hyperlink"/>
          </w:rPr>
          <w:t>States and territories’ permit fee waivers</w:t>
        </w:r>
        <w:r>
          <w:rPr>
            <w:webHidden/>
          </w:rPr>
          <w:tab/>
        </w:r>
        <w:r>
          <w:rPr>
            <w:webHidden/>
          </w:rPr>
          <w:fldChar w:fldCharType="begin"/>
        </w:r>
        <w:r>
          <w:rPr>
            <w:webHidden/>
          </w:rPr>
          <w:instrText xml:space="preserve"> PAGEREF _Toc234585902 \h </w:instrText>
        </w:r>
        <w:r>
          <w:rPr>
            <w:webHidden/>
          </w:rPr>
        </w:r>
        <w:r>
          <w:rPr>
            <w:webHidden/>
          </w:rPr>
          <w:fldChar w:fldCharType="separate"/>
        </w:r>
        <w:r>
          <w:rPr>
            <w:webHidden/>
          </w:rPr>
          <w:t>14</w:t>
        </w:r>
        <w:r>
          <w:rPr>
            <w:webHidden/>
          </w:rPr>
          <w:fldChar w:fldCharType="end"/>
        </w:r>
      </w:hyperlink>
    </w:p>
    <w:p w14:paraId="147AB23D" w14:textId="0B951CBF"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903" w:history="1">
        <w:r w:rsidRPr="00493F0B">
          <w:rPr>
            <w:rStyle w:val="Hyperlink"/>
          </w:rPr>
          <w:t>Sales-based levies</w:t>
        </w:r>
        <w:r>
          <w:rPr>
            <w:webHidden/>
          </w:rPr>
          <w:tab/>
        </w:r>
        <w:r>
          <w:rPr>
            <w:webHidden/>
          </w:rPr>
          <w:fldChar w:fldCharType="begin"/>
        </w:r>
        <w:r>
          <w:rPr>
            <w:webHidden/>
          </w:rPr>
          <w:instrText xml:space="preserve"> PAGEREF _Toc234585903 \h </w:instrText>
        </w:r>
        <w:r>
          <w:rPr>
            <w:webHidden/>
          </w:rPr>
        </w:r>
        <w:r>
          <w:rPr>
            <w:webHidden/>
          </w:rPr>
          <w:fldChar w:fldCharType="separate"/>
        </w:r>
        <w:r>
          <w:rPr>
            <w:webHidden/>
          </w:rPr>
          <w:t>15</w:t>
        </w:r>
        <w:r>
          <w:rPr>
            <w:webHidden/>
          </w:rPr>
          <w:fldChar w:fldCharType="end"/>
        </w:r>
      </w:hyperlink>
    </w:p>
    <w:p w14:paraId="4214798B" w14:textId="2E18AA94"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904" w:history="1">
        <w:r w:rsidRPr="00493F0B">
          <w:rPr>
            <w:rStyle w:val="Hyperlink"/>
          </w:rPr>
          <w:t>Other services</w:t>
        </w:r>
        <w:r>
          <w:rPr>
            <w:webHidden/>
          </w:rPr>
          <w:tab/>
        </w:r>
        <w:r>
          <w:rPr>
            <w:webHidden/>
          </w:rPr>
          <w:fldChar w:fldCharType="begin"/>
        </w:r>
        <w:r>
          <w:rPr>
            <w:webHidden/>
          </w:rPr>
          <w:instrText xml:space="preserve"> PAGEREF _Toc234585904 \h </w:instrText>
        </w:r>
        <w:r>
          <w:rPr>
            <w:webHidden/>
          </w:rPr>
        </w:r>
        <w:r>
          <w:rPr>
            <w:webHidden/>
          </w:rPr>
          <w:fldChar w:fldCharType="separate"/>
        </w:r>
        <w:r>
          <w:rPr>
            <w:webHidden/>
          </w:rPr>
          <w:t>16</w:t>
        </w:r>
        <w:r>
          <w:rPr>
            <w:webHidden/>
          </w:rPr>
          <w:fldChar w:fldCharType="end"/>
        </w:r>
      </w:hyperlink>
    </w:p>
    <w:p w14:paraId="2687A9DB" w14:textId="6420AF80"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05" w:history="1">
        <w:r w:rsidRPr="00493F0B">
          <w:rPr>
            <w:rStyle w:val="Hyperlink"/>
          </w:rPr>
          <w:t>Pre-application assistance and technical assessments</w:t>
        </w:r>
        <w:r>
          <w:rPr>
            <w:webHidden/>
          </w:rPr>
          <w:tab/>
        </w:r>
        <w:r>
          <w:rPr>
            <w:webHidden/>
          </w:rPr>
          <w:fldChar w:fldCharType="begin"/>
        </w:r>
        <w:r>
          <w:rPr>
            <w:webHidden/>
          </w:rPr>
          <w:instrText xml:space="preserve"> PAGEREF _Toc234585905 \h </w:instrText>
        </w:r>
        <w:r>
          <w:rPr>
            <w:webHidden/>
          </w:rPr>
        </w:r>
        <w:r>
          <w:rPr>
            <w:webHidden/>
          </w:rPr>
          <w:fldChar w:fldCharType="separate"/>
        </w:r>
        <w:r>
          <w:rPr>
            <w:webHidden/>
          </w:rPr>
          <w:t>16</w:t>
        </w:r>
        <w:r>
          <w:rPr>
            <w:webHidden/>
          </w:rPr>
          <w:fldChar w:fldCharType="end"/>
        </w:r>
      </w:hyperlink>
    </w:p>
    <w:p w14:paraId="3D8C00AA" w14:textId="08BD6AC8"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06" w:history="1">
        <w:r w:rsidRPr="00493F0B">
          <w:rPr>
            <w:rStyle w:val="Hyperlink"/>
          </w:rPr>
          <w:t>Good Manufacturing Practice (GMP)</w:t>
        </w:r>
        <w:r>
          <w:rPr>
            <w:webHidden/>
          </w:rPr>
          <w:tab/>
        </w:r>
        <w:r>
          <w:rPr>
            <w:webHidden/>
          </w:rPr>
          <w:fldChar w:fldCharType="begin"/>
        </w:r>
        <w:r>
          <w:rPr>
            <w:webHidden/>
          </w:rPr>
          <w:instrText xml:space="preserve"> PAGEREF _Toc234585906 \h </w:instrText>
        </w:r>
        <w:r>
          <w:rPr>
            <w:webHidden/>
          </w:rPr>
        </w:r>
        <w:r>
          <w:rPr>
            <w:webHidden/>
          </w:rPr>
          <w:fldChar w:fldCharType="separate"/>
        </w:r>
        <w:r>
          <w:rPr>
            <w:webHidden/>
          </w:rPr>
          <w:t>18</w:t>
        </w:r>
        <w:r>
          <w:rPr>
            <w:webHidden/>
          </w:rPr>
          <w:fldChar w:fldCharType="end"/>
        </w:r>
      </w:hyperlink>
    </w:p>
    <w:p w14:paraId="3F0245E3" w14:textId="196DBC04"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07" w:history="1">
        <w:r w:rsidRPr="00493F0B">
          <w:rPr>
            <w:rStyle w:val="Hyperlink"/>
          </w:rPr>
          <w:t>Agvet Code Requests</w:t>
        </w:r>
        <w:r>
          <w:rPr>
            <w:webHidden/>
          </w:rPr>
          <w:tab/>
        </w:r>
        <w:r>
          <w:rPr>
            <w:webHidden/>
          </w:rPr>
          <w:fldChar w:fldCharType="begin"/>
        </w:r>
        <w:r>
          <w:rPr>
            <w:webHidden/>
          </w:rPr>
          <w:instrText xml:space="preserve"> PAGEREF _Toc234585907 \h </w:instrText>
        </w:r>
        <w:r>
          <w:rPr>
            <w:webHidden/>
          </w:rPr>
        </w:r>
        <w:r>
          <w:rPr>
            <w:webHidden/>
          </w:rPr>
          <w:fldChar w:fldCharType="separate"/>
        </w:r>
        <w:r>
          <w:rPr>
            <w:webHidden/>
          </w:rPr>
          <w:t>20</w:t>
        </w:r>
        <w:r>
          <w:rPr>
            <w:webHidden/>
          </w:rPr>
          <w:fldChar w:fldCharType="end"/>
        </w:r>
      </w:hyperlink>
    </w:p>
    <w:p w14:paraId="553FDDEB" w14:textId="2B0A688D"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08" w:history="1">
        <w:r w:rsidRPr="00493F0B">
          <w:rPr>
            <w:rStyle w:val="Hyperlink"/>
          </w:rPr>
          <w:t>Certificates of export</w:t>
        </w:r>
        <w:r>
          <w:rPr>
            <w:webHidden/>
          </w:rPr>
          <w:tab/>
        </w:r>
        <w:r>
          <w:rPr>
            <w:webHidden/>
          </w:rPr>
          <w:fldChar w:fldCharType="begin"/>
        </w:r>
        <w:r>
          <w:rPr>
            <w:webHidden/>
          </w:rPr>
          <w:instrText xml:space="preserve"> PAGEREF _Toc234585908 \h </w:instrText>
        </w:r>
        <w:r>
          <w:rPr>
            <w:webHidden/>
          </w:rPr>
        </w:r>
        <w:r>
          <w:rPr>
            <w:webHidden/>
          </w:rPr>
          <w:fldChar w:fldCharType="separate"/>
        </w:r>
        <w:r>
          <w:rPr>
            <w:webHidden/>
          </w:rPr>
          <w:t>21</w:t>
        </w:r>
        <w:r>
          <w:rPr>
            <w:webHidden/>
          </w:rPr>
          <w:fldChar w:fldCharType="end"/>
        </w:r>
      </w:hyperlink>
    </w:p>
    <w:p w14:paraId="0E317304" w14:textId="1263BC95"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09" w:history="1">
        <w:r w:rsidRPr="00493F0B">
          <w:rPr>
            <w:rStyle w:val="Hyperlink"/>
          </w:rPr>
          <w:t>Consent to import</w:t>
        </w:r>
        <w:r>
          <w:rPr>
            <w:webHidden/>
          </w:rPr>
          <w:tab/>
        </w:r>
        <w:r>
          <w:rPr>
            <w:webHidden/>
          </w:rPr>
          <w:fldChar w:fldCharType="begin"/>
        </w:r>
        <w:r>
          <w:rPr>
            <w:webHidden/>
          </w:rPr>
          <w:instrText xml:space="preserve"> PAGEREF _Toc234585909 \h </w:instrText>
        </w:r>
        <w:r>
          <w:rPr>
            <w:webHidden/>
          </w:rPr>
        </w:r>
        <w:r>
          <w:rPr>
            <w:webHidden/>
          </w:rPr>
          <w:fldChar w:fldCharType="separate"/>
        </w:r>
        <w:r>
          <w:rPr>
            <w:webHidden/>
          </w:rPr>
          <w:t>21</w:t>
        </w:r>
        <w:r>
          <w:rPr>
            <w:webHidden/>
          </w:rPr>
          <w:fldChar w:fldCharType="end"/>
        </w:r>
      </w:hyperlink>
    </w:p>
    <w:p w14:paraId="1A16107C" w14:textId="040464D1"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910" w:history="1">
        <w:r w:rsidRPr="00493F0B">
          <w:rPr>
            <w:rStyle w:val="Hyperlink"/>
          </w:rPr>
          <w:t>Introduction of indexation to APVMA charges</w:t>
        </w:r>
        <w:r>
          <w:rPr>
            <w:webHidden/>
          </w:rPr>
          <w:tab/>
        </w:r>
        <w:r>
          <w:rPr>
            <w:webHidden/>
          </w:rPr>
          <w:fldChar w:fldCharType="begin"/>
        </w:r>
        <w:r>
          <w:rPr>
            <w:webHidden/>
          </w:rPr>
          <w:instrText xml:space="preserve"> PAGEREF _Toc234585910 \h </w:instrText>
        </w:r>
        <w:r>
          <w:rPr>
            <w:webHidden/>
          </w:rPr>
        </w:r>
        <w:r>
          <w:rPr>
            <w:webHidden/>
          </w:rPr>
          <w:fldChar w:fldCharType="separate"/>
        </w:r>
        <w:r>
          <w:rPr>
            <w:webHidden/>
          </w:rPr>
          <w:t>22</w:t>
        </w:r>
        <w:r>
          <w:rPr>
            <w:webHidden/>
          </w:rPr>
          <w:fldChar w:fldCharType="end"/>
        </w:r>
      </w:hyperlink>
    </w:p>
    <w:p w14:paraId="5B832915" w14:textId="020ACE05"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11" w:history="1">
        <w:r w:rsidRPr="00493F0B">
          <w:rPr>
            <w:rStyle w:val="Hyperlink"/>
          </w:rPr>
          <w:t>What is changing</w:t>
        </w:r>
        <w:r>
          <w:rPr>
            <w:webHidden/>
          </w:rPr>
          <w:tab/>
        </w:r>
        <w:r>
          <w:rPr>
            <w:webHidden/>
          </w:rPr>
          <w:fldChar w:fldCharType="begin"/>
        </w:r>
        <w:r>
          <w:rPr>
            <w:webHidden/>
          </w:rPr>
          <w:instrText xml:space="preserve"> PAGEREF _Toc234585911 \h </w:instrText>
        </w:r>
        <w:r>
          <w:rPr>
            <w:webHidden/>
          </w:rPr>
        </w:r>
        <w:r>
          <w:rPr>
            <w:webHidden/>
          </w:rPr>
          <w:fldChar w:fldCharType="separate"/>
        </w:r>
        <w:r>
          <w:rPr>
            <w:webHidden/>
          </w:rPr>
          <w:t>22</w:t>
        </w:r>
        <w:r>
          <w:rPr>
            <w:webHidden/>
          </w:rPr>
          <w:fldChar w:fldCharType="end"/>
        </w:r>
      </w:hyperlink>
    </w:p>
    <w:p w14:paraId="51CBE1C5" w14:textId="33D27D1A"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12" w:history="1">
        <w:r w:rsidRPr="00493F0B">
          <w:rPr>
            <w:rStyle w:val="Hyperlink"/>
          </w:rPr>
          <w:t>Why indexation is being introduced</w:t>
        </w:r>
        <w:r>
          <w:rPr>
            <w:webHidden/>
          </w:rPr>
          <w:tab/>
        </w:r>
        <w:r>
          <w:rPr>
            <w:webHidden/>
          </w:rPr>
          <w:fldChar w:fldCharType="begin"/>
        </w:r>
        <w:r>
          <w:rPr>
            <w:webHidden/>
          </w:rPr>
          <w:instrText xml:space="preserve"> PAGEREF _Toc234585912 \h </w:instrText>
        </w:r>
        <w:r>
          <w:rPr>
            <w:webHidden/>
          </w:rPr>
        </w:r>
        <w:r>
          <w:rPr>
            <w:webHidden/>
          </w:rPr>
          <w:fldChar w:fldCharType="separate"/>
        </w:r>
        <w:r>
          <w:rPr>
            <w:webHidden/>
          </w:rPr>
          <w:t>22</w:t>
        </w:r>
        <w:r>
          <w:rPr>
            <w:webHidden/>
          </w:rPr>
          <w:fldChar w:fldCharType="end"/>
        </w:r>
      </w:hyperlink>
    </w:p>
    <w:p w14:paraId="15A125ED" w14:textId="47507BF7"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13" w:history="1">
        <w:r w:rsidRPr="00493F0B">
          <w:rPr>
            <w:rStyle w:val="Hyperlink"/>
          </w:rPr>
          <w:t>How indexation will work</w:t>
        </w:r>
        <w:r>
          <w:rPr>
            <w:webHidden/>
          </w:rPr>
          <w:tab/>
        </w:r>
        <w:r>
          <w:rPr>
            <w:webHidden/>
          </w:rPr>
          <w:fldChar w:fldCharType="begin"/>
        </w:r>
        <w:r>
          <w:rPr>
            <w:webHidden/>
          </w:rPr>
          <w:instrText xml:space="preserve"> PAGEREF _Toc234585913 \h </w:instrText>
        </w:r>
        <w:r>
          <w:rPr>
            <w:webHidden/>
          </w:rPr>
        </w:r>
        <w:r>
          <w:rPr>
            <w:webHidden/>
          </w:rPr>
          <w:fldChar w:fldCharType="separate"/>
        </w:r>
        <w:r>
          <w:rPr>
            <w:webHidden/>
          </w:rPr>
          <w:t>22</w:t>
        </w:r>
        <w:r>
          <w:rPr>
            <w:webHidden/>
          </w:rPr>
          <w:fldChar w:fldCharType="end"/>
        </w:r>
      </w:hyperlink>
    </w:p>
    <w:p w14:paraId="6238A307" w14:textId="120A8355"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14" w:history="1">
        <w:r w:rsidRPr="00493F0B">
          <w:rPr>
            <w:rStyle w:val="Hyperlink"/>
          </w:rPr>
          <w:t>Timing and implementation</w:t>
        </w:r>
        <w:r>
          <w:rPr>
            <w:webHidden/>
          </w:rPr>
          <w:tab/>
        </w:r>
        <w:r>
          <w:rPr>
            <w:webHidden/>
          </w:rPr>
          <w:fldChar w:fldCharType="begin"/>
        </w:r>
        <w:r>
          <w:rPr>
            <w:webHidden/>
          </w:rPr>
          <w:instrText xml:space="preserve"> PAGEREF _Toc234585914 \h </w:instrText>
        </w:r>
        <w:r>
          <w:rPr>
            <w:webHidden/>
          </w:rPr>
        </w:r>
        <w:r>
          <w:rPr>
            <w:webHidden/>
          </w:rPr>
          <w:fldChar w:fldCharType="separate"/>
        </w:r>
        <w:r>
          <w:rPr>
            <w:webHidden/>
          </w:rPr>
          <w:t>22</w:t>
        </w:r>
        <w:r>
          <w:rPr>
            <w:webHidden/>
          </w:rPr>
          <w:fldChar w:fldCharType="end"/>
        </w:r>
      </w:hyperlink>
    </w:p>
    <w:p w14:paraId="31D32AA5" w14:textId="67095C09"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15" w:history="1">
        <w:r w:rsidRPr="00493F0B">
          <w:rPr>
            <w:rStyle w:val="Hyperlink"/>
          </w:rPr>
          <w:t>Relationship to future CRIS reviews</w:t>
        </w:r>
        <w:r>
          <w:rPr>
            <w:webHidden/>
          </w:rPr>
          <w:tab/>
        </w:r>
        <w:r>
          <w:rPr>
            <w:webHidden/>
          </w:rPr>
          <w:fldChar w:fldCharType="begin"/>
        </w:r>
        <w:r>
          <w:rPr>
            <w:webHidden/>
          </w:rPr>
          <w:instrText xml:space="preserve"> PAGEREF _Toc234585915 \h </w:instrText>
        </w:r>
        <w:r>
          <w:rPr>
            <w:webHidden/>
          </w:rPr>
        </w:r>
        <w:r>
          <w:rPr>
            <w:webHidden/>
          </w:rPr>
          <w:fldChar w:fldCharType="separate"/>
        </w:r>
        <w:r>
          <w:rPr>
            <w:webHidden/>
          </w:rPr>
          <w:t>23</w:t>
        </w:r>
        <w:r>
          <w:rPr>
            <w:webHidden/>
          </w:rPr>
          <w:fldChar w:fldCharType="end"/>
        </w:r>
      </w:hyperlink>
    </w:p>
    <w:p w14:paraId="0D17D363" w14:textId="0004F058"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16" w:history="1">
        <w:r w:rsidRPr="00493F0B">
          <w:rPr>
            <w:rStyle w:val="Hyperlink"/>
          </w:rPr>
          <w:t>Impact on charges</w:t>
        </w:r>
        <w:r>
          <w:rPr>
            <w:webHidden/>
          </w:rPr>
          <w:tab/>
        </w:r>
        <w:r>
          <w:rPr>
            <w:webHidden/>
          </w:rPr>
          <w:fldChar w:fldCharType="begin"/>
        </w:r>
        <w:r>
          <w:rPr>
            <w:webHidden/>
          </w:rPr>
          <w:instrText xml:space="preserve"> PAGEREF _Toc234585916 \h </w:instrText>
        </w:r>
        <w:r>
          <w:rPr>
            <w:webHidden/>
          </w:rPr>
        </w:r>
        <w:r>
          <w:rPr>
            <w:webHidden/>
          </w:rPr>
          <w:fldChar w:fldCharType="separate"/>
        </w:r>
        <w:r>
          <w:rPr>
            <w:webHidden/>
          </w:rPr>
          <w:t>23</w:t>
        </w:r>
        <w:r>
          <w:rPr>
            <w:webHidden/>
          </w:rPr>
          <w:fldChar w:fldCharType="end"/>
        </w:r>
      </w:hyperlink>
    </w:p>
    <w:p w14:paraId="66152F77" w14:textId="05FCBA6F"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917" w:history="1">
        <w:r w:rsidRPr="00493F0B">
          <w:rPr>
            <w:rStyle w:val="Hyperlink"/>
          </w:rPr>
          <w:t>Other changes</w:t>
        </w:r>
        <w:r>
          <w:rPr>
            <w:webHidden/>
          </w:rPr>
          <w:tab/>
        </w:r>
        <w:r>
          <w:rPr>
            <w:webHidden/>
          </w:rPr>
          <w:fldChar w:fldCharType="begin"/>
        </w:r>
        <w:r>
          <w:rPr>
            <w:webHidden/>
          </w:rPr>
          <w:instrText xml:space="preserve"> PAGEREF _Toc234585917 \h </w:instrText>
        </w:r>
        <w:r>
          <w:rPr>
            <w:webHidden/>
          </w:rPr>
        </w:r>
        <w:r>
          <w:rPr>
            <w:webHidden/>
          </w:rPr>
          <w:fldChar w:fldCharType="separate"/>
        </w:r>
        <w:r>
          <w:rPr>
            <w:webHidden/>
          </w:rPr>
          <w:t>24</w:t>
        </w:r>
        <w:r>
          <w:rPr>
            <w:webHidden/>
          </w:rPr>
          <w:fldChar w:fldCharType="end"/>
        </w:r>
      </w:hyperlink>
    </w:p>
    <w:p w14:paraId="55CAD267" w14:textId="5E5113B8" w:rsidR="00E90E7A" w:rsidRDefault="00E90E7A">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85918" w:history="1">
        <w:r w:rsidRPr="00493F0B">
          <w:rPr>
            <w:rStyle w:val="Hyperlink"/>
          </w:rPr>
          <w:t>Implementation</w:t>
        </w:r>
        <w:r>
          <w:rPr>
            <w:webHidden/>
          </w:rPr>
          <w:tab/>
        </w:r>
        <w:r>
          <w:rPr>
            <w:webHidden/>
          </w:rPr>
          <w:fldChar w:fldCharType="begin"/>
        </w:r>
        <w:r>
          <w:rPr>
            <w:webHidden/>
          </w:rPr>
          <w:instrText xml:space="preserve"> PAGEREF _Toc234585918 \h </w:instrText>
        </w:r>
        <w:r>
          <w:rPr>
            <w:webHidden/>
          </w:rPr>
        </w:r>
        <w:r>
          <w:rPr>
            <w:webHidden/>
          </w:rPr>
          <w:fldChar w:fldCharType="separate"/>
        </w:r>
        <w:r>
          <w:rPr>
            <w:webHidden/>
          </w:rPr>
          <w:t>25</w:t>
        </w:r>
        <w:r>
          <w:rPr>
            <w:webHidden/>
          </w:rPr>
          <w:fldChar w:fldCharType="end"/>
        </w:r>
      </w:hyperlink>
    </w:p>
    <w:p w14:paraId="60F6A204" w14:textId="13305CD6"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919" w:history="1">
        <w:r w:rsidRPr="00493F0B">
          <w:rPr>
            <w:rStyle w:val="Hyperlink"/>
          </w:rPr>
          <w:t>Minimum fees when lodging an application</w:t>
        </w:r>
        <w:r>
          <w:rPr>
            <w:webHidden/>
          </w:rPr>
          <w:tab/>
        </w:r>
        <w:r>
          <w:rPr>
            <w:webHidden/>
          </w:rPr>
          <w:fldChar w:fldCharType="begin"/>
        </w:r>
        <w:r>
          <w:rPr>
            <w:webHidden/>
          </w:rPr>
          <w:instrText xml:space="preserve"> PAGEREF _Toc234585919 \h </w:instrText>
        </w:r>
        <w:r>
          <w:rPr>
            <w:webHidden/>
          </w:rPr>
        </w:r>
        <w:r>
          <w:rPr>
            <w:webHidden/>
          </w:rPr>
          <w:fldChar w:fldCharType="separate"/>
        </w:r>
        <w:r>
          <w:rPr>
            <w:webHidden/>
          </w:rPr>
          <w:t>25</w:t>
        </w:r>
        <w:r>
          <w:rPr>
            <w:webHidden/>
          </w:rPr>
          <w:fldChar w:fldCharType="end"/>
        </w:r>
      </w:hyperlink>
    </w:p>
    <w:p w14:paraId="70B2632B" w14:textId="0C0FF9C4"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920" w:history="1">
        <w:r w:rsidRPr="00493F0B">
          <w:rPr>
            <w:rStyle w:val="Hyperlink"/>
          </w:rPr>
          <w:t>Update provision of tier 1 pre-application assistance</w:t>
        </w:r>
        <w:r>
          <w:rPr>
            <w:webHidden/>
          </w:rPr>
          <w:tab/>
        </w:r>
        <w:r>
          <w:rPr>
            <w:webHidden/>
          </w:rPr>
          <w:fldChar w:fldCharType="begin"/>
        </w:r>
        <w:r>
          <w:rPr>
            <w:webHidden/>
          </w:rPr>
          <w:instrText xml:space="preserve"> PAGEREF _Toc234585920 \h </w:instrText>
        </w:r>
        <w:r>
          <w:rPr>
            <w:webHidden/>
          </w:rPr>
        </w:r>
        <w:r>
          <w:rPr>
            <w:webHidden/>
          </w:rPr>
          <w:fldChar w:fldCharType="separate"/>
        </w:r>
        <w:r>
          <w:rPr>
            <w:webHidden/>
          </w:rPr>
          <w:t>26</w:t>
        </w:r>
        <w:r>
          <w:rPr>
            <w:webHidden/>
          </w:rPr>
          <w:fldChar w:fldCharType="end"/>
        </w:r>
      </w:hyperlink>
    </w:p>
    <w:p w14:paraId="06936229" w14:textId="40DFE260"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921" w:history="1">
        <w:r w:rsidRPr="00493F0B">
          <w:rPr>
            <w:rStyle w:val="Hyperlink"/>
          </w:rPr>
          <w:t>Review</w:t>
        </w:r>
        <w:r>
          <w:rPr>
            <w:webHidden/>
          </w:rPr>
          <w:tab/>
        </w:r>
        <w:r>
          <w:rPr>
            <w:webHidden/>
          </w:rPr>
          <w:fldChar w:fldCharType="begin"/>
        </w:r>
        <w:r>
          <w:rPr>
            <w:webHidden/>
          </w:rPr>
          <w:instrText xml:space="preserve"> PAGEREF _Toc234585921 \h </w:instrText>
        </w:r>
        <w:r>
          <w:rPr>
            <w:webHidden/>
          </w:rPr>
        </w:r>
        <w:r>
          <w:rPr>
            <w:webHidden/>
          </w:rPr>
          <w:fldChar w:fldCharType="separate"/>
        </w:r>
        <w:r>
          <w:rPr>
            <w:webHidden/>
          </w:rPr>
          <w:t>26</w:t>
        </w:r>
        <w:r>
          <w:rPr>
            <w:webHidden/>
          </w:rPr>
          <w:fldChar w:fldCharType="end"/>
        </w:r>
      </w:hyperlink>
    </w:p>
    <w:p w14:paraId="5F2963FC" w14:textId="589A0500" w:rsidR="00E90E7A" w:rsidRDefault="00E90E7A">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85922" w:history="1">
        <w:r w:rsidRPr="00493F0B">
          <w:rPr>
            <w:rStyle w:val="Hyperlink"/>
            <w:lang w:eastAsia="en-GB"/>
          </w:rPr>
          <w:t>Frequently asked questions</w:t>
        </w:r>
        <w:r>
          <w:rPr>
            <w:webHidden/>
          </w:rPr>
          <w:tab/>
        </w:r>
        <w:r>
          <w:rPr>
            <w:webHidden/>
          </w:rPr>
          <w:fldChar w:fldCharType="begin"/>
        </w:r>
        <w:r>
          <w:rPr>
            <w:webHidden/>
          </w:rPr>
          <w:instrText xml:space="preserve"> PAGEREF _Toc234585922 \h </w:instrText>
        </w:r>
        <w:r>
          <w:rPr>
            <w:webHidden/>
          </w:rPr>
        </w:r>
        <w:r>
          <w:rPr>
            <w:webHidden/>
          </w:rPr>
          <w:fldChar w:fldCharType="separate"/>
        </w:r>
        <w:r>
          <w:rPr>
            <w:webHidden/>
          </w:rPr>
          <w:t>27</w:t>
        </w:r>
        <w:r>
          <w:rPr>
            <w:webHidden/>
          </w:rPr>
          <w:fldChar w:fldCharType="end"/>
        </w:r>
      </w:hyperlink>
    </w:p>
    <w:p w14:paraId="51ED9103" w14:textId="5D0AF978" w:rsidR="00E90E7A" w:rsidRDefault="00E90E7A">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85923" w:history="1">
        <w:r w:rsidRPr="00493F0B">
          <w:rPr>
            <w:rStyle w:val="Hyperlink"/>
          </w:rPr>
          <w:t>Invitation to comment</w:t>
        </w:r>
        <w:r>
          <w:rPr>
            <w:webHidden/>
          </w:rPr>
          <w:tab/>
        </w:r>
        <w:r>
          <w:rPr>
            <w:webHidden/>
          </w:rPr>
          <w:fldChar w:fldCharType="begin"/>
        </w:r>
        <w:r>
          <w:rPr>
            <w:webHidden/>
          </w:rPr>
          <w:instrText xml:space="preserve"> PAGEREF _Toc234585923 \h </w:instrText>
        </w:r>
        <w:r>
          <w:rPr>
            <w:webHidden/>
          </w:rPr>
        </w:r>
        <w:r>
          <w:rPr>
            <w:webHidden/>
          </w:rPr>
          <w:fldChar w:fldCharType="separate"/>
        </w:r>
        <w:r>
          <w:rPr>
            <w:webHidden/>
          </w:rPr>
          <w:t>29</w:t>
        </w:r>
        <w:r>
          <w:rPr>
            <w:webHidden/>
          </w:rPr>
          <w:fldChar w:fldCharType="end"/>
        </w:r>
      </w:hyperlink>
    </w:p>
    <w:p w14:paraId="21E11175" w14:textId="788968AC" w:rsidR="00E90E7A" w:rsidRDefault="00E90E7A">
      <w:pPr>
        <w:pStyle w:val="TOC2"/>
        <w:rPr>
          <w:rFonts w:asciiTheme="minorHAnsi" w:eastAsiaTheme="minorEastAsia" w:hAnsiTheme="minorHAnsi" w:cstheme="minorBidi"/>
          <w:color w:val="auto"/>
          <w:kern w:val="2"/>
          <w:sz w:val="24"/>
          <w:lang w:eastAsia="en-AU"/>
          <w14:ligatures w14:val="standardContextual"/>
        </w:rPr>
      </w:pPr>
      <w:hyperlink w:anchor="_Toc234585924" w:history="1">
        <w:r w:rsidRPr="00493F0B">
          <w:rPr>
            <w:rStyle w:val="Hyperlink"/>
          </w:rPr>
          <w:t>Making a submission</w:t>
        </w:r>
        <w:r>
          <w:rPr>
            <w:webHidden/>
          </w:rPr>
          <w:tab/>
        </w:r>
        <w:r>
          <w:rPr>
            <w:webHidden/>
          </w:rPr>
          <w:fldChar w:fldCharType="begin"/>
        </w:r>
        <w:r>
          <w:rPr>
            <w:webHidden/>
          </w:rPr>
          <w:instrText xml:space="preserve"> PAGEREF _Toc234585924 \h </w:instrText>
        </w:r>
        <w:r>
          <w:rPr>
            <w:webHidden/>
          </w:rPr>
        </w:r>
        <w:r>
          <w:rPr>
            <w:webHidden/>
          </w:rPr>
          <w:fldChar w:fldCharType="separate"/>
        </w:r>
        <w:r>
          <w:rPr>
            <w:webHidden/>
          </w:rPr>
          <w:t>29</w:t>
        </w:r>
        <w:r>
          <w:rPr>
            <w:webHidden/>
          </w:rPr>
          <w:fldChar w:fldCharType="end"/>
        </w:r>
      </w:hyperlink>
    </w:p>
    <w:p w14:paraId="52678886" w14:textId="66DBACA7"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25" w:history="1">
        <w:r w:rsidRPr="00493F0B">
          <w:rPr>
            <w:rStyle w:val="Hyperlink"/>
          </w:rPr>
          <w:t>Publication of submissions</w:t>
        </w:r>
        <w:r>
          <w:rPr>
            <w:webHidden/>
          </w:rPr>
          <w:tab/>
        </w:r>
        <w:r>
          <w:rPr>
            <w:webHidden/>
          </w:rPr>
          <w:fldChar w:fldCharType="begin"/>
        </w:r>
        <w:r>
          <w:rPr>
            <w:webHidden/>
          </w:rPr>
          <w:instrText xml:space="preserve"> PAGEREF _Toc234585925 \h </w:instrText>
        </w:r>
        <w:r>
          <w:rPr>
            <w:webHidden/>
          </w:rPr>
        </w:r>
        <w:r>
          <w:rPr>
            <w:webHidden/>
          </w:rPr>
          <w:fldChar w:fldCharType="separate"/>
        </w:r>
        <w:r>
          <w:rPr>
            <w:webHidden/>
          </w:rPr>
          <w:t>29</w:t>
        </w:r>
        <w:r>
          <w:rPr>
            <w:webHidden/>
          </w:rPr>
          <w:fldChar w:fldCharType="end"/>
        </w:r>
      </w:hyperlink>
    </w:p>
    <w:p w14:paraId="68ED6068" w14:textId="5C9E4D21" w:rsidR="00E90E7A" w:rsidRDefault="00E90E7A">
      <w:pPr>
        <w:pStyle w:val="TOC3"/>
        <w:rPr>
          <w:rFonts w:asciiTheme="minorHAnsi" w:eastAsiaTheme="minorEastAsia" w:hAnsiTheme="minorHAnsi" w:cstheme="minorBidi"/>
          <w:kern w:val="2"/>
          <w:sz w:val="24"/>
          <w:lang w:eastAsia="en-AU"/>
          <w14:ligatures w14:val="standardContextual"/>
        </w:rPr>
      </w:pPr>
      <w:hyperlink w:anchor="_Toc234585926" w:history="1">
        <w:r w:rsidRPr="00493F0B">
          <w:rPr>
            <w:rStyle w:val="Hyperlink"/>
          </w:rPr>
          <w:t>Privacy</w:t>
        </w:r>
        <w:r>
          <w:rPr>
            <w:webHidden/>
          </w:rPr>
          <w:tab/>
        </w:r>
        <w:r>
          <w:rPr>
            <w:webHidden/>
          </w:rPr>
          <w:fldChar w:fldCharType="begin"/>
        </w:r>
        <w:r>
          <w:rPr>
            <w:webHidden/>
          </w:rPr>
          <w:instrText xml:space="preserve"> PAGEREF _Toc234585926 \h </w:instrText>
        </w:r>
        <w:r>
          <w:rPr>
            <w:webHidden/>
          </w:rPr>
        </w:r>
        <w:r>
          <w:rPr>
            <w:webHidden/>
          </w:rPr>
          <w:fldChar w:fldCharType="separate"/>
        </w:r>
        <w:r>
          <w:rPr>
            <w:webHidden/>
          </w:rPr>
          <w:t>29</w:t>
        </w:r>
        <w:r>
          <w:rPr>
            <w:webHidden/>
          </w:rPr>
          <w:fldChar w:fldCharType="end"/>
        </w:r>
      </w:hyperlink>
    </w:p>
    <w:p w14:paraId="2C1CB4BB" w14:textId="75986CEA" w:rsidR="00E90E7A" w:rsidRDefault="005064D5" w:rsidP="00E90E7A">
      <w:pPr>
        <w:pStyle w:val="NormalText"/>
        <w:rPr>
          <w:noProof/>
        </w:rPr>
      </w:pPr>
      <w:r w:rsidRPr="00BA6CF5">
        <w:rPr>
          <w:noProof/>
        </w:rPr>
        <w:fldChar w:fldCharType="end"/>
      </w:r>
    </w:p>
    <w:p w14:paraId="3A0D43C4" w14:textId="77777777" w:rsidR="00E90E7A" w:rsidRDefault="00E90E7A" w:rsidP="00E90E7A">
      <w:pPr>
        <w:pStyle w:val="TOAHeading"/>
        <w:spacing w:before="240"/>
        <w:rPr>
          <w:noProof/>
        </w:rPr>
      </w:pPr>
      <w:r w:rsidRPr="00FB0015">
        <w:rPr>
          <w:noProof/>
        </w:rPr>
        <w:t>List of tables</w:t>
      </w:r>
      <w:r>
        <w:rPr>
          <w:noProof/>
          <w:color w:val="00747A" w:themeColor="background2"/>
        </w:rPr>
        <w:fldChar w:fldCharType="begin"/>
      </w:r>
      <w:r>
        <w:rPr>
          <w:noProof/>
          <w:color w:val="00747A" w:themeColor="background2"/>
        </w:rPr>
        <w:instrText xml:space="preserve"> TOC \h \z \c "Table" </w:instrText>
      </w:r>
      <w:r>
        <w:rPr>
          <w:noProof/>
          <w:color w:val="00747A" w:themeColor="background2"/>
        </w:rPr>
        <w:fldChar w:fldCharType="separate"/>
      </w:r>
    </w:p>
    <w:p w14:paraId="29ED87F4" w14:textId="3EBE3D28" w:rsidR="00E90E7A" w:rsidRDefault="00E90E7A">
      <w:pPr>
        <w:pStyle w:val="TableofFigures"/>
        <w:rPr>
          <w:rFonts w:asciiTheme="minorHAnsi" w:eastAsiaTheme="minorEastAsia" w:hAnsiTheme="minorHAnsi" w:cstheme="minorBidi"/>
          <w:kern w:val="2"/>
          <w:sz w:val="24"/>
          <w:lang w:eastAsia="en-AU"/>
          <w14:ligatures w14:val="standardContextual"/>
        </w:rPr>
      </w:pPr>
      <w:hyperlink w:anchor="_Toc234585733" w:history="1">
        <w:r w:rsidRPr="002570B8">
          <w:rPr>
            <w:rStyle w:val="Hyperlink"/>
          </w:rPr>
          <w:t>Table 1:</w:t>
        </w:r>
        <w:r>
          <w:rPr>
            <w:rFonts w:asciiTheme="minorHAnsi" w:eastAsiaTheme="minorEastAsia" w:hAnsiTheme="minorHAnsi" w:cstheme="minorBidi"/>
            <w:kern w:val="2"/>
            <w:sz w:val="24"/>
            <w:lang w:eastAsia="en-AU"/>
            <w14:ligatures w14:val="standardContextual"/>
          </w:rPr>
          <w:tab/>
        </w:r>
        <w:r w:rsidRPr="002570B8">
          <w:rPr>
            <w:rStyle w:val="Hyperlink"/>
          </w:rPr>
          <w:t>Cost elements of pre-market fee-for-service activities</w:t>
        </w:r>
        <w:r>
          <w:rPr>
            <w:webHidden/>
          </w:rPr>
          <w:tab/>
        </w:r>
        <w:r>
          <w:rPr>
            <w:webHidden/>
          </w:rPr>
          <w:fldChar w:fldCharType="begin"/>
        </w:r>
        <w:r>
          <w:rPr>
            <w:webHidden/>
          </w:rPr>
          <w:instrText xml:space="preserve"> PAGEREF _Toc234585733 \h </w:instrText>
        </w:r>
        <w:r>
          <w:rPr>
            <w:webHidden/>
          </w:rPr>
        </w:r>
        <w:r>
          <w:rPr>
            <w:webHidden/>
          </w:rPr>
          <w:fldChar w:fldCharType="separate"/>
        </w:r>
        <w:r>
          <w:rPr>
            <w:webHidden/>
          </w:rPr>
          <w:t>7</w:t>
        </w:r>
        <w:r>
          <w:rPr>
            <w:webHidden/>
          </w:rPr>
          <w:fldChar w:fldCharType="end"/>
        </w:r>
      </w:hyperlink>
    </w:p>
    <w:p w14:paraId="188555A3" w14:textId="75117AB3" w:rsidR="00E90E7A" w:rsidRDefault="00E90E7A">
      <w:pPr>
        <w:pStyle w:val="TableofFigures"/>
        <w:rPr>
          <w:rFonts w:asciiTheme="minorHAnsi" w:eastAsiaTheme="minorEastAsia" w:hAnsiTheme="minorHAnsi" w:cstheme="minorBidi"/>
          <w:kern w:val="2"/>
          <w:sz w:val="24"/>
          <w:lang w:eastAsia="en-AU"/>
          <w14:ligatures w14:val="standardContextual"/>
        </w:rPr>
      </w:pPr>
      <w:hyperlink w:anchor="_Toc234585734" w:history="1">
        <w:r w:rsidRPr="002570B8">
          <w:rPr>
            <w:rStyle w:val="Hyperlink"/>
          </w:rPr>
          <w:t>Table 2:</w:t>
        </w:r>
        <w:r>
          <w:rPr>
            <w:rFonts w:asciiTheme="minorHAnsi" w:eastAsiaTheme="minorEastAsia" w:hAnsiTheme="minorHAnsi" w:cstheme="minorBidi"/>
            <w:kern w:val="2"/>
            <w:sz w:val="24"/>
            <w:lang w:eastAsia="en-AU"/>
            <w14:ligatures w14:val="standardContextual"/>
          </w:rPr>
          <w:tab/>
        </w:r>
        <w:r w:rsidRPr="002570B8">
          <w:rPr>
            <w:rStyle w:val="Hyperlink"/>
          </w:rPr>
          <w:t>Cost elements of post-market activities</w:t>
        </w:r>
        <w:r>
          <w:rPr>
            <w:webHidden/>
          </w:rPr>
          <w:tab/>
        </w:r>
        <w:r>
          <w:rPr>
            <w:webHidden/>
          </w:rPr>
          <w:fldChar w:fldCharType="begin"/>
        </w:r>
        <w:r>
          <w:rPr>
            <w:webHidden/>
          </w:rPr>
          <w:instrText xml:space="preserve"> PAGEREF _Toc234585734 \h </w:instrText>
        </w:r>
        <w:r>
          <w:rPr>
            <w:webHidden/>
          </w:rPr>
        </w:r>
        <w:r>
          <w:rPr>
            <w:webHidden/>
          </w:rPr>
          <w:fldChar w:fldCharType="separate"/>
        </w:r>
        <w:r>
          <w:rPr>
            <w:webHidden/>
          </w:rPr>
          <w:t>11</w:t>
        </w:r>
        <w:r>
          <w:rPr>
            <w:webHidden/>
          </w:rPr>
          <w:fldChar w:fldCharType="end"/>
        </w:r>
      </w:hyperlink>
    </w:p>
    <w:p w14:paraId="4E331852" w14:textId="38F7E233" w:rsidR="00E90E7A" w:rsidRDefault="00E90E7A">
      <w:pPr>
        <w:pStyle w:val="TableofFigures"/>
        <w:rPr>
          <w:rFonts w:asciiTheme="minorHAnsi" w:eastAsiaTheme="minorEastAsia" w:hAnsiTheme="minorHAnsi" w:cstheme="minorBidi"/>
          <w:kern w:val="2"/>
          <w:sz w:val="24"/>
          <w:lang w:eastAsia="en-AU"/>
          <w14:ligatures w14:val="standardContextual"/>
        </w:rPr>
      </w:pPr>
      <w:hyperlink w:anchor="_Toc234585735" w:history="1">
        <w:r w:rsidRPr="002570B8">
          <w:rPr>
            <w:rStyle w:val="Hyperlink"/>
          </w:rPr>
          <w:t>Table 3:</w:t>
        </w:r>
        <w:r>
          <w:rPr>
            <w:rFonts w:asciiTheme="minorHAnsi" w:eastAsiaTheme="minorEastAsia" w:hAnsiTheme="minorHAnsi" w:cstheme="minorBidi"/>
            <w:kern w:val="2"/>
            <w:sz w:val="24"/>
            <w:lang w:eastAsia="en-AU"/>
            <w14:ligatures w14:val="standardContextual"/>
          </w:rPr>
          <w:tab/>
        </w:r>
        <w:r w:rsidRPr="002570B8">
          <w:rPr>
            <w:rStyle w:val="Hyperlink"/>
          </w:rPr>
          <w:t>Pre-application assistance fees for services</w:t>
        </w:r>
        <w:r>
          <w:rPr>
            <w:webHidden/>
          </w:rPr>
          <w:tab/>
        </w:r>
        <w:r>
          <w:rPr>
            <w:webHidden/>
          </w:rPr>
          <w:fldChar w:fldCharType="begin"/>
        </w:r>
        <w:r>
          <w:rPr>
            <w:webHidden/>
          </w:rPr>
          <w:instrText xml:space="preserve"> PAGEREF _Toc234585735 \h </w:instrText>
        </w:r>
        <w:r>
          <w:rPr>
            <w:webHidden/>
          </w:rPr>
        </w:r>
        <w:r>
          <w:rPr>
            <w:webHidden/>
          </w:rPr>
          <w:fldChar w:fldCharType="separate"/>
        </w:r>
        <w:r>
          <w:rPr>
            <w:webHidden/>
          </w:rPr>
          <w:t>17</w:t>
        </w:r>
        <w:r>
          <w:rPr>
            <w:webHidden/>
          </w:rPr>
          <w:fldChar w:fldCharType="end"/>
        </w:r>
      </w:hyperlink>
    </w:p>
    <w:p w14:paraId="1938CDEB" w14:textId="55C10B12" w:rsidR="00E90E7A" w:rsidRDefault="00E90E7A">
      <w:pPr>
        <w:pStyle w:val="TableofFigures"/>
        <w:rPr>
          <w:rFonts w:asciiTheme="minorHAnsi" w:eastAsiaTheme="minorEastAsia" w:hAnsiTheme="minorHAnsi" w:cstheme="minorBidi"/>
          <w:kern w:val="2"/>
          <w:sz w:val="24"/>
          <w:lang w:eastAsia="en-AU"/>
          <w14:ligatures w14:val="standardContextual"/>
        </w:rPr>
      </w:pPr>
      <w:hyperlink w:anchor="_Toc234585736" w:history="1">
        <w:r w:rsidRPr="002570B8">
          <w:rPr>
            <w:rStyle w:val="Hyperlink"/>
          </w:rPr>
          <w:t>Table 4:</w:t>
        </w:r>
        <w:r>
          <w:rPr>
            <w:rFonts w:asciiTheme="minorHAnsi" w:eastAsiaTheme="minorEastAsia" w:hAnsiTheme="minorHAnsi" w:cstheme="minorBidi"/>
            <w:kern w:val="2"/>
            <w:sz w:val="24"/>
            <w:lang w:eastAsia="en-AU"/>
            <w14:ligatures w14:val="standardContextual"/>
          </w:rPr>
          <w:tab/>
        </w:r>
        <w:r w:rsidRPr="002570B8">
          <w:rPr>
            <w:rStyle w:val="Hyperlink"/>
          </w:rPr>
          <w:t>Cost and fee elements of post-market activities</w:t>
        </w:r>
        <w:r>
          <w:rPr>
            <w:webHidden/>
          </w:rPr>
          <w:tab/>
        </w:r>
        <w:r>
          <w:rPr>
            <w:webHidden/>
          </w:rPr>
          <w:fldChar w:fldCharType="begin"/>
        </w:r>
        <w:r>
          <w:rPr>
            <w:webHidden/>
          </w:rPr>
          <w:instrText xml:space="preserve"> PAGEREF _Toc234585736 \h </w:instrText>
        </w:r>
        <w:r>
          <w:rPr>
            <w:webHidden/>
          </w:rPr>
        </w:r>
        <w:r>
          <w:rPr>
            <w:webHidden/>
          </w:rPr>
          <w:fldChar w:fldCharType="separate"/>
        </w:r>
        <w:r>
          <w:rPr>
            <w:webHidden/>
          </w:rPr>
          <w:t>18</w:t>
        </w:r>
        <w:r>
          <w:rPr>
            <w:webHidden/>
          </w:rPr>
          <w:fldChar w:fldCharType="end"/>
        </w:r>
      </w:hyperlink>
    </w:p>
    <w:p w14:paraId="334078D4" w14:textId="4F2563CB" w:rsidR="00E90E7A" w:rsidRDefault="00E90E7A">
      <w:pPr>
        <w:pStyle w:val="TableofFigures"/>
        <w:rPr>
          <w:rFonts w:asciiTheme="minorHAnsi" w:eastAsiaTheme="minorEastAsia" w:hAnsiTheme="minorHAnsi" w:cstheme="minorBidi"/>
          <w:kern w:val="2"/>
          <w:sz w:val="24"/>
          <w:lang w:eastAsia="en-AU"/>
          <w14:ligatures w14:val="standardContextual"/>
        </w:rPr>
      </w:pPr>
      <w:hyperlink w:anchor="_Toc234585737" w:history="1">
        <w:r w:rsidRPr="002570B8">
          <w:rPr>
            <w:rStyle w:val="Hyperlink"/>
          </w:rPr>
          <w:t>Table 5:</w:t>
        </w:r>
        <w:r>
          <w:rPr>
            <w:rFonts w:asciiTheme="minorHAnsi" w:eastAsiaTheme="minorEastAsia" w:hAnsiTheme="minorHAnsi" w:cstheme="minorBidi"/>
            <w:kern w:val="2"/>
            <w:sz w:val="24"/>
            <w:lang w:eastAsia="en-AU"/>
            <w14:ligatures w14:val="standardContextual"/>
          </w:rPr>
          <w:tab/>
        </w:r>
        <w:r w:rsidRPr="002570B8">
          <w:rPr>
            <w:rStyle w:val="Hyperlink"/>
          </w:rPr>
          <w:t>Agvet Code requests costs and fees</w:t>
        </w:r>
        <w:r>
          <w:rPr>
            <w:webHidden/>
          </w:rPr>
          <w:tab/>
        </w:r>
        <w:r>
          <w:rPr>
            <w:webHidden/>
          </w:rPr>
          <w:fldChar w:fldCharType="begin"/>
        </w:r>
        <w:r>
          <w:rPr>
            <w:webHidden/>
          </w:rPr>
          <w:instrText xml:space="preserve"> PAGEREF _Toc234585737 \h </w:instrText>
        </w:r>
        <w:r>
          <w:rPr>
            <w:webHidden/>
          </w:rPr>
        </w:r>
        <w:r>
          <w:rPr>
            <w:webHidden/>
          </w:rPr>
          <w:fldChar w:fldCharType="separate"/>
        </w:r>
        <w:r>
          <w:rPr>
            <w:webHidden/>
          </w:rPr>
          <w:t>20</w:t>
        </w:r>
        <w:r>
          <w:rPr>
            <w:webHidden/>
          </w:rPr>
          <w:fldChar w:fldCharType="end"/>
        </w:r>
      </w:hyperlink>
    </w:p>
    <w:p w14:paraId="4B68294B" w14:textId="051A4F2C" w:rsidR="00E90E7A" w:rsidRDefault="00E90E7A">
      <w:pPr>
        <w:pStyle w:val="TableofFigures"/>
        <w:rPr>
          <w:rFonts w:asciiTheme="minorHAnsi" w:eastAsiaTheme="minorEastAsia" w:hAnsiTheme="minorHAnsi" w:cstheme="minorBidi"/>
          <w:kern w:val="2"/>
          <w:sz w:val="24"/>
          <w:lang w:eastAsia="en-AU"/>
          <w14:ligatures w14:val="standardContextual"/>
        </w:rPr>
      </w:pPr>
      <w:hyperlink w:anchor="_Toc234585738" w:history="1">
        <w:r w:rsidRPr="002570B8">
          <w:rPr>
            <w:rStyle w:val="Hyperlink"/>
          </w:rPr>
          <w:t>Table 6:</w:t>
        </w:r>
        <w:r>
          <w:rPr>
            <w:rFonts w:asciiTheme="minorHAnsi" w:eastAsiaTheme="minorEastAsia" w:hAnsiTheme="minorHAnsi" w:cstheme="minorBidi"/>
            <w:kern w:val="2"/>
            <w:sz w:val="24"/>
            <w:lang w:eastAsia="en-AU"/>
            <w14:ligatures w14:val="standardContextual"/>
          </w:rPr>
          <w:tab/>
        </w:r>
        <w:r w:rsidRPr="002570B8">
          <w:rPr>
            <w:rStyle w:val="Hyperlink"/>
          </w:rPr>
          <w:t>Proposed minimum upfront fees when lodging an application</w:t>
        </w:r>
        <w:r>
          <w:rPr>
            <w:webHidden/>
          </w:rPr>
          <w:tab/>
        </w:r>
        <w:r>
          <w:rPr>
            <w:webHidden/>
          </w:rPr>
          <w:fldChar w:fldCharType="begin"/>
        </w:r>
        <w:r>
          <w:rPr>
            <w:webHidden/>
          </w:rPr>
          <w:instrText xml:space="preserve"> PAGEREF _Toc234585738 \h </w:instrText>
        </w:r>
        <w:r>
          <w:rPr>
            <w:webHidden/>
          </w:rPr>
        </w:r>
        <w:r>
          <w:rPr>
            <w:webHidden/>
          </w:rPr>
          <w:fldChar w:fldCharType="separate"/>
        </w:r>
        <w:r>
          <w:rPr>
            <w:webHidden/>
          </w:rPr>
          <w:t>26</w:t>
        </w:r>
        <w:r>
          <w:rPr>
            <w:webHidden/>
          </w:rPr>
          <w:fldChar w:fldCharType="end"/>
        </w:r>
      </w:hyperlink>
    </w:p>
    <w:p w14:paraId="7B553B60" w14:textId="6E2884CC" w:rsidR="00E90E7A" w:rsidRPr="00E90E7A" w:rsidRDefault="00E90E7A" w:rsidP="00E90E7A">
      <w:pPr>
        <w:pStyle w:val="TOC2"/>
        <w:sectPr w:rsidR="00E90E7A" w:rsidRPr="00E90E7A" w:rsidSect="00F13B15">
          <w:headerReference w:type="even" r:id="rId27"/>
          <w:headerReference w:type="default" r:id="rId28"/>
          <w:footerReference w:type="default" r:id="rId29"/>
          <w:headerReference w:type="first" r:id="rId30"/>
          <w:pgSz w:w="11906" w:h="16838" w:code="9"/>
          <w:pgMar w:top="2835" w:right="1134" w:bottom="1134" w:left="1134" w:header="1701" w:footer="680" w:gutter="0"/>
          <w:pgNumType w:fmt="lowerRoman"/>
          <w:cols w:space="708"/>
          <w:docGrid w:linePitch="360"/>
        </w:sectPr>
      </w:pPr>
      <w:r>
        <w:fldChar w:fldCharType="end"/>
      </w:r>
    </w:p>
    <w:p w14:paraId="14EFC2B9" w14:textId="67DFB426" w:rsidR="00902C39" w:rsidRDefault="00902C39" w:rsidP="007C31BB">
      <w:pPr>
        <w:pStyle w:val="Heading1"/>
      </w:pPr>
      <w:bookmarkStart w:id="3" w:name="_Toc234585888"/>
      <w:r w:rsidRPr="00E3186F">
        <w:lastRenderedPageBreak/>
        <w:t>Executive</w:t>
      </w:r>
      <w:r>
        <w:t xml:space="preserve"> </w:t>
      </w:r>
      <w:r w:rsidRPr="007C31BB">
        <w:t>Summary</w:t>
      </w:r>
      <w:bookmarkEnd w:id="3"/>
    </w:p>
    <w:p w14:paraId="432D8274" w14:textId="1082F99D" w:rsidR="00353C5F" w:rsidRDefault="00353C5F" w:rsidP="00353C5F">
      <w:pPr>
        <w:pStyle w:val="NormalText"/>
      </w:pPr>
      <w:r w:rsidRPr="00353C5F">
        <w:t>The Australian Pesticides and Veterinary Medicines Authority (APVMA) is Australia’s independent regulator of agricultural and veterinary (</w:t>
      </w:r>
      <w:proofErr w:type="spellStart"/>
      <w:r w:rsidRPr="00353C5F">
        <w:t>agvet</w:t>
      </w:r>
      <w:proofErr w:type="spellEnd"/>
      <w:r w:rsidRPr="00353C5F">
        <w:t xml:space="preserve">) chemicals. </w:t>
      </w:r>
      <w:r>
        <w:t>The APVMA operates as a cost</w:t>
      </w:r>
      <w:r w:rsidR="000D2010">
        <w:t xml:space="preserve"> </w:t>
      </w:r>
      <w:r>
        <w:t xml:space="preserve">recovered agency under the </w:t>
      </w:r>
      <w:hyperlink r:id="rId31">
        <w:r w:rsidR="00CF7314" w:rsidRPr="6B1DB938">
          <w:rPr>
            <w:rStyle w:val="Hyperlink"/>
          </w:rPr>
          <w:t>Australian Government Charging Framework</w:t>
        </w:r>
      </w:hyperlink>
      <w:r w:rsidR="00CF7314">
        <w:t xml:space="preserve"> (Charging Framework) </w:t>
      </w:r>
      <w:r w:rsidR="008701C1">
        <w:t>and</w:t>
      </w:r>
      <w:r w:rsidR="00056189">
        <w:t xml:space="preserve"> the</w:t>
      </w:r>
      <w:r w:rsidR="008701C1">
        <w:t xml:space="preserve"> </w:t>
      </w:r>
      <w:hyperlink r:id="rId32">
        <w:r w:rsidR="008701C1" w:rsidRPr="6B1DB938">
          <w:rPr>
            <w:rStyle w:val="Hyperlink"/>
          </w:rPr>
          <w:t>Australian Government Cost Recovery Policy</w:t>
        </w:r>
      </w:hyperlink>
      <w:r w:rsidR="00510F62">
        <w:t xml:space="preserve"> (Cost Recovery Policy)</w:t>
      </w:r>
      <w:r>
        <w:t>, which require</w:t>
      </w:r>
      <w:r w:rsidR="00F06846">
        <w:t>s</w:t>
      </w:r>
      <w:r>
        <w:t xml:space="preserve"> government entities to recover</w:t>
      </w:r>
      <w:r w:rsidR="00F06846">
        <w:t xml:space="preserve"> </w:t>
      </w:r>
      <w:r>
        <w:t>the efficient costs of regulatory activities from those who directly benefit</w:t>
      </w:r>
      <w:r w:rsidR="54DCC857">
        <w:t xml:space="preserve"> from them</w:t>
      </w:r>
      <w:r w:rsidR="00F06846">
        <w:t>, where appropriate</w:t>
      </w:r>
      <w:r>
        <w:t>.</w:t>
      </w:r>
    </w:p>
    <w:p w14:paraId="3A15BC36" w14:textId="546593A5" w:rsidR="00353C5F" w:rsidRDefault="00F06846" w:rsidP="00353C5F">
      <w:pPr>
        <w:pStyle w:val="NormalText"/>
      </w:pPr>
      <w:r>
        <w:t>T</w:t>
      </w:r>
      <w:r w:rsidR="00510F62" w:rsidRPr="00510F62">
        <w:t xml:space="preserve">he APVMA understands </w:t>
      </w:r>
      <w:r w:rsidR="00510F62">
        <w:t>its responsibilitie</w:t>
      </w:r>
      <w:r w:rsidR="67D24187">
        <w:t>s</w:t>
      </w:r>
      <w:r w:rsidR="00510F62" w:rsidRPr="00510F62">
        <w:t xml:space="preserve"> </w:t>
      </w:r>
      <w:r>
        <w:t xml:space="preserve">as a cost recovered </w:t>
      </w:r>
      <w:proofErr w:type="gramStart"/>
      <w:r>
        <w:t xml:space="preserve">regulator, </w:t>
      </w:r>
      <w:r w:rsidR="00510F62" w:rsidRPr="00510F62">
        <w:t>and</w:t>
      </w:r>
      <w:proofErr w:type="gramEnd"/>
      <w:r w:rsidR="00510F62" w:rsidRPr="00510F62">
        <w:t xml:space="preserve"> is committed to operating efficiently and transparently.</w:t>
      </w:r>
      <w:r w:rsidR="00510F62">
        <w:t xml:space="preserve"> </w:t>
      </w:r>
      <w:r w:rsidR="001B4171">
        <w:t xml:space="preserve">The APVMA is focused on ensuring that its regulatory activities deliver value to the Australian community while maintaining confidence in the </w:t>
      </w:r>
      <w:proofErr w:type="spellStart"/>
      <w:r w:rsidR="001B4171">
        <w:t>agvet</w:t>
      </w:r>
      <w:proofErr w:type="spellEnd"/>
      <w:r w:rsidR="001B4171">
        <w:t xml:space="preserve"> chemical regulatory system.</w:t>
      </w:r>
    </w:p>
    <w:p w14:paraId="6728413A" w14:textId="5B4417D8" w:rsidR="00353C5F" w:rsidRDefault="00217ACB">
      <w:pPr>
        <w:pStyle w:val="NormalText"/>
      </w:pPr>
      <w:r>
        <w:t>Reform</w:t>
      </w:r>
      <w:r w:rsidR="3800C392">
        <w:t>ing</w:t>
      </w:r>
      <w:r w:rsidRPr="00510F62">
        <w:t xml:space="preserve"> the APVMA’s cost recovery policy is essential to</w:t>
      </w:r>
      <w:r>
        <w:t xml:space="preserve"> improv</w:t>
      </w:r>
      <w:r w:rsidR="66657FCE">
        <w:t>ing</w:t>
      </w:r>
      <w:r w:rsidRPr="00510F62">
        <w:t xml:space="preserve"> </w:t>
      </w:r>
      <w:r w:rsidR="319201BE">
        <w:t xml:space="preserve">the </w:t>
      </w:r>
      <w:r>
        <w:t>outcomes</w:t>
      </w:r>
      <w:r w:rsidRPr="00510F62">
        <w:t xml:space="preserve"> </w:t>
      </w:r>
      <w:r w:rsidR="2DE665F1">
        <w:t>of</w:t>
      </w:r>
      <w:r w:rsidRPr="00510F62">
        <w:t xml:space="preserve"> the </w:t>
      </w:r>
      <w:proofErr w:type="spellStart"/>
      <w:r w:rsidRPr="00510F62">
        <w:t>agvet</w:t>
      </w:r>
      <w:proofErr w:type="spellEnd"/>
      <w:r w:rsidRPr="00510F62">
        <w:t xml:space="preserve"> chemical regulatory system</w:t>
      </w:r>
      <w:r>
        <w:t xml:space="preserve">. </w:t>
      </w:r>
      <w:r w:rsidR="00F06846">
        <w:t xml:space="preserve">The </w:t>
      </w:r>
      <w:r w:rsidR="0070383D">
        <w:t xml:space="preserve">APVMA’s existing funding arrangements are not sufficient to support its full suite of regulatory responsibilities. </w:t>
      </w:r>
      <w:r w:rsidR="00F06846">
        <w:t>Reforms that deliver s</w:t>
      </w:r>
      <w:r w:rsidR="0070383D">
        <w:t xml:space="preserve">ustainable funding will ensure that APVMA continues to underpin the supply of safe </w:t>
      </w:r>
      <w:proofErr w:type="spellStart"/>
      <w:r w:rsidR="0070383D">
        <w:t>agvet</w:t>
      </w:r>
      <w:proofErr w:type="spellEnd"/>
      <w:r w:rsidR="0070383D">
        <w:t xml:space="preserve"> chemicals, while providing access to innovative technologies and proactively maintaining the integrity of the regulatory system.</w:t>
      </w:r>
    </w:p>
    <w:p w14:paraId="2F67D065" w14:textId="1056A3ED" w:rsidR="00353C5F" w:rsidRDefault="00353C5F" w:rsidP="00353C5F">
      <w:pPr>
        <w:pStyle w:val="NormalText"/>
      </w:pPr>
      <w:r>
        <w:t>Multiple independent reviews</w:t>
      </w:r>
      <w:r w:rsidR="2516035E">
        <w:t xml:space="preserve"> support this </w:t>
      </w:r>
      <w:r w:rsidR="3508C0CC">
        <w:t>position</w:t>
      </w:r>
      <w:r>
        <w:t xml:space="preserve">, including the </w:t>
      </w:r>
      <w:r w:rsidR="3E0F0F68" w:rsidRPr="38D382DF">
        <w:rPr>
          <w:i/>
          <w:iCs/>
        </w:rPr>
        <w:t>Final Report of the Independent Review of the Pesticides and Veterinary medicines Regulatory System in Australia (Independent Review)</w:t>
      </w:r>
      <w:r w:rsidRPr="38D382DF">
        <w:rPr>
          <w:i/>
          <w:iCs/>
        </w:rPr>
        <w:t xml:space="preserve"> 2021</w:t>
      </w:r>
      <w:r w:rsidR="3B4C672A" w:rsidRPr="7F2D0739">
        <w:rPr>
          <w:i/>
          <w:iCs/>
        </w:rPr>
        <w:t>,</w:t>
      </w:r>
      <w:r w:rsidRPr="38D382DF">
        <w:rPr>
          <w:i/>
          <w:iCs/>
        </w:rPr>
        <w:t xml:space="preserve"> </w:t>
      </w:r>
      <w:r w:rsidRPr="00167C78">
        <w:t>and the</w:t>
      </w:r>
      <w:r w:rsidRPr="38D382DF">
        <w:rPr>
          <w:i/>
          <w:iCs/>
        </w:rPr>
        <w:t xml:space="preserve"> </w:t>
      </w:r>
      <w:r w:rsidR="3E0F0F68" w:rsidRPr="38D382DF">
        <w:rPr>
          <w:i/>
          <w:iCs/>
        </w:rPr>
        <w:t>Final Report on Future Structure and Governance Arrangements for the Australian Pesticides and Veterinary Medicines Authority (Rapid Evaluation)</w:t>
      </w:r>
      <w:r w:rsidRPr="38D382DF">
        <w:rPr>
          <w:i/>
          <w:iCs/>
        </w:rPr>
        <w:t xml:space="preserve"> 2023, </w:t>
      </w:r>
      <w:r w:rsidR="033B6779" w:rsidRPr="00167C78">
        <w:t>which</w:t>
      </w:r>
      <w:r w:rsidR="033B6779" w:rsidRPr="3BC3633B">
        <w:rPr>
          <w:i/>
          <w:iCs/>
        </w:rPr>
        <w:t xml:space="preserve"> </w:t>
      </w:r>
      <w:r w:rsidRPr="00167C78">
        <w:t>concluded that the APVMA’s current cost recovery arrangements are insufficient to resource its full suite of regulatory functions and responsibilities.</w:t>
      </w:r>
      <w:r w:rsidRPr="38D382DF">
        <w:rPr>
          <w:i/>
          <w:iCs/>
        </w:rPr>
        <w:t xml:space="preserve"> </w:t>
      </w:r>
      <w:r w:rsidR="00B51C3A">
        <w:t>These reviews identified structural weaknesses in the existing funding model and recommended reform to improve sustainability and alignment with the Charging Framework and Cost Recovery Policy.</w:t>
      </w:r>
    </w:p>
    <w:p w14:paraId="597A791D" w14:textId="35EB273A" w:rsidR="00CF73ED" w:rsidRDefault="00406E62" w:rsidP="004A45DA">
      <w:pPr>
        <w:pStyle w:val="NormalText"/>
      </w:pPr>
      <w:r>
        <w:t>T</w:t>
      </w:r>
      <w:r w:rsidR="004A45DA" w:rsidRPr="003F0F5F">
        <w:t xml:space="preserve">he Australian Government </w:t>
      </w:r>
      <w:r>
        <w:t xml:space="preserve">has </w:t>
      </w:r>
      <w:r w:rsidR="00F06846">
        <w:t>approve</w:t>
      </w:r>
      <w:r w:rsidR="004A45DA">
        <w:t xml:space="preserve">d a revised cost recovery policy for the APVMA, which will be implemented with the </w:t>
      </w:r>
      <w:r w:rsidR="004A45DA" w:rsidRPr="00510F62">
        <w:t>202</w:t>
      </w:r>
      <w:r w:rsidR="00FB4A86">
        <w:t>7</w:t>
      </w:r>
      <w:r w:rsidR="004A45DA" w:rsidRPr="00510F62">
        <w:t>–2</w:t>
      </w:r>
      <w:r w:rsidR="00FB4A86">
        <w:t>8</w:t>
      </w:r>
      <w:r w:rsidR="004A45DA">
        <w:t xml:space="preserve"> </w:t>
      </w:r>
      <w:r w:rsidR="004A45DA" w:rsidRPr="00510F62">
        <w:t>Cost Recovery Implementation Statement (CRIS)</w:t>
      </w:r>
      <w:r w:rsidR="004A45DA">
        <w:t xml:space="preserve">. </w:t>
      </w:r>
      <w:r w:rsidR="00F06846">
        <w:t xml:space="preserve">The </w:t>
      </w:r>
      <w:r w:rsidR="000726E1">
        <w:t>changes to the APVMA’s cost recovery policy better align regulatory charges with the Charging Framework</w:t>
      </w:r>
      <w:r w:rsidR="000726E1" w:rsidRPr="000726E1">
        <w:t xml:space="preserve"> </w:t>
      </w:r>
      <w:r w:rsidR="000726E1">
        <w:t xml:space="preserve">and the Cost Recovery Policy, improve financial sustainability, and address structural weaknesses in the </w:t>
      </w:r>
      <w:r w:rsidR="00F06846">
        <w:t>prior policy</w:t>
      </w:r>
      <w:r w:rsidR="000726E1">
        <w:t xml:space="preserve">. In particular, the revised policy </w:t>
      </w:r>
      <w:r w:rsidR="00F06846">
        <w:t xml:space="preserve">will </w:t>
      </w:r>
      <w:r w:rsidR="000726E1">
        <w:t xml:space="preserve">reduce cross-subsidisation and ensure regulatory costs are </w:t>
      </w:r>
      <w:r w:rsidR="00B355C0">
        <w:t>paid</w:t>
      </w:r>
      <w:r w:rsidR="000726E1">
        <w:t xml:space="preserve"> by those who benefit from</w:t>
      </w:r>
      <w:r w:rsidR="00B355C0">
        <w:t xml:space="preserve"> the APVMA’s</w:t>
      </w:r>
      <w:r w:rsidR="000726E1">
        <w:t xml:space="preserve"> regulatory services.</w:t>
      </w:r>
    </w:p>
    <w:p w14:paraId="4E481225" w14:textId="140B25EA" w:rsidR="00CF73ED" w:rsidRPr="00D0686C" w:rsidRDefault="00CF73ED" w:rsidP="00D0686C">
      <w:pPr>
        <w:pStyle w:val="Heading2"/>
      </w:pPr>
      <w:bookmarkStart w:id="4" w:name="_Toc234585889"/>
      <w:r w:rsidRPr="00D0686C">
        <w:t>Purpose of this paper</w:t>
      </w:r>
      <w:bookmarkEnd w:id="4"/>
    </w:p>
    <w:p w14:paraId="3AA510C4" w14:textId="5FB3D1C2" w:rsidR="000B308C" w:rsidRDefault="00052AC0" w:rsidP="004A45DA">
      <w:pPr>
        <w:pStyle w:val="NormalText"/>
        <w:rPr>
          <w:bCs/>
        </w:rPr>
      </w:pPr>
      <w:r w:rsidRPr="00052AC0">
        <w:rPr>
          <w:bCs/>
        </w:rPr>
        <w:t xml:space="preserve">The purpose of this consultation is to provide industry and other interested stakeholders with the opportunity to comment on the </w:t>
      </w:r>
      <w:r w:rsidR="000C2A47">
        <w:rPr>
          <w:bCs/>
        </w:rPr>
        <w:t>APVMA</w:t>
      </w:r>
      <w:r w:rsidRPr="00052AC0">
        <w:rPr>
          <w:bCs/>
        </w:rPr>
        <w:t>’s proposed fees and charges for the 202</w:t>
      </w:r>
      <w:r w:rsidR="00FB4A86">
        <w:rPr>
          <w:bCs/>
        </w:rPr>
        <w:t>7</w:t>
      </w:r>
      <w:r w:rsidR="00575EC5" w:rsidRPr="00C27EC4">
        <w:rPr>
          <w:bCs/>
        </w:rPr>
        <w:t>–</w:t>
      </w:r>
      <w:r w:rsidRPr="00052AC0">
        <w:rPr>
          <w:bCs/>
        </w:rPr>
        <w:t>2</w:t>
      </w:r>
      <w:r w:rsidR="00FB4A86">
        <w:rPr>
          <w:bCs/>
        </w:rPr>
        <w:t>8</w:t>
      </w:r>
      <w:r w:rsidRPr="00052AC0">
        <w:rPr>
          <w:bCs/>
        </w:rPr>
        <w:t xml:space="preserve"> financial year. </w:t>
      </w:r>
      <w:r w:rsidR="00804B75">
        <w:rPr>
          <w:bCs/>
        </w:rPr>
        <w:t xml:space="preserve">It </w:t>
      </w:r>
      <w:r w:rsidR="000B308C" w:rsidRPr="001C49AE">
        <w:rPr>
          <w:bCs/>
        </w:rPr>
        <w:t>outlines changes to the APVMA’s cost</w:t>
      </w:r>
      <w:r w:rsidR="000D2010" w:rsidRPr="001C49AE">
        <w:rPr>
          <w:bCs/>
        </w:rPr>
        <w:t xml:space="preserve"> </w:t>
      </w:r>
      <w:r w:rsidR="000B308C" w:rsidRPr="001C49AE">
        <w:rPr>
          <w:bCs/>
        </w:rPr>
        <w:t>recovery arrangements</w:t>
      </w:r>
      <w:r w:rsidR="008C0173" w:rsidRPr="001C49AE">
        <w:rPr>
          <w:bCs/>
        </w:rPr>
        <w:t xml:space="preserve"> and how th</w:t>
      </w:r>
      <w:r w:rsidR="001552D1" w:rsidRPr="001C49AE">
        <w:rPr>
          <w:bCs/>
        </w:rPr>
        <w:t>ese</w:t>
      </w:r>
      <w:r w:rsidR="001C49AE">
        <w:rPr>
          <w:bCs/>
        </w:rPr>
        <w:t xml:space="preserve"> </w:t>
      </w:r>
      <w:r w:rsidR="008C0173" w:rsidRPr="00C27EC4">
        <w:rPr>
          <w:bCs/>
        </w:rPr>
        <w:t>differ from the</w:t>
      </w:r>
      <w:r w:rsidR="000B308C" w:rsidRPr="00C27EC4">
        <w:rPr>
          <w:bCs/>
        </w:rPr>
        <w:t xml:space="preserve"> 2025–26 CRIS</w:t>
      </w:r>
      <w:r w:rsidR="008C0173" w:rsidRPr="001C49AE">
        <w:rPr>
          <w:bCs/>
        </w:rPr>
        <w:t>.</w:t>
      </w:r>
    </w:p>
    <w:p w14:paraId="59FECEE9" w14:textId="1DCCE2EE" w:rsidR="009C7378" w:rsidRPr="001C49AE" w:rsidRDefault="009C7378" w:rsidP="004A45DA">
      <w:pPr>
        <w:pStyle w:val="NormalText"/>
        <w:rPr>
          <w:bCs/>
        </w:rPr>
      </w:pPr>
      <w:r>
        <w:t>For the purposes of this paper, a “funding model” sets out how an entity’s activities are funded in accordance with its statutory functions and government policy, it does not necessarily determine individual fees or charges.</w:t>
      </w:r>
    </w:p>
    <w:p w14:paraId="165B80E7" w14:textId="0BAEB25D" w:rsidR="00581FF6" w:rsidRPr="000D2010" w:rsidRDefault="009C3D2E" w:rsidP="000D2010">
      <w:pPr>
        <w:pStyle w:val="NormalText"/>
      </w:pPr>
      <w:r>
        <w:t>T</w:t>
      </w:r>
      <w:r w:rsidR="000D2010" w:rsidRPr="000D2010">
        <w:t>he revised cost recovery policy</w:t>
      </w:r>
      <w:r w:rsidR="007B39EF">
        <w:t xml:space="preserve"> </w:t>
      </w:r>
      <w:r w:rsidR="6DF58D1D">
        <w:t xml:space="preserve">requires the </w:t>
      </w:r>
      <w:r w:rsidR="058A792E">
        <w:t>APVMA</w:t>
      </w:r>
      <w:r w:rsidR="18593FBD">
        <w:t xml:space="preserve"> to:</w:t>
      </w:r>
    </w:p>
    <w:p w14:paraId="32572FD7" w14:textId="13143B13" w:rsidR="000D2010" w:rsidRPr="000D2010" w:rsidRDefault="000D2010" w:rsidP="000D2010">
      <w:pPr>
        <w:pStyle w:val="NormalText"/>
        <w:numPr>
          <w:ilvl w:val="0"/>
          <w:numId w:val="12"/>
        </w:numPr>
        <w:rPr>
          <w:szCs w:val="19"/>
        </w:rPr>
      </w:pPr>
      <w:r w:rsidRPr="000D2010">
        <w:t xml:space="preserve">recover </w:t>
      </w:r>
      <w:r w:rsidR="00A004F5">
        <w:t>the full</w:t>
      </w:r>
      <w:r w:rsidR="00591EB7">
        <w:t xml:space="preserve"> and</w:t>
      </w:r>
      <w:r w:rsidR="00A004F5">
        <w:t xml:space="preserve"> </w:t>
      </w:r>
      <w:r w:rsidRPr="000D2010">
        <w:t xml:space="preserve">efficient costs for most fee-for-service regulatory activities through </w:t>
      </w:r>
      <w:r w:rsidR="33EFC8C3">
        <w:t>direct</w:t>
      </w:r>
      <w:r w:rsidRPr="000D2010">
        <w:t xml:space="preserve"> </w:t>
      </w:r>
      <w:r w:rsidDel="000D2010">
        <w:t>fees</w:t>
      </w:r>
      <w:r w:rsidR="00B20D9F">
        <w:t xml:space="preserve">, </w:t>
      </w:r>
    </w:p>
    <w:p w14:paraId="5410AD53" w14:textId="545D8334" w:rsidR="00487BB8" w:rsidRPr="002C02F4" w:rsidRDefault="00487BB8" w:rsidP="00487BB8">
      <w:pPr>
        <w:pStyle w:val="NormalText"/>
        <w:numPr>
          <w:ilvl w:val="0"/>
          <w:numId w:val="12"/>
        </w:numPr>
      </w:pPr>
      <w:r w:rsidRPr="000D2010">
        <w:lastRenderedPageBreak/>
        <w:t xml:space="preserve">reduce sales-based levies, reflecting </w:t>
      </w:r>
      <w:r w:rsidR="5A06D49E">
        <w:t xml:space="preserve">the </w:t>
      </w:r>
      <w:r>
        <w:t xml:space="preserve">increased </w:t>
      </w:r>
      <w:r w:rsidR="4DA11F36">
        <w:t xml:space="preserve">share of </w:t>
      </w:r>
      <w:r w:rsidRPr="000D2010">
        <w:t xml:space="preserve">costs </w:t>
      </w:r>
      <w:r w:rsidR="3EBAF647" w:rsidRPr="002C02F4">
        <w:t xml:space="preserve">recovered </w:t>
      </w:r>
      <w:r w:rsidRPr="002C02F4">
        <w:t>through fees</w:t>
      </w:r>
      <w:r w:rsidR="00D16E6B" w:rsidRPr="002C02F4">
        <w:t>,</w:t>
      </w:r>
    </w:p>
    <w:p w14:paraId="55D3071F" w14:textId="47FD4159" w:rsidR="000D2010" w:rsidRPr="002C02F4" w:rsidRDefault="000D2010" w:rsidP="000D2010">
      <w:pPr>
        <w:pStyle w:val="NormalText"/>
        <w:numPr>
          <w:ilvl w:val="0"/>
          <w:numId w:val="12"/>
        </w:numPr>
      </w:pPr>
      <w:r w:rsidRPr="002C02F4">
        <w:t>maintain appropriat</w:t>
      </w:r>
      <w:r w:rsidR="1D5B61E6" w:rsidRPr="002C02F4">
        <w:t>ed</w:t>
      </w:r>
      <w:r w:rsidRPr="002C02F4">
        <w:t xml:space="preserve"> funding for discrete activities that deliver significant public</w:t>
      </w:r>
      <w:r w:rsidR="5C5040D2" w:rsidRPr="002C02F4">
        <w:t xml:space="preserve"> </w:t>
      </w:r>
      <w:r w:rsidRPr="002C02F4">
        <w:t>good outcomes</w:t>
      </w:r>
      <w:r w:rsidR="366CF842" w:rsidRPr="002C02F4">
        <w:t xml:space="preserve"> (such as emergency use permits)</w:t>
      </w:r>
      <w:r w:rsidR="003610A4" w:rsidRPr="002C02F4">
        <w:t>, and</w:t>
      </w:r>
    </w:p>
    <w:p w14:paraId="73F89865" w14:textId="169D5EDA" w:rsidR="000D2010" w:rsidRPr="002C02F4" w:rsidRDefault="16C4E0C2" w:rsidP="000D2010">
      <w:pPr>
        <w:pStyle w:val="NormalText"/>
        <w:numPr>
          <w:ilvl w:val="0"/>
          <w:numId w:val="12"/>
        </w:numPr>
      </w:pPr>
      <w:r w:rsidRPr="002C02F4">
        <w:t xml:space="preserve">maintain </w:t>
      </w:r>
      <w:r w:rsidR="000D2010" w:rsidRPr="002C02F4">
        <w:t>reduced fees for minor use permits, with remaining costs shared between levies and appropriation</w:t>
      </w:r>
      <w:r w:rsidR="61EFF6B0" w:rsidRPr="002C02F4">
        <w:t>s</w:t>
      </w:r>
      <w:r w:rsidR="001329EC" w:rsidRPr="002C02F4">
        <w:t>.</w:t>
      </w:r>
    </w:p>
    <w:p w14:paraId="1222A9A6" w14:textId="5F50F500" w:rsidR="004A45DA" w:rsidRPr="002C02F4" w:rsidRDefault="00563D16" w:rsidP="00353C5F">
      <w:pPr>
        <w:pStyle w:val="NormalText"/>
      </w:pPr>
      <w:r w:rsidRPr="002C02F4">
        <w:t xml:space="preserve">The APVMA </w:t>
      </w:r>
      <w:r w:rsidR="00E556D1" w:rsidRPr="002C02F4">
        <w:t>is</w:t>
      </w:r>
      <w:r w:rsidRPr="002C02F4">
        <w:t xml:space="preserve"> committed to implementing a sustainable funding framework that supports long-term financial viability, </w:t>
      </w:r>
      <w:r w:rsidR="00942B5F" w:rsidRPr="002C02F4">
        <w:t xml:space="preserve">enables delivery of its full suite of regulatory functions, and meets community expectations. The revised </w:t>
      </w:r>
      <w:r w:rsidR="009813AD" w:rsidRPr="002C02F4">
        <w:t>funding model</w:t>
      </w:r>
      <w:r w:rsidR="00942B5F" w:rsidRPr="002C02F4">
        <w:t xml:space="preserve"> is designed to address projected operating deficits from the 202</w:t>
      </w:r>
      <w:r w:rsidR="00FB4A86">
        <w:t>7</w:t>
      </w:r>
      <w:r w:rsidR="009813AD" w:rsidRPr="002C02F4">
        <w:t>–</w:t>
      </w:r>
      <w:r w:rsidR="00942B5F" w:rsidRPr="002C02F4">
        <w:t>2</w:t>
      </w:r>
      <w:r w:rsidR="00FB4A86">
        <w:t>8</w:t>
      </w:r>
      <w:r w:rsidR="00942B5F" w:rsidRPr="002C02F4">
        <w:t xml:space="preserve"> financial year and reduce reliance on ad-hoc funding measures.</w:t>
      </w:r>
    </w:p>
    <w:p w14:paraId="4167C0F2" w14:textId="64F2F979" w:rsidR="000B308C" w:rsidRDefault="000F7858" w:rsidP="00353C5F">
      <w:pPr>
        <w:pStyle w:val="NormalText"/>
      </w:pPr>
      <w:r w:rsidRPr="002C02F4">
        <w:t xml:space="preserve">This </w:t>
      </w:r>
      <w:r w:rsidR="00AF46D6" w:rsidRPr="002C02F4">
        <w:t xml:space="preserve">paper presents </w:t>
      </w:r>
      <w:r w:rsidR="009E1C5D" w:rsidRPr="002C02F4">
        <w:t>the changes to the APVMA</w:t>
      </w:r>
      <w:r w:rsidR="7E4C3977" w:rsidRPr="002C02F4">
        <w:t>’s</w:t>
      </w:r>
      <w:r w:rsidR="009E1C5D" w:rsidRPr="002C02F4">
        <w:t xml:space="preserve"> charges resulting from the </w:t>
      </w:r>
      <w:r w:rsidR="00AF46D6" w:rsidRPr="002C02F4">
        <w:t xml:space="preserve">revised cost recovery policy. </w:t>
      </w:r>
      <w:r w:rsidR="00A07F86" w:rsidRPr="002C02F4">
        <w:t>It also reflects a revised approach to CRIS consultation. For th</w:t>
      </w:r>
      <w:r w:rsidR="00CA0A97">
        <w:t>e</w:t>
      </w:r>
      <w:r w:rsidR="00A07F86" w:rsidRPr="002C02F4">
        <w:t xml:space="preserve"> </w:t>
      </w:r>
      <w:r w:rsidR="00CA0A97">
        <w:t xml:space="preserve">2027-28 </w:t>
      </w:r>
      <w:r w:rsidR="00A07F86" w:rsidRPr="002C02F4">
        <w:t>CRIS and future iterations, the consultation process will document how the APVMA's fees and charges comply with its cost recovery policy, including any updated charges. Policy changes will continue to be considered separately by the Department of Agriculture, Fisheries and Forestry (DAFF) as the relevant policy agency. If a policy change alters the APVMA's cost recovery charges, this</w:t>
      </w:r>
      <w:r w:rsidR="00A07F86" w:rsidRPr="00595290">
        <w:t xml:space="preserve"> will be reflected in the relevant CRIS. This approach is consistent with how other Commonwealth entities consult on cost recovery arrangements.</w:t>
      </w:r>
    </w:p>
    <w:p w14:paraId="6559BFAA" w14:textId="56CA4A98" w:rsidR="00D0686C" w:rsidRDefault="00C643CB" w:rsidP="00247ECF">
      <w:pPr>
        <w:pStyle w:val="NormalText"/>
        <w:sectPr w:rsidR="00D0686C" w:rsidSect="00D0686C">
          <w:headerReference w:type="even" r:id="rId33"/>
          <w:headerReference w:type="default" r:id="rId34"/>
          <w:headerReference w:type="first" r:id="rId35"/>
          <w:pgSz w:w="11906" w:h="16838" w:code="9"/>
          <w:pgMar w:top="2835" w:right="1134" w:bottom="1134" w:left="1134" w:header="1701" w:footer="680" w:gutter="0"/>
          <w:pgNumType w:start="1"/>
          <w:cols w:space="708"/>
          <w:docGrid w:linePitch="360"/>
        </w:sectPr>
      </w:pPr>
      <w:r w:rsidRPr="00595290">
        <w:t xml:space="preserve">The proposed changes outlined in this paper are intended to commence from 1 </w:t>
      </w:r>
      <w:r w:rsidR="00FB4A86">
        <w:t>July 2027</w:t>
      </w:r>
      <w:r w:rsidRPr="00595290">
        <w:t xml:space="preserve">, subject to consultation outcomes, </w:t>
      </w:r>
      <w:r>
        <w:t>m</w:t>
      </w:r>
      <w:r w:rsidRPr="00595290">
        <w:t>inisterial agreement, and any required regulatory amendments. The impacts of the revised funding model will be monitored and reviewed following implementation using financial, operational and market indicators.</w:t>
      </w:r>
    </w:p>
    <w:p w14:paraId="3527C5BF" w14:textId="134AB691" w:rsidR="00FF370E" w:rsidRDefault="0091777B" w:rsidP="007C31BB">
      <w:pPr>
        <w:pStyle w:val="Heading1"/>
      </w:pPr>
      <w:bookmarkStart w:id="5" w:name="_Toc234585890"/>
      <w:r>
        <w:lastRenderedPageBreak/>
        <w:t>Introduction</w:t>
      </w:r>
      <w:bookmarkEnd w:id="5"/>
    </w:p>
    <w:p w14:paraId="468C2B6E" w14:textId="5551F7FB" w:rsidR="0040344D" w:rsidRPr="002C02F4" w:rsidRDefault="0040344D" w:rsidP="00E63DB1">
      <w:pPr>
        <w:pStyle w:val="NormalText"/>
      </w:pPr>
      <w:r w:rsidRPr="002C02F4">
        <w:t xml:space="preserve">The </w:t>
      </w:r>
      <w:r w:rsidR="000B308C" w:rsidRPr="002C02F4">
        <w:t>APVMA</w:t>
      </w:r>
      <w:r w:rsidRPr="002C02F4">
        <w:t xml:space="preserve"> is the independent statutory authority responsible for </w:t>
      </w:r>
      <w:r w:rsidR="639EBDCA" w:rsidRPr="002C02F4">
        <w:t>the</w:t>
      </w:r>
      <w:r w:rsidR="4FACA8F0" w:rsidRPr="002C02F4">
        <w:t xml:space="preserve"> </w:t>
      </w:r>
      <w:r w:rsidRPr="002C02F4">
        <w:t xml:space="preserve">registration of </w:t>
      </w:r>
      <w:proofErr w:type="spellStart"/>
      <w:r w:rsidR="000B308C" w:rsidRPr="002C02F4">
        <w:t>agvet</w:t>
      </w:r>
      <w:proofErr w:type="spellEnd"/>
      <w:r w:rsidRPr="002C02F4">
        <w:t xml:space="preserve"> chemical</w:t>
      </w:r>
      <w:r w:rsidR="000B308C" w:rsidRPr="002C02F4">
        <w:t xml:space="preserve">s </w:t>
      </w:r>
      <w:r w:rsidRPr="002C02F4">
        <w:t xml:space="preserve">in Australia. </w:t>
      </w:r>
      <w:r w:rsidR="00853F6F" w:rsidRPr="002C02F4">
        <w:t>Its purpose is to regulate agricultural and veterinary chemicals to protect the health and safety of people, animals and the environment, while supporting primary industries, biosecurity and international trade.</w:t>
      </w:r>
    </w:p>
    <w:p w14:paraId="6EEA4E8E" w14:textId="55B070E0" w:rsidR="001644D2" w:rsidRPr="002C02F4" w:rsidRDefault="001644D2" w:rsidP="001644D2">
      <w:pPr>
        <w:pStyle w:val="NormalText"/>
      </w:pPr>
      <w:r w:rsidRPr="002C02F4">
        <w:t xml:space="preserve">The APVMA </w:t>
      </w:r>
      <w:r w:rsidR="00B355C0" w:rsidRPr="002C02F4">
        <w:t xml:space="preserve">primarily </w:t>
      </w:r>
      <w:r w:rsidRPr="002C02F4">
        <w:t>operates on a cost-recover</w:t>
      </w:r>
      <w:r w:rsidR="00193A3C" w:rsidRPr="002C02F4">
        <w:t>ed</w:t>
      </w:r>
      <w:r w:rsidRPr="002C02F4">
        <w:t xml:space="preserve"> basis, receiving revenue from industry fees and levies and an appropriation from the Australian Government. As a cost recovered regulator, the APVMA is committed to operating efficiently, transparently and in accordance with the Charging Framework and the Cost Recovery Policy, ensuring that the fair costs of regulatory activities are paid by those who benefit from the</w:t>
      </w:r>
      <w:r w:rsidR="00612981">
        <w:t>se services</w:t>
      </w:r>
      <w:r w:rsidRPr="002C02F4">
        <w:t>.</w:t>
      </w:r>
    </w:p>
    <w:p w14:paraId="4BA8E1AD" w14:textId="51E6661D" w:rsidR="00563D16" w:rsidRPr="002C02F4" w:rsidRDefault="00193A3C" w:rsidP="00D0686C">
      <w:pPr>
        <w:pStyle w:val="Heading2"/>
      </w:pPr>
      <w:bookmarkStart w:id="6" w:name="_Toc234585891"/>
      <w:r w:rsidRPr="002C02F4">
        <w:t xml:space="preserve">Previous </w:t>
      </w:r>
      <w:r w:rsidR="00563D16" w:rsidRPr="002C02F4">
        <w:t xml:space="preserve">policy settings and their </w:t>
      </w:r>
      <w:r w:rsidRPr="002C02F4">
        <w:t xml:space="preserve">market </w:t>
      </w:r>
      <w:r w:rsidR="00563D16" w:rsidRPr="002C02F4">
        <w:t>impact</w:t>
      </w:r>
      <w:bookmarkEnd w:id="6"/>
    </w:p>
    <w:p w14:paraId="71E918A2" w14:textId="7C2AFAB2" w:rsidR="000100DB" w:rsidRDefault="000100DB" w:rsidP="000100DB">
      <w:pPr>
        <w:pStyle w:val="NormalText"/>
      </w:pPr>
      <w:r w:rsidRPr="002C02F4">
        <w:t xml:space="preserve">The APVMA’s </w:t>
      </w:r>
      <w:r w:rsidR="00193A3C" w:rsidRPr="002C02F4">
        <w:t>previous</w:t>
      </w:r>
      <w:r w:rsidRPr="002C02F4">
        <w:t xml:space="preserve"> cost recovery policy was established</w:t>
      </w:r>
      <w:r>
        <w:t xml:space="preserve"> in </w:t>
      </w:r>
      <w:proofErr w:type="gramStart"/>
      <w:r>
        <w:t xml:space="preserve">1994, </w:t>
      </w:r>
      <w:r w:rsidR="00612981">
        <w:t>and</w:t>
      </w:r>
      <w:proofErr w:type="gramEnd"/>
      <w:r w:rsidR="00612981">
        <w:t xml:space="preserve"> was intended to ensure </w:t>
      </w:r>
      <w:r>
        <w:t>that registration fees did not act as a barrier to innovation or market diversity. While the policy was clarified in 2019, it has not been substantively revised since its introduction.</w:t>
      </w:r>
    </w:p>
    <w:p w14:paraId="6DC5C1EF" w14:textId="5523B20B" w:rsidR="00620C37" w:rsidRDefault="00620C37" w:rsidP="00620C37">
      <w:pPr>
        <w:pStyle w:val="NormalText"/>
      </w:pPr>
      <w:bookmarkStart w:id="7" w:name="_Toc56155787"/>
      <w:r w:rsidRPr="00595290">
        <w:t xml:space="preserve">The APVMA’s </w:t>
      </w:r>
      <w:r w:rsidR="00193A3C">
        <w:t>previous</w:t>
      </w:r>
      <w:r w:rsidRPr="00595290">
        <w:t xml:space="preserve"> cost recovery policy, commonly referred to as the “40:60 split”, is a </w:t>
      </w:r>
      <w:r w:rsidR="00193A3C">
        <w:t>partial</w:t>
      </w:r>
      <w:r w:rsidR="00193A3C" w:rsidRPr="00595290">
        <w:t xml:space="preserve"> </w:t>
      </w:r>
      <w:r w:rsidRPr="00595290">
        <w:t>cost recovery model. Under the 40:60 split, application fees for fee-for-service regulatory activities recover</w:t>
      </w:r>
      <w:r w:rsidR="00193A3C">
        <w:t>ed</w:t>
      </w:r>
      <w:r w:rsidRPr="00595290">
        <w:t xml:space="preserve">, on average, 40 per cent of the costs of assessment, with the remaining 60 per cent recovered through a statutory levy on </w:t>
      </w:r>
      <w:r w:rsidR="00193A3C">
        <w:t xml:space="preserve">the sale of </w:t>
      </w:r>
      <w:r w:rsidRPr="00595290">
        <w:t xml:space="preserve">registered products. The levy </w:t>
      </w:r>
      <w:r w:rsidR="00193A3C">
        <w:t>was</w:t>
      </w:r>
      <w:r w:rsidRPr="00595290">
        <w:t xml:space="preserve"> also relied upon to fund the APVMA’s post-market regulatory activities, including compliance, monitoring</w:t>
      </w:r>
      <w:r w:rsidR="002C0DBC">
        <w:t>,</w:t>
      </w:r>
      <w:r w:rsidRPr="00595290">
        <w:t xml:space="preserve"> and chemical reviews.</w:t>
      </w:r>
    </w:p>
    <w:p w14:paraId="03B79394" w14:textId="088B62AF" w:rsidR="00D05B40" w:rsidRDefault="001B4141" w:rsidP="00D0686C">
      <w:pPr>
        <w:pStyle w:val="NormalText"/>
        <w:rPr>
          <w:rFonts w:ascii="Franklin Gothic Medium" w:hAnsi="Franklin Gothic Medium"/>
          <w:color w:val="5C2946"/>
        </w:rPr>
      </w:pPr>
      <w:r w:rsidRPr="00595290">
        <w:t xml:space="preserve">Over time, the APVMA’s cost recovery arrangements have fallen out of step with </w:t>
      </w:r>
      <w:r w:rsidR="00193A3C">
        <w:t>this</w:t>
      </w:r>
      <w:r w:rsidRPr="00595290">
        <w:t xml:space="preserve"> policy. Fees and levies have not been updated since 2019, despite rising workforce and ICT costs, increasing scientific and regulatory complexity, and heightened expectations for post-market assurance. Since 2020, the gap between cost-recovered revenue and operating costs has grown from approximately $2 million to $5 million per year. Fees in the 2024–25 financial year recovered approximately 27 per cent of underlying assessment costs, which is well below the intended policy objective.</w:t>
      </w:r>
      <w:r w:rsidR="00D05B40">
        <w:br w:type="page"/>
      </w:r>
    </w:p>
    <w:p w14:paraId="752EBB45" w14:textId="3D8BA0BA" w:rsidR="00D05B40" w:rsidRDefault="00D05B40" w:rsidP="00D05B40">
      <w:pPr>
        <w:pStyle w:val="Figurecaption"/>
      </w:pPr>
      <w:r w:rsidRPr="001A682B">
        <w:lastRenderedPageBreak/>
        <w:t xml:space="preserve">Figure </w:t>
      </w:r>
      <w:fldSimple w:instr=" SEQ Figure \* ARABIC ">
        <w:r w:rsidRPr="001A682B">
          <w:rPr>
            <w:noProof/>
          </w:rPr>
          <w:t>1</w:t>
        </w:r>
      </w:fldSimple>
      <w:r w:rsidRPr="001A682B">
        <w:t>:</w:t>
      </w:r>
      <w:r w:rsidRPr="001A682B">
        <w:tab/>
      </w:r>
      <w:bookmarkEnd w:id="7"/>
      <w:r w:rsidR="001A682B" w:rsidRPr="001A682B">
        <w:t>Impacts of under recovery on APVMA revenue</w:t>
      </w:r>
    </w:p>
    <w:p w14:paraId="416FDF9D" w14:textId="6F19A4A5" w:rsidR="00D05B40" w:rsidRDefault="00881491" w:rsidP="00D05B40">
      <w:pPr>
        <w:pStyle w:val="Figurecaption"/>
      </w:pPr>
      <w:r w:rsidRPr="00881491">
        <w:rPr>
          <w:noProof/>
        </w:rPr>
        <w:drawing>
          <wp:anchor distT="0" distB="0" distL="114300" distR="114300" simplePos="0" relativeHeight="251658240" behindDoc="0" locked="0" layoutInCell="1" allowOverlap="1" wp14:anchorId="36D851EA" wp14:editId="0CE04DFE">
            <wp:simplePos x="0" y="0"/>
            <wp:positionH relativeFrom="column">
              <wp:posOffset>3810</wp:posOffset>
            </wp:positionH>
            <wp:positionV relativeFrom="paragraph">
              <wp:posOffset>127000</wp:posOffset>
            </wp:positionV>
            <wp:extent cx="6120130" cy="2628265"/>
            <wp:effectExtent l="0" t="0" r="0" b="635"/>
            <wp:wrapNone/>
            <wp:docPr id="414579028" name="Picture 1" descr="Impacts of under recovery on APVMA 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79028" name="Picture 1" descr="Impacts of under recovery on APVMA revenue"/>
                    <pic:cNvPicPr/>
                  </pic:nvPicPr>
                  <pic:blipFill>
                    <a:blip r:embed="rId36">
                      <a:extLst>
                        <a:ext uri="{28A0092B-C50C-407E-A947-70E740481C1C}">
                          <a14:useLocalDpi xmlns:a14="http://schemas.microsoft.com/office/drawing/2010/main" val="0"/>
                        </a:ext>
                      </a:extLst>
                    </a:blip>
                    <a:stretch>
                      <a:fillRect/>
                    </a:stretch>
                  </pic:blipFill>
                  <pic:spPr>
                    <a:xfrm>
                      <a:off x="0" y="0"/>
                      <a:ext cx="6120130" cy="2628265"/>
                    </a:xfrm>
                    <a:prstGeom prst="rect">
                      <a:avLst/>
                    </a:prstGeom>
                  </pic:spPr>
                </pic:pic>
              </a:graphicData>
            </a:graphic>
          </wp:anchor>
        </w:drawing>
      </w:r>
    </w:p>
    <w:p w14:paraId="184B111E" w14:textId="77777777" w:rsidR="00D05B40" w:rsidRDefault="00D05B40" w:rsidP="00D05B40">
      <w:pPr>
        <w:pStyle w:val="Figurecaption"/>
      </w:pPr>
    </w:p>
    <w:p w14:paraId="2C632A9E" w14:textId="77777777" w:rsidR="00D05B40" w:rsidRDefault="00D05B40" w:rsidP="00D05B40">
      <w:pPr>
        <w:pStyle w:val="Figurecaption"/>
      </w:pPr>
    </w:p>
    <w:p w14:paraId="44ED6CC0" w14:textId="77777777" w:rsidR="00D05B40" w:rsidRDefault="00D05B40" w:rsidP="00D05B40">
      <w:pPr>
        <w:pStyle w:val="Figurecaption"/>
      </w:pPr>
    </w:p>
    <w:p w14:paraId="249CE387" w14:textId="77777777" w:rsidR="00D05B40" w:rsidRDefault="00D05B40" w:rsidP="00D05B40">
      <w:pPr>
        <w:pStyle w:val="Figurecaption"/>
      </w:pPr>
    </w:p>
    <w:p w14:paraId="49922C97" w14:textId="77777777" w:rsidR="00D05B40" w:rsidRDefault="00D05B40" w:rsidP="00D05B40">
      <w:pPr>
        <w:pStyle w:val="Figurecaption"/>
      </w:pPr>
    </w:p>
    <w:p w14:paraId="3F55C618" w14:textId="77777777" w:rsidR="00D05B40" w:rsidRDefault="00D05B40" w:rsidP="00D05B40">
      <w:pPr>
        <w:pStyle w:val="Figurecaption"/>
      </w:pPr>
    </w:p>
    <w:p w14:paraId="25BF7FF4" w14:textId="557470D6" w:rsidR="00D05B40" w:rsidRDefault="00D05B40" w:rsidP="00D05B40">
      <w:pPr>
        <w:pStyle w:val="Figurecaption"/>
      </w:pPr>
    </w:p>
    <w:p w14:paraId="6147EAE7" w14:textId="77777777" w:rsidR="00D05B40" w:rsidRDefault="00D05B40" w:rsidP="00D05B40">
      <w:pPr>
        <w:pStyle w:val="NormalText"/>
        <w:spacing w:after="0"/>
      </w:pPr>
    </w:p>
    <w:p w14:paraId="069CA36B" w14:textId="59C0C993" w:rsidR="00563D16" w:rsidRDefault="00563D16" w:rsidP="00E63DB1">
      <w:pPr>
        <w:pStyle w:val="NormalText"/>
      </w:pPr>
      <w:r>
        <w:t>Further e</w:t>
      </w:r>
      <w:r w:rsidR="00E63DB1" w:rsidRPr="00E63DB1">
        <w:t xml:space="preserve">vidence demonstrates that these arrangements </w:t>
      </w:r>
      <w:r w:rsidR="00193A3C">
        <w:t>led</w:t>
      </w:r>
      <w:r w:rsidR="00E63DB1" w:rsidRPr="00E63DB1">
        <w:t xml:space="preserve"> to significant cross-subsidisation within the market. </w:t>
      </w:r>
      <w:r w:rsidR="00510F62">
        <w:t>A</w:t>
      </w:r>
      <w:r w:rsidR="00E63DB1" w:rsidRPr="00E63DB1">
        <w:t>pproximately half of all registered products have never recorded a sale in Australia</w:t>
      </w:r>
      <w:r w:rsidR="00ED50D4">
        <w:t>. A</w:t>
      </w:r>
      <w:r w:rsidR="00D035E6">
        <w:t xml:space="preserve"> significant number of applicat</w:t>
      </w:r>
      <w:r w:rsidR="00C513F6">
        <w:t>ions</w:t>
      </w:r>
      <w:r w:rsidR="00D035E6">
        <w:t xml:space="preserve"> t</w:t>
      </w:r>
      <w:r w:rsidR="00193A3C">
        <w:t>ook</w:t>
      </w:r>
      <w:r w:rsidR="00D035E6">
        <w:t xml:space="preserve"> advantage of APVMA’s subsidised up front pricing to gain Australian approval as </w:t>
      </w:r>
      <w:r w:rsidR="002051C8">
        <w:t>a</w:t>
      </w:r>
      <w:r w:rsidR="00FE7BA0">
        <w:t xml:space="preserve"> </w:t>
      </w:r>
      <w:r w:rsidR="00C513F6">
        <w:t>pathway to</w:t>
      </w:r>
      <w:r w:rsidR="00FE7BA0">
        <w:t xml:space="preserve"> approval in other countries, never intending </w:t>
      </w:r>
      <w:r w:rsidR="00C513F6">
        <w:t xml:space="preserve">the product </w:t>
      </w:r>
      <w:r w:rsidR="00FE7BA0">
        <w:t xml:space="preserve">to be </w:t>
      </w:r>
      <w:r w:rsidR="00C513F6">
        <w:t>sold in Australia.</w:t>
      </w:r>
      <w:r w:rsidR="00E63DB1" w:rsidRPr="00E63DB1">
        <w:t xml:space="preserve"> As a result, </w:t>
      </w:r>
      <w:r>
        <w:t>t</w:t>
      </w:r>
      <w:r w:rsidRPr="00EE7006">
        <w:t xml:space="preserve">hese products </w:t>
      </w:r>
      <w:r w:rsidR="00193A3C">
        <w:t xml:space="preserve">only </w:t>
      </w:r>
      <w:r w:rsidRPr="00EE7006">
        <w:t xml:space="preserve">paid the subsidised application fee </w:t>
      </w:r>
      <w:r w:rsidR="00193A3C">
        <w:t xml:space="preserve">without </w:t>
      </w:r>
      <w:r w:rsidRPr="00EE7006">
        <w:t>contribut</w:t>
      </w:r>
      <w:r w:rsidR="00193A3C">
        <w:t>ing</w:t>
      </w:r>
      <w:r w:rsidRPr="00EE7006">
        <w:t xml:space="preserve"> to levy revenue, meaning they </w:t>
      </w:r>
      <w:r w:rsidR="00193A3C">
        <w:t>did</w:t>
      </w:r>
      <w:r w:rsidRPr="00EE7006">
        <w:t xml:space="preserve"> not</w:t>
      </w:r>
      <w:r w:rsidR="00193A3C">
        <w:t xml:space="preserve"> pay</w:t>
      </w:r>
      <w:r w:rsidRPr="00EE7006">
        <w:t xml:space="preserve"> their full assessment costs or </w:t>
      </w:r>
      <w:r w:rsidR="00193A3C">
        <w:t xml:space="preserve">fund </w:t>
      </w:r>
      <w:r w:rsidRPr="00EE7006">
        <w:t xml:space="preserve">any post-market regulatory </w:t>
      </w:r>
      <w:r w:rsidR="00193A3C">
        <w:t>activities</w:t>
      </w:r>
      <w:r w:rsidRPr="00EE7006">
        <w:t>.</w:t>
      </w:r>
      <w:r>
        <w:t xml:space="preserve"> </w:t>
      </w:r>
      <w:r w:rsidR="00E63DB1" w:rsidRPr="00E63DB1">
        <w:t xml:space="preserve">This </w:t>
      </w:r>
      <w:r w:rsidR="00193A3C">
        <w:t>placed</w:t>
      </w:r>
      <w:r w:rsidR="00E63DB1" w:rsidRPr="00E63DB1">
        <w:t xml:space="preserve"> a disproportionate cost burden on registrants who actively s</w:t>
      </w:r>
      <w:r w:rsidR="00193A3C">
        <w:t>old</w:t>
      </w:r>
      <w:r w:rsidR="00E63DB1" w:rsidRPr="00E63DB1">
        <w:t xml:space="preserve"> products in Australia, who effectively subsidis</w:t>
      </w:r>
      <w:r w:rsidR="00193A3C">
        <w:t>ed</w:t>
      </w:r>
      <w:r w:rsidR="00E63DB1" w:rsidRPr="00E63DB1">
        <w:t xml:space="preserve"> both the registration and post-market regulation of products that do not enter the Australian market.</w:t>
      </w:r>
    </w:p>
    <w:p w14:paraId="566626A9" w14:textId="780091B7" w:rsidR="00563D16" w:rsidRDefault="00563D16" w:rsidP="00D0686C">
      <w:pPr>
        <w:pStyle w:val="Heading2"/>
      </w:pPr>
      <w:bookmarkStart w:id="8" w:name="_Toc234585892"/>
      <w:r>
        <w:t>Building a sustainable funding model for the APVMA</w:t>
      </w:r>
      <w:bookmarkEnd w:id="8"/>
    </w:p>
    <w:p w14:paraId="35AD4574" w14:textId="5401E8DD" w:rsidR="00FB08BB" w:rsidRDefault="00FB08BB" w:rsidP="00FB08BB">
      <w:pPr>
        <w:pStyle w:val="NormalText"/>
      </w:pPr>
      <w:r>
        <w:t>Multiple</w:t>
      </w:r>
      <w:r w:rsidRPr="00344732">
        <w:t xml:space="preserve"> independent reviews have consistently identified that the APVMA’s current cost-recovery arrangements are insufficient to resource its full suite of regulatory functions and responsibilities.</w:t>
      </w:r>
      <w:r>
        <w:t xml:space="preserve"> These findings were reflected in both the </w:t>
      </w:r>
      <w:hyperlink r:id="rId37">
        <w:r w:rsidRPr="1AFF332C">
          <w:rPr>
            <w:rStyle w:val="Hyperlink"/>
            <w:i/>
            <w:iCs/>
          </w:rPr>
          <w:t>Final Report of the Independent Review of the Pesticides and Veterinary Medicines Regulatory System in Australia</w:t>
        </w:r>
      </w:hyperlink>
      <w:r>
        <w:t xml:space="preserve"> (Independent Review, 2021) and the </w:t>
      </w:r>
      <w:hyperlink r:id="rId38">
        <w:r w:rsidRPr="1AFF332C">
          <w:rPr>
            <w:rStyle w:val="Hyperlink"/>
            <w:i/>
            <w:iCs/>
          </w:rPr>
          <w:t>Final Report on Future Structure and Governance Arrangements for the Australian Pesticides and Veterinary Medicines Authority</w:t>
        </w:r>
      </w:hyperlink>
      <w:r>
        <w:t xml:space="preserve"> (Rapid Evaluation, 2023), each of which recommended a review of the APVMA’s funding model.</w:t>
      </w:r>
    </w:p>
    <w:p w14:paraId="534E43EA" w14:textId="5BD81D2C" w:rsidR="00FB08BB" w:rsidRDefault="00FB08BB" w:rsidP="00FB08BB">
      <w:pPr>
        <w:pStyle w:val="NormalText"/>
      </w:pPr>
      <w:r>
        <w:t xml:space="preserve">These reviews identified that ongoing operating deficits, increasing reliance on cash reserves and </w:t>
      </w:r>
      <w:r w:rsidR="00CA0A97">
        <w:t>top up</w:t>
      </w:r>
      <w:r>
        <w:t xml:space="preserve"> appropriations constrain the APVMA’s ability to invest adequately in post-market regulatory activities, including chemical reviews and compliance. They also highlighted the risk that, without reform, funding pressures would continue to affect regulatory performance and long-term system integrity.</w:t>
      </w:r>
    </w:p>
    <w:p w14:paraId="7C903A80" w14:textId="77777777" w:rsidR="00FB08BB" w:rsidRDefault="00FB08BB" w:rsidP="00FB08BB">
      <w:pPr>
        <w:pStyle w:val="NormalText"/>
      </w:pPr>
      <w:r>
        <w:t xml:space="preserve">In November 2024, the Australian Government published its </w:t>
      </w:r>
      <w:hyperlink r:id="rId39" w:history="1">
        <w:r w:rsidRPr="00344732">
          <w:rPr>
            <w:rStyle w:val="Hyperlink"/>
          </w:rPr>
          <w:t>Detailed Response to the Rapid Evaluation</w:t>
        </w:r>
      </w:hyperlink>
      <w:r w:rsidRPr="00344732">
        <w:t xml:space="preserve"> </w:t>
      </w:r>
      <w:r>
        <w:t xml:space="preserve">(the Detailed Response, 2024). The Detailed Response acknowledged that independent reviews had found the APVMA’s cost recovery framework to be insufficient to support its regulatory responsibilities and committed the </w:t>
      </w:r>
      <w:r>
        <w:lastRenderedPageBreak/>
        <w:t>Australian Government to “undertake analysis to determine the sustainability of the APVMA’s current cost-recovery framework with the aim of the APVMA being financially sustainable” (p. 52).</w:t>
      </w:r>
    </w:p>
    <w:p w14:paraId="65D20F7B" w14:textId="4175A2AE" w:rsidR="00FB53B7" w:rsidRDefault="00FB08BB" w:rsidP="00FB08BB">
      <w:pPr>
        <w:pStyle w:val="NormalText"/>
      </w:pPr>
      <w:r w:rsidRPr="002C02F4">
        <w:t>The Detailed Response also recognised that while increasing industry charges is likely to be necessary to address the growing gap between cost-recovered revenue and operating costs, there is also an opportunity to ensure that charging arrangements more clearly align regulatory costs with beneficiaries and support appropriate regulatory outcomes.</w:t>
      </w:r>
    </w:p>
    <w:p w14:paraId="1FAA85DD" w14:textId="62E238F9" w:rsidR="00DF6CAC" w:rsidRDefault="005C56CC" w:rsidP="00FB08BB">
      <w:pPr>
        <w:pStyle w:val="NormalText"/>
      </w:pPr>
      <w:r w:rsidRPr="005C56CC">
        <w:t>Addressing this gap has been considered with the need to undertake longer-term funding reform. For this reason, in February 2025, the Australian Government provided the APVMA with $5.2 million in additional funding to support a balanced budget in the 2025–26 financial year. In May 2026, the Australian Government decided to delay the APVMA’s annual CRIS update and provided the APVMA a further $8.7 million in additional funding for the 2026-27 financial year. This is intended to reduce the impact of conflict in the Middle East on Australian agricultural production and exports. Neither of these interim measures are intended to resolve the underlying structural funding issues identified by the independent reviews.</w:t>
      </w:r>
    </w:p>
    <w:p w14:paraId="271458F8" w14:textId="1AE664DC" w:rsidR="00FB08BB" w:rsidRDefault="00FB08BB" w:rsidP="00FB08BB">
      <w:pPr>
        <w:pStyle w:val="NormalText"/>
      </w:pPr>
      <w:r>
        <w:t xml:space="preserve">A Ministerial Statement of Expectations provided to the APVMA on 22 December 2025 notes that DAFF will work closely with the APVMA to progress regulatory reforms to ensure the long-term performance, sustainability and integrity of the APVMA and Australia’s </w:t>
      </w:r>
      <w:proofErr w:type="spellStart"/>
      <w:r>
        <w:t>agvet</w:t>
      </w:r>
      <w:proofErr w:type="spellEnd"/>
      <w:r>
        <w:t xml:space="preserve"> chemicals regulatory system. This includes ensuring the APVMA operates on a financially sustainable basis across the long-term business cycle.</w:t>
      </w:r>
      <w:r w:rsidR="00FB53B7">
        <w:t xml:space="preserve"> This CRIS is the result of that long-term funding reform</w:t>
      </w:r>
      <w:r w:rsidR="00DF6CAC">
        <w:t xml:space="preserve"> and implements the undertaking made in the Detailed Response</w:t>
      </w:r>
      <w:r w:rsidR="00FB53B7">
        <w:t>.</w:t>
      </w:r>
    </w:p>
    <w:p w14:paraId="18CC92EA" w14:textId="17E083AA" w:rsidR="00563D16" w:rsidRDefault="00563D16" w:rsidP="00D0686C">
      <w:pPr>
        <w:pStyle w:val="Heading2"/>
      </w:pPr>
      <w:bookmarkStart w:id="9" w:name="_Toc234585893"/>
      <w:r>
        <w:t xml:space="preserve">Findings from </w:t>
      </w:r>
      <w:r w:rsidR="002A5C92">
        <w:t>independent</w:t>
      </w:r>
      <w:r>
        <w:t xml:space="preserve"> market impact analysis</w:t>
      </w:r>
      <w:bookmarkEnd w:id="9"/>
    </w:p>
    <w:p w14:paraId="1268AC54" w14:textId="77777777" w:rsidR="00B97FD9" w:rsidRPr="008C0173" w:rsidRDefault="00B97FD9" w:rsidP="00B97FD9">
      <w:pPr>
        <w:pStyle w:val="NormalText"/>
      </w:pPr>
      <w:r>
        <w:t>To support the development of a sustainable funding model, DAFF</w:t>
      </w:r>
      <w:r w:rsidRPr="008C0173">
        <w:t xml:space="preserve"> commissioned an independent market and economic analysis to assess:</w:t>
      </w:r>
    </w:p>
    <w:p w14:paraId="54A7C8C3" w14:textId="248F0282" w:rsidR="00B97FD9" w:rsidRPr="008C0173" w:rsidRDefault="00B97FD9" w:rsidP="00B97FD9">
      <w:pPr>
        <w:pStyle w:val="Bullet1"/>
      </w:pPr>
      <w:r w:rsidRPr="008C0173">
        <w:t xml:space="preserve">the market effects of </w:t>
      </w:r>
      <w:r w:rsidR="00F06846">
        <w:t>changes to the Cost Recovery Policy</w:t>
      </w:r>
    </w:p>
    <w:p w14:paraId="43CDCE29" w14:textId="77777777" w:rsidR="00B97FD9" w:rsidRPr="008C0173" w:rsidRDefault="00B97FD9" w:rsidP="00B97FD9">
      <w:pPr>
        <w:pStyle w:val="Bullet1"/>
      </w:pPr>
      <w:r w:rsidRPr="008C0173">
        <w:t>any potential barriers to entry, and</w:t>
      </w:r>
    </w:p>
    <w:p w14:paraId="496AD542" w14:textId="77777777" w:rsidR="00B97FD9" w:rsidRDefault="00B97FD9" w:rsidP="00B97FD9">
      <w:pPr>
        <w:pStyle w:val="Bullet1"/>
      </w:pPr>
      <w:r w:rsidRPr="008C0173">
        <w:t>whether fees influence decisions to bring new products to market.</w:t>
      </w:r>
    </w:p>
    <w:p w14:paraId="22842111" w14:textId="396A1B4D" w:rsidR="00B97FD9" w:rsidRDefault="00B97FD9" w:rsidP="00B97FD9">
      <w:pPr>
        <w:pStyle w:val="Bullet1"/>
        <w:numPr>
          <w:ilvl w:val="0"/>
          <w:numId w:val="0"/>
        </w:numPr>
      </w:pPr>
      <w:r>
        <w:t>The analysis</w:t>
      </w:r>
      <w:r w:rsidR="00202270">
        <w:t xml:space="preserve"> </w:t>
      </w:r>
      <w:r>
        <w:t xml:space="preserve">found limited evidence that the current 40:60 </w:t>
      </w:r>
      <w:r w:rsidR="009F1579">
        <w:t xml:space="preserve">split </w:t>
      </w:r>
      <w:r>
        <w:t>achieves its core objective of supporting market entry.</w:t>
      </w:r>
    </w:p>
    <w:p w14:paraId="41F545B8" w14:textId="77777777" w:rsidR="00B97FD9" w:rsidRDefault="00B97FD9" w:rsidP="00B97FD9">
      <w:pPr>
        <w:pStyle w:val="Bullet1"/>
        <w:numPr>
          <w:ilvl w:val="0"/>
          <w:numId w:val="0"/>
        </w:numPr>
      </w:pPr>
      <w:r>
        <w:t xml:space="preserve">It indicated that transitioning to greater reliance on fee-for-service charges is not expected to create material barriers to market entry. Application fees represent a relatively small proportion of the overall cost of bringing an </w:t>
      </w:r>
      <w:proofErr w:type="spellStart"/>
      <w:r>
        <w:t>agvet</w:t>
      </w:r>
      <w:proofErr w:type="spellEnd"/>
      <w:r>
        <w:t xml:space="preserve"> chemical product to market, with market size, research and development costs, and regulatory certainty playing a far more significant role in investment decisions.</w:t>
      </w:r>
    </w:p>
    <w:p w14:paraId="0BBA230D" w14:textId="1D5D70C0" w:rsidR="008C0173" w:rsidRPr="00E90E7A" w:rsidRDefault="00B97FD9" w:rsidP="00B97FD9">
      <w:pPr>
        <w:pStyle w:val="Bullet1"/>
        <w:numPr>
          <w:ilvl w:val="0"/>
          <w:numId w:val="0"/>
        </w:numPr>
        <w:rPr>
          <w:rStyle w:val="NormalTextChar"/>
          <w:lang w:eastAsia="en-GB"/>
        </w:rPr>
      </w:pPr>
      <w:r>
        <w:t xml:space="preserve">The analysis further observed that the subsidisation of application fees under the 40:60 </w:t>
      </w:r>
      <w:r w:rsidR="009F1579">
        <w:t>split</w:t>
      </w:r>
      <w:r>
        <w:t xml:space="preserve"> contributes to unintended market outcomes, including cross-subsidisation between applicants and registrants. </w:t>
      </w:r>
      <w:proofErr w:type="gramStart"/>
      <w:r>
        <w:t>In particular, products</w:t>
      </w:r>
      <w:proofErr w:type="gramEnd"/>
      <w:r>
        <w:t xml:space="preserve"> that are approved but never sold in Australia benefit from subsidised assessment costs while contributing little or nothing to ongoing levy revenue.</w:t>
      </w:r>
      <w:r w:rsidR="008C0173">
        <w:br w:type="page"/>
      </w:r>
    </w:p>
    <w:p w14:paraId="683B5FD6" w14:textId="3DDE2893" w:rsidR="00563D16" w:rsidRDefault="00612981" w:rsidP="00D0686C">
      <w:pPr>
        <w:pStyle w:val="Heading2"/>
      </w:pPr>
      <w:bookmarkStart w:id="10" w:name="_Toc234585894"/>
      <w:r>
        <w:lastRenderedPageBreak/>
        <w:t>New</w:t>
      </w:r>
      <w:r w:rsidR="00563D16">
        <w:t xml:space="preserve"> cost recovery policy</w:t>
      </w:r>
      <w:r>
        <w:t xml:space="preserve"> for the APVMA</w:t>
      </w:r>
      <w:bookmarkEnd w:id="10"/>
    </w:p>
    <w:p w14:paraId="6F678A67" w14:textId="3D26F72E" w:rsidR="008F5B07" w:rsidRDefault="008F5B07" w:rsidP="008F5B07">
      <w:pPr>
        <w:pStyle w:val="NormalText"/>
      </w:pPr>
      <w:r>
        <w:t>The</w:t>
      </w:r>
      <w:r w:rsidR="00F06846">
        <w:t xml:space="preserve"> Australian Government’s new cost recovery policy for the APVMA seeks to:</w:t>
      </w:r>
    </w:p>
    <w:p w14:paraId="723581BC" w14:textId="77777777" w:rsidR="008F5B07" w:rsidRDefault="008F5B07" w:rsidP="008F5B07">
      <w:pPr>
        <w:pStyle w:val="Bullet1"/>
      </w:pPr>
      <w:r>
        <w:t>better align charges with beneficiaries in accordance with the Cost Recovery Policy’s user pays principle</w:t>
      </w:r>
    </w:p>
    <w:p w14:paraId="09BEEDEE" w14:textId="77777777" w:rsidR="008F5B07" w:rsidRDefault="008F5B07" w:rsidP="008F5B07">
      <w:pPr>
        <w:pStyle w:val="Bullet1"/>
      </w:pPr>
      <w:r>
        <w:t>reduce unintended cross-subsidisation between applicants, registrants and levy payers</w:t>
      </w:r>
    </w:p>
    <w:p w14:paraId="7CBA74D6" w14:textId="77777777" w:rsidR="008F5B07" w:rsidRDefault="008F5B07" w:rsidP="008F5B07">
      <w:pPr>
        <w:pStyle w:val="Bullet1"/>
      </w:pPr>
      <w:r>
        <w:t>support improved regulatory performance and statutory timeframe outcomes, and</w:t>
      </w:r>
    </w:p>
    <w:p w14:paraId="18212A7C" w14:textId="77777777" w:rsidR="008F5B07" w:rsidRPr="002C02F4" w:rsidRDefault="008F5B07" w:rsidP="008F5B07">
      <w:pPr>
        <w:pStyle w:val="Bullet1"/>
      </w:pPr>
      <w:r>
        <w:t xml:space="preserve">ensure the APVMA is sustainably funded to protect the health and safety of people, animals and the environment, while supporting </w:t>
      </w:r>
      <w:r w:rsidRPr="002C02F4">
        <w:t>agricultural innovation, productivity and trade.</w:t>
      </w:r>
    </w:p>
    <w:p w14:paraId="4B678A86" w14:textId="6D500C1A" w:rsidR="008F5B07" w:rsidRPr="002C02F4" w:rsidRDefault="008F5B07" w:rsidP="008F5B07">
      <w:pPr>
        <w:pStyle w:val="NormalText"/>
      </w:pPr>
      <w:r w:rsidRPr="002C02F4">
        <w:t>Consistent with the</w:t>
      </w:r>
      <w:r w:rsidR="00F06846">
        <w:t xml:space="preserve"> Australian Government’s overall</w:t>
      </w:r>
      <w:r w:rsidRPr="002C02F4">
        <w:t xml:space="preserve"> Cost Recovery Policy, the core principle underpinning the policy change is that those who directly benefit from a regulatory service should bear its cost. Where an identifiable beneficiary exists, cost recovery should occur through a fee-for-service arrangement. Most of the APVMA’s pre-market regulatory activities directly </w:t>
      </w:r>
      <w:r w:rsidR="00F06846">
        <w:t>benefit</w:t>
      </w:r>
      <w:r w:rsidRPr="002C02F4">
        <w:t xml:space="preserve"> applicants by enabling access to the Australian market and therefore meet this test.</w:t>
      </w:r>
    </w:p>
    <w:p w14:paraId="5E3A085A" w14:textId="77777777" w:rsidR="008F5B07" w:rsidRPr="002C02F4" w:rsidRDefault="008F5B07" w:rsidP="008F5B07">
      <w:pPr>
        <w:pStyle w:val="NormalText"/>
      </w:pPr>
      <w:r w:rsidRPr="002C02F4">
        <w:t>The APVMA’s regulatory charges under the revised policy were designed around the following principles:</w:t>
      </w:r>
    </w:p>
    <w:p w14:paraId="735F3E15" w14:textId="77777777" w:rsidR="008F5B07" w:rsidRPr="002C02F4" w:rsidRDefault="008F5B07" w:rsidP="008F5B07">
      <w:pPr>
        <w:pStyle w:val="Bullet1"/>
      </w:pPr>
      <w:r w:rsidRPr="002C02F4">
        <w:t>direct beneficiaries pay through fees where work is performed for an identifiable applicant, business or holder</w:t>
      </w:r>
    </w:p>
    <w:p w14:paraId="27DDA038" w14:textId="77777777" w:rsidR="008F5B07" w:rsidRPr="002C02F4" w:rsidRDefault="008F5B07" w:rsidP="008F5B07">
      <w:pPr>
        <w:pStyle w:val="Bullet1"/>
      </w:pPr>
      <w:r w:rsidRPr="002C02F4">
        <w:t>collective beneficiaries pay through levies where regulatory activities provide broad, market-wide benefits</w:t>
      </w:r>
    </w:p>
    <w:p w14:paraId="7C585018" w14:textId="77777777" w:rsidR="008F5B07" w:rsidRPr="002C02F4" w:rsidRDefault="008F5B07" w:rsidP="008F5B07">
      <w:pPr>
        <w:pStyle w:val="Bullet1"/>
      </w:pPr>
      <w:r w:rsidRPr="002C02F4">
        <w:t>appropriation is used where charging is inappropriate, including for emergency permits, partial funding of minor use permits, consents to import and specific compliance activities</w:t>
      </w:r>
    </w:p>
    <w:p w14:paraId="63059B0F" w14:textId="77777777" w:rsidR="008F5B07" w:rsidRPr="002C02F4" w:rsidRDefault="008F5B07" w:rsidP="008F5B07">
      <w:pPr>
        <w:pStyle w:val="Bullet1"/>
      </w:pPr>
      <w:r w:rsidRPr="002C02F4">
        <w:t>charges are based on the efficient cost of delivering the activity, as determined through the Activity-Based Costing (ABC) model, and</w:t>
      </w:r>
    </w:p>
    <w:p w14:paraId="691A6F7B" w14:textId="77777777" w:rsidR="008F5B07" w:rsidRDefault="008F5B07" w:rsidP="008F5B07">
      <w:pPr>
        <w:pStyle w:val="Bullet1"/>
      </w:pPr>
      <w:r>
        <w:t>charges support regulatory integrity, transparency and financial sustainability by reducing reliance on variable levy revenue and ensuring alignment between demand, cost and recovery.</w:t>
      </w:r>
    </w:p>
    <w:p w14:paraId="3633A424" w14:textId="506C4001" w:rsidR="008F5B07" w:rsidRDefault="008F5B07" w:rsidP="008F5B07">
      <w:pPr>
        <w:pStyle w:val="NormalText"/>
      </w:pPr>
      <w:r>
        <w:t>Stakeholder feedback and concerns raised through previous CRIS consultations and independent reviews informed the development of the revised policy.</w:t>
      </w:r>
    </w:p>
    <w:p w14:paraId="762CC67A" w14:textId="40C7A7AC" w:rsidR="008F5B07" w:rsidRDefault="008F5B07" w:rsidP="008F5B07">
      <w:pPr>
        <w:pStyle w:val="NormalText"/>
      </w:pPr>
      <w:r>
        <w:t>The cost recovery approach outlined in the 202</w:t>
      </w:r>
      <w:r w:rsidR="00FB4A86">
        <w:t>7</w:t>
      </w:r>
      <w:r>
        <w:t>–2</w:t>
      </w:r>
      <w:r w:rsidR="00FB4A86">
        <w:t>8</w:t>
      </w:r>
      <w:r>
        <w:t xml:space="preserve"> CRIS is intended to deliver an improvement in funding sustainability by establish</w:t>
      </w:r>
      <w:r w:rsidR="00C0311B">
        <w:t>ing</w:t>
      </w:r>
      <w:r>
        <w:t xml:space="preserve"> a more robust and transparent framework for future charging decisions. Over time, this framework is expected to support smaller, more predictable adjustments to fees and levies through future annual CRIS processes. This approach is intended to provide regulated industries with greater certainty and reduce the need for infrequent but significant pricing adjustments.</w:t>
      </w:r>
    </w:p>
    <w:p w14:paraId="1065E0CA" w14:textId="7D0C58C3" w:rsidR="00D0686C" w:rsidRDefault="008F5B07" w:rsidP="008F5B07">
      <w:pPr>
        <w:pStyle w:val="NormalText"/>
        <w:sectPr w:rsidR="00D0686C" w:rsidSect="00D0686C">
          <w:headerReference w:type="default" r:id="rId40"/>
          <w:pgSz w:w="11906" w:h="16838" w:code="9"/>
          <w:pgMar w:top="2835" w:right="1134" w:bottom="1134" w:left="1134" w:header="1701" w:footer="680" w:gutter="0"/>
          <w:cols w:space="708"/>
          <w:docGrid w:linePitch="360"/>
        </w:sectPr>
      </w:pPr>
      <w:r>
        <w:t>The APVMA continues to</w:t>
      </w:r>
      <w:r w:rsidR="00C0311B">
        <w:t xml:space="preserve"> work to</w:t>
      </w:r>
      <w:r>
        <w:t xml:space="preserve"> streamline regulatory processes and restructure internally to improve efficiency, transparency and regulatory outcomes. </w:t>
      </w:r>
      <w:r w:rsidR="00C0311B">
        <w:t xml:space="preserve">Efficiencies will flow through into future annual CRIS processes and will </w:t>
      </w:r>
      <w:r w:rsidR="00424474">
        <w:t xml:space="preserve">continue to </w:t>
      </w:r>
      <w:r>
        <w:t>ensur</w:t>
      </w:r>
      <w:r w:rsidR="00C0311B">
        <w:t>e</w:t>
      </w:r>
      <w:r>
        <w:t xml:space="preserve"> that </w:t>
      </w:r>
      <w:r w:rsidR="00C0311B">
        <w:t xml:space="preserve">future </w:t>
      </w:r>
      <w:r>
        <w:t>charges are based on efficient, contemporary regulatory practices.</w:t>
      </w:r>
    </w:p>
    <w:p w14:paraId="4395B0F9" w14:textId="45CC796A" w:rsidR="00FB0A6B" w:rsidRDefault="00AE6130" w:rsidP="007C31BB">
      <w:pPr>
        <w:pStyle w:val="Heading1"/>
      </w:pPr>
      <w:bookmarkStart w:id="11" w:name="_Toc234585895"/>
      <w:r>
        <w:lastRenderedPageBreak/>
        <w:t>Summary of key changes</w:t>
      </w:r>
      <w:bookmarkEnd w:id="11"/>
    </w:p>
    <w:p w14:paraId="24AF3648" w14:textId="5FCE8F36" w:rsidR="00FB0A6B" w:rsidRDefault="00F37F46" w:rsidP="00D0686C">
      <w:pPr>
        <w:pStyle w:val="Heading2"/>
      </w:pPr>
      <w:bookmarkStart w:id="12" w:name="_Toc234585896"/>
      <w:r>
        <w:t xml:space="preserve">Full cost recovery of </w:t>
      </w:r>
      <w:r w:rsidR="009668F7">
        <w:t xml:space="preserve">pre-market </w:t>
      </w:r>
      <w:r>
        <w:t>f</w:t>
      </w:r>
      <w:r w:rsidR="0091777B">
        <w:t>ee-</w:t>
      </w:r>
      <w:r>
        <w:t>for-service activities</w:t>
      </w:r>
      <w:bookmarkEnd w:id="12"/>
    </w:p>
    <w:p w14:paraId="31264F2B" w14:textId="7209CFA3" w:rsidR="003123B3" w:rsidRDefault="003123B3" w:rsidP="003123B3">
      <w:pPr>
        <w:pStyle w:val="NormalText"/>
      </w:pPr>
      <w:bookmarkStart w:id="13" w:name="_Ref171000193"/>
      <w:bookmarkStart w:id="14" w:name="_Toc21685645"/>
      <w:bookmarkStart w:id="15" w:name="_Toc115355283"/>
      <w:bookmarkStart w:id="16" w:name="_Toc171075178"/>
      <w:bookmarkStart w:id="17" w:name="_Toc216948743"/>
      <w:r>
        <w:t xml:space="preserve">Under the revised cost recovery policy, most pre-market fee-for-service regulatory activities will be paid for in full by the applicants who directly benefit from them. In practice, this means that application and assessment fees </w:t>
      </w:r>
      <w:r w:rsidR="00193A3C">
        <w:t>will</w:t>
      </w:r>
      <w:r>
        <w:t xml:space="preserve"> </w:t>
      </w:r>
      <w:r w:rsidR="00193A3C">
        <w:t xml:space="preserve">charge </w:t>
      </w:r>
      <w:r>
        <w:t xml:space="preserve">the full efficient cost of the </w:t>
      </w:r>
      <w:r w:rsidR="00193A3C">
        <w:t xml:space="preserve">APVMA’s </w:t>
      </w:r>
      <w:r>
        <w:t xml:space="preserve">regulatory </w:t>
      </w:r>
      <w:r w:rsidR="00193A3C">
        <w:t xml:space="preserve">services </w:t>
      </w:r>
      <w:r>
        <w:t>before a product</w:t>
      </w:r>
      <w:r w:rsidR="00193A3C">
        <w:t xml:space="preserve"> can</w:t>
      </w:r>
      <w:r>
        <w:t xml:space="preserve"> enter the market. This approach reflects the core principle of the Cost Recovery Policy</w:t>
      </w:r>
      <w:r w:rsidR="00193A3C">
        <w:t>,</w:t>
      </w:r>
      <w:r>
        <w:t xml:space="preserve"> that those who receive a direct regulatory benefit should </w:t>
      </w:r>
      <w:r w:rsidR="00193A3C">
        <w:t>pay for</w:t>
      </w:r>
      <w:r>
        <w:t xml:space="preserve"> that service.</w:t>
      </w:r>
    </w:p>
    <w:p w14:paraId="25B7F013" w14:textId="77777777" w:rsidR="003123B3" w:rsidRDefault="003123B3" w:rsidP="003123B3">
      <w:pPr>
        <w:pStyle w:val="NormalText"/>
      </w:pPr>
      <w:r>
        <w:t>Moving to full cost recovery for these activities delivers several important benefits. It aligns the APVMA’s charging arrangements with the Australian Government’s Charging Framework and Cost Recovery Policy, reduces reliance on sales-based levies to subsidise pre-market assessments, and addresses long-standing cross-subsidisation between levy-paying products and applications for products that do not generate Australian sales. It also improves transparency by more clearly linking regulatory effort to individual applications.</w:t>
      </w:r>
    </w:p>
    <w:p w14:paraId="6EE92F2C" w14:textId="7E3191B0" w:rsidR="000A5146" w:rsidRDefault="000A5146" w:rsidP="003123B3">
      <w:pPr>
        <w:pStyle w:val="NormalText"/>
      </w:pPr>
      <w:r w:rsidRPr="002C02F4">
        <w:t xml:space="preserve">Under the 40:60 split, assessment and registration and costs were funded through a mix of application fees and sales-based levies, meaning that levies imposed across the entire </w:t>
      </w:r>
      <w:proofErr w:type="spellStart"/>
      <w:r w:rsidRPr="002C02F4">
        <w:t>agvet</w:t>
      </w:r>
      <w:proofErr w:type="spellEnd"/>
      <w:r w:rsidRPr="002C02F4">
        <w:t xml:space="preserve"> chemical market subsidised individual applications. Charging applicants 100% of the cost of pre-market fee-for-service activities is fairer and more transparent, since specific parties who directly benefit from regulatory services </w:t>
      </w:r>
      <w:proofErr w:type="gramStart"/>
      <w:r w:rsidRPr="002C02F4">
        <w:t>have to</w:t>
      </w:r>
      <w:proofErr w:type="gramEnd"/>
      <w:r w:rsidRPr="002C02F4">
        <w:t xml:space="preserve"> pay for them.</w:t>
      </w:r>
    </w:p>
    <w:p w14:paraId="7F24B057" w14:textId="77777777" w:rsidR="00EF14A5" w:rsidRDefault="00EF14A5" w:rsidP="00EF14A5">
      <w:pPr>
        <w:pStyle w:val="NormalText"/>
      </w:pPr>
      <w:r>
        <w:t>The revised approach also reduces incentives for applications where there is no genuine intention to supply or use products in Australia. Up to half of all products approved by the APVMA in any one year have never been sold in Australia. Under previous arrangements, these products benefited from subsidised assessment costs while contributing little or nothing to levy revenue.</w:t>
      </w:r>
    </w:p>
    <w:p w14:paraId="1B973CFA" w14:textId="6BA36F81" w:rsidR="003123B3" w:rsidRPr="002C02F4" w:rsidRDefault="000A5146" w:rsidP="003123B3">
      <w:pPr>
        <w:pStyle w:val="NormalText"/>
      </w:pPr>
      <w:r>
        <w:t>The Australian Government’s new cost recovery policy</w:t>
      </w:r>
      <w:r w:rsidR="00FD38F8">
        <w:t xml:space="preserve"> for the APVMA will be implemented from 1 </w:t>
      </w:r>
      <w:r w:rsidR="005C35A3">
        <w:t>July 2027</w:t>
      </w:r>
      <w:r>
        <w:t xml:space="preserve"> through the </w:t>
      </w:r>
      <w:r w:rsidR="005C35A3">
        <w:t>2027</w:t>
      </w:r>
      <w:r>
        <w:t>-2</w:t>
      </w:r>
      <w:r w:rsidR="005C35A3">
        <w:t>8</w:t>
      </w:r>
      <w:r>
        <w:t xml:space="preserve"> CRIS</w:t>
      </w:r>
      <w:r w:rsidR="00FD38F8">
        <w:t xml:space="preserve">. </w:t>
      </w:r>
      <w:r w:rsidR="003123B3" w:rsidRPr="002C02F4">
        <w:t xml:space="preserve">From that date, the APVMA will transition fully to a fee-for-service funding model for pre-market activities, with sales-based levies </w:t>
      </w:r>
      <w:r w:rsidR="00BB503C" w:rsidRPr="002C02F4">
        <w:t xml:space="preserve">primarily applied </w:t>
      </w:r>
      <w:r w:rsidR="003123B3" w:rsidRPr="002C02F4">
        <w:t>to relevant post-market regulatory functions.</w:t>
      </w:r>
    </w:p>
    <w:p w14:paraId="140B0031" w14:textId="6E66F0E0" w:rsidR="003123B3" w:rsidRDefault="003123B3" w:rsidP="003123B3">
      <w:pPr>
        <w:pStyle w:val="NormalText"/>
      </w:pPr>
      <w:r w:rsidRPr="002C02F4">
        <w:t>The estimated total costs for registration and approval outputs</w:t>
      </w:r>
      <w:r>
        <w:t xml:space="preserve"> in </w:t>
      </w:r>
      <w:r w:rsidR="005C35A3">
        <w:t>2027</w:t>
      </w:r>
      <w:r>
        <w:t>–2</w:t>
      </w:r>
      <w:r w:rsidR="005C35A3">
        <w:t>8</w:t>
      </w:r>
      <w:r>
        <w:t xml:space="preserve"> are presented in Table 1. These estimates include direct, indirect and total cost components for each output and are based on the APVMA’s Activity-Based Costing (ABC) model.</w:t>
      </w:r>
    </w:p>
    <w:p w14:paraId="05130237" w14:textId="77777777" w:rsidR="003123B3" w:rsidRDefault="003123B3" w:rsidP="003123B3">
      <w:pPr>
        <w:pStyle w:val="NormalText"/>
      </w:pPr>
      <w:r>
        <w:t>More information regarding the calculation of direct and indirect costs is provided in the CRIS.</w:t>
      </w:r>
    </w:p>
    <w:p w14:paraId="238A1FEA" w14:textId="31CCADDA" w:rsidR="004A7413" w:rsidRDefault="00D0686C" w:rsidP="004A7413">
      <w:pPr>
        <w:pStyle w:val="Caption"/>
      </w:pPr>
      <w:bookmarkStart w:id="18" w:name="_Ref170998168"/>
      <w:bookmarkStart w:id="19" w:name="_Toc234585733"/>
      <w:bookmarkEnd w:id="13"/>
      <w:r>
        <w:t xml:space="preserve">Table </w:t>
      </w:r>
      <w:fldSimple w:instr=" SEQ Table \* ARABIC ">
        <w:r>
          <w:rPr>
            <w:noProof/>
          </w:rPr>
          <w:t>1</w:t>
        </w:r>
      </w:fldSimple>
      <w:bookmarkEnd w:id="18"/>
      <w:r>
        <w:t>:</w:t>
      </w:r>
      <w:r>
        <w:tab/>
      </w:r>
      <w:r w:rsidR="004A7413">
        <w:t xml:space="preserve">Cost elements of </w:t>
      </w:r>
      <w:bookmarkEnd w:id="14"/>
      <w:bookmarkEnd w:id="15"/>
      <w:bookmarkEnd w:id="16"/>
      <w:bookmarkEnd w:id="17"/>
      <w:r w:rsidR="009668F7">
        <w:t>pre-market fee-for-service activities</w:t>
      </w:r>
      <w:bookmarkEnd w:id="1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3148"/>
        <w:gridCol w:w="2160"/>
        <w:gridCol w:w="1249"/>
        <w:gridCol w:w="1250"/>
      </w:tblGrid>
      <w:tr w:rsidR="004A7413" w:rsidRPr="001D6576" w14:paraId="64E037DB" w14:textId="77777777" w:rsidTr="009231A1">
        <w:trPr>
          <w:trHeight w:val="780"/>
          <w:tblHeader/>
        </w:trPr>
        <w:tc>
          <w:tcPr>
            <w:tcW w:w="1827" w:type="dxa"/>
            <w:shd w:val="clear" w:color="auto" w:fill="53284F" w:themeFill="accent5"/>
            <w:vAlign w:val="center"/>
            <w:hideMark/>
          </w:tcPr>
          <w:p w14:paraId="04F71D11" w14:textId="77777777" w:rsidR="004A7413" w:rsidRPr="001D6576" w:rsidRDefault="004A7413">
            <w:pPr>
              <w:spacing w:line="240" w:lineRule="auto"/>
              <w:rPr>
                <w:rFonts w:ascii="Franklin Gothic Medium" w:hAnsi="Franklin Gothic Medium"/>
                <w:color w:val="F8F8F8"/>
                <w:sz w:val="18"/>
                <w:szCs w:val="18"/>
                <w:lang w:eastAsia="en-AU"/>
              </w:rPr>
            </w:pPr>
            <w:r w:rsidRPr="001D6576">
              <w:rPr>
                <w:rFonts w:ascii="Franklin Gothic Medium" w:hAnsi="Franklin Gothic Medium"/>
                <w:color w:val="F8F8F8"/>
                <w:sz w:val="18"/>
                <w:szCs w:val="18"/>
                <w:lang w:eastAsia="en-AU"/>
              </w:rPr>
              <w:t>Outputs</w:t>
            </w:r>
          </w:p>
        </w:tc>
        <w:tc>
          <w:tcPr>
            <w:tcW w:w="3148" w:type="dxa"/>
            <w:shd w:val="clear" w:color="auto" w:fill="53284F" w:themeFill="accent5"/>
            <w:vAlign w:val="center"/>
            <w:hideMark/>
          </w:tcPr>
          <w:p w14:paraId="1722CC7A" w14:textId="77777777" w:rsidR="004A7413" w:rsidRPr="001D6576" w:rsidRDefault="004A7413">
            <w:pPr>
              <w:spacing w:line="240" w:lineRule="auto"/>
              <w:rPr>
                <w:rFonts w:ascii="Franklin Gothic Medium" w:hAnsi="Franklin Gothic Medium"/>
                <w:color w:val="F8F8F8"/>
                <w:sz w:val="18"/>
                <w:szCs w:val="18"/>
                <w:lang w:eastAsia="en-AU"/>
              </w:rPr>
            </w:pPr>
            <w:r w:rsidRPr="001D6576">
              <w:rPr>
                <w:rFonts w:ascii="Franklin Gothic Medium" w:hAnsi="Franklin Gothic Medium"/>
                <w:color w:val="F8F8F8"/>
                <w:sz w:val="18"/>
                <w:szCs w:val="18"/>
                <w:lang w:eastAsia="en-AU"/>
              </w:rPr>
              <w:t>Description</w:t>
            </w:r>
          </w:p>
        </w:tc>
        <w:tc>
          <w:tcPr>
            <w:tcW w:w="2160" w:type="dxa"/>
            <w:shd w:val="clear" w:color="auto" w:fill="53284F" w:themeFill="accent5"/>
            <w:vAlign w:val="center"/>
            <w:hideMark/>
          </w:tcPr>
          <w:p w14:paraId="2D0B19BF" w14:textId="77777777" w:rsidR="004A7413" w:rsidRPr="001D6576" w:rsidRDefault="004A7413">
            <w:pPr>
              <w:spacing w:line="240" w:lineRule="auto"/>
              <w:rPr>
                <w:rFonts w:ascii="Franklin Gothic Medium" w:hAnsi="Franklin Gothic Medium"/>
                <w:color w:val="F8F8F8"/>
                <w:sz w:val="18"/>
                <w:szCs w:val="18"/>
                <w:lang w:eastAsia="en-AU"/>
              </w:rPr>
            </w:pPr>
            <w:r>
              <w:rPr>
                <w:rFonts w:ascii="Franklin Gothic Medium" w:hAnsi="Franklin Gothic Medium"/>
                <w:color w:val="F8F8F8"/>
                <w:sz w:val="18"/>
                <w:szCs w:val="18"/>
                <w:lang w:eastAsia="en-AU"/>
              </w:rPr>
              <w:t xml:space="preserve">Total </w:t>
            </w:r>
            <w:r w:rsidRPr="001D6576">
              <w:rPr>
                <w:rFonts w:ascii="Franklin Gothic Medium" w:hAnsi="Franklin Gothic Medium"/>
                <w:color w:val="F8F8F8"/>
                <w:sz w:val="18"/>
                <w:szCs w:val="18"/>
                <w:lang w:eastAsia="en-AU"/>
              </w:rPr>
              <w:t>Direct costs ($)</w:t>
            </w:r>
          </w:p>
        </w:tc>
        <w:tc>
          <w:tcPr>
            <w:tcW w:w="1249" w:type="dxa"/>
            <w:shd w:val="clear" w:color="auto" w:fill="53284F" w:themeFill="accent5"/>
            <w:vAlign w:val="center"/>
            <w:hideMark/>
          </w:tcPr>
          <w:p w14:paraId="1DE77B6C" w14:textId="77777777" w:rsidR="004A7413" w:rsidRPr="001D6576" w:rsidRDefault="004A7413">
            <w:pPr>
              <w:spacing w:line="240" w:lineRule="auto"/>
              <w:rPr>
                <w:rFonts w:ascii="Franklin Gothic Medium" w:hAnsi="Franklin Gothic Medium"/>
                <w:color w:val="F8F8F8"/>
                <w:sz w:val="18"/>
                <w:szCs w:val="18"/>
                <w:lang w:eastAsia="en-AU"/>
              </w:rPr>
            </w:pPr>
            <w:r>
              <w:rPr>
                <w:rFonts w:ascii="Franklin Gothic Medium" w:hAnsi="Franklin Gothic Medium"/>
                <w:color w:val="F8F8F8"/>
                <w:sz w:val="18"/>
                <w:szCs w:val="18"/>
                <w:lang w:eastAsia="en-AU"/>
              </w:rPr>
              <w:t xml:space="preserve">Total </w:t>
            </w:r>
            <w:r w:rsidRPr="001D6576">
              <w:rPr>
                <w:rFonts w:ascii="Franklin Gothic Medium" w:hAnsi="Franklin Gothic Medium"/>
                <w:color w:val="F8F8F8"/>
                <w:sz w:val="18"/>
                <w:szCs w:val="18"/>
                <w:lang w:eastAsia="en-AU"/>
              </w:rPr>
              <w:t>Indirect costs ($)</w:t>
            </w:r>
          </w:p>
        </w:tc>
        <w:tc>
          <w:tcPr>
            <w:tcW w:w="1250" w:type="dxa"/>
            <w:shd w:val="clear" w:color="auto" w:fill="53284F" w:themeFill="accent5"/>
            <w:vAlign w:val="center"/>
            <w:hideMark/>
          </w:tcPr>
          <w:p w14:paraId="54769934" w14:textId="13312682" w:rsidR="004A7413" w:rsidRPr="001D6576" w:rsidRDefault="004A7413">
            <w:pPr>
              <w:spacing w:line="240" w:lineRule="auto"/>
              <w:rPr>
                <w:rFonts w:ascii="Franklin Gothic Medium" w:hAnsi="Franklin Gothic Medium"/>
                <w:color w:val="F8F8F8"/>
                <w:sz w:val="18"/>
                <w:szCs w:val="18"/>
                <w:lang w:eastAsia="en-AU"/>
              </w:rPr>
            </w:pPr>
            <w:r w:rsidRPr="001D6576">
              <w:rPr>
                <w:rFonts w:ascii="Franklin Gothic Medium" w:hAnsi="Franklin Gothic Medium"/>
                <w:color w:val="F8F8F8"/>
                <w:sz w:val="18"/>
                <w:szCs w:val="18"/>
                <w:lang w:eastAsia="en-AU"/>
              </w:rPr>
              <w:t>2</w:t>
            </w:r>
            <w:r w:rsidRPr="0024707E">
              <w:rPr>
                <w:rFonts w:ascii="Franklin Gothic Medium" w:hAnsi="Franklin Gothic Medium"/>
                <w:color w:val="F0F4F5" w:themeColor="accent1" w:themeTint="33"/>
                <w:sz w:val="18"/>
                <w:szCs w:val="18"/>
                <w:lang w:eastAsia="en-AU"/>
              </w:rPr>
              <w:t>02</w:t>
            </w:r>
            <w:r w:rsidR="005C35A3" w:rsidRPr="0024707E">
              <w:rPr>
                <w:rFonts w:ascii="Franklin Gothic Medium" w:hAnsi="Franklin Gothic Medium"/>
                <w:color w:val="F0F4F5" w:themeColor="accent1" w:themeTint="33"/>
                <w:sz w:val="18"/>
                <w:szCs w:val="18"/>
                <w:lang w:eastAsia="en-AU"/>
              </w:rPr>
              <w:t>7</w:t>
            </w:r>
            <w:r w:rsidR="00D0686C" w:rsidRPr="0024707E">
              <w:rPr>
                <w:rFonts w:ascii="Franklin Gothic Medium" w:hAnsi="Franklin Gothic Medium"/>
                <w:color w:val="F0F4F5" w:themeColor="accent1" w:themeTint="33"/>
                <w:sz w:val="18"/>
                <w:szCs w:val="18"/>
                <w:lang w:eastAsia="en-AU"/>
              </w:rPr>
              <w:t>–</w:t>
            </w:r>
            <w:r w:rsidRPr="0024707E">
              <w:rPr>
                <w:rFonts w:ascii="Franklin Gothic Medium" w:hAnsi="Franklin Gothic Medium"/>
                <w:color w:val="F0F4F5" w:themeColor="accent1" w:themeTint="33"/>
                <w:sz w:val="18"/>
                <w:szCs w:val="18"/>
                <w:lang w:eastAsia="en-AU"/>
              </w:rPr>
              <w:t>2</w:t>
            </w:r>
            <w:r w:rsidR="005C35A3" w:rsidRPr="0024707E">
              <w:rPr>
                <w:rFonts w:ascii="Franklin Gothic Medium" w:hAnsi="Franklin Gothic Medium"/>
                <w:color w:val="F0F4F5" w:themeColor="accent1" w:themeTint="33"/>
                <w:sz w:val="18"/>
                <w:szCs w:val="18"/>
                <w:lang w:eastAsia="en-AU"/>
              </w:rPr>
              <w:t>8</w:t>
            </w:r>
            <w:r w:rsidRPr="001D6576">
              <w:rPr>
                <w:rFonts w:ascii="Franklin Gothic Medium" w:hAnsi="Franklin Gothic Medium"/>
                <w:color w:val="F8F8F8"/>
                <w:sz w:val="18"/>
                <w:szCs w:val="18"/>
                <w:lang w:eastAsia="en-AU"/>
              </w:rPr>
              <w:t xml:space="preserve"> Estimated cost ($)</w:t>
            </w:r>
          </w:p>
        </w:tc>
      </w:tr>
      <w:tr w:rsidR="004A7413" w:rsidRPr="001D6576" w14:paraId="31C0EEA6" w14:textId="77777777" w:rsidTr="009231A1">
        <w:trPr>
          <w:trHeight w:val="20"/>
        </w:trPr>
        <w:tc>
          <w:tcPr>
            <w:tcW w:w="1827" w:type="dxa"/>
            <w:vAlign w:val="center"/>
            <w:hideMark/>
          </w:tcPr>
          <w:p w14:paraId="08CBAFD8" w14:textId="77777777" w:rsidR="004A7413" w:rsidRPr="001D6576" w:rsidRDefault="004A7413">
            <w:pPr>
              <w:pStyle w:val="APVMATableText"/>
              <w:rPr>
                <w:lang w:eastAsia="en-AU"/>
              </w:rPr>
            </w:pPr>
            <w:r>
              <w:t>Regulatory decision of product applications</w:t>
            </w:r>
          </w:p>
        </w:tc>
        <w:tc>
          <w:tcPr>
            <w:tcW w:w="3148" w:type="dxa"/>
            <w:vAlign w:val="center"/>
            <w:hideMark/>
          </w:tcPr>
          <w:p w14:paraId="0925986F" w14:textId="005484C8" w:rsidR="004A7413" w:rsidRPr="001D6576" w:rsidRDefault="004A7413">
            <w:pPr>
              <w:pStyle w:val="APVMATableText"/>
              <w:rPr>
                <w:lang w:eastAsia="en-AU"/>
              </w:rPr>
            </w:pPr>
            <w:r w:rsidRPr="001D6576">
              <w:rPr>
                <w:lang w:eastAsia="en-AU"/>
              </w:rPr>
              <w:t>Application streams related to sections 10 and 27 of the Code Act. Applications under</w:t>
            </w:r>
            <w:r w:rsidR="005F5570">
              <w:rPr>
                <w:lang w:eastAsia="en-AU"/>
              </w:rPr>
              <w:t xml:space="preserve"> </w:t>
            </w:r>
            <w:r w:rsidRPr="001D6576">
              <w:rPr>
                <w:lang w:eastAsia="en-AU"/>
              </w:rPr>
              <w:t>section 10 involve the approval of an active constituent for a proposed or existing chemical product, the</w:t>
            </w:r>
            <w:r w:rsidR="307E9C25" w:rsidRPr="48B314DC">
              <w:rPr>
                <w:lang w:eastAsia="en-AU"/>
              </w:rPr>
              <w:t xml:space="preserve"> </w:t>
            </w:r>
            <w:r w:rsidRPr="001D6576">
              <w:rPr>
                <w:lang w:eastAsia="en-AU"/>
              </w:rPr>
              <w:t xml:space="preserve">registration of a chemical product, </w:t>
            </w:r>
            <w:r w:rsidRPr="001D6576">
              <w:rPr>
                <w:lang w:eastAsia="en-AU"/>
              </w:rPr>
              <w:lastRenderedPageBreak/>
              <w:t>or the approval of a label for containers of a chemical product. Applications</w:t>
            </w:r>
            <w:r w:rsidR="66948759" w:rsidRPr="48B314DC">
              <w:rPr>
                <w:lang w:eastAsia="en-AU"/>
              </w:rPr>
              <w:t xml:space="preserve"> </w:t>
            </w:r>
            <w:r w:rsidRPr="001D6576">
              <w:rPr>
                <w:lang w:eastAsia="en-AU"/>
              </w:rPr>
              <w:t>under section 27 pertain to the variation of relevant particulars or conditions associated with an approved active</w:t>
            </w:r>
            <w:r>
              <w:br/>
            </w:r>
            <w:r w:rsidRPr="001D6576">
              <w:rPr>
                <w:lang w:eastAsia="en-AU"/>
              </w:rPr>
              <w:t>constituent, a registered chemical product, or an approved label for a chemical product.</w:t>
            </w:r>
          </w:p>
        </w:tc>
        <w:tc>
          <w:tcPr>
            <w:tcW w:w="2160" w:type="dxa"/>
            <w:vAlign w:val="center"/>
            <w:hideMark/>
          </w:tcPr>
          <w:p w14:paraId="02559F30" w14:textId="63E0491E" w:rsidR="004A7413" w:rsidRPr="001D6576" w:rsidRDefault="004A7413" w:rsidP="009231A1">
            <w:pPr>
              <w:pStyle w:val="APVMATableText"/>
              <w:jc w:val="right"/>
              <w:rPr>
                <w:lang w:eastAsia="en-AU"/>
              </w:rPr>
            </w:pPr>
            <w:r>
              <w:rPr>
                <w:color w:val="000000"/>
                <w:szCs w:val="17"/>
              </w:rPr>
              <w:lastRenderedPageBreak/>
              <w:t>10,420,178</w:t>
            </w:r>
          </w:p>
        </w:tc>
        <w:tc>
          <w:tcPr>
            <w:tcW w:w="1249" w:type="dxa"/>
            <w:vAlign w:val="center"/>
            <w:hideMark/>
          </w:tcPr>
          <w:p w14:paraId="29C8A524" w14:textId="2E61ED2D" w:rsidR="004A7413" w:rsidRPr="001D6576" w:rsidRDefault="004A7413" w:rsidP="009231A1">
            <w:pPr>
              <w:pStyle w:val="APVMATableText"/>
              <w:jc w:val="right"/>
              <w:rPr>
                <w:lang w:eastAsia="en-AU"/>
              </w:rPr>
            </w:pPr>
            <w:r>
              <w:rPr>
                <w:color w:val="000000"/>
                <w:szCs w:val="17"/>
              </w:rPr>
              <w:t>10,466,128</w:t>
            </w:r>
          </w:p>
        </w:tc>
        <w:tc>
          <w:tcPr>
            <w:tcW w:w="1250" w:type="dxa"/>
            <w:vAlign w:val="center"/>
            <w:hideMark/>
          </w:tcPr>
          <w:p w14:paraId="11743278" w14:textId="7DD492B0" w:rsidR="004A7413" w:rsidRPr="001D6576" w:rsidRDefault="004A7413" w:rsidP="009231A1">
            <w:pPr>
              <w:pStyle w:val="APVMATableText"/>
              <w:jc w:val="right"/>
              <w:rPr>
                <w:lang w:eastAsia="en-AU"/>
              </w:rPr>
            </w:pPr>
            <w:r>
              <w:rPr>
                <w:color w:val="000000"/>
                <w:szCs w:val="17"/>
              </w:rPr>
              <w:t>20,886,307</w:t>
            </w:r>
          </w:p>
        </w:tc>
      </w:tr>
      <w:tr w:rsidR="004A7413" w:rsidRPr="001D6576" w14:paraId="4DBBE75B" w14:textId="77777777" w:rsidTr="009231A1">
        <w:trPr>
          <w:trHeight w:val="20"/>
        </w:trPr>
        <w:tc>
          <w:tcPr>
            <w:tcW w:w="1827" w:type="dxa"/>
            <w:vAlign w:val="center"/>
            <w:hideMark/>
          </w:tcPr>
          <w:p w14:paraId="519033F7" w14:textId="77777777" w:rsidR="004A7413" w:rsidRPr="00C44D61" w:rsidRDefault="004A7413">
            <w:pPr>
              <w:pStyle w:val="APVMATableText"/>
            </w:pPr>
            <w:r w:rsidRPr="00C44D61">
              <w:t>Regulatory decision of active constituent applications</w:t>
            </w:r>
          </w:p>
        </w:tc>
        <w:tc>
          <w:tcPr>
            <w:tcW w:w="3148" w:type="dxa"/>
            <w:vAlign w:val="center"/>
            <w:hideMark/>
          </w:tcPr>
          <w:p w14:paraId="24266685" w14:textId="30D15215" w:rsidR="004A7413" w:rsidRPr="00C44D61" w:rsidRDefault="004A7413">
            <w:pPr>
              <w:pStyle w:val="APVMATableText"/>
            </w:pPr>
            <w:r w:rsidRPr="00C44D61">
              <w:t>Items 15 to 18 pertain to active constituents. Items 15, 16 and 17 address applications for the approval of</w:t>
            </w:r>
            <w:r w:rsidR="70D64302">
              <w:t xml:space="preserve"> </w:t>
            </w:r>
            <w:r w:rsidRPr="00C44D61">
              <w:t>new active constituents, including new sources of active constituents. Item 18 deals with variations to an approved</w:t>
            </w:r>
            <w:r w:rsidR="22E9495A">
              <w:t xml:space="preserve"> </w:t>
            </w:r>
            <w:r w:rsidRPr="00C44D61">
              <w:t>active constituent.</w:t>
            </w:r>
          </w:p>
        </w:tc>
        <w:tc>
          <w:tcPr>
            <w:tcW w:w="2160" w:type="dxa"/>
            <w:vAlign w:val="center"/>
            <w:hideMark/>
          </w:tcPr>
          <w:p w14:paraId="7037C359" w14:textId="5F0C64BE" w:rsidR="004A7413" w:rsidRPr="00C44D61" w:rsidRDefault="004A7413" w:rsidP="009231A1">
            <w:pPr>
              <w:pStyle w:val="APVMATableText"/>
              <w:jc w:val="right"/>
            </w:pPr>
            <w:r>
              <w:rPr>
                <w:color w:val="000000"/>
                <w:szCs w:val="17"/>
              </w:rPr>
              <w:t>1,269,990</w:t>
            </w:r>
          </w:p>
        </w:tc>
        <w:tc>
          <w:tcPr>
            <w:tcW w:w="1249" w:type="dxa"/>
            <w:vAlign w:val="center"/>
            <w:hideMark/>
          </w:tcPr>
          <w:p w14:paraId="264E0EAA" w14:textId="7981C222" w:rsidR="004A7413" w:rsidRPr="00C44D61" w:rsidRDefault="004A7413" w:rsidP="009231A1">
            <w:pPr>
              <w:pStyle w:val="APVMATableText"/>
              <w:jc w:val="right"/>
            </w:pPr>
            <w:r>
              <w:rPr>
                <w:color w:val="000000"/>
                <w:szCs w:val="17"/>
              </w:rPr>
              <w:t>1,266,439</w:t>
            </w:r>
          </w:p>
        </w:tc>
        <w:tc>
          <w:tcPr>
            <w:tcW w:w="1250" w:type="dxa"/>
            <w:vAlign w:val="center"/>
            <w:hideMark/>
          </w:tcPr>
          <w:p w14:paraId="1B9567CD" w14:textId="02018EE3" w:rsidR="004A7413" w:rsidRPr="00C44D61" w:rsidRDefault="004A7413" w:rsidP="009231A1">
            <w:pPr>
              <w:pStyle w:val="APVMATableText"/>
              <w:jc w:val="right"/>
            </w:pPr>
            <w:r>
              <w:rPr>
                <w:color w:val="000000"/>
                <w:szCs w:val="17"/>
              </w:rPr>
              <w:t>2,536,429</w:t>
            </w:r>
          </w:p>
        </w:tc>
      </w:tr>
      <w:tr w:rsidR="00756C0A" w:rsidRPr="001D6576" w14:paraId="7E8A83F5" w14:textId="77777777" w:rsidTr="00AB0F8A">
        <w:trPr>
          <w:trHeight w:val="20"/>
        </w:trPr>
        <w:tc>
          <w:tcPr>
            <w:tcW w:w="1827" w:type="dxa"/>
            <w:vAlign w:val="center"/>
            <w:hideMark/>
          </w:tcPr>
          <w:p w14:paraId="3CA77DA1" w14:textId="0C527B8E" w:rsidR="00756C0A" w:rsidRPr="00C44D61" w:rsidRDefault="00756C0A">
            <w:pPr>
              <w:pStyle w:val="APVMATableText"/>
            </w:pPr>
            <w:r w:rsidRPr="00C44D61">
              <w:t>Regulatory decision of permit applications (excluding minor use and emergency</w:t>
            </w:r>
            <w:r w:rsidR="00B26923">
              <w:t xml:space="preserve">) </w:t>
            </w:r>
            <w:r w:rsidRPr="00C44D61">
              <w:t>and issuance of permits</w:t>
            </w:r>
          </w:p>
        </w:tc>
        <w:tc>
          <w:tcPr>
            <w:tcW w:w="3148" w:type="dxa"/>
            <w:vAlign w:val="center"/>
            <w:hideMark/>
          </w:tcPr>
          <w:p w14:paraId="008B4EBA" w14:textId="2CC16949" w:rsidR="00756C0A" w:rsidRPr="00C44D61" w:rsidRDefault="00756C0A">
            <w:pPr>
              <w:pStyle w:val="APVMATableText"/>
            </w:pPr>
            <w:r w:rsidRPr="00C44D61">
              <w:t>Item 19 - A permit, or extension of a permit, to possess or supply, other than for use in Australia, an active</w:t>
            </w:r>
            <w:r>
              <w:t xml:space="preserve"> </w:t>
            </w:r>
            <w:r w:rsidRPr="00C44D61">
              <w:t>constituent that is not an approved active constituent or a chemical product that is not a registered chemical</w:t>
            </w:r>
            <w:r>
              <w:t xml:space="preserve"> </w:t>
            </w:r>
            <w:r w:rsidRPr="00C44D61">
              <w:t>product, where no data of a technical nature is required.</w:t>
            </w:r>
            <w:r w:rsidRPr="00C44D61">
              <w:br/>
              <w:t>Item 20 - A permit, or extension of a permit, where a previous assessment remains valid, and no data of a</w:t>
            </w:r>
            <w:r>
              <w:t xml:space="preserve"> </w:t>
            </w:r>
            <w:r w:rsidRPr="00C44D61">
              <w:t>technical nature is required.</w:t>
            </w:r>
            <w:r w:rsidRPr="00C44D61">
              <w:br/>
              <w:t xml:space="preserve">Item 23 is for applications seeking research permits, allowing the use of </w:t>
            </w:r>
            <w:proofErr w:type="spellStart"/>
            <w:r w:rsidRPr="00C44D61">
              <w:t>agvet</w:t>
            </w:r>
            <w:proofErr w:type="spellEnd"/>
            <w:r w:rsidRPr="00C44D61">
              <w:t xml:space="preserve"> chemicals in technical trials to</w:t>
            </w:r>
            <w:r>
              <w:t xml:space="preserve"> </w:t>
            </w:r>
            <w:r w:rsidRPr="00C44D61">
              <w:t>generate information supporting potential applications for registration or permits.</w:t>
            </w:r>
          </w:p>
        </w:tc>
        <w:tc>
          <w:tcPr>
            <w:tcW w:w="2160" w:type="dxa"/>
            <w:vAlign w:val="center"/>
            <w:hideMark/>
          </w:tcPr>
          <w:p w14:paraId="78BE05E6" w14:textId="10D349BF" w:rsidR="00756C0A" w:rsidRPr="086D9C33" w:rsidRDefault="00756C0A" w:rsidP="009231A1">
            <w:pPr>
              <w:spacing w:before="120" w:after="120"/>
              <w:jc w:val="right"/>
              <w:rPr>
                <w:rFonts w:eastAsia="Arial" w:cs="Arial"/>
                <w:color w:val="000000"/>
                <w:sz w:val="17"/>
                <w:szCs w:val="17"/>
              </w:rPr>
            </w:pPr>
            <w:r w:rsidRPr="086D9C33">
              <w:rPr>
                <w:rFonts w:eastAsia="Arial" w:cs="Arial"/>
                <w:color w:val="000000"/>
                <w:sz w:val="17"/>
                <w:szCs w:val="17"/>
              </w:rPr>
              <w:t>1,184,883</w:t>
            </w:r>
          </w:p>
        </w:tc>
        <w:tc>
          <w:tcPr>
            <w:tcW w:w="1249" w:type="dxa"/>
            <w:vAlign w:val="center"/>
            <w:hideMark/>
          </w:tcPr>
          <w:p w14:paraId="3F2501D3" w14:textId="055E54D6" w:rsidR="00756C0A" w:rsidRPr="086D9C33" w:rsidRDefault="00756C0A" w:rsidP="009231A1">
            <w:pPr>
              <w:spacing w:before="120" w:after="120"/>
              <w:jc w:val="right"/>
              <w:rPr>
                <w:rFonts w:eastAsia="Arial" w:cs="Arial"/>
                <w:color w:val="000000"/>
                <w:sz w:val="17"/>
                <w:szCs w:val="17"/>
              </w:rPr>
            </w:pPr>
            <w:r w:rsidRPr="086D9C33">
              <w:rPr>
                <w:rFonts w:eastAsia="Arial" w:cs="Arial"/>
                <w:color w:val="000000"/>
                <w:sz w:val="17"/>
                <w:szCs w:val="17"/>
              </w:rPr>
              <w:t>1,196,791</w:t>
            </w:r>
          </w:p>
        </w:tc>
        <w:tc>
          <w:tcPr>
            <w:tcW w:w="1250" w:type="dxa"/>
            <w:vAlign w:val="center"/>
          </w:tcPr>
          <w:p w14:paraId="5CD757C6" w14:textId="41727686" w:rsidR="00756C0A" w:rsidRPr="086D9C33" w:rsidRDefault="00756C0A" w:rsidP="009231A1">
            <w:pPr>
              <w:spacing w:before="120" w:after="120"/>
              <w:jc w:val="right"/>
              <w:rPr>
                <w:rFonts w:eastAsia="Arial" w:cs="Arial"/>
                <w:color w:val="000000"/>
                <w:sz w:val="17"/>
                <w:szCs w:val="17"/>
              </w:rPr>
            </w:pPr>
            <w:r w:rsidRPr="086D9C33">
              <w:rPr>
                <w:rFonts w:eastAsia="Arial" w:cs="Arial"/>
                <w:color w:val="000000"/>
                <w:sz w:val="17"/>
                <w:szCs w:val="17"/>
              </w:rPr>
              <w:t>2,381,674</w:t>
            </w:r>
          </w:p>
        </w:tc>
      </w:tr>
      <w:tr w:rsidR="004A7413" w:rsidRPr="001D6576" w14:paraId="6AD50B90" w14:textId="77777777" w:rsidTr="009231A1">
        <w:trPr>
          <w:trHeight w:val="20"/>
        </w:trPr>
        <w:tc>
          <w:tcPr>
            <w:tcW w:w="1827" w:type="dxa"/>
            <w:vAlign w:val="center"/>
            <w:hideMark/>
          </w:tcPr>
          <w:p w14:paraId="22F54D89" w14:textId="77777777" w:rsidR="004A7413" w:rsidRPr="00C44D61" w:rsidRDefault="004A7413">
            <w:pPr>
              <w:pStyle w:val="APVMATableText"/>
            </w:pPr>
            <w:r w:rsidRPr="00C44D61">
              <w:t>Regulatory decision of miscellaneous applications not covered by other evaluation types</w:t>
            </w:r>
          </w:p>
        </w:tc>
        <w:tc>
          <w:tcPr>
            <w:tcW w:w="3148" w:type="dxa"/>
            <w:vAlign w:val="center"/>
            <w:hideMark/>
          </w:tcPr>
          <w:p w14:paraId="37AC512B" w14:textId="77777777" w:rsidR="004A7413" w:rsidRPr="00C44D61" w:rsidRDefault="004A7413">
            <w:pPr>
              <w:pStyle w:val="APVMATableText"/>
            </w:pPr>
            <w:r w:rsidRPr="00C44D61">
              <w:t>Item 24 – other applications made under section 10 (approval and registration applications) and section 27 (variations)</w:t>
            </w:r>
          </w:p>
        </w:tc>
        <w:tc>
          <w:tcPr>
            <w:tcW w:w="2160" w:type="dxa"/>
            <w:vAlign w:val="center"/>
            <w:hideMark/>
          </w:tcPr>
          <w:p w14:paraId="68B2B4A3" w14:textId="77777777" w:rsidR="004A7413" w:rsidRPr="00C44D61" w:rsidRDefault="004A7413" w:rsidP="009231A1">
            <w:pPr>
              <w:pStyle w:val="APVMATableText"/>
              <w:jc w:val="right"/>
            </w:pPr>
            <w:r w:rsidRPr="00D5632E">
              <w:t>184,831</w:t>
            </w:r>
          </w:p>
        </w:tc>
        <w:tc>
          <w:tcPr>
            <w:tcW w:w="1249" w:type="dxa"/>
            <w:vAlign w:val="center"/>
            <w:hideMark/>
          </w:tcPr>
          <w:p w14:paraId="2AC8BF23" w14:textId="77777777" w:rsidR="004A7413" w:rsidRPr="00C44D61" w:rsidRDefault="004A7413" w:rsidP="009231A1">
            <w:pPr>
              <w:pStyle w:val="APVMATableText"/>
              <w:jc w:val="right"/>
            </w:pPr>
            <w:r w:rsidRPr="00D5632E">
              <w:t>200,716</w:t>
            </w:r>
          </w:p>
        </w:tc>
        <w:tc>
          <w:tcPr>
            <w:tcW w:w="1250" w:type="dxa"/>
            <w:vAlign w:val="center"/>
            <w:hideMark/>
          </w:tcPr>
          <w:p w14:paraId="72596718" w14:textId="14C0EF78" w:rsidR="004A7413" w:rsidRPr="00C44D61" w:rsidRDefault="004A7413" w:rsidP="009231A1">
            <w:pPr>
              <w:pStyle w:val="APVMATableText"/>
              <w:jc w:val="right"/>
            </w:pPr>
            <w:r w:rsidRPr="00D5632E">
              <w:t>385,547</w:t>
            </w:r>
          </w:p>
        </w:tc>
      </w:tr>
      <w:tr w:rsidR="004A7413" w:rsidRPr="001D6576" w14:paraId="20B7D453" w14:textId="77777777" w:rsidTr="009231A1">
        <w:trPr>
          <w:trHeight w:val="20"/>
        </w:trPr>
        <w:tc>
          <w:tcPr>
            <w:tcW w:w="1827" w:type="dxa"/>
            <w:vAlign w:val="center"/>
            <w:hideMark/>
          </w:tcPr>
          <w:p w14:paraId="0A29794B" w14:textId="77777777" w:rsidR="004A7413" w:rsidRPr="00C44D61" w:rsidRDefault="004A7413">
            <w:pPr>
              <w:pStyle w:val="APVMATableText"/>
            </w:pPr>
            <w:r w:rsidRPr="00C44D61">
              <w:t xml:space="preserve">Regulatory decision of </w:t>
            </w:r>
            <w:proofErr w:type="spellStart"/>
            <w:r w:rsidRPr="00C44D61">
              <w:t>timeshift</w:t>
            </w:r>
            <w:proofErr w:type="spellEnd"/>
            <w:r w:rsidRPr="00C44D61">
              <w:t xml:space="preserve"> application</w:t>
            </w:r>
          </w:p>
        </w:tc>
        <w:tc>
          <w:tcPr>
            <w:tcW w:w="3148" w:type="dxa"/>
            <w:vAlign w:val="center"/>
            <w:hideMark/>
          </w:tcPr>
          <w:p w14:paraId="741EEDF6" w14:textId="77777777" w:rsidR="004A7413" w:rsidRPr="00C44D61" w:rsidRDefault="004A7413">
            <w:pPr>
              <w:pStyle w:val="APVMATableText"/>
            </w:pPr>
            <w:r w:rsidRPr="00C44D61">
              <w:t xml:space="preserve">Item 27 provides for the staged submission of supporting data packages allowing assessments to commence where all information is available, while other supporting data packages (which may include efficacy and crop safety, environment and residues and trade) are being completed. The application is assessed according to a project plan which is developed </w:t>
            </w:r>
            <w:r w:rsidRPr="00C44D61">
              <w:lastRenderedPageBreak/>
              <w:t xml:space="preserve">and agreed between the applicant and the APVMA, and which can be amended by mutual agreement. </w:t>
            </w:r>
          </w:p>
        </w:tc>
        <w:tc>
          <w:tcPr>
            <w:tcW w:w="2160" w:type="dxa"/>
            <w:vAlign w:val="center"/>
            <w:hideMark/>
          </w:tcPr>
          <w:p w14:paraId="619BEDA7" w14:textId="77777777" w:rsidR="004A7413" w:rsidRPr="00C44D61" w:rsidRDefault="004A7413" w:rsidP="009231A1">
            <w:pPr>
              <w:pStyle w:val="APVMATableText"/>
              <w:jc w:val="right"/>
            </w:pPr>
            <w:r w:rsidRPr="00D5632E">
              <w:lastRenderedPageBreak/>
              <w:t>1,175,213</w:t>
            </w:r>
          </w:p>
        </w:tc>
        <w:tc>
          <w:tcPr>
            <w:tcW w:w="1249" w:type="dxa"/>
            <w:vAlign w:val="center"/>
            <w:hideMark/>
          </w:tcPr>
          <w:p w14:paraId="35F9001A" w14:textId="77777777" w:rsidR="004A7413" w:rsidRPr="00C44D61" w:rsidRDefault="004A7413" w:rsidP="009231A1">
            <w:pPr>
              <w:pStyle w:val="APVMATableText"/>
              <w:jc w:val="right"/>
            </w:pPr>
            <w:r w:rsidRPr="00D5632E">
              <w:t>1,182,758</w:t>
            </w:r>
          </w:p>
        </w:tc>
        <w:tc>
          <w:tcPr>
            <w:tcW w:w="1250" w:type="dxa"/>
            <w:vAlign w:val="center"/>
            <w:hideMark/>
          </w:tcPr>
          <w:p w14:paraId="2C85B685" w14:textId="48AF9939" w:rsidR="004A7413" w:rsidRPr="00C44D61" w:rsidRDefault="004A7413" w:rsidP="009231A1">
            <w:pPr>
              <w:pStyle w:val="APVMATableText"/>
              <w:jc w:val="right"/>
            </w:pPr>
            <w:r w:rsidRPr="00D5632E">
              <w:t>2,357,971</w:t>
            </w:r>
          </w:p>
        </w:tc>
      </w:tr>
      <w:tr w:rsidR="004A7413" w:rsidRPr="001D6576" w14:paraId="4E465D64" w14:textId="77777777" w:rsidTr="009231A1">
        <w:trPr>
          <w:trHeight w:val="20"/>
        </w:trPr>
        <w:tc>
          <w:tcPr>
            <w:tcW w:w="1827" w:type="dxa"/>
            <w:vAlign w:val="center"/>
            <w:hideMark/>
          </w:tcPr>
          <w:p w14:paraId="47593CFC" w14:textId="77777777" w:rsidR="004A7413" w:rsidRPr="00C44D61" w:rsidRDefault="004A7413">
            <w:pPr>
              <w:pStyle w:val="APVMATableText"/>
            </w:pPr>
            <w:r w:rsidRPr="00C44D61">
              <w:t>Ingredient determinations</w:t>
            </w:r>
          </w:p>
        </w:tc>
        <w:tc>
          <w:tcPr>
            <w:tcW w:w="3148" w:type="dxa"/>
            <w:vAlign w:val="center"/>
            <w:hideMark/>
          </w:tcPr>
          <w:p w14:paraId="4585584D" w14:textId="77777777" w:rsidR="004A7413" w:rsidRPr="00C44D61" w:rsidRDefault="004A7413">
            <w:pPr>
              <w:pStyle w:val="APVMATableText"/>
            </w:pPr>
            <w:r w:rsidRPr="00C44D61">
              <w:t>Item 28 - These are technical assessments made under subclause 10(1) of Schedule 3AA to make or vary an ingredient</w:t>
            </w:r>
            <w:r w:rsidRPr="00C44D61">
              <w:br/>
              <w:t>determination.</w:t>
            </w:r>
          </w:p>
        </w:tc>
        <w:tc>
          <w:tcPr>
            <w:tcW w:w="2160" w:type="dxa"/>
            <w:hideMark/>
          </w:tcPr>
          <w:p w14:paraId="27996A20" w14:textId="77777777" w:rsidR="004A7413" w:rsidRPr="00C44D61" w:rsidRDefault="004A7413" w:rsidP="009231A1">
            <w:pPr>
              <w:pStyle w:val="APVMATableText"/>
              <w:jc w:val="right"/>
            </w:pPr>
            <w:r w:rsidRPr="007730BD">
              <w:t>-</w:t>
            </w:r>
          </w:p>
        </w:tc>
        <w:tc>
          <w:tcPr>
            <w:tcW w:w="1249" w:type="dxa"/>
            <w:hideMark/>
          </w:tcPr>
          <w:p w14:paraId="43891389" w14:textId="77777777" w:rsidR="004A7413" w:rsidRPr="00C44D61" w:rsidRDefault="004A7413" w:rsidP="009231A1">
            <w:pPr>
              <w:pStyle w:val="APVMATableText"/>
              <w:jc w:val="right"/>
            </w:pPr>
            <w:r w:rsidRPr="007730BD">
              <w:t>-</w:t>
            </w:r>
          </w:p>
        </w:tc>
        <w:tc>
          <w:tcPr>
            <w:tcW w:w="1250" w:type="dxa"/>
            <w:hideMark/>
          </w:tcPr>
          <w:p w14:paraId="7CBF344D" w14:textId="77777777" w:rsidR="004A7413" w:rsidRPr="00C44D61" w:rsidRDefault="004A7413" w:rsidP="009231A1">
            <w:pPr>
              <w:pStyle w:val="APVMATableText"/>
              <w:jc w:val="right"/>
            </w:pPr>
            <w:r w:rsidRPr="007730BD">
              <w:t>-</w:t>
            </w:r>
          </w:p>
        </w:tc>
      </w:tr>
      <w:tr w:rsidR="004A7413" w:rsidRPr="001D6576" w14:paraId="40701B5B" w14:textId="77777777" w:rsidTr="009231A1">
        <w:trPr>
          <w:trHeight w:val="20"/>
        </w:trPr>
        <w:tc>
          <w:tcPr>
            <w:tcW w:w="1827" w:type="dxa"/>
            <w:vAlign w:val="center"/>
            <w:hideMark/>
          </w:tcPr>
          <w:p w14:paraId="7C79A30F" w14:textId="77777777" w:rsidR="004A7413" w:rsidRPr="002C02F4" w:rsidRDefault="004A7413">
            <w:pPr>
              <w:pStyle w:val="APVMATableText"/>
            </w:pPr>
            <w:r w:rsidRPr="002C02F4">
              <w:t>Interchangeable constituent determinations</w:t>
            </w:r>
          </w:p>
        </w:tc>
        <w:tc>
          <w:tcPr>
            <w:tcW w:w="3148" w:type="dxa"/>
            <w:vAlign w:val="center"/>
            <w:hideMark/>
          </w:tcPr>
          <w:p w14:paraId="61717F91" w14:textId="05B06AF1" w:rsidR="004A7413" w:rsidRPr="002C02F4" w:rsidRDefault="004A7413">
            <w:pPr>
              <w:pStyle w:val="APVMATableText"/>
            </w:pPr>
            <w:r w:rsidRPr="002C02F4">
              <w:t>Item 29 - Interchangeable Constituent Determination (ICD) allows specified non-active constituents</w:t>
            </w:r>
            <w:r w:rsidR="7ADA34E1" w:rsidRPr="002C02F4">
              <w:t xml:space="preserve"> </w:t>
            </w:r>
            <w:r w:rsidRPr="002C02F4">
              <w:t>(excipients) to be substituted by other specified excipients without assessment. These determinations can apply to</w:t>
            </w:r>
            <w:r w:rsidR="517B5810" w:rsidRPr="002C02F4">
              <w:t xml:space="preserve"> </w:t>
            </w:r>
            <w:r w:rsidRPr="002C02F4">
              <w:t>a single chemical product, a range of chemical products or a class of chemical products.</w:t>
            </w:r>
          </w:p>
        </w:tc>
        <w:tc>
          <w:tcPr>
            <w:tcW w:w="2160" w:type="dxa"/>
            <w:hideMark/>
          </w:tcPr>
          <w:p w14:paraId="5A37C719" w14:textId="77777777" w:rsidR="004A7413" w:rsidRPr="002C02F4" w:rsidRDefault="004A7413" w:rsidP="009231A1">
            <w:pPr>
              <w:pStyle w:val="APVMATableText"/>
              <w:jc w:val="right"/>
            </w:pPr>
            <w:r w:rsidRPr="002C02F4">
              <w:t>-</w:t>
            </w:r>
          </w:p>
        </w:tc>
        <w:tc>
          <w:tcPr>
            <w:tcW w:w="1249" w:type="dxa"/>
            <w:hideMark/>
          </w:tcPr>
          <w:p w14:paraId="28DDF9BA" w14:textId="77777777" w:rsidR="004A7413" w:rsidRPr="00C44D61" w:rsidRDefault="004A7413" w:rsidP="009231A1">
            <w:pPr>
              <w:pStyle w:val="APVMATableText"/>
              <w:jc w:val="right"/>
            </w:pPr>
            <w:r w:rsidRPr="007730BD">
              <w:t>-</w:t>
            </w:r>
          </w:p>
        </w:tc>
        <w:tc>
          <w:tcPr>
            <w:tcW w:w="1250" w:type="dxa"/>
            <w:hideMark/>
          </w:tcPr>
          <w:p w14:paraId="66C220C5" w14:textId="77777777" w:rsidR="004A7413" w:rsidRPr="00C44D61" w:rsidRDefault="004A7413" w:rsidP="009231A1">
            <w:pPr>
              <w:pStyle w:val="APVMATableText"/>
              <w:jc w:val="right"/>
            </w:pPr>
            <w:r w:rsidRPr="007730BD">
              <w:t>-</w:t>
            </w:r>
          </w:p>
        </w:tc>
      </w:tr>
      <w:tr w:rsidR="00756C0A" w:rsidRPr="001D6576" w14:paraId="120186B8" w14:textId="77777777" w:rsidTr="00C52F49">
        <w:trPr>
          <w:trHeight w:val="20"/>
        </w:trPr>
        <w:tc>
          <w:tcPr>
            <w:tcW w:w="1827" w:type="dxa"/>
            <w:vAlign w:val="center"/>
            <w:hideMark/>
          </w:tcPr>
          <w:p w14:paraId="6CC82D41" w14:textId="77777777" w:rsidR="00756C0A" w:rsidRPr="002C02F4" w:rsidRDefault="00756C0A">
            <w:pPr>
              <w:pStyle w:val="APVMATableText"/>
            </w:pPr>
            <w:r w:rsidRPr="002C02F4">
              <w:t>Regulatory decision of Minor Use Permits (funded by appropriation, fee and levy)</w:t>
            </w:r>
          </w:p>
        </w:tc>
        <w:tc>
          <w:tcPr>
            <w:tcW w:w="3148" w:type="dxa"/>
            <w:vAlign w:val="center"/>
            <w:hideMark/>
          </w:tcPr>
          <w:p w14:paraId="567CF76B" w14:textId="77777777" w:rsidR="00756C0A" w:rsidRPr="002C02F4" w:rsidRDefault="00756C0A">
            <w:pPr>
              <w:pStyle w:val="APVMATableText"/>
            </w:pPr>
            <w:r w:rsidRPr="002C02F4">
              <w:t>A permit, or extension of a permit, where the proposed use is a minor use.</w:t>
            </w:r>
          </w:p>
        </w:tc>
        <w:tc>
          <w:tcPr>
            <w:tcW w:w="2160" w:type="dxa"/>
            <w:vAlign w:val="center"/>
            <w:hideMark/>
          </w:tcPr>
          <w:p w14:paraId="56ECD2E7" w14:textId="1395F641" w:rsidR="00756C0A" w:rsidRPr="002C02F4" w:rsidRDefault="00756C0A" w:rsidP="00756C0A">
            <w:pPr>
              <w:spacing w:before="120" w:after="120"/>
              <w:jc w:val="right"/>
              <w:rPr>
                <w:rFonts w:eastAsia="Arial" w:cs="Arial"/>
                <w:color w:val="000000"/>
                <w:sz w:val="17"/>
                <w:szCs w:val="17"/>
              </w:rPr>
            </w:pPr>
            <w:r w:rsidRPr="002C02F4">
              <w:rPr>
                <w:rFonts w:eastAsia="Arial" w:cs="Arial"/>
                <w:color w:val="000000"/>
                <w:sz w:val="17"/>
                <w:szCs w:val="17"/>
              </w:rPr>
              <w:t>2,333,861</w:t>
            </w:r>
          </w:p>
        </w:tc>
        <w:tc>
          <w:tcPr>
            <w:tcW w:w="1249" w:type="dxa"/>
            <w:vAlign w:val="center"/>
            <w:hideMark/>
          </w:tcPr>
          <w:p w14:paraId="176ABD1C" w14:textId="59ADBDDF" w:rsidR="00756C0A" w:rsidRPr="086D9C33" w:rsidRDefault="00756C0A" w:rsidP="009231A1">
            <w:pPr>
              <w:spacing w:before="120" w:after="120"/>
              <w:jc w:val="right"/>
              <w:rPr>
                <w:rFonts w:eastAsia="Arial" w:cs="Arial"/>
                <w:color w:val="000000"/>
                <w:sz w:val="17"/>
                <w:szCs w:val="17"/>
              </w:rPr>
            </w:pPr>
            <w:r w:rsidRPr="086D9C33">
              <w:rPr>
                <w:rFonts w:eastAsia="Arial" w:cs="Arial"/>
                <w:color w:val="000000"/>
                <w:sz w:val="17"/>
                <w:szCs w:val="17"/>
              </w:rPr>
              <w:t>2,397,257</w:t>
            </w:r>
          </w:p>
        </w:tc>
        <w:tc>
          <w:tcPr>
            <w:tcW w:w="1250" w:type="dxa"/>
            <w:vAlign w:val="center"/>
          </w:tcPr>
          <w:p w14:paraId="761B0CED" w14:textId="4D7E0288" w:rsidR="00756C0A" w:rsidRPr="086D9C33" w:rsidRDefault="00756C0A" w:rsidP="009231A1">
            <w:pPr>
              <w:spacing w:before="120" w:after="120"/>
              <w:jc w:val="right"/>
              <w:rPr>
                <w:rFonts w:eastAsia="Arial" w:cs="Arial"/>
                <w:color w:val="000000"/>
                <w:sz w:val="17"/>
                <w:szCs w:val="17"/>
              </w:rPr>
            </w:pPr>
            <w:r w:rsidRPr="086D9C33">
              <w:rPr>
                <w:rFonts w:eastAsia="Arial" w:cs="Arial"/>
                <w:color w:val="000000"/>
                <w:sz w:val="17"/>
                <w:szCs w:val="17"/>
              </w:rPr>
              <w:t>4,731,118</w:t>
            </w:r>
          </w:p>
        </w:tc>
      </w:tr>
      <w:tr w:rsidR="004A7413" w:rsidRPr="001D6576" w14:paraId="5CA75BFC" w14:textId="77777777" w:rsidTr="009231A1">
        <w:trPr>
          <w:trHeight w:val="20"/>
        </w:trPr>
        <w:tc>
          <w:tcPr>
            <w:tcW w:w="1827" w:type="dxa"/>
            <w:vAlign w:val="center"/>
            <w:hideMark/>
          </w:tcPr>
          <w:p w14:paraId="5F9A0EB1" w14:textId="77777777" w:rsidR="004A7413" w:rsidRPr="002C02F4" w:rsidRDefault="004A7413">
            <w:pPr>
              <w:pStyle w:val="APVMATableText"/>
            </w:pPr>
            <w:r w:rsidRPr="002C02F4">
              <w:t>Regulatory decision of Emergency Permits (Appropriation)</w:t>
            </w:r>
          </w:p>
        </w:tc>
        <w:tc>
          <w:tcPr>
            <w:tcW w:w="3148" w:type="dxa"/>
            <w:vAlign w:val="center"/>
            <w:hideMark/>
          </w:tcPr>
          <w:p w14:paraId="343291F0" w14:textId="77777777" w:rsidR="004A7413" w:rsidRPr="002C02F4" w:rsidRDefault="004A7413">
            <w:pPr>
              <w:pStyle w:val="APVMATableText"/>
            </w:pPr>
            <w:r w:rsidRPr="002C02F4">
              <w:t>A permit, or extension of a permit, in respect of a chemical product or an active constituent if the proposed use of the chemical product or active constituent is determined by the APVMA to be an emergency use.</w:t>
            </w:r>
          </w:p>
        </w:tc>
        <w:tc>
          <w:tcPr>
            <w:tcW w:w="2160" w:type="dxa"/>
            <w:vAlign w:val="center"/>
            <w:hideMark/>
          </w:tcPr>
          <w:p w14:paraId="131584C6" w14:textId="641303C8" w:rsidR="004A7413" w:rsidRPr="002C02F4" w:rsidRDefault="003143AF" w:rsidP="009231A1">
            <w:pPr>
              <w:pStyle w:val="APVMATableText"/>
              <w:jc w:val="right"/>
            </w:pPr>
            <w:r>
              <w:t>646,810</w:t>
            </w:r>
          </w:p>
        </w:tc>
        <w:tc>
          <w:tcPr>
            <w:tcW w:w="1249" w:type="dxa"/>
            <w:vAlign w:val="center"/>
            <w:hideMark/>
          </w:tcPr>
          <w:p w14:paraId="3B935893" w14:textId="2B50C0E7" w:rsidR="004A7413" w:rsidRPr="00C44D61" w:rsidRDefault="003143AF" w:rsidP="009231A1">
            <w:pPr>
              <w:pStyle w:val="APVMATableText"/>
              <w:jc w:val="right"/>
            </w:pPr>
            <w:r>
              <w:t>652,527</w:t>
            </w:r>
          </w:p>
        </w:tc>
        <w:tc>
          <w:tcPr>
            <w:tcW w:w="1250" w:type="dxa"/>
            <w:vAlign w:val="center"/>
            <w:hideMark/>
          </w:tcPr>
          <w:p w14:paraId="1EB9E588" w14:textId="7B14C738" w:rsidR="004A7413" w:rsidRPr="00C44D61" w:rsidRDefault="003143AF" w:rsidP="009231A1">
            <w:pPr>
              <w:pStyle w:val="APVMATableText"/>
              <w:jc w:val="right"/>
            </w:pPr>
            <w:r>
              <w:t>1,299,337</w:t>
            </w:r>
          </w:p>
        </w:tc>
      </w:tr>
      <w:tr w:rsidR="004A7413" w:rsidRPr="001D6576" w14:paraId="5C43E8E1" w14:textId="77777777" w:rsidTr="009231A1">
        <w:trPr>
          <w:trHeight w:val="20"/>
        </w:trPr>
        <w:tc>
          <w:tcPr>
            <w:tcW w:w="1827" w:type="dxa"/>
            <w:vAlign w:val="center"/>
            <w:hideMark/>
          </w:tcPr>
          <w:p w14:paraId="1B80BAA0" w14:textId="77777777" w:rsidR="004A7413" w:rsidRPr="00C44D61" w:rsidRDefault="004A7413">
            <w:pPr>
              <w:pStyle w:val="APVMATableText"/>
            </w:pPr>
            <w:r w:rsidRPr="00C44D61">
              <w:t>Pre-application assistance and other advice </w:t>
            </w:r>
          </w:p>
        </w:tc>
        <w:tc>
          <w:tcPr>
            <w:tcW w:w="3148" w:type="dxa"/>
            <w:vAlign w:val="center"/>
            <w:hideMark/>
          </w:tcPr>
          <w:p w14:paraId="34844B11" w14:textId="77777777" w:rsidR="004A7413" w:rsidRPr="00C44D61" w:rsidRDefault="004A7413">
            <w:pPr>
              <w:pStyle w:val="APVMATableText"/>
            </w:pPr>
            <w:r w:rsidRPr="00C44D61">
              <w:t>Pre-application assistance (PAA) assists applicants with preparing or making applications to the APVMA under the Agricultural and Veterinary Chemicals Code Act 1994 and associated regulations.</w:t>
            </w:r>
            <w:r w:rsidRPr="00C44D61">
              <w:br/>
              <w:t>Item 25 pertains to applications for technical assessments under regulation 8AS.</w:t>
            </w:r>
          </w:p>
        </w:tc>
        <w:tc>
          <w:tcPr>
            <w:tcW w:w="2160" w:type="dxa"/>
            <w:vAlign w:val="center"/>
            <w:hideMark/>
          </w:tcPr>
          <w:p w14:paraId="524094D4" w14:textId="77777777" w:rsidR="004A7413" w:rsidRPr="00C44D61" w:rsidRDefault="004A7413" w:rsidP="009231A1">
            <w:pPr>
              <w:pStyle w:val="APVMATableText"/>
              <w:jc w:val="right"/>
            </w:pPr>
            <w:r w:rsidRPr="00D5632E">
              <w:t>1,607,567</w:t>
            </w:r>
          </w:p>
        </w:tc>
        <w:tc>
          <w:tcPr>
            <w:tcW w:w="1249" w:type="dxa"/>
            <w:vAlign w:val="center"/>
            <w:hideMark/>
          </w:tcPr>
          <w:p w14:paraId="129A7810" w14:textId="77777777" w:rsidR="004A7413" w:rsidRPr="00C44D61" w:rsidRDefault="004A7413" w:rsidP="009231A1">
            <w:pPr>
              <w:pStyle w:val="APVMATableText"/>
              <w:jc w:val="right"/>
            </w:pPr>
            <w:r w:rsidRPr="00D5632E">
              <w:t>1,641,356</w:t>
            </w:r>
          </w:p>
        </w:tc>
        <w:tc>
          <w:tcPr>
            <w:tcW w:w="1250" w:type="dxa"/>
            <w:vAlign w:val="center"/>
            <w:hideMark/>
          </w:tcPr>
          <w:p w14:paraId="4AFCB8A2" w14:textId="672BA49B" w:rsidR="004A7413" w:rsidRPr="00C44D61" w:rsidRDefault="004A7413" w:rsidP="009231A1">
            <w:pPr>
              <w:pStyle w:val="APVMATableText"/>
              <w:jc w:val="right"/>
            </w:pPr>
            <w:r w:rsidRPr="00D5632E">
              <w:t>3,248,923</w:t>
            </w:r>
          </w:p>
        </w:tc>
      </w:tr>
    </w:tbl>
    <w:p w14:paraId="17E0DE93" w14:textId="77777777" w:rsidR="00247BB2" w:rsidRDefault="00247BB2">
      <w:pPr>
        <w:spacing w:line="240" w:lineRule="auto"/>
        <w:rPr>
          <w:rFonts w:cs="Arial"/>
          <w:kern w:val="20"/>
          <w:sz w:val="19"/>
          <w:u w:color="000000"/>
        </w:rPr>
      </w:pPr>
      <w:r>
        <w:br w:type="page"/>
      </w:r>
    </w:p>
    <w:p w14:paraId="1F466B3E" w14:textId="5204A954" w:rsidR="00247BB2" w:rsidRDefault="00247BB2" w:rsidP="00247BB2">
      <w:pPr>
        <w:pStyle w:val="NormalText"/>
      </w:pPr>
      <w:r>
        <w:lastRenderedPageBreak/>
        <w:t>The transition to full cost recovery has a direct impact on individual application fees. The increase in fees reflects the following factors:</w:t>
      </w:r>
    </w:p>
    <w:p w14:paraId="6B8CF3A0" w14:textId="77777777" w:rsidR="00247BB2" w:rsidRDefault="00247BB2" w:rsidP="00247BB2">
      <w:pPr>
        <w:pStyle w:val="Bullet1"/>
      </w:pPr>
      <w:r>
        <w:t>the shift from recovering, on average, 40 per cent of assessment costs to recovering 100 per cent of efficient costs, and</w:t>
      </w:r>
    </w:p>
    <w:p w14:paraId="196B339E" w14:textId="77777777" w:rsidR="00247BB2" w:rsidRDefault="00247BB2" w:rsidP="00247BB2">
      <w:pPr>
        <w:pStyle w:val="Bullet1"/>
      </w:pPr>
      <w:r>
        <w:t>the application of approximately five years of inflation that had not previously been incorporated into fees.</w:t>
      </w:r>
    </w:p>
    <w:p w14:paraId="40A7FCDB" w14:textId="77777777" w:rsidR="00247BB2" w:rsidRDefault="00247BB2" w:rsidP="00247BB2">
      <w:pPr>
        <w:pStyle w:val="NormalText"/>
      </w:pPr>
      <w:r w:rsidRPr="002C02F4">
        <w:t>Together, these changes are expected to increase APVMA revenue from fee-for-service activities by approximately $27 million per year, increasing the proportion of total funding recovered through fees from around 27 per cent to approximately 87 per cent. This increase in fee revenue will be partially offset by a reduction in sales-based levies of approximately $9 million per year.</w:t>
      </w:r>
    </w:p>
    <w:p w14:paraId="0EDEC897" w14:textId="2BBEEC8B" w:rsidR="009049DB" w:rsidRDefault="009049DB" w:rsidP="009049DB">
      <w:pPr>
        <w:pStyle w:val="NormalText"/>
      </w:pPr>
      <w:r>
        <w:t>The practical effect of this change can be illustrated through individual examples. For instance, an item 7 application previously attracted a fee of $1</w:t>
      </w:r>
      <w:r w:rsidR="00BF6E6D">
        <w:t>,</w:t>
      </w:r>
      <w:r>
        <w:t>632. Under full cost recovery, this fee increases to $8</w:t>
      </w:r>
      <w:r w:rsidR="00BF6E6D">
        <w:t>,</w:t>
      </w:r>
      <w:r>
        <w:t>005 reflecting the efficient cost of assessment. Similarly, the fee for certain variations to approvals or registrations increases from $175 to $860, aligning charges with the actual regulatory effort involved.</w:t>
      </w:r>
    </w:p>
    <w:p w14:paraId="0CFDCD23" w14:textId="77777777" w:rsidR="00247BB2" w:rsidRDefault="00247BB2" w:rsidP="00247BB2">
      <w:pPr>
        <w:pStyle w:val="NormalText"/>
      </w:pPr>
      <w:r>
        <w:t>Other fees have been adjusted to better reflect differences in regulatory complexity and effort. For example, a single fee for Item 9 applications has been split into separate charges for agricultural chemicals and veterinary medicines to reflect differences in assessment requirements. In cases where multiple application types were historically charged the same nominal fee (for example, Items 8L, 8M and 8P), fees have been normalised using weighted averages to better reflect actual effort.</w:t>
      </w:r>
    </w:p>
    <w:p w14:paraId="64407700" w14:textId="584FC580" w:rsidR="007C25F3" w:rsidRPr="004A7413" w:rsidRDefault="00C10AFA" w:rsidP="004A7413">
      <w:pPr>
        <w:pStyle w:val="NormalText"/>
      </w:pPr>
      <w:r>
        <w:t xml:space="preserve">The detailed list of fees for all outputs and elements is </w:t>
      </w:r>
      <w:r w:rsidR="00716F69">
        <w:t>attached to the CRIS.</w:t>
      </w:r>
      <w:r w:rsidR="00530602">
        <w:br w:type="page"/>
      </w:r>
    </w:p>
    <w:p w14:paraId="5F605A5D" w14:textId="5479F1F1" w:rsidR="004A7413" w:rsidRDefault="00781F09" w:rsidP="00D0686C">
      <w:pPr>
        <w:pStyle w:val="Heading2"/>
      </w:pPr>
      <w:bookmarkStart w:id="20" w:name="_Toc234585897"/>
      <w:r>
        <w:lastRenderedPageBreak/>
        <w:t>Po</w:t>
      </w:r>
      <w:r w:rsidR="001455F3">
        <w:t>s</w:t>
      </w:r>
      <w:r>
        <w:t>t-market activities including r</w:t>
      </w:r>
      <w:r w:rsidRPr="004A7413">
        <w:t xml:space="preserve">egulatory </w:t>
      </w:r>
      <w:r w:rsidR="004A7413" w:rsidRPr="004A7413">
        <w:t>licensing, certification</w:t>
      </w:r>
      <w:r>
        <w:t>, variations</w:t>
      </w:r>
      <w:r w:rsidR="004A7413" w:rsidRPr="004A7413">
        <w:t xml:space="preserve"> and compliance activities</w:t>
      </w:r>
      <w:bookmarkEnd w:id="20"/>
    </w:p>
    <w:p w14:paraId="163A1A3E" w14:textId="5DF019C6" w:rsidR="00B27F6F" w:rsidRPr="002C02F4" w:rsidRDefault="00B27F6F" w:rsidP="00B27F6F">
      <w:pPr>
        <w:pStyle w:val="NormalText"/>
      </w:pPr>
      <w:bookmarkStart w:id="21" w:name="_Ref214557802"/>
      <w:bookmarkStart w:id="22" w:name="_Toc216948744"/>
      <w:r>
        <w:t xml:space="preserve">This activity covers the APVMA’s post-market regulatory licensing and certification services, together with specific compliance-related regulatory functions. It includes the evaluation of applications for Good Manufacturing Practice (GMP) compliance, responses to </w:t>
      </w:r>
      <w:proofErr w:type="spellStart"/>
      <w:r>
        <w:t>Agvet</w:t>
      </w:r>
      <w:proofErr w:type="spellEnd"/>
      <w:r>
        <w:t xml:space="preserve"> Code requests, issu</w:t>
      </w:r>
      <w:r w:rsidR="00B355C0">
        <w:t>ing</w:t>
      </w:r>
      <w:r>
        <w:t xml:space="preserve"> Certificates of Export, consents to import, administration of the Hormonal Growth </w:t>
      </w:r>
      <w:proofErr w:type="spellStart"/>
      <w:r>
        <w:t>Promotant</w:t>
      </w:r>
      <w:proofErr w:type="spellEnd"/>
      <w:r>
        <w:t xml:space="preserve"> (HGP) </w:t>
      </w:r>
      <w:r w:rsidRPr="002C02F4">
        <w:t>Scheme, and deliver</w:t>
      </w:r>
      <w:r w:rsidR="00B355C0" w:rsidRPr="002C02F4">
        <w:t>ing</w:t>
      </w:r>
      <w:r w:rsidRPr="002C02F4">
        <w:t xml:space="preserve"> the Adverse Experience Reporting Program (AERP) and the Chemical Review</w:t>
      </w:r>
      <w:r w:rsidR="00B355C0" w:rsidRPr="002C02F4">
        <w:t>s</w:t>
      </w:r>
      <w:r w:rsidRPr="002C02F4">
        <w:t>.</w:t>
      </w:r>
    </w:p>
    <w:p w14:paraId="4E0D753E" w14:textId="5130DE15" w:rsidR="00B27F6F" w:rsidRPr="002C02F4" w:rsidRDefault="00B27F6F" w:rsidP="00B27F6F">
      <w:pPr>
        <w:pStyle w:val="NormalText"/>
      </w:pPr>
      <w:r w:rsidRPr="002C02F4">
        <w:t>The costs of these activities are recovered through a combination of fees, sales-based levies, appropriation and the annual registration renewal fee. This reflects the mix of direct, individual benefits and broader, market-wide public benefits delivered by these functions.</w:t>
      </w:r>
    </w:p>
    <w:p w14:paraId="7557B89E" w14:textId="42116B1D" w:rsidR="00B27F6F" w:rsidRPr="002C02F4" w:rsidRDefault="00B27F6F" w:rsidP="00B27F6F">
      <w:pPr>
        <w:pStyle w:val="Bullet1"/>
      </w:pPr>
      <w:r w:rsidRPr="002C02F4">
        <w:t xml:space="preserve">Fees apply to activities that deliver a direct benefit to a specific individual or business, including GMP compliance, </w:t>
      </w:r>
      <w:proofErr w:type="spellStart"/>
      <w:r w:rsidRPr="002C02F4">
        <w:t>Agvet</w:t>
      </w:r>
      <w:proofErr w:type="spellEnd"/>
      <w:r w:rsidRPr="002C02F4">
        <w:t xml:space="preserve"> Code requests, Certificates of Export, and administration of the HGP Scheme.</w:t>
      </w:r>
    </w:p>
    <w:p w14:paraId="41527138" w14:textId="4576A800" w:rsidR="00B27F6F" w:rsidRPr="002C02F4" w:rsidRDefault="00B27F6F" w:rsidP="00B27F6F">
      <w:pPr>
        <w:pStyle w:val="Bullet1"/>
      </w:pPr>
      <w:r w:rsidRPr="002C02F4">
        <w:t xml:space="preserve">Consents to </w:t>
      </w:r>
      <w:r w:rsidR="005F5570">
        <w:t>I</w:t>
      </w:r>
      <w:r w:rsidRPr="002C02F4">
        <w:t>mport are funded through sales-based levies.</w:t>
      </w:r>
    </w:p>
    <w:p w14:paraId="12CE59DF" w14:textId="77777777" w:rsidR="00B27F6F" w:rsidRPr="002C02F4" w:rsidRDefault="00B27F6F" w:rsidP="00B27F6F">
      <w:pPr>
        <w:pStyle w:val="Bullet1"/>
      </w:pPr>
      <w:r w:rsidRPr="002C02F4">
        <w:t>Variations, including prescribed and notifiable variations, are recovered through fees where they deliver direct benefits to specific individuals or businesses. Item 13 variations are funded through application fees.</w:t>
      </w:r>
    </w:p>
    <w:p w14:paraId="115A8267" w14:textId="77777777" w:rsidR="00B27F6F" w:rsidRPr="002C02F4" w:rsidRDefault="00B27F6F" w:rsidP="00B27F6F">
      <w:pPr>
        <w:pStyle w:val="Bullet1"/>
      </w:pPr>
      <w:r w:rsidRPr="002C02F4">
        <w:t>The Adverse Experience Reporting Program (AERP) and chemical review activities are funded through a combination of sales-based levies and the annual registration renewal fee, reflecting their role in supporting ongoing product safety, efficacy and risk management across the registered product market.</w:t>
      </w:r>
    </w:p>
    <w:p w14:paraId="58495A58" w14:textId="77777777" w:rsidR="00B27F6F" w:rsidRPr="002C02F4" w:rsidRDefault="00B27F6F" w:rsidP="00B27F6F">
      <w:pPr>
        <w:pStyle w:val="Bullet1"/>
      </w:pPr>
      <w:r w:rsidRPr="002C02F4">
        <w:t>Compliance and enforcement activities are funded through a combination of sales-based levies and appropriation.</w:t>
      </w:r>
    </w:p>
    <w:p w14:paraId="111BD343" w14:textId="77777777" w:rsidR="00B27F6F" w:rsidRPr="002C02F4" w:rsidRDefault="00B27F6F" w:rsidP="00B27F6F">
      <w:pPr>
        <w:pStyle w:val="Bullet1"/>
        <w:numPr>
          <w:ilvl w:val="0"/>
          <w:numId w:val="0"/>
        </w:numPr>
        <w:rPr>
          <w:lang w:eastAsia="en-GB"/>
        </w:rPr>
      </w:pPr>
      <w:r w:rsidRPr="002C02F4">
        <w:rPr>
          <w:lang w:eastAsia="en-GB"/>
        </w:rPr>
        <w:t>Annual registration renewal fees will continue to be set to recover the cost of maintaining existing product registrations, rather than the cost of assessing new applications. This ensures that renewal fees reflect ongoing regulatory oversight rather than pre-market assessment effort.</w:t>
      </w:r>
    </w:p>
    <w:p w14:paraId="73847D64" w14:textId="52C8E27E" w:rsidR="00B27F6F" w:rsidRDefault="00B27F6F" w:rsidP="00B27F6F">
      <w:pPr>
        <w:pStyle w:val="Bullet1"/>
        <w:numPr>
          <w:ilvl w:val="0"/>
          <w:numId w:val="0"/>
        </w:numPr>
        <w:rPr>
          <w:lang w:eastAsia="en-GB"/>
        </w:rPr>
      </w:pPr>
      <w:r w:rsidRPr="002C02F4">
        <w:rPr>
          <w:lang w:eastAsia="en-GB"/>
        </w:rPr>
        <w:t>The estimated total costs of post-market regulatory licensing, certification, variation and compliance activities for 202</w:t>
      </w:r>
      <w:r w:rsidR="005C35A3">
        <w:rPr>
          <w:lang w:eastAsia="en-GB"/>
        </w:rPr>
        <w:t>7</w:t>
      </w:r>
      <w:r w:rsidRPr="002C02F4">
        <w:rPr>
          <w:lang w:eastAsia="en-GB"/>
        </w:rPr>
        <w:t>–2</w:t>
      </w:r>
      <w:r w:rsidR="005C35A3">
        <w:rPr>
          <w:lang w:eastAsia="en-GB"/>
        </w:rPr>
        <w:t>8</w:t>
      </w:r>
      <w:r w:rsidRPr="002C02F4">
        <w:rPr>
          <w:lang w:eastAsia="en-GB"/>
        </w:rPr>
        <w:t xml:space="preserve"> are presented in Table 2. These estimates include direct, indirect and</w:t>
      </w:r>
      <w:r w:rsidRPr="00595290">
        <w:rPr>
          <w:lang w:eastAsia="en-GB"/>
        </w:rPr>
        <w:t xml:space="preserve"> total cost components for each output and are derived from the APVMA’s </w:t>
      </w:r>
      <w:r>
        <w:rPr>
          <w:lang w:eastAsia="en-GB"/>
        </w:rPr>
        <w:t>ABC</w:t>
      </w:r>
      <w:r w:rsidRPr="00595290">
        <w:rPr>
          <w:lang w:eastAsia="en-GB"/>
        </w:rPr>
        <w:t xml:space="preserve"> model.</w:t>
      </w:r>
    </w:p>
    <w:p w14:paraId="20E397D3" w14:textId="447F5D02" w:rsidR="004A7413" w:rsidRDefault="00D0686C" w:rsidP="004A7413">
      <w:pPr>
        <w:pStyle w:val="Caption"/>
      </w:pPr>
      <w:bookmarkStart w:id="23" w:name="_Toc234585734"/>
      <w:bookmarkEnd w:id="21"/>
      <w:r>
        <w:t xml:space="preserve">Table </w:t>
      </w:r>
      <w:fldSimple w:instr=" SEQ Table \* ARABIC ">
        <w:r>
          <w:rPr>
            <w:noProof/>
          </w:rPr>
          <w:t>2</w:t>
        </w:r>
      </w:fldSimple>
      <w:r>
        <w:t>:</w:t>
      </w:r>
      <w:r>
        <w:tab/>
      </w:r>
      <w:r w:rsidR="004A7413">
        <w:t xml:space="preserve">Cost elements of </w:t>
      </w:r>
      <w:bookmarkStart w:id="24" w:name="_Toc1259513307"/>
      <w:bookmarkStart w:id="25" w:name="_Toc1056278328"/>
      <w:bookmarkEnd w:id="22"/>
      <w:r w:rsidR="00781F09">
        <w:t>post-market activities</w:t>
      </w:r>
      <w:bookmarkEnd w:id="23"/>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016"/>
        <w:gridCol w:w="2584"/>
        <w:gridCol w:w="1311"/>
        <w:gridCol w:w="1311"/>
      </w:tblGrid>
      <w:tr w:rsidR="004A7413" w:rsidRPr="00E47862" w14:paraId="3642EA15" w14:textId="77777777" w:rsidTr="00756C0A">
        <w:trPr>
          <w:trHeight w:val="780"/>
          <w:tblHeader/>
        </w:trPr>
        <w:tc>
          <w:tcPr>
            <w:tcW w:w="1403" w:type="dxa"/>
            <w:shd w:val="clear" w:color="auto" w:fill="53284F" w:themeFill="accent5"/>
            <w:vAlign w:val="center"/>
            <w:hideMark/>
          </w:tcPr>
          <w:p w14:paraId="56442B1B" w14:textId="77777777" w:rsidR="004A7413" w:rsidRPr="00E47862" w:rsidRDefault="004A7413" w:rsidP="00932C16">
            <w:pPr>
              <w:pStyle w:val="APVMATableHead"/>
              <w:rPr>
                <w:lang w:eastAsia="en-AU"/>
              </w:rPr>
            </w:pPr>
            <w:r w:rsidRPr="00E47862">
              <w:rPr>
                <w:lang w:eastAsia="en-AU"/>
              </w:rPr>
              <w:t>Outputs</w:t>
            </w:r>
          </w:p>
        </w:tc>
        <w:tc>
          <w:tcPr>
            <w:tcW w:w="3016" w:type="dxa"/>
            <w:shd w:val="clear" w:color="auto" w:fill="53284F" w:themeFill="accent5"/>
            <w:vAlign w:val="center"/>
            <w:hideMark/>
          </w:tcPr>
          <w:p w14:paraId="10368028" w14:textId="77777777" w:rsidR="004A7413" w:rsidRPr="00E47862" w:rsidRDefault="004A7413" w:rsidP="00932C16">
            <w:pPr>
              <w:pStyle w:val="APVMATableHead"/>
              <w:rPr>
                <w:lang w:eastAsia="en-AU"/>
              </w:rPr>
            </w:pPr>
            <w:r w:rsidRPr="00E47862">
              <w:rPr>
                <w:lang w:eastAsia="en-AU"/>
              </w:rPr>
              <w:t>Description</w:t>
            </w:r>
          </w:p>
        </w:tc>
        <w:tc>
          <w:tcPr>
            <w:tcW w:w="2584" w:type="dxa"/>
            <w:shd w:val="clear" w:color="auto" w:fill="53284F" w:themeFill="accent5"/>
            <w:vAlign w:val="center"/>
            <w:hideMark/>
          </w:tcPr>
          <w:p w14:paraId="15DF2DBD" w14:textId="77777777" w:rsidR="004A7413" w:rsidRPr="00E47862" w:rsidRDefault="004A7413" w:rsidP="00932C16">
            <w:pPr>
              <w:pStyle w:val="APVMATableHeadRight"/>
              <w:rPr>
                <w:lang w:eastAsia="en-AU"/>
              </w:rPr>
            </w:pPr>
            <w:r>
              <w:rPr>
                <w:lang w:eastAsia="en-AU"/>
              </w:rPr>
              <w:t xml:space="preserve">Total </w:t>
            </w:r>
            <w:r w:rsidRPr="00E47862">
              <w:rPr>
                <w:lang w:eastAsia="en-AU"/>
              </w:rPr>
              <w:t>Direct costs ($)</w:t>
            </w:r>
          </w:p>
        </w:tc>
        <w:tc>
          <w:tcPr>
            <w:tcW w:w="1311" w:type="dxa"/>
            <w:shd w:val="clear" w:color="auto" w:fill="53284F" w:themeFill="accent5"/>
            <w:vAlign w:val="center"/>
            <w:hideMark/>
          </w:tcPr>
          <w:p w14:paraId="2DEA6FC5" w14:textId="77777777" w:rsidR="004A7413" w:rsidRPr="00E47862" w:rsidRDefault="004A7413" w:rsidP="00932C16">
            <w:pPr>
              <w:pStyle w:val="APVMATableHeadRight"/>
              <w:rPr>
                <w:lang w:eastAsia="en-AU"/>
              </w:rPr>
            </w:pPr>
            <w:r>
              <w:rPr>
                <w:lang w:eastAsia="en-AU"/>
              </w:rPr>
              <w:t xml:space="preserve">Total </w:t>
            </w:r>
            <w:r w:rsidRPr="00E47862">
              <w:rPr>
                <w:lang w:eastAsia="en-AU"/>
              </w:rPr>
              <w:t>Indirect costs ($)</w:t>
            </w:r>
          </w:p>
        </w:tc>
        <w:tc>
          <w:tcPr>
            <w:tcW w:w="1311" w:type="dxa"/>
            <w:shd w:val="clear" w:color="auto" w:fill="53284F" w:themeFill="accent5"/>
            <w:vAlign w:val="center"/>
            <w:hideMark/>
          </w:tcPr>
          <w:p w14:paraId="15CEB6AE" w14:textId="48E1C8ED" w:rsidR="004A7413" w:rsidRPr="00E47862" w:rsidRDefault="004A7413" w:rsidP="00932C16">
            <w:pPr>
              <w:pStyle w:val="APVMATableHeadRight"/>
              <w:rPr>
                <w:lang w:eastAsia="en-AU"/>
              </w:rPr>
            </w:pPr>
            <w:r w:rsidRPr="00E47862">
              <w:rPr>
                <w:lang w:eastAsia="en-AU"/>
              </w:rPr>
              <w:t>20</w:t>
            </w:r>
            <w:r w:rsidRPr="0024707E">
              <w:rPr>
                <w:color w:val="F0F4F5" w:themeColor="accent1" w:themeTint="33"/>
                <w:lang w:eastAsia="en-AU"/>
              </w:rPr>
              <w:t>2</w:t>
            </w:r>
            <w:r w:rsidR="005C35A3" w:rsidRPr="0024707E">
              <w:rPr>
                <w:color w:val="F0F4F5" w:themeColor="accent1" w:themeTint="33"/>
                <w:lang w:eastAsia="en-AU"/>
              </w:rPr>
              <w:t>7</w:t>
            </w:r>
            <w:r w:rsidR="00D0686C" w:rsidRPr="0024707E">
              <w:rPr>
                <w:color w:val="F0F4F5" w:themeColor="accent1" w:themeTint="33"/>
                <w:lang w:eastAsia="en-AU"/>
              </w:rPr>
              <w:t>–</w:t>
            </w:r>
            <w:r w:rsidRPr="0024707E">
              <w:rPr>
                <w:color w:val="F0F4F5" w:themeColor="accent1" w:themeTint="33"/>
                <w:lang w:eastAsia="en-AU"/>
              </w:rPr>
              <w:t>2</w:t>
            </w:r>
            <w:r w:rsidR="005C35A3" w:rsidRPr="0024707E">
              <w:rPr>
                <w:color w:val="F0F4F5" w:themeColor="accent1" w:themeTint="33"/>
                <w:lang w:eastAsia="en-AU"/>
              </w:rPr>
              <w:t>8</w:t>
            </w:r>
            <w:r w:rsidRPr="00E47862">
              <w:rPr>
                <w:lang w:eastAsia="en-AU"/>
              </w:rPr>
              <w:t xml:space="preserve"> Estimated cost ($)</w:t>
            </w:r>
          </w:p>
        </w:tc>
      </w:tr>
      <w:tr w:rsidR="00756C0A" w:rsidRPr="00E47862" w14:paraId="7F70688D" w14:textId="77777777" w:rsidTr="00FD24C1">
        <w:trPr>
          <w:trHeight w:val="465"/>
        </w:trPr>
        <w:tc>
          <w:tcPr>
            <w:tcW w:w="1403" w:type="dxa"/>
            <w:vAlign w:val="center"/>
            <w:hideMark/>
          </w:tcPr>
          <w:p w14:paraId="401AFC4C" w14:textId="77777777" w:rsidR="00756C0A" w:rsidRPr="00E47862" w:rsidRDefault="00756C0A" w:rsidP="00756C0A">
            <w:pPr>
              <w:pStyle w:val="APVMATableText"/>
              <w:rPr>
                <w:lang w:eastAsia="en-AU"/>
              </w:rPr>
            </w:pPr>
            <w:r w:rsidRPr="00E47862">
              <w:rPr>
                <w:lang w:eastAsia="en-AU"/>
              </w:rPr>
              <w:t xml:space="preserve">Good Manufacturing Practice (GMP) </w:t>
            </w:r>
          </w:p>
        </w:tc>
        <w:tc>
          <w:tcPr>
            <w:tcW w:w="3016" w:type="dxa"/>
            <w:vAlign w:val="center"/>
            <w:hideMark/>
          </w:tcPr>
          <w:p w14:paraId="664DD330" w14:textId="77777777" w:rsidR="00756C0A" w:rsidRPr="00E47862" w:rsidRDefault="00756C0A" w:rsidP="00756C0A">
            <w:pPr>
              <w:pStyle w:val="APVMATableText"/>
              <w:rPr>
                <w:lang w:eastAsia="en-AU"/>
              </w:rPr>
            </w:pPr>
            <w:r w:rsidRPr="00E47862">
              <w:rPr>
                <w:lang w:eastAsia="en-AU"/>
              </w:rPr>
              <w:t>Assessment of MLS licences and imported products for GMP compliance; and management of GMP auditing.</w:t>
            </w:r>
          </w:p>
        </w:tc>
        <w:tc>
          <w:tcPr>
            <w:tcW w:w="2584" w:type="dxa"/>
            <w:vAlign w:val="center"/>
            <w:hideMark/>
          </w:tcPr>
          <w:p w14:paraId="6E0E1C29" w14:textId="1056B27E" w:rsidR="00756C0A" w:rsidRPr="63F6C1B9" w:rsidRDefault="00756C0A" w:rsidP="00756C0A">
            <w:pPr>
              <w:spacing w:before="120" w:after="120"/>
              <w:jc w:val="right"/>
              <w:rPr>
                <w:rFonts w:eastAsia="Arial" w:cs="Arial"/>
                <w:color w:val="000000"/>
                <w:sz w:val="17"/>
                <w:szCs w:val="17"/>
              </w:rPr>
            </w:pPr>
            <w:r w:rsidRPr="63F6C1B9">
              <w:rPr>
                <w:rFonts w:eastAsia="Arial" w:cs="Arial"/>
                <w:color w:val="000000"/>
                <w:sz w:val="17"/>
                <w:szCs w:val="17"/>
              </w:rPr>
              <w:t>1,033,105</w:t>
            </w:r>
          </w:p>
        </w:tc>
        <w:tc>
          <w:tcPr>
            <w:tcW w:w="1311" w:type="dxa"/>
            <w:vAlign w:val="center"/>
            <w:hideMark/>
          </w:tcPr>
          <w:p w14:paraId="1994BFC9" w14:textId="690A39A1" w:rsidR="00756C0A" w:rsidRPr="63F6C1B9" w:rsidRDefault="00756C0A" w:rsidP="00756C0A">
            <w:pPr>
              <w:spacing w:before="120" w:after="120"/>
              <w:jc w:val="right"/>
              <w:rPr>
                <w:rFonts w:eastAsia="Arial" w:cs="Arial"/>
                <w:color w:val="000000"/>
                <w:sz w:val="17"/>
                <w:szCs w:val="17"/>
              </w:rPr>
            </w:pPr>
            <w:r w:rsidRPr="63F6C1B9">
              <w:rPr>
                <w:rFonts w:eastAsia="Arial" w:cs="Arial"/>
                <w:color w:val="000000"/>
                <w:sz w:val="17"/>
                <w:szCs w:val="17"/>
              </w:rPr>
              <w:t>1,245,468</w:t>
            </w:r>
          </w:p>
        </w:tc>
        <w:tc>
          <w:tcPr>
            <w:tcW w:w="1311" w:type="dxa"/>
            <w:vAlign w:val="center"/>
          </w:tcPr>
          <w:p w14:paraId="3FE578D2" w14:textId="1EECE62B" w:rsidR="00756C0A" w:rsidRPr="63F6C1B9" w:rsidRDefault="00756C0A" w:rsidP="00756C0A">
            <w:pPr>
              <w:spacing w:before="120" w:after="120"/>
              <w:jc w:val="right"/>
              <w:rPr>
                <w:rFonts w:eastAsia="Arial" w:cs="Arial"/>
                <w:color w:val="000000"/>
                <w:sz w:val="17"/>
                <w:szCs w:val="17"/>
              </w:rPr>
            </w:pPr>
            <w:r w:rsidRPr="63F6C1B9">
              <w:rPr>
                <w:rFonts w:eastAsia="Arial" w:cs="Arial"/>
                <w:color w:val="000000"/>
                <w:sz w:val="17"/>
                <w:szCs w:val="17"/>
              </w:rPr>
              <w:t>2,278,574</w:t>
            </w:r>
          </w:p>
        </w:tc>
      </w:tr>
      <w:tr w:rsidR="00756C0A" w:rsidRPr="00E47862" w14:paraId="621E5DCE" w14:textId="77777777" w:rsidTr="00756C0A">
        <w:trPr>
          <w:trHeight w:val="897"/>
        </w:trPr>
        <w:tc>
          <w:tcPr>
            <w:tcW w:w="1403" w:type="dxa"/>
            <w:vAlign w:val="center"/>
            <w:hideMark/>
          </w:tcPr>
          <w:p w14:paraId="1667E24F" w14:textId="77777777" w:rsidR="00756C0A" w:rsidRPr="00E47862" w:rsidRDefault="00756C0A" w:rsidP="00756C0A">
            <w:pPr>
              <w:pStyle w:val="APVMATableText"/>
              <w:rPr>
                <w:lang w:eastAsia="en-AU"/>
              </w:rPr>
            </w:pPr>
            <w:proofErr w:type="spellStart"/>
            <w:r w:rsidRPr="00E47862">
              <w:rPr>
                <w:lang w:eastAsia="en-AU"/>
              </w:rPr>
              <w:t>Agvet</w:t>
            </w:r>
            <w:proofErr w:type="spellEnd"/>
            <w:r w:rsidRPr="00E47862">
              <w:rPr>
                <w:lang w:eastAsia="en-AU"/>
              </w:rPr>
              <w:t xml:space="preserve"> Code requests</w:t>
            </w:r>
          </w:p>
        </w:tc>
        <w:tc>
          <w:tcPr>
            <w:tcW w:w="3016" w:type="dxa"/>
            <w:vAlign w:val="center"/>
            <w:hideMark/>
          </w:tcPr>
          <w:p w14:paraId="2A61B88F" w14:textId="77777777" w:rsidR="00756C0A" w:rsidRPr="00E47862" w:rsidRDefault="00756C0A" w:rsidP="00756C0A">
            <w:pPr>
              <w:pStyle w:val="APVMATableText"/>
              <w:rPr>
                <w:lang w:eastAsia="en-AU"/>
              </w:rPr>
            </w:pPr>
            <w:r w:rsidRPr="00E47862">
              <w:rPr>
                <w:lang w:eastAsia="en-AU"/>
              </w:rPr>
              <w:t xml:space="preserve">Responding to a formal request for access to specific information held by the authority regarding agricultural and veterinary chemical products. Requests are governed by the </w:t>
            </w:r>
            <w:proofErr w:type="spellStart"/>
            <w:r w:rsidRPr="00E47862">
              <w:rPr>
                <w:lang w:eastAsia="en-AU"/>
              </w:rPr>
              <w:t>Agvet</w:t>
            </w:r>
            <w:proofErr w:type="spellEnd"/>
            <w:r w:rsidRPr="00E47862">
              <w:rPr>
                <w:lang w:eastAsia="en-AU"/>
              </w:rPr>
              <w:t xml:space="preserve"> Code and </w:t>
            </w:r>
            <w:r w:rsidRPr="00E47862">
              <w:rPr>
                <w:lang w:eastAsia="en-AU"/>
              </w:rPr>
              <w:lastRenderedPageBreak/>
              <w:t xml:space="preserve">are used to obtain documents related to approved active constituents or registered chemical products. </w:t>
            </w:r>
          </w:p>
        </w:tc>
        <w:tc>
          <w:tcPr>
            <w:tcW w:w="2584" w:type="dxa"/>
            <w:vAlign w:val="center"/>
            <w:hideMark/>
          </w:tcPr>
          <w:p w14:paraId="01F200D9" w14:textId="4851B59F" w:rsidR="00756C0A" w:rsidRPr="00E47862" w:rsidRDefault="00756C0A" w:rsidP="00756C0A">
            <w:pPr>
              <w:pStyle w:val="APVMATableText"/>
              <w:jc w:val="right"/>
              <w:rPr>
                <w:lang w:eastAsia="en-AU"/>
              </w:rPr>
            </w:pPr>
            <w:r>
              <w:rPr>
                <w:color w:val="000000"/>
                <w:szCs w:val="17"/>
              </w:rPr>
              <w:lastRenderedPageBreak/>
              <w:t>9,568</w:t>
            </w:r>
          </w:p>
        </w:tc>
        <w:tc>
          <w:tcPr>
            <w:tcW w:w="1311" w:type="dxa"/>
            <w:vAlign w:val="center"/>
            <w:hideMark/>
          </w:tcPr>
          <w:p w14:paraId="3C172F78" w14:textId="01B17054" w:rsidR="00756C0A" w:rsidRPr="00E47862" w:rsidRDefault="00756C0A" w:rsidP="00756C0A">
            <w:pPr>
              <w:pStyle w:val="APVMATableText"/>
              <w:jc w:val="right"/>
              <w:rPr>
                <w:lang w:eastAsia="en-AU"/>
              </w:rPr>
            </w:pPr>
            <w:r>
              <w:rPr>
                <w:color w:val="000000"/>
                <w:szCs w:val="17"/>
              </w:rPr>
              <w:t>10,382</w:t>
            </w:r>
          </w:p>
        </w:tc>
        <w:tc>
          <w:tcPr>
            <w:tcW w:w="1311" w:type="dxa"/>
            <w:vAlign w:val="center"/>
            <w:hideMark/>
          </w:tcPr>
          <w:p w14:paraId="6084CFA2" w14:textId="0F2EF8A5" w:rsidR="00756C0A" w:rsidRPr="00E47862" w:rsidRDefault="00756C0A" w:rsidP="00756C0A">
            <w:pPr>
              <w:pStyle w:val="APVMATableText"/>
              <w:jc w:val="right"/>
              <w:rPr>
                <w:lang w:eastAsia="en-AU"/>
              </w:rPr>
            </w:pPr>
            <w:r>
              <w:rPr>
                <w:color w:val="000000"/>
                <w:szCs w:val="17"/>
              </w:rPr>
              <w:t>19,950</w:t>
            </w:r>
          </w:p>
        </w:tc>
      </w:tr>
      <w:tr w:rsidR="00756C0A" w:rsidRPr="00E47862" w14:paraId="53B5191F" w14:textId="77777777" w:rsidTr="00756C0A">
        <w:trPr>
          <w:trHeight w:val="472"/>
        </w:trPr>
        <w:tc>
          <w:tcPr>
            <w:tcW w:w="1403" w:type="dxa"/>
            <w:vAlign w:val="center"/>
            <w:hideMark/>
          </w:tcPr>
          <w:p w14:paraId="42018D84" w14:textId="77777777" w:rsidR="00756C0A" w:rsidRPr="00E47862" w:rsidRDefault="00756C0A" w:rsidP="00756C0A">
            <w:pPr>
              <w:pStyle w:val="APVMATableText"/>
              <w:rPr>
                <w:lang w:eastAsia="en-AU"/>
              </w:rPr>
            </w:pPr>
            <w:r w:rsidRPr="00E47862">
              <w:rPr>
                <w:lang w:eastAsia="en-AU"/>
              </w:rPr>
              <w:t>Certificates of Export</w:t>
            </w:r>
          </w:p>
        </w:tc>
        <w:tc>
          <w:tcPr>
            <w:tcW w:w="3016" w:type="dxa"/>
            <w:vAlign w:val="center"/>
            <w:hideMark/>
          </w:tcPr>
          <w:p w14:paraId="509EC716" w14:textId="77777777" w:rsidR="00756C0A" w:rsidRPr="00E47862" w:rsidRDefault="00756C0A" w:rsidP="00756C0A">
            <w:pPr>
              <w:pStyle w:val="APVMATableText"/>
              <w:rPr>
                <w:lang w:eastAsia="en-AU"/>
              </w:rPr>
            </w:pPr>
            <w:r w:rsidRPr="00E47862">
              <w:rPr>
                <w:lang w:eastAsia="en-AU"/>
              </w:rPr>
              <w:t>Assessment and administrative</w:t>
            </w:r>
            <w:r w:rsidRPr="00E47862">
              <w:rPr>
                <w:lang w:eastAsia="en-AU"/>
              </w:rPr>
              <w:br/>
              <w:t>services to Issue a certificate under section 69D setting out our findings (if any) in relation to any matters relating to the chemical product that are required to be established for the purposes of export of the product.</w:t>
            </w:r>
          </w:p>
        </w:tc>
        <w:tc>
          <w:tcPr>
            <w:tcW w:w="2584" w:type="dxa"/>
            <w:vAlign w:val="center"/>
            <w:hideMark/>
          </w:tcPr>
          <w:p w14:paraId="7648716D" w14:textId="77777777" w:rsidR="00756C0A" w:rsidRPr="00E47862" w:rsidRDefault="00756C0A" w:rsidP="00756C0A">
            <w:pPr>
              <w:pStyle w:val="APVMATableText"/>
              <w:jc w:val="right"/>
              <w:rPr>
                <w:lang w:eastAsia="en-AU"/>
              </w:rPr>
            </w:pPr>
            <w:r>
              <w:rPr>
                <w:color w:val="000000"/>
                <w:szCs w:val="17"/>
              </w:rPr>
              <w:t>119,603</w:t>
            </w:r>
          </w:p>
        </w:tc>
        <w:tc>
          <w:tcPr>
            <w:tcW w:w="1311" w:type="dxa"/>
            <w:vAlign w:val="center"/>
            <w:hideMark/>
          </w:tcPr>
          <w:p w14:paraId="54346C04" w14:textId="77777777" w:rsidR="00756C0A" w:rsidRPr="00E47862" w:rsidRDefault="00756C0A" w:rsidP="00756C0A">
            <w:pPr>
              <w:pStyle w:val="APVMATableText"/>
              <w:jc w:val="right"/>
              <w:rPr>
                <w:lang w:eastAsia="en-AU"/>
              </w:rPr>
            </w:pPr>
            <w:r>
              <w:rPr>
                <w:color w:val="000000"/>
                <w:szCs w:val="17"/>
              </w:rPr>
              <w:t>123,591</w:t>
            </w:r>
          </w:p>
        </w:tc>
        <w:tc>
          <w:tcPr>
            <w:tcW w:w="1311" w:type="dxa"/>
            <w:vAlign w:val="center"/>
            <w:hideMark/>
          </w:tcPr>
          <w:p w14:paraId="7A20B462" w14:textId="18059947" w:rsidR="00756C0A" w:rsidRPr="00E47862" w:rsidRDefault="00756C0A" w:rsidP="00756C0A">
            <w:pPr>
              <w:pStyle w:val="APVMATableText"/>
              <w:jc w:val="right"/>
              <w:rPr>
                <w:lang w:eastAsia="en-AU"/>
              </w:rPr>
            </w:pPr>
            <w:r>
              <w:rPr>
                <w:color w:val="000000"/>
                <w:szCs w:val="17"/>
              </w:rPr>
              <w:t>243,194</w:t>
            </w:r>
          </w:p>
        </w:tc>
      </w:tr>
      <w:tr w:rsidR="00756C0A" w:rsidRPr="00E47862" w14:paraId="1E2D2825" w14:textId="77777777" w:rsidTr="00756C0A">
        <w:trPr>
          <w:trHeight w:val="690"/>
        </w:trPr>
        <w:tc>
          <w:tcPr>
            <w:tcW w:w="1403" w:type="dxa"/>
            <w:vAlign w:val="center"/>
            <w:hideMark/>
          </w:tcPr>
          <w:p w14:paraId="6591AE79" w14:textId="77777777" w:rsidR="00756C0A" w:rsidRPr="00E47862" w:rsidRDefault="00756C0A" w:rsidP="00756C0A">
            <w:pPr>
              <w:pStyle w:val="APVMATableText"/>
              <w:rPr>
                <w:lang w:eastAsia="en-AU"/>
              </w:rPr>
            </w:pPr>
            <w:r w:rsidRPr="00E47862">
              <w:rPr>
                <w:lang w:eastAsia="en-AU"/>
              </w:rPr>
              <w:t>Consents to Import</w:t>
            </w:r>
          </w:p>
        </w:tc>
        <w:tc>
          <w:tcPr>
            <w:tcW w:w="3016" w:type="dxa"/>
            <w:vAlign w:val="center"/>
            <w:hideMark/>
          </w:tcPr>
          <w:p w14:paraId="20DF4D99" w14:textId="77777777" w:rsidR="00756C0A" w:rsidRPr="00E47862" w:rsidRDefault="00756C0A" w:rsidP="00756C0A">
            <w:pPr>
              <w:pStyle w:val="APVMATableText"/>
              <w:rPr>
                <w:lang w:eastAsia="en-AU"/>
              </w:rPr>
            </w:pPr>
            <w:r w:rsidRPr="00E47862">
              <w:rPr>
                <w:lang w:eastAsia="en-AU"/>
              </w:rPr>
              <w:t>Assessment and administrative services to provide a consent to import, to legally import unregistered veterinary chemical products in specific circumstances</w:t>
            </w:r>
          </w:p>
        </w:tc>
        <w:tc>
          <w:tcPr>
            <w:tcW w:w="2584" w:type="dxa"/>
            <w:vAlign w:val="center"/>
            <w:hideMark/>
          </w:tcPr>
          <w:p w14:paraId="31B0A0CD" w14:textId="77777777" w:rsidR="00756C0A" w:rsidRPr="00E47862" w:rsidRDefault="00756C0A" w:rsidP="00756C0A">
            <w:pPr>
              <w:pStyle w:val="APVMATableText"/>
              <w:jc w:val="right"/>
              <w:rPr>
                <w:lang w:eastAsia="en-AU"/>
              </w:rPr>
            </w:pPr>
            <w:r>
              <w:rPr>
                <w:color w:val="000000"/>
                <w:szCs w:val="17"/>
              </w:rPr>
              <w:t>77,462</w:t>
            </w:r>
          </w:p>
        </w:tc>
        <w:tc>
          <w:tcPr>
            <w:tcW w:w="1311" w:type="dxa"/>
            <w:vAlign w:val="center"/>
            <w:hideMark/>
          </w:tcPr>
          <w:p w14:paraId="6015B77B" w14:textId="77777777" w:rsidR="00756C0A" w:rsidRPr="00E47862" w:rsidRDefault="00756C0A" w:rsidP="00756C0A">
            <w:pPr>
              <w:pStyle w:val="APVMATableText"/>
              <w:jc w:val="right"/>
              <w:rPr>
                <w:lang w:eastAsia="en-AU"/>
              </w:rPr>
            </w:pPr>
            <w:r>
              <w:rPr>
                <w:color w:val="000000"/>
                <w:szCs w:val="17"/>
              </w:rPr>
              <w:t>77,742</w:t>
            </w:r>
          </w:p>
        </w:tc>
        <w:tc>
          <w:tcPr>
            <w:tcW w:w="1311" w:type="dxa"/>
            <w:vAlign w:val="center"/>
            <w:hideMark/>
          </w:tcPr>
          <w:p w14:paraId="3C2CCFD0" w14:textId="29D60047" w:rsidR="00756C0A" w:rsidRPr="00E47862" w:rsidRDefault="00756C0A" w:rsidP="00756C0A">
            <w:pPr>
              <w:pStyle w:val="APVMATableText"/>
              <w:jc w:val="right"/>
              <w:rPr>
                <w:lang w:eastAsia="en-AU"/>
              </w:rPr>
            </w:pPr>
            <w:r>
              <w:rPr>
                <w:color w:val="000000"/>
                <w:szCs w:val="17"/>
              </w:rPr>
              <w:t>155,204</w:t>
            </w:r>
          </w:p>
        </w:tc>
      </w:tr>
      <w:tr w:rsidR="00756C0A" w:rsidRPr="00E47862" w14:paraId="68FD58C9" w14:textId="77777777" w:rsidTr="00756C0A">
        <w:trPr>
          <w:trHeight w:val="690"/>
        </w:trPr>
        <w:tc>
          <w:tcPr>
            <w:tcW w:w="1403" w:type="dxa"/>
            <w:vAlign w:val="center"/>
            <w:hideMark/>
          </w:tcPr>
          <w:p w14:paraId="4569D527" w14:textId="77777777" w:rsidR="00756C0A" w:rsidRPr="00E47862" w:rsidRDefault="00756C0A" w:rsidP="00756C0A">
            <w:pPr>
              <w:pStyle w:val="APVMATableText"/>
              <w:rPr>
                <w:lang w:eastAsia="en-AU"/>
              </w:rPr>
            </w:pPr>
            <w:r w:rsidRPr="00E47862">
              <w:rPr>
                <w:lang w:eastAsia="en-AU"/>
              </w:rPr>
              <w:t xml:space="preserve">Hormonal Growth </w:t>
            </w:r>
            <w:proofErr w:type="spellStart"/>
            <w:r w:rsidRPr="00E47862">
              <w:rPr>
                <w:lang w:eastAsia="en-AU"/>
              </w:rPr>
              <w:t>Promotant</w:t>
            </w:r>
            <w:proofErr w:type="spellEnd"/>
            <w:r w:rsidRPr="00E47862">
              <w:rPr>
                <w:lang w:eastAsia="en-AU"/>
              </w:rPr>
              <w:t xml:space="preserve"> Scheme</w:t>
            </w:r>
          </w:p>
        </w:tc>
        <w:tc>
          <w:tcPr>
            <w:tcW w:w="3016" w:type="dxa"/>
            <w:vAlign w:val="center"/>
            <w:hideMark/>
          </w:tcPr>
          <w:p w14:paraId="08231E7A" w14:textId="7417DC71" w:rsidR="00756C0A" w:rsidRPr="00E47862" w:rsidRDefault="00756C0A" w:rsidP="00756C0A">
            <w:pPr>
              <w:pStyle w:val="APVMATableText"/>
              <w:rPr>
                <w:lang w:eastAsia="en-AU"/>
              </w:rPr>
            </w:pPr>
            <w:r w:rsidRPr="00E47862">
              <w:rPr>
                <w:lang w:eastAsia="en-AU"/>
              </w:rPr>
              <w:t>Assessment of new licences, licence</w:t>
            </w:r>
            <w:r>
              <w:rPr>
                <w:lang w:eastAsia="en-AU"/>
              </w:rPr>
              <w:t xml:space="preserve"> </w:t>
            </w:r>
            <w:r w:rsidRPr="00E47862">
              <w:rPr>
                <w:lang w:eastAsia="en-AU"/>
              </w:rPr>
              <w:t>renewals, licence withdrawals and</w:t>
            </w:r>
            <w:r w:rsidR="005F5570">
              <w:rPr>
                <w:lang w:eastAsia="en-AU"/>
              </w:rPr>
              <w:t xml:space="preserve"> </w:t>
            </w:r>
            <w:r w:rsidRPr="00E47862">
              <w:rPr>
                <w:lang w:eastAsia="en-AU"/>
              </w:rPr>
              <w:t>HGP audits (including investigations)</w:t>
            </w:r>
          </w:p>
        </w:tc>
        <w:tc>
          <w:tcPr>
            <w:tcW w:w="2584" w:type="dxa"/>
            <w:vAlign w:val="center"/>
            <w:hideMark/>
          </w:tcPr>
          <w:p w14:paraId="4654D19D" w14:textId="77777777" w:rsidR="00756C0A" w:rsidRPr="00E47862" w:rsidRDefault="00756C0A" w:rsidP="00756C0A">
            <w:pPr>
              <w:pStyle w:val="APVMATableText"/>
              <w:jc w:val="right"/>
              <w:rPr>
                <w:lang w:eastAsia="en-AU"/>
              </w:rPr>
            </w:pPr>
            <w:r>
              <w:rPr>
                <w:color w:val="000000"/>
                <w:szCs w:val="17"/>
              </w:rPr>
              <w:t>150,372</w:t>
            </w:r>
          </w:p>
        </w:tc>
        <w:tc>
          <w:tcPr>
            <w:tcW w:w="1311" w:type="dxa"/>
            <w:vAlign w:val="center"/>
            <w:hideMark/>
          </w:tcPr>
          <w:p w14:paraId="3EFA3CB7" w14:textId="77777777" w:rsidR="00756C0A" w:rsidRPr="00E47862" w:rsidRDefault="00756C0A" w:rsidP="00756C0A">
            <w:pPr>
              <w:pStyle w:val="APVMATableText"/>
              <w:jc w:val="right"/>
              <w:rPr>
                <w:lang w:eastAsia="en-AU"/>
              </w:rPr>
            </w:pPr>
            <w:r>
              <w:rPr>
                <w:color w:val="000000"/>
                <w:szCs w:val="17"/>
              </w:rPr>
              <w:t>162,382</w:t>
            </w:r>
          </w:p>
        </w:tc>
        <w:tc>
          <w:tcPr>
            <w:tcW w:w="1311" w:type="dxa"/>
            <w:vAlign w:val="center"/>
            <w:hideMark/>
          </w:tcPr>
          <w:p w14:paraId="20F819AA" w14:textId="11D56236" w:rsidR="00756C0A" w:rsidRPr="00E47862" w:rsidRDefault="00756C0A" w:rsidP="00756C0A">
            <w:pPr>
              <w:pStyle w:val="APVMATableText"/>
              <w:jc w:val="right"/>
              <w:rPr>
                <w:lang w:eastAsia="en-AU"/>
              </w:rPr>
            </w:pPr>
            <w:r>
              <w:rPr>
                <w:color w:val="000000"/>
                <w:szCs w:val="17"/>
              </w:rPr>
              <w:t>312,754</w:t>
            </w:r>
          </w:p>
        </w:tc>
      </w:tr>
      <w:tr w:rsidR="00756C0A" w:rsidRPr="00E47862" w14:paraId="1137987E" w14:textId="77777777" w:rsidTr="00756C0A">
        <w:trPr>
          <w:trHeight w:val="915"/>
        </w:trPr>
        <w:tc>
          <w:tcPr>
            <w:tcW w:w="1403" w:type="dxa"/>
            <w:vAlign w:val="center"/>
            <w:hideMark/>
          </w:tcPr>
          <w:p w14:paraId="5A44028A" w14:textId="77777777" w:rsidR="00756C0A" w:rsidRPr="00E47862" w:rsidRDefault="00756C0A" w:rsidP="00756C0A">
            <w:pPr>
              <w:pStyle w:val="APVMATableText"/>
              <w:rPr>
                <w:lang w:eastAsia="en-AU"/>
              </w:rPr>
            </w:pPr>
            <w:r w:rsidRPr="00E47862">
              <w:rPr>
                <w:lang w:eastAsia="en-AU"/>
              </w:rPr>
              <w:t>Item 13 Variations</w:t>
            </w:r>
          </w:p>
        </w:tc>
        <w:tc>
          <w:tcPr>
            <w:tcW w:w="3016" w:type="dxa"/>
            <w:vAlign w:val="center"/>
            <w:hideMark/>
          </w:tcPr>
          <w:p w14:paraId="7E225B12" w14:textId="77777777" w:rsidR="00756C0A" w:rsidRPr="00E47862" w:rsidRDefault="00756C0A" w:rsidP="00756C0A">
            <w:pPr>
              <w:pStyle w:val="APVMATableText"/>
              <w:rPr>
                <w:lang w:eastAsia="en-AU"/>
              </w:rPr>
            </w:pPr>
            <w:r w:rsidRPr="00E47862">
              <w:rPr>
                <w:lang w:eastAsia="en-AU"/>
              </w:rPr>
              <w:t>Vary particulars or conditions of registration or label approval if the variation is to allow a minor change and no data of a technical nature is required</w:t>
            </w:r>
            <w:r>
              <w:rPr>
                <w:lang w:eastAsia="en-AU"/>
              </w:rPr>
              <w:t>,</w:t>
            </w:r>
            <w:r w:rsidRPr="00E47862">
              <w:rPr>
                <w:lang w:eastAsia="en-AU"/>
              </w:rPr>
              <w:t xml:space="preserve"> and the variation is a change required by the APVMA.</w:t>
            </w:r>
          </w:p>
        </w:tc>
        <w:tc>
          <w:tcPr>
            <w:tcW w:w="2584" w:type="dxa"/>
            <w:vAlign w:val="center"/>
            <w:hideMark/>
          </w:tcPr>
          <w:p w14:paraId="070CB3CF" w14:textId="77777777" w:rsidR="00756C0A" w:rsidRPr="00E47862" w:rsidRDefault="00756C0A" w:rsidP="00756C0A">
            <w:pPr>
              <w:pStyle w:val="APVMATableText"/>
              <w:jc w:val="right"/>
              <w:rPr>
                <w:lang w:eastAsia="en-AU"/>
              </w:rPr>
            </w:pPr>
            <w:r>
              <w:rPr>
                <w:color w:val="000000"/>
                <w:szCs w:val="17"/>
              </w:rPr>
              <w:t>195,693</w:t>
            </w:r>
          </w:p>
        </w:tc>
        <w:tc>
          <w:tcPr>
            <w:tcW w:w="1311" w:type="dxa"/>
            <w:vAlign w:val="center"/>
            <w:hideMark/>
          </w:tcPr>
          <w:p w14:paraId="0D5ABFD4" w14:textId="77777777" w:rsidR="00756C0A" w:rsidRPr="00E47862" w:rsidRDefault="00756C0A" w:rsidP="00756C0A">
            <w:pPr>
              <w:pStyle w:val="APVMATableText"/>
              <w:jc w:val="right"/>
              <w:rPr>
                <w:lang w:eastAsia="en-AU"/>
              </w:rPr>
            </w:pPr>
            <w:r>
              <w:rPr>
                <w:color w:val="000000"/>
                <w:szCs w:val="17"/>
              </w:rPr>
              <w:t>187,943</w:t>
            </w:r>
          </w:p>
        </w:tc>
        <w:tc>
          <w:tcPr>
            <w:tcW w:w="1311" w:type="dxa"/>
            <w:vAlign w:val="center"/>
            <w:hideMark/>
          </w:tcPr>
          <w:p w14:paraId="6D7DE142" w14:textId="422570DB" w:rsidR="00756C0A" w:rsidRPr="00E47862" w:rsidRDefault="00756C0A" w:rsidP="00756C0A">
            <w:pPr>
              <w:pStyle w:val="APVMATableText"/>
              <w:jc w:val="right"/>
              <w:rPr>
                <w:lang w:eastAsia="en-AU"/>
              </w:rPr>
            </w:pPr>
            <w:r>
              <w:rPr>
                <w:color w:val="000000"/>
                <w:szCs w:val="17"/>
              </w:rPr>
              <w:t>383,636</w:t>
            </w:r>
          </w:p>
        </w:tc>
      </w:tr>
      <w:tr w:rsidR="00756C0A" w:rsidRPr="00E47862" w14:paraId="751C56B9" w14:textId="77777777" w:rsidTr="00756C0A">
        <w:trPr>
          <w:trHeight w:val="915"/>
        </w:trPr>
        <w:tc>
          <w:tcPr>
            <w:tcW w:w="1403" w:type="dxa"/>
            <w:vAlign w:val="center"/>
            <w:hideMark/>
          </w:tcPr>
          <w:p w14:paraId="1CE1C276" w14:textId="77777777" w:rsidR="00756C0A" w:rsidRPr="00E47862" w:rsidRDefault="00756C0A" w:rsidP="00756C0A">
            <w:pPr>
              <w:pStyle w:val="APVMATableText"/>
              <w:rPr>
                <w:lang w:eastAsia="en-AU"/>
              </w:rPr>
            </w:pPr>
            <w:r w:rsidRPr="00E47862">
              <w:rPr>
                <w:lang w:eastAsia="en-AU"/>
              </w:rPr>
              <w:t>Adverse Experience Reporting Program (AERP)</w:t>
            </w:r>
          </w:p>
        </w:tc>
        <w:tc>
          <w:tcPr>
            <w:tcW w:w="3016" w:type="dxa"/>
            <w:vAlign w:val="center"/>
            <w:hideMark/>
          </w:tcPr>
          <w:p w14:paraId="1BEDF48C" w14:textId="77777777" w:rsidR="00756C0A" w:rsidRPr="00E47862" w:rsidRDefault="00756C0A" w:rsidP="00756C0A">
            <w:pPr>
              <w:pStyle w:val="APVMATableText"/>
              <w:rPr>
                <w:lang w:eastAsia="en-AU"/>
              </w:rPr>
            </w:pPr>
            <w:r w:rsidRPr="00E47862">
              <w:rPr>
                <w:lang w:eastAsia="en-AU"/>
              </w:rPr>
              <w:t xml:space="preserve">Administration and investigation mechanism for the APVMA to receive and consider stakeholder and public feedback on adverse experiences relating to the use of </w:t>
            </w:r>
            <w:proofErr w:type="spellStart"/>
            <w:r w:rsidRPr="00E47862">
              <w:rPr>
                <w:lang w:eastAsia="en-AU"/>
              </w:rPr>
              <w:t>agvet</w:t>
            </w:r>
            <w:proofErr w:type="spellEnd"/>
            <w:r w:rsidRPr="00E47862">
              <w:rPr>
                <w:lang w:eastAsia="en-AU"/>
              </w:rPr>
              <w:t xml:space="preserve"> chemicals post-registration.</w:t>
            </w:r>
          </w:p>
        </w:tc>
        <w:tc>
          <w:tcPr>
            <w:tcW w:w="2584" w:type="dxa"/>
            <w:vAlign w:val="center"/>
            <w:hideMark/>
          </w:tcPr>
          <w:p w14:paraId="12CB63DF" w14:textId="77777777" w:rsidR="00756C0A" w:rsidRPr="00E47862" w:rsidRDefault="00756C0A" w:rsidP="00756C0A">
            <w:pPr>
              <w:pStyle w:val="APVMATableText"/>
              <w:jc w:val="right"/>
              <w:rPr>
                <w:lang w:eastAsia="en-AU"/>
              </w:rPr>
            </w:pPr>
            <w:r>
              <w:rPr>
                <w:color w:val="000000"/>
                <w:szCs w:val="17"/>
              </w:rPr>
              <w:t>662,492</w:t>
            </w:r>
          </w:p>
        </w:tc>
        <w:tc>
          <w:tcPr>
            <w:tcW w:w="1311" w:type="dxa"/>
            <w:vAlign w:val="center"/>
            <w:hideMark/>
          </w:tcPr>
          <w:p w14:paraId="1FC320A7" w14:textId="77777777" w:rsidR="00756C0A" w:rsidRPr="00E47862" w:rsidRDefault="00756C0A" w:rsidP="00756C0A">
            <w:pPr>
              <w:pStyle w:val="APVMATableText"/>
              <w:jc w:val="right"/>
              <w:rPr>
                <w:lang w:eastAsia="en-AU"/>
              </w:rPr>
            </w:pPr>
            <w:r>
              <w:rPr>
                <w:color w:val="000000"/>
                <w:szCs w:val="17"/>
              </w:rPr>
              <w:t>707,992</w:t>
            </w:r>
          </w:p>
        </w:tc>
        <w:tc>
          <w:tcPr>
            <w:tcW w:w="1311" w:type="dxa"/>
            <w:vAlign w:val="center"/>
            <w:hideMark/>
          </w:tcPr>
          <w:p w14:paraId="1BC87AD1" w14:textId="31676716" w:rsidR="00756C0A" w:rsidRPr="00E47862" w:rsidRDefault="00756C0A" w:rsidP="00756C0A">
            <w:pPr>
              <w:pStyle w:val="APVMATableText"/>
              <w:jc w:val="right"/>
              <w:rPr>
                <w:lang w:eastAsia="en-AU"/>
              </w:rPr>
            </w:pPr>
            <w:r>
              <w:rPr>
                <w:color w:val="000000"/>
                <w:szCs w:val="17"/>
              </w:rPr>
              <w:t>1,370,484</w:t>
            </w:r>
          </w:p>
        </w:tc>
      </w:tr>
      <w:tr w:rsidR="00756C0A" w:rsidRPr="00E47862" w14:paraId="52045748" w14:textId="77777777" w:rsidTr="00756C0A">
        <w:trPr>
          <w:trHeight w:val="1365"/>
        </w:trPr>
        <w:tc>
          <w:tcPr>
            <w:tcW w:w="1403" w:type="dxa"/>
            <w:vAlign w:val="center"/>
            <w:hideMark/>
          </w:tcPr>
          <w:p w14:paraId="5B37FD41" w14:textId="77777777" w:rsidR="00756C0A" w:rsidRPr="00E47862" w:rsidRDefault="00756C0A" w:rsidP="00756C0A">
            <w:pPr>
              <w:pStyle w:val="APVMATableText"/>
              <w:rPr>
                <w:lang w:eastAsia="en-AU"/>
              </w:rPr>
            </w:pPr>
            <w:r w:rsidRPr="00E47862">
              <w:rPr>
                <w:lang w:eastAsia="en-AU"/>
              </w:rPr>
              <w:t>Chemical Review</w:t>
            </w:r>
          </w:p>
        </w:tc>
        <w:tc>
          <w:tcPr>
            <w:tcW w:w="3016" w:type="dxa"/>
            <w:vAlign w:val="center"/>
            <w:hideMark/>
          </w:tcPr>
          <w:p w14:paraId="0DFB7ECF" w14:textId="77777777" w:rsidR="00756C0A" w:rsidRPr="00E47862" w:rsidRDefault="00756C0A" w:rsidP="00756C0A">
            <w:pPr>
              <w:pStyle w:val="APVMATableText"/>
              <w:rPr>
                <w:lang w:eastAsia="en-AU"/>
              </w:rPr>
            </w:pPr>
            <w:r w:rsidRPr="00E47862">
              <w:rPr>
                <w:lang w:eastAsia="en-AU"/>
              </w:rPr>
              <w:t xml:space="preserve">Administration and investigation associated with the reconsideration of the registration of </w:t>
            </w:r>
            <w:proofErr w:type="spellStart"/>
            <w:r w:rsidRPr="00E47862">
              <w:rPr>
                <w:lang w:eastAsia="en-AU"/>
              </w:rPr>
              <w:t>agvet</w:t>
            </w:r>
            <w:proofErr w:type="spellEnd"/>
            <w:r w:rsidRPr="00E47862">
              <w:rPr>
                <w:lang w:eastAsia="en-AU"/>
              </w:rPr>
              <w:t xml:space="preserve"> chemicals where credible safety and/or efficacy concerns have been identified. Reviews may focus on one or more areas of concern including environmental safety, worker safety, public health, residues, trade, or product efficacy.</w:t>
            </w:r>
          </w:p>
        </w:tc>
        <w:tc>
          <w:tcPr>
            <w:tcW w:w="2584" w:type="dxa"/>
            <w:vAlign w:val="center"/>
            <w:hideMark/>
          </w:tcPr>
          <w:p w14:paraId="043C76A9" w14:textId="77777777" w:rsidR="00756C0A" w:rsidRPr="00E47862" w:rsidRDefault="00756C0A" w:rsidP="00756C0A">
            <w:pPr>
              <w:pStyle w:val="APVMATableText"/>
              <w:jc w:val="right"/>
              <w:rPr>
                <w:lang w:eastAsia="en-AU"/>
              </w:rPr>
            </w:pPr>
            <w:r>
              <w:rPr>
                <w:color w:val="000000"/>
                <w:szCs w:val="17"/>
              </w:rPr>
              <w:t>2,411,527</w:t>
            </w:r>
          </w:p>
        </w:tc>
        <w:tc>
          <w:tcPr>
            <w:tcW w:w="1311" w:type="dxa"/>
            <w:vAlign w:val="center"/>
            <w:hideMark/>
          </w:tcPr>
          <w:p w14:paraId="1EA0F25C" w14:textId="77777777" w:rsidR="00756C0A" w:rsidRPr="00E47862" w:rsidRDefault="00756C0A" w:rsidP="00756C0A">
            <w:pPr>
              <w:pStyle w:val="APVMATableText"/>
              <w:jc w:val="right"/>
              <w:rPr>
                <w:lang w:eastAsia="en-AU"/>
              </w:rPr>
            </w:pPr>
            <w:r>
              <w:rPr>
                <w:color w:val="000000"/>
                <w:szCs w:val="17"/>
              </w:rPr>
              <w:t>2,632,454</w:t>
            </w:r>
          </w:p>
        </w:tc>
        <w:tc>
          <w:tcPr>
            <w:tcW w:w="1311" w:type="dxa"/>
            <w:vAlign w:val="center"/>
            <w:hideMark/>
          </w:tcPr>
          <w:p w14:paraId="1F7E7968" w14:textId="66EA958D" w:rsidR="00756C0A" w:rsidRPr="00E47862" w:rsidRDefault="00756C0A" w:rsidP="00756C0A">
            <w:pPr>
              <w:pStyle w:val="APVMATableText"/>
              <w:jc w:val="right"/>
              <w:rPr>
                <w:lang w:eastAsia="en-AU"/>
              </w:rPr>
            </w:pPr>
            <w:r>
              <w:rPr>
                <w:color w:val="000000"/>
                <w:szCs w:val="17"/>
              </w:rPr>
              <w:t>5,043,981</w:t>
            </w:r>
          </w:p>
        </w:tc>
      </w:tr>
      <w:tr w:rsidR="00756C0A" w:rsidRPr="00E47862" w14:paraId="58560A81" w14:textId="77777777" w:rsidTr="00756C0A">
        <w:trPr>
          <w:trHeight w:val="819"/>
        </w:trPr>
        <w:tc>
          <w:tcPr>
            <w:tcW w:w="1403" w:type="dxa"/>
            <w:vAlign w:val="center"/>
          </w:tcPr>
          <w:p w14:paraId="6916B8FA" w14:textId="30B3B707" w:rsidR="00756C0A" w:rsidRPr="00E47862" w:rsidRDefault="00756C0A" w:rsidP="00756C0A">
            <w:pPr>
              <w:pStyle w:val="APVMATableText"/>
              <w:rPr>
                <w:lang w:eastAsia="en-AU"/>
              </w:rPr>
            </w:pPr>
            <w:r w:rsidRPr="00C44D61">
              <w:t>Other Variations </w:t>
            </w:r>
          </w:p>
        </w:tc>
        <w:tc>
          <w:tcPr>
            <w:tcW w:w="3016" w:type="dxa"/>
            <w:vAlign w:val="center"/>
          </w:tcPr>
          <w:p w14:paraId="27C335A0" w14:textId="79814AFA" w:rsidR="00756C0A" w:rsidRPr="00E47862" w:rsidRDefault="00756C0A" w:rsidP="00756C0A">
            <w:pPr>
              <w:pStyle w:val="APVMATableText"/>
              <w:rPr>
                <w:lang w:eastAsia="en-AU"/>
              </w:rPr>
            </w:pPr>
            <w:r w:rsidRPr="00C44D61">
              <w:t>Item 8L, 8M 8P and Notifiable Variations</w:t>
            </w:r>
          </w:p>
        </w:tc>
        <w:tc>
          <w:tcPr>
            <w:tcW w:w="2584" w:type="dxa"/>
            <w:vAlign w:val="center"/>
          </w:tcPr>
          <w:p w14:paraId="06ECF6B2" w14:textId="702644F0" w:rsidR="00756C0A" w:rsidRDefault="00756C0A" w:rsidP="00756C0A">
            <w:pPr>
              <w:pStyle w:val="APVMATableText"/>
              <w:jc w:val="right"/>
              <w:rPr>
                <w:color w:val="000000"/>
                <w:szCs w:val="17"/>
              </w:rPr>
            </w:pPr>
            <w:r w:rsidRPr="00D5632E">
              <w:t>322,929</w:t>
            </w:r>
          </w:p>
        </w:tc>
        <w:tc>
          <w:tcPr>
            <w:tcW w:w="1311" w:type="dxa"/>
            <w:vAlign w:val="center"/>
          </w:tcPr>
          <w:p w14:paraId="4BC0CDA6" w14:textId="072FAF97" w:rsidR="00756C0A" w:rsidRDefault="00756C0A" w:rsidP="00756C0A">
            <w:pPr>
              <w:pStyle w:val="APVMATableText"/>
              <w:jc w:val="right"/>
              <w:rPr>
                <w:color w:val="000000"/>
                <w:szCs w:val="17"/>
              </w:rPr>
            </w:pPr>
            <w:r w:rsidRPr="00D5632E">
              <w:t>308,161</w:t>
            </w:r>
          </w:p>
        </w:tc>
        <w:tc>
          <w:tcPr>
            <w:tcW w:w="1311" w:type="dxa"/>
            <w:vAlign w:val="center"/>
          </w:tcPr>
          <w:p w14:paraId="3E9E41FB" w14:textId="507824E7" w:rsidR="00756C0A" w:rsidRDefault="00756C0A" w:rsidP="00756C0A">
            <w:pPr>
              <w:pStyle w:val="APVMATableText"/>
              <w:jc w:val="right"/>
              <w:rPr>
                <w:color w:val="000000"/>
                <w:szCs w:val="17"/>
              </w:rPr>
            </w:pPr>
            <w:r w:rsidRPr="00D5632E">
              <w:t>631,090</w:t>
            </w:r>
          </w:p>
        </w:tc>
      </w:tr>
      <w:tr w:rsidR="00756C0A" w:rsidRPr="002C02F4" w14:paraId="7AC066CF" w14:textId="77777777" w:rsidTr="00756C0A">
        <w:trPr>
          <w:trHeight w:val="819"/>
        </w:trPr>
        <w:tc>
          <w:tcPr>
            <w:tcW w:w="1403" w:type="dxa"/>
          </w:tcPr>
          <w:p w14:paraId="638F44D0" w14:textId="0BF88045" w:rsidR="00756C0A" w:rsidRPr="002C02F4" w:rsidRDefault="00756C0A" w:rsidP="00756C0A">
            <w:pPr>
              <w:pStyle w:val="APVMATableText"/>
            </w:pPr>
            <w:r w:rsidRPr="002C02F4">
              <w:lastRenderedPageBreak/>
              <w:t>Compliance and enforcement - Levies</w:t>
            </w:r>
          </w:p>
        </w:tc>
        <w:tc>
          <w:tcPr>
            <w:tcW w:w="3016" w:type="dxa"/>
            <w:vMerge w:val="restart"/>
            <w:vAlign w:val="center"/>
          </w:tcPr>
          <w:p w14:paraId="0A4FCA44" w14:textId="7685A2EE" w:rsidR="00756C0A" w:rsidRPr="002C02F4" w:rsidRDefault="00756C0A" w:rsidP="00756C0A">
            <w:pPr>
              <w:pStyle w:val="APVMATableText"/>
            </w:pPr>
            <w:r w:rsidRPr="002C02F4">
              <w:t xml:space="preserve">Management associated with monitoring and investigating claims that </w:t>
            </w:r>
            <w:proofErr w:type="spellStart"/>
            <w:r w:rsidRPr="002C02F4">
              <w:t>agvet</w:t>
            </w:r>
            <w:proofErr w:type="spellEnd"/>
            <w:r w:rsidRPr="002C02F4">
              <w:t xml:space="preserve"> chemicals may not be compliant with Australia's </w:t>
            </w:r>
            <w:proofErr w:type="spellStart"/>
            <w:r w:rsidRPr="002C02F4">
              <w:t>agvet</w:t>
            </w:r>
            <w:proofErr w:type="spellEnd"/>
            <w:r w:rsidRPr="002C02F4">
              <w:t xml:space="preserve"> chemicals legislation. This may include audits, market authorisations, conducts surveillance, and monitors chemical production in Australia</w:t>
            </w:r>
          </w:p>
        </w:tc>
        <w:tc>
          <w:tcPr>
            <w:tcW w:w="2584" w:type="dxa"/>
          </w:tcPr>
          <w:p w14:paraId="320F38FE" w14:textId="6E0AB143" w:rsidR="00756C0A" w:rsidRPr="002C02F4" w:rsidRDefault="00756C0A" w:rsidP="00756C0A">
            <w:pPr>
              <w:pStyle w:val="APVMATableText"/>
              <w:jc w:val="right"/>
            </w:pPr>
            <w:r w:rsidRPr="002C02F4">
              <w:t>3,508,607</w:t>
            </w:r>
          </w:p>
        </w:tc>
        <w:tc>
          <w:tcPr>
            <w:tcW w:w="1311" w:type="dxa"/>
          </w:tcPr>
          <w:p w14:paraId="0D0A3B26" w14:textId="2B3F38AC" w:rsidR="00756C0A" w:rsidRPr="002C02F4" w:rsidRDefault="00756C0A" w:rsidP="00756C0A">
            <w:pPr>
              <w:pStyle w:val="APVMATableText"/>
              <w:jc w:val="right"/>
            </w:pPr>
            <w:r w:rsidRPr="002C02F4">
              <w:t>3,432,257</w:t>
            </w:r>
          </w:p>
        </w:tc>
        <w:tc>
          <w:tcPr>
            <w:tcW w:w="1311" w:type="dxa"/>
          </w:tcPr>
          <w:p w14:paraId="5C8BD03C" w14:textId="336DF687" w:rsidR="00756C0A" w:rsidRPr="002C02F4" w:rsidRDefault="00756C0A" w:rsidP="00756C0A">
            <w:pPr>
              <w:pStyle w:val="APVMATableText"/>
              <w:jc w:val="right"/>
            </w:pPr>
            <w:r w:rsidRPr="002C02F4">
              <w:t>6,940,864</w:t>
            </w:r>
          </w:p>
        </w:tc>
      </w:tr>
      <w:tr w:rsidR="00756C0A" w:rsidRPr="002C02F4" w14:paraId="69A847F4" w14:textId="77777777" w:rsidTr="00756C0A">
        <w:trPr>
          <w:trHeight w:val="819"/>
        </w:trPr>
        <w:tc>
          <w:tcPr>
            <w:tcW w:w="1403" w:type="dxa"/>
          </w:tcPr>
          <w:p w14:paraId="75400CC7" w14:textId="575D81B3" w:rsidR="00756C0A" w:rsidRPr="002C02F4" w:rsidRDefault="00756C0A" w:rsidP="00756C0A">
            <w:pPr>
              <w:pStyle w:val="APVMATableText"/>
            </w:pPr>
            <w:r w:rsidRPr="002C02F4">
              <w:t>Compliance and enforcement - Appropriation</w:t>
            </w:r>
          </w:p>
        </w:tc>
        <w:tc>
          <w:tcPr>
            <w:tcW w:w="3016" w:type="dxa"/>
            <w:vMerge/>
            <w:vAlign w:val="center"/>
          </w:tcPr>
          <w:p w14:paraId="3537194B" w14:textId="77777777" w:rsidR="00756C0A" w:rsidRPr="002C02F4" w:rsidRDefault="00756C0A" w:rsidP="00756C0A">
            <w:pPr>
              <w:pStyle w:val="APVMATableText"/>
            </w:pPr>
          </w:p>
        </w:tc>
        <w:tc>
          <w:tcPr>
            <w:tcW w:w="2584" w:type="dxa"/>
          </w:tcPr>
          <w:p w14:paraId="1DD21469" w14:textId="1C975CEE" w:rsidR="00756C0A" w:rsidRPr="002C02F4" w:rsidRDefault="00756C0A" w:rsidP="00756C0A">
            <w:pPr>
              <w:pStyle w:val="APVMATableText"/>
              <w:jc w:val="right"/>
            </w:pPr>
            <w:r w:rsidRPr="002C02F4">
              <w:t>601,040</w:t>
            </w:r>
          </w:p>
        </w:tc>
        <w:tc>
          <w:tcPr>
            <w:tcW w:w="1311" w:type="dxa"/>
          </w:tcPr>
          <w:p w14:paraId="1F65C289" w14:textId="75D4DFAA" w:rsidR="00756C0A" w:rsidRPr="002C02F4" w:rsidRDefault="00756C0A" w:rsidP="00756C0A">
            <w:pPr>
              <w:pStyle w:val="APVMATableText"/>
              <w:jc w:val="right"/>
            </w:pPr>
            <w:r w:rsidRPr="002C02F4">
              <w:t>587,961</w:t>
            </w:r>
          </w:p>
        </w:tc>
        <w:tc>
          <w:tcPr>
            <w:tcW w:w="1311" w:type="dxa"/>
          </w:tcPr>
          <w:p w14:paraId="1DE4B2B3" w14:textId="0295685C" w:rsidR="00756C0A" w:rsidRPr="002C02F4" w:rsidRDefault="00756C0A" w:rsidP="00756C0A">
            <w:pPr>
              <w:pStyle w:val="APVMATableText"/>
              <w:jc w:val="right"/>
            </w:pPr>
            <w:r w:rsidRPr="002C02F4">
              <w:t>1,189,000</w:t>
            </w:r>
          </w:p>
        </w:tc>
      </w:tr>
    </w:tbl>
    <w:p w14:paraId="669367BA" w14:textId="29257902" w:rsidR="007C25F3" w:rsidRPr="002C02F4" w:rsidRDefault="004A7413" w:rsidP="00D0686C">
      <w:pPr>
        <w:pStyle w:val="Heading2"/>
      </w:pPr>
      <w:bookmarkStart w:id="26" w:name="_Toc234585898"/>
      <w:bookmarkEnd w:id="24"/>
      <w:bookmarkEnd w:id="25"/>
      <w:r w:rsidRPr="002C02F4">
        <w:t>Exclusion</w:t>
      </w:r>
      <w:r w:rsidR="007208C5" w:rsidRPr="002C02F4">
        <w:t xml:space="preserve"> of m</w:t>
      </w:r>
      <w:r w:rsidR="007C25F3" w:rsidRPr="002C02F4">
        <w:t>inor use and emergency permits</w:t>
      </w:r>
      <w:bookmarkEnd w:id="26"/>
    </w:p>
    <w:p w14:paraId="31DE3826" w14:textId="77777777" w:rsidR="00DF4D43" w:rsidRPr="002C02F4" w:rsidRDefault="00DF4D43" w:rsidP="00DF4D43">
      <w:pPr>
        <w:pStyle w:val="NormalText"/>
      </w:pPr>
      <w:r w:rsidRPr="002C02F4">
        <w:t>In line with Australian Government policy and stakeholder feedback, the revised cost recovery approach shifts from partial fee recovery to full cost recovery for most fee-for-service regulatory activities, with four defined exceptions:</w:t>
      </w:r>
    </w:p>
    <w:p w14:paraId="351CC60C" w14:textId="77777777" w:rsidR="00DF4D43" w:rsidRPr="002C02F4" w:rsidRDefault="00DF4D43" w:rsidP="00DF4D43">
      <w:pPr>
        <w:pStyle w:val="Bullet1"/>
      </w:pPr>
      <w:r w:rsidRPr="002C02F4">
        <w:t>minor use permits,</w:t>
      </w:r>
    </w:p>
    <w:p w14:paraId="2BE695B3" w14:textId="77777777" w:rsidR="00DF4D43" w:rsidRPr="002C02F4" w:rsidRDefault="00DF4D43" w:rsidP="00DF4D43">
      <w:pPr>
        <w:pStyle w:val="Bullet1"/>
      </w:pPr>
      <w:r w:rsidRPr="002C02F4">
        <w:t>emergency permits,</w:t>
      </w:r>
    </w:p>
    <w:p w14:paraId="4809B79D" w14:textId="77777777" w:rsidR="00DF4D43" w:rsidRPr="002C02F4" w:rsidRDefault="00DF4D43" w:rsidP="00DF4D43">
      <w:pPr>
        <w:pStyle w:val="Bullet1"/>
      </w:pPr>
      <w:r w:rsidRPr="002C02F4">
        <w:t>low-value manufacture licence renewals, and</w:t>
      </w:r>
    </w:p>
    <w:p w14:paraId="37D5D5BB" w14:textId="77777777" w:rsidR="00DF4D43" w:rsidRPr="002C02F4" w:rsidRDefault="00DF4D43" w:rsidP="00DF4D43">
      <w:pPr>
        <w:pStyle w:val="Bullet1"/>
      </w:pPr>
      <w:r w:rsidRPr="002C02F4">
        <w:t>state and territory permit fee waivers.</w:t>
      </w:r>
    </w:p>
    <w:p w14:paraId="21753CA7" w14:textId="77777777" w:rsidR="00DF4D43" w:rsidRPr="002C02F4" w:rsidRDefault="00DF4D43" w:rsidP="00DF4D43">
      <w:pPr>
        <w:pStyle w:val="Bullet1"/>
        <w:numPr>
          <w:ilvl w:val="0"/>
          <w:numId w:val="0"/>
        </w:numPr>
      </w:pPr>
      <w:r w:rsidRPr="002C02F4">
        <w:t>These exceptions reflect circumstances where full cost recovery would be inconsistent with the Cost Recovery Policy, either because the regulatory activity delivers a significant public benefit or because charging would create a disproportionate barrier to access.</w:t>
      </w:r>
    </w:p>
    <w:p w14:paraId="29A4A4B7" w14:textId="65420248" w:rsidR="00DF4D43" w:rsidRPr="002C02F4" w:rsidRDefault="00DF4D43" w:rsidP="00DF4D43">
      <w:pPr>
        <w:pStyle w:val="Bullet1"/>
        <w:numPr>
          <w:ilvl w:val="0"/>
          <w:numId w:val="0"/>
        </w:numPr>
      </w:pPr>
      <w:r w:rsidRPr="002C02F4">
        <w:t>Minor use permits will continue to attract a nominal application fee, with the remaining assessment costs shared between government appropriation and sales-based levies. Emergency use permits will continue to be fully funded through appropriation</w:t>
      </w:r>
      <w:r w:rsidR="00282CB6">
        <w:t xml:space="preserve"> due to the clear public benefit provided by</w:t>
      </w:r>
      <w:r w:rsidRPr="002C02F4">
        <w:t xml:space="preserve"> </w:t>
      </w:r>
      <w:r w:rsidR="00282CB6">
        <w:t xml:space="preserve">rapid regulatory approvals and </w:t>
      </w:r>
      <w:r w:rsidRPr="002C02F4">
        <w:t xml:space="preserve">timely access to </w:t>
      </w:r>
      <w:r w:rsidR="00282CB6">
        <w:t>critical products</w:t>
      </w:r>
      <w:r w:rsidRPr="002C02F4">
        <w:t xml:space="preserve"> </w:t>
      </w:r>
      <w:r w:rsidR="00282CB6">
        <w:t>during emergency</w:t>
      </w:r>
      <w:r w:rsidRPr="002C02F4">
        <w:t xml:space="preserve"> response</w:t>
      </w:r>
      <w:r w:rsidR="00282CB6">
        <w:t>s</w:t>
      </w:r>
      <w:r w:rsidRPr="002C02F4">
        <w:t>.</w:t>
      </w:r>
    </w:p>
    <w:p w14:paraId="2C4FD65A" w14:textId="77777777" w:rsidR="00DF4D43" w:rsidRPr="002C02F4" w:rsidRDefault="00DF4D43" w:rsidP="00DF4D43">
      <w:pPr>
        <w:pStyle w:val="Bullet1"/>
        <w:numPr>
          <w:ilvl w:val="0"/>
          <w:numId w:val="0"/>
        </w:numPr>
      </w:pPr>
      <w:r w:rsidRPr="002C02F4">
        <w:t>The existing fee reductions for low-value manufacture licence renewals and permit fee waivers for state and territory governments will be maintained.</w:t>
      </w:r>
    </w:p>
    <w:p w14:paraId="0DDEF452" w14:textId="2A619F98" w:rsidR="00DF4D43" w:rsidRPr="002C02F4" w:rsidRDefault="00DF4D43" w:rsidP="00DF4D43">
      <w:pPr>
        <w:pStyle w:val="Heading3"/>
      </w:pPr>
      <w:bookmarkStart w:id="27" w:name="_Toc220365236"/>
      <w:bookmarkStart w:id="28" w:name="_Toc234585899"/>
      <w:r w:rsidRPr="002C02F4">
        <w:t>Minor use permits (Item</w:t>
      </w:r>
      <w:r w:rsidR="00756C0A" w:rsidRPr="002C02F4">
        <w:t>s</w:t>
      </w:r>
      <w:r w:rsidRPr="002C02F4">
        <w:t xml:space="preserve"> </w:t>
      </w:r>
      <w:r w:rsidR="00756C0A" w:rsidRPr="002C02F4">
        <w:t xml:space="preserve">20 and </w:t>
      </w:r>
      <w:r w:rsidRPr="002C02F4">
        <w:t>21)</w:t>
      </w:r>
      <w:bookmarkEnd w:id="27"/>
      <w:bookmarkEnd w:id="28"/>
    </w:p>
    <w:p w14:paraId="3D4F950D" w14:textId="74A5A4CF" w:rsidR="00DF4D43" w:rsidRPr="002C02F4" w:rsidRDefault="00DF4D43" w:rsidP="00DF4D43">
      <w:pPr>
        <w:pStyle w:val="NormalText"/>
      </w:pPr>
      <w:r w:rsidRPr="002C02F4">
        <w:t>Minor use permits provide lawful access to agricultural and veterinary chemicals where full product registration is not commercially viable</w:t>
      </w:r>
      <w:r w:rsidR="005F5570">
        <w:t>,</w:t>
      </w:r>
      <w:r w:rsidRPr="002C02F4">
        <w:t xml:space="preserve"> and no suitable registered alternative is available. They play a critical role in supporting small, emerging and low-volume agricultural industries and deliver significant public-good benefits. Independent analysis has demonstrated that minor use permits generate substantial economic returns, with a 2020 assessment by ABARES estimating that every dollar invested in supporting minor use permits returned an average of $117 in benefits.</w:t>
      </w:r>
    </w:p>
    <w:p w14:paraId="3115F475" w14:textId="77777777" w:rsidR="00DF4D43" w:rsidRPr="002C02F4" w:rsidRDefault="00DF4D43" w:rsidP="00DF4D43">
      <w:pPr>
        <w:pStyle w:val="NormalText"/>
      </w:pPr>
      <w:r w:rsidRPr="002C02F4">
        <w:t xml:space="preserve">In practice, the effort required to develop and coordinate minor use permit applications is typically borne by farming groups and representative organisations, rather than product registrants. Charging full cost-recovery </w:t>
      </w:r>
      <w:r w:rsidRPr="002C02F4">
        <w:lastRenderedPageBreak/>
        <w:t>application fees would therefore create a significant barrier for these groups and could undermine access to essential pest-management tools for small and emerging industries.</w:t>
      </w:r>
    </w:p>
    <w:p w14:paraId="324FF316" w14:textId="77777777" w:rsidR="00DF4D43" w:rsidRPr="002C02F4" w:rsidRDefault="00DF4D43" w:rsidP="00DF4D43">
      <w:pPr>
        <w:pStyle w:val="NormalText"/>
      </w:pPr>
      <w:r w:rsidRPr="002C02F4">
        <w:t>At the same time, many minor use permits relate to additional uses of already registered products, meaning registrants may benefit indirectly through increased product sales. These sales contribute to sales-based levies, supporting a shared-benefit approach to funding minor use permit activities.</w:t>
      </w:r>
    </w:p>
    <w:p w14:paraId="402D70E1" w14:textId="415EDD23" w:rsidR="00DF4D43" w:rsidRPr="002C02F4" w:rsidRDefault="00DF4D43" w:rsidP="00DF4D43">
      <w:pPr>
        <w:pStyle w:val="NormalText"/>
      </w:pPr>
      <w:r w:rsidRPr="002C02F4">
        <w:t>Recognising the public benefit</w:t>
      </w:r>
      <w:r w:rsidR="00812D89">
        <w:t>s provided by</w:t>
      </w:r>
      <w:r w:rsidRPr="002C02F4">
        <w:t xml:space="preserve"> minor use permits, and consistent with the Cost Recovery Policy, a nominal application fee of $490 will apply from 1 </w:t>
      </w:r>
      <w:r w:rsidR="005C35A3">
        <w:t>July 2027</w:t>
      </w:r>
      <w:r w:rsidRPr="002C02F4">
        <w:t xml:space="preserve">. The remaining assessment costs will be shared evenly between sales-based levies and government appropriation. </w:t>
      </w:r>
      <w:r w:rsidRPr="00424474">
        <w:t>Ongoing appropriation funding</w:t>
      </w:r>
      <w:r w:rsidRPr="002C02F4">
        <w:t xml:space="preserve"> of approximately $1.9 million per year from 202</w:t>
      </w:r>
      <w:r w:rsidR="005C35A3">
        <w:t>7</w:t>
      </w:r>
      <w:r w:rsidRPr="002C02F4">
        <w:t>–2</w:t>
      </w:r>
      <w:r w:rsidR="005C35A3">
        <w:t>8</w:t>
      </w:r>
      <w:r w:rsidRPr="002C02F4">
        <w:t xml:space="preserve"> will support this approach.</w:t>
      </w:r>
    </w:p>
    <w:p w14:paraId="2A503212" w14:textId="77777777" w:rsidR="00DF4D43" w:rsidRPr="002C02F4" w:rsidRDefault="00DF4D43" w:rsidP="00DF4D43">
      <w:pPr>
        <w:pStyle w:val="Heading3"/>
      </w:pPr>
      <w:bookmarkStart w:id="29" w:name="_Toc220365237"/>
      <w:bookmarkStart w:id="30" w:name="_Toc234585900"/>
      <w:r w:rsidRPr="002C02F4">
        <w:t>Emergency use permits (Item 22)</w:t>
      </w:r>
      <w:bookmarkEnd w:id="29"/>
      <w:bookmarkEnd w:id="30"/>
    </w:p>
    <w:p w14:paraId="619D9735" w14:textId="77777777" w:rsidR="00DF4D43" w:rsidRPr="002C02F4" w:rsidRDefault="00DF4D43" w:rsidP="00DF4D43">
      <w:pPr>
        <w:pStyle w:val="NormalText"/>
      </w:pPr>
      <w:r w:rsidRPr="002C02F4">
        <w:t>Emergency use permits enable unregistered agricultural and veterinary chemicals to be used lawfully in genuine emergency situations, such as exotic pest incursions, severe pest outbreaks or other extraordinary events requiring urgent regulatory action.</w:t>
      </w:r>
    </w:p>
    <w:p w14:paraId="75BEAEB5" w14:textId="77777777" w:rsidR="00DF4D43" w:rsidRPr="002C02F4" w:rsidRDefault="00DF4D43" w:rsidP="00DF4D43">
      <w:pPr>
        <w:pStyle w:val="NormalText"/>
      </w:pPr>
      <w:r w:rsidRPr="002C02F4">
        <w:t>Emergency use permits deliver clear public benefits by enabling governments, industry and other stakeholders to respond quickly to emerging threats, thereby reducing the risk of widespread impacts on agricultural production, biosecurity and food security.</w:t>
      </w:r>
    </w:p>
    <w:p w14:paraId="2F414985" w14:textId="77777777" w:rsidR="00DF4D43" w:rsidRPr="00424474" w:rsidRDefault="00DF4D43" w:rsidP="00DF4D43">
      <w:pPr>
        <w:pStyle w:val="NormalText"/>
      </w:pPr>
      <w:r w:rsidRPr="002C02F4">
        <w:t xml:space="preserve">Under the revised cost recovery policy, emergency use permit applications will continue to attract no application fee. </w:t>
      </w:r>
      <w:r w:rsidRPr="00424474">
        <w:t>Instead, the cost of assessment will continue to be met through government appropriation.</w:t>
      </w:r>
    </w:p>
    <w:p w14:paraId="76AE3F37" w14:textId="77777777" w:rsidR="00DF4D43" w:rsidRPr="002C02F4" w:rsidRDefault="00DF4D43" w:rsidP="00DF4D43">
      <w:pPr>
        <w:pStyle w:val="NormalText"/>
      </w:pPr>
      <w:r w:rsidRPr="00424474">
        <w:t>Ongoing appropriation funding of approximately $1.3 million per year will support the assessment of emergency use permits and ensure the APVMA can continue to deliver timely and effective regulatory responses when emergencies arise.</w:t>
      </w:r>
    </w:p>
    <w:p w14:paraId="15BC2143" w14:textId="77777777" w:rsidR="00DF4D43" w:rsidRPr="002C02F4" w:rsidRDefault="00DF4D43" w:rsidP="00DF4D43">
      <w:pPr>
        <w:pStyle w:val="Heading3"/>
      </w:pPr>
      <w:bookmarkStart w:id="31" w:name="_Toc220365238"/>
      <w:bookmarkStart w:id="32" w:name="_Toc234585901"/>
      <w:r w:rsidRPr="002C02F4">
        <w:t>Low-value manufacture license renewals</w:t>
      </w:r>
      <w:bookmarkEnd w:id="31"/>
      <w:bookmarkEnd w:id="32"/>
    </w:p>
    <w:p w14:paraId="6661B7AA" w14:textId="2C2C943A" w:rsidR="00DF4D43" w:rsidRPr="002C02F4" w:rsidRDefault="00DF4D43" w:rsidP="00DF4D43">
      <w:pPr>
        <w:pStyle w:val="NormalText"/>
        <w:tabs>
          <w:tab w:val="left" w:pos="5124"/>
        </w:tabs>
      </w:pPr>
      <w:r w:rsidRPr="002C02F4">
        <w:t xml:space="preserve">The annual </w:t>
      </w:r>
      <w:r w:rsidR="003A674D" w:rsidRPr="002C02F4">
        <w:t>GMP</w:t>
      </w:r>
      <w:r w:rsidRPr="002C02F4">
        <w:t xml:space="preserve"> license fee for low-value manufacturers </w:t>
      </w:r>
      <w:r w:rsidR="007418CA">
        <w:t>will</w:t>
      </w:r>
      <w:r w:rsidRPr="002C02F4">
        <w:t xml:space="preserve"> continue to be reduced by 50%.</w:t>
      </w:r>
      <w:r w:rsidR="003A674D" w:rsidRPr="002C02F4">
        <w:t xml:space="preserve"> </w:t>
      </w:r>
      <w:r w:rsidRPr="002C02F4">
        <w:t>GMP licenses fees are currently reduced by 50% for license holders who provide the APVMA with evidence that they produced less than $50,000 wholesale value of goods under their license in the previous financial year. APVMA analysis has identified a significant risk to the continued viability of low manufacturers if this is not maintained.</w:t>
      </w:r>
    </w:p>
    <w:p w14:paraId="4DCFE9DF" w14:textId="77777777" w:rsidR="00DF4D43" w:rsidRPr="002C02F4" w:rsidRDefault="00DF4D43" w:rsidP="00DF4D43">
      <w:pPr>
        <w:pStyle w:val="Heading3"/>
      </w:pPr>
      <w:bookmarkStart w:id="33" w:name="_Toc220365239"/>
      <w:bookmarkStart w:id="34" w:name="_Toc234585902"/>
      <w:r w:rsidRPr="002C02F4">
        <w:t>States and territories’ permit fee waivers</w:t>
      </w:r>
      <w:bookmarkEnd w:id="33"/>
      <w:bookmarkEnd w:id="34"/>
    </w:p>
    <w:p w14:paraId="3C4BE62E" w14:textId="453F3489" w:rsidR="00DF4D43" w:rsidRPr="002C02F4" w:rsidRDefault="00DF4D43" w:rsidP="00DF4D43">
      <w:pPr>
        <w:pStyle w:val="NormalText"/>
        <w:tabs>
          <w:tab w:val="left" w:pos="5124"/>
        </w:tabs>
      </w:pPr>
      <w:r w:rsidRPr="002C02F4">
        <w:t xml:space="preserve">The </w:t>
      </w:r>
      <w:proofErr w:type="spellStart"/>
      <w:r w:rsidRPr="002C02F4">
        <w:t>Agvet</w:t>
      </w:r>
      <w:proofErr w:type="spellEnd"/>
      <w:r w:rsidRPr="002C02F4">
        <w:t xml:space="preserve"> Code Regulations provide an exemption for permit application fees if the applicant is the Commonwealth, or a state and territory government, where the permit is in support of that government’s core activities and the permitted use does not have a commercial benefit.</w:t>
      </w:r>
    </w:p>
    <w:p w14:paraId="46CA4834" w14:textId="24CF3FD7" w:rsidR="00DF4D43" w:rsidRDefault="00DF4D43" w:rsidP="00DF4D43">
      <w:pPr>
        <w:pStyle w:val="NormalText"/>
        <w:tabs>
          <w:tab w:val="left" w:pos="5124"/>
        </w:tabs>
      </w:pPr>
      <w:r w:rsidRPr="002C02F4">
        <w:t>This exemption will be maintained.</w:t>
      </w:r>
    </w:p>
    <w:p w14:paraId="7646F5EC" w14:textId="168844F8" w:rsidR="00FB0A6B" w:rsidRPr="002C02F4" w:rsidRDefault="0091777B" w:rsidP="00D0686C">
      <w:pPr>
        <w:pStyle w:val="Heading2"/>
      </w:pPr>
      <w:bookmarkStart w:id="35" w:name="_Toc234585903"/>
      <w:r w:rsidRPr="002C02F4">
        <w:lastRenderedPageBreak/>
        <w:t>Sales-based levies</w:t>
      </w:r>
      <w:bookmarkEnd w:id="35"/>
    </w:p>
    <w:p w14:paraId="49C9B55B" w14:textId="3DD0ED4D" w:rsidR="00D40CAE" w:rsidRPr="002C02F4" w:rsidRDefault="00D40CAE" w:rsidP="00774161">
      <w:pPr>
        <w:pStyle w:val="NormalText"/>
      </w:pPr>
      <w:bookmarkStart w:id="36" w:name="_Toc173342778"/>
      <w:r w:rsidRPr="002C02F4">
        <w:t>Sales-based levies refer to the levies</w:t>
      </w:r>
      <w:r w:rsidR="00D8094D" w:rsidRPr="002C02F4">
        <w:t xml:space="preserve"> impose</w:t>
      </w:r>
      <w:r w:rsidR="00901655">
        <w:t>d</w:t>
      </w:r>
      <w:r w:rsidR="00D8094D" w:rsidRPr="002C02F4">
        <w:t xml:space="preserve"> on the disposal of registered chemical products</w:t>
      </w:r>
      <w:r w:rsidR="008518CE" w:rsidRPr="002C02F4">
        <w:t>. These levies are used</w:t>
      </w:r>
      <w:r w:rsidR="00D8094D" w:rsidRPr="002C02F4">
        <w:t xml:space="preserve"> to fund regulatory activities not otherwise recovered through fees and payable under the </w:t>
      </w:r>
      <w:r w:rsidR="00D8094D" w:rsidRPr="002C02F4">
        <w:rPr>
          <w:i/>
          <w:iCs/>
        </w:rPr>
        <w:t>Agricultural and Veterinary Chemical Products (Collection of Levy) Act 1994</w:t>
      </w:r>
      <w:r w:rsidR="001F08E5">
        <w:rPr>
          <w:i/>
          <w:iCs/>
        </w:rPr>
        <w:t>.</w:t>
      </w:r>
    </w:p>
    <w:p w14:paraId="4C82231F" w14:textId="19A77F42" w:rsidR="00774161" w:rsidRPr="002C02F4" w:rsidRDefault="00774161" w:rsidP="00774161">
      <w:pPr>
        <w:pStyle w:val="NormalText"/>
      </w:pPr>
      <w:r w:rsidRPr="002C02F4">
        <w:t>As a greater share of the APVMA’s regulatory costs is recovered directly through fees for service, sales-based levies will be reduced. This change improves alignment between charges and beneficiaries while ensuring the APVMA remains appropriately resourced to undertake its statutory post-market regulatory functions.</w:t>
      </w:r>
    </w:p>
    <w:p w14:paraId="378A2D8F" w14:textId="77777777" w:rsidR="00774161" w:rsidRPr="002C02F4" w:rsidRDefault="00774161" w:rsidP="00774161">
      <w:pPr>
        <w:pStyle w:val="NormalText"/>
      </w:pPr>
      <w:r w:rsidRPr="002C02F4">
        <w:t>Moving to full cost recovery for fee-for-service activities significantly reduces reliance on sales-based levies to subsidise pre-market assessments. As a result, it is proposed that each of the three tiers of the sales-based levy be reduced by approximately 40 per cent initially, bringing levy rates to around 60 per cent of their previous levels.</w:t>
      </w:r>
    </w:p>
    <w:p w14:paraId="4B02A3DC" w14:textId="77777777" w:rsidR="00774161" w:rsidRPr="002C02F4" w:rsidRDefault="00774161" w:rsidP="00774161">
      <w:pPr>
        <w:pStyle w:val="NormalText"/>
      </w:pPr>
      <w:r w:rsidRPr="002C02F4">
        <w:t>A staged approach to levy reduction is intended to balance fairness with financial sustainability. While increased fee recovery improves transparency and reduces cross-subsidisation, sales-based levies continue to play an important role in funding post-market activities that deliver broad market-wide benefits. These activities include compliance monitoring, surveillance and chemical review programs.</w:t>
      </w:r>
    </w:p>
    <w:p w14:paraId="3F5511C1" w14:textId="77777777" w:rsidR="00774161" w:rsidRPr="002C02F4" w:rsidRDefault="00774161" w:rsidP="00774161">
      <w:pPr>
        <w:pStyle w:val="NormalText"/>
      </w:pPr>
      <w:r w:rsidRPr="002C02F4">
        <w:t>Further reductions to sales-based levies will be considered once the revised funding model is established. A formal review is proposed two years after commencement to assess revenue stability, regulatory performance and market impacts, and to determine whether additional levy reductions are appropriate.</w:t>
      </w:r>
    </w:p>
    <w:p w14:paraId="3D96E2FE" w14:textId="77777777" w:rsidR="00774161" w:rsidRPr="002C02F4" w:rsidRDefault="00774161" w:rsidP="00774161">
      <w:pPr>
        <w:pStyle w:val="NormalText"/>
      </w:pPr>
      <w:r w:rsidRPr="002C02F4">
        <w:t>Stakeholder feedback has highlighted concerns about the level of reliance on sales-based levies, their visibility, and their use to fund activities that are more appropriately recovered through application fees. At the same time, stakeholders have emphasised the importance of maintaining levies to support ongoing regulatory oversight and activities that are not linked to individual applications. The proposed levy reductions respond directly to these concerns by lowering the overall levy burden on industry while retaining levies as a targeted mechanism for funding post-market regulatory activities.</w:t>
      </w:r>
    </w:p>
    <w:p w14:paraId="36AA19FD" w14:textId="7407B514" w:rsidR="007208C5" w:rsidRPr="00575EC5" w:rsidRDefault="00774161" w:rsidP="00463804">
      <w:pPr>
        <w:pStyle w:val="NormalText"/>
        <w:rPr>
          <w:lang w:eastAsia="en-GB"/>
        </w:rPr>
      </w:pPr>
      <w:r w:rsidRPr="002C02F4">
        <w:t>The APVMA will continue to monitor the balance between fees and levies to ensure the funding model remains transparent, proportionate and financially sustainable. As part of the annual CRIS process, adjustments will be made where necessary to maintain alignment between costs, activity levels and the policy intent of each funding stream.</w:t>
      </w:r>
      <w:r w:rsidR="007208C5">
        <w:br w:type="page"/>
      </w:r>
    </w:p>
    <w:p w14:paraId="6A7E9249" w14:textId="09F56AED" w:rsidR="00122810" w:rsidRDefault="009C4D72" w:rsidP="00D0686C">
      <w:pPr>
        <w:pStyle w:val="Heading2"/>
      </w:pPr>
      <w:bookmarkStart w:id="37" w:name="_Toc234585904"/>
      <w:r>
        <w:lastRenderedPageBreak/>
        <w:t>Other</w:t>
      </w:r>
      <w:r w:rsidR="00CB57FB">
        <w:t xml:space="preserve"> services</w:t>
      </w:r>
      <w:bookmarkEnd w:id="37"/>
    </w:p>
    <w:p w14:paraId="3BEF744B" w14:textId="77777777" w:rsidR="005E5312" w:rsidRPr="00F26C2C" w:rsidRDefault="005E5312" w:rsidP="005E5312">
      <w:pPr>
        <w:pStyle w:val="NormalText"/>
      </w:pPr>
      <w:r>
        <w:t>The following services have historically been offered at a substantially discounted rate.</w:t>
      </w:r>
    </w:p>
    <w:p w14:paraId="65596B7D" w14:textId="4BBF8791" w:rsidR="003053A9" w:rsidRDefault="00122810" w:rsidP="00122810">
      <w:pPr>
        <w:pStyle w:val="Heading3"/>
      </w:pPr>
      <w:bookmarkStart w:id="38" w:name="_Toc234585905"/>
      <w:r w:rsidRPr="00122810">
        <w:t>Pre-application assistance</w:t>
      </w:r>
      <w:r w:rsidR="00081ECD">
        <w:t xml:space="preserve"> and technical assessments</w:t>
      </w:r>
      <w:bookmarkEnd w:id="38"/>
    </w:p>
    <w:p w14:paraId="193D3BC3" w14:textId="77777777" w:rsidR="00FB12F3" w:rsidRDefault="00FB12F3" w:rsidP="00FB12F3">
      <w:pPr>
        <w:pStyle w:val="NormalText"/>
      </w:pPr>
      <w:bookmarkStart w:id="39" w:name="_Ref214627327"/>
      <w:r>
        <w:t xml:space="preserve">Pre-application assistance (PAA) provides applicants with tailored guidance on application pathways, item selection and data requirements. Technical assessments undertaken under Item 25 of the </w:t>
      </w:r>
      <w:proofErr w:type="spellStart"/>
      <w:r>
        <w:t>Agvet</w:t>
      </w:r>
      <w:proofErr w:type="spellEnd"/>
      <w:r>
        <w:t xml:space="preserve"> Code Regulations provide applicants with an assessment prior to a full application being made.</w:t>
      </w:r>
    </w:p>
    <w:p w14:paraId="5D2A5445" w14:textId="77777777" w:rsidR="00FB12F3" w:rsidRDefault="00FB12F3" w:rsidP="00FB12F3">
      <w:pPr>
        <w:pStyle w:val="NormalText"/>
      </w:pPr>
      <w:r>
        <w:t>PAA fees are structured across three tiers that reflect the complexity and level of scientific and regulatory advice provided. Where an application has received PAA advice, application fees are reduced by a prescribed amount.</w:t>
      </w:r>
    </w:p>
    <w:p w14:paraId="3BEFD041" w14:textId="77777777" w:rsidR="00FB12F3" w:rsidRDefault="00FB12F3" w:rsidP="00FB12F3">
      <w:pPr>
        <w:pStyle w:val="NormalText"/>
      </w:pPr>
      <w:r>
        <w:t>Current PAA fees recover only a small proportion of the cost of delivering this service, with a nominal fee of $175 per unit (excluding GST) compared to an estimated cost of $2,788 per unit (excluding GST). This has resulted in significant under-recovery over time.</w:t>
      </w:r>
    </w:p>
    <w:p w14:paraId="7A152ABF" w14:textId="77777777" w:rsidR="00FB12F3" w:rsidRDefault="00FB12F3" w:rsidP="00FB12F3">
      <w:pPr>
        <w:pStyle w:val="NormalText"/>
        <w:sectPr w:rsidR="00FB12F3" w:rsidSect="00D0686C">
          <w:headerReference w:type="default" r:id="rId41"/>
          <w:pgSz w:w="11906" w:h="16838" w:code="9"/>
          <w:pgMar w:top="2835" w:right="1134" w:bottom="1134" w:left="1134" w:header="1701" w:footer="680" w:gutter="0"/>
          <w:cols w:space="708"/>
          <w:docGrid w:linePitch="360"/>
        </w:sectPr>
      </w:pPr>
      <w:r>
        <w:t>Fees for technical assessments will continue to mirror the relevant modular assessment fees. A table of comparative costs and fees is provided at Table 3.</w:t>
      </w:r>
    </w:p>
    <w:p w14:paraId="5D5C8E20" w14:textId="7DA05CFD" w:rsidR="009C4D72" w:rsidRDefault="00463804" w:rsidP="00516CAD">
      <w:pPr>
        <w:pStyle w:val="Caption"/>
        <w:spacing w:before="360"/>
      </w:pPr>
      <w:bookmarkStart w:id="40" w:name="_Toc234585735"/>
      <w:bookmarkEnd w:id="39"/>
      <w:r>
        <w:lastRenderedPageBreak/>
        <w:t xml:space="preserve">Table </w:t>
      </w:r>
      <w:fldSimple w:instr=" SEQ Table \* ARABIC ">
        <w:r>
          <w:rPr>
            <w:noProof/>
          </w:rPr>
          <w:t>3</w:t>
        </w:r>
      </w:fldSimple>
      <w:r>
        <w:t>:</w:t>
      </w:r>
      <w:r>
        <w:tab/>
      </w:r>
      <w:r w:rsidR="00516CAD" w:rsidRPr="00516CAD">
        <w:t xml:space="preserve">Pre-application assistance </w:t>
      </w:r>
      <w:r w:rsidR="00516CAD">
        <w:t>f</w:t>
      </w:r>
      <w:r w:rsidR="009C4D72" w:rsidRPr="00516CAD">
        <w:t>ee</w:t>
      </w:r>
      <w:r w:rsidR="00516CAD">
        <w:t>s</w:t>
      </w:r>
      <w:r w:rsidR="009C4D72" w:rsidRPr="00516CAD">
        <w:t xml:space="preserve"> for </w:t>
      </w:r>
      <w:r w:rsidR="00516CAD">
        <w:t>s</w:t>
      </w:r>
      <w:r w:rsidR="009C4D72" w:rsidRPr="00516CAD">
        <w:t>ervices</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1241"/>
        <w:gridCol w:w="1878"/>
        <w:gridCol w:w="1616"/>
        <w:gridCol w:w="1345"/>
        <w:gridCol w:w="1750"/>
        <w:gridCol w:w="1613"/>
        <w:gridCol w:w="1747"/>
      </w:tblGrid>
      <w:tr w:rsidR="009C4D72" w:rsidRPr="00F53FF8" w14:paraId="2CC76D4C" w14:textId="77777777" w:rsidTr="00575EC5">
        <w:trPr>
          <w:trHeight w:val="939"/>
        </w:trPr>
        <w:tc>
          <w:tcPr>
            <w:tcW w:w="1157" w:type="pct"/>
            <w:shd w:val="clear" w:color="000000" w:fill="53284F"/>
            <w:vAlign w:val="center"/>
            <w:hideMark/>
          </w:tcPr>
          <w:p w14:paraId="42C55072" w14:textId="77777777" w:rsidR="009C4D72" w:rsidRPr="00F53FF8" w:rsidRDefault="009C4D72" w:rsidP="00932C16">
            <w:pPr>
              <w:pStyle w:val="APVMATableHead"/>
              <w:rPr>
                <w:lang w:eastAsia="en-AU"/>
              </w:rPr>
            </w:pPr>
            <w:r w:rsidRPr="00F53FF8">
              <w:rPr>
                <w:lang w:eastAsia="en-AU"/>
              </w:rPr>
              <w:t>Service</w:t>
            </w:r>
          </w:p>
        </w:tc>
        <w:tc>
          <w:tcPr>
            <w:tcW w:w="426" w:type="pct"/>
            <w:shd w:val="clear" w:color="000000" w:fill="53284F"/>
            <w:vAlign w:val="center"/>
            <w:hideMark/>
          </w:tcPr>
          <w:p w14:paraId="26ABF1B1" w14:textId="77777777" w:rsidR="009C4D72" w:rsidRPr="00F53FF8" w:rsidRDefault="009C4D72" w:rsidP="00932C16">
            <w:pPr>
              <w:pStyle w:val="APVMATableHead"/>
              <w:rPr>
                <w:lang w:eastAsia="en-AU"/>
              </w:rPr>
            </w:pPr>
            <w:r w:rsidRPr="00F53FF8">
              <w:rPr>
                <w:lang w:eastAsia="en-AU"/>
              </w:rPr>
              <w:t>Description</w:t>
            </w:r>
          </w:p>
        </w:tc>
        <w:tc>
          <w:tcPr>
            <w:tcW w:w="645" w:type="pct"/>
            <w:shd w:val="clear" w:color="000000" w:fill="53284F"/>
            <w:vAlign w:val="center"/>
            <w:hideMark/>
          </w:tcPr>
          <w:p w14:paraId="10924B2C" w14:textId="65D4DC78" w:rsidR="009C4D72" w:rsidRPr="00F53FF8" w:rsidRDefault="009C4D72" w:rsidP="00932C16">
            <w:pPr>
              <w:pStyle w:val="APVMATableHeadRight"/>
              <w:rPr>
                <w:lang w:eastAsia="en-AU"/>
              </w:rPr>
            </w:pPr>
            <w:r w:rsidRPr="00F53FF8">
              <w:rPr>
                <w:lang w:eastAsia="en-AU"/>
              </w:rPr>
              <w:t>Cost estimate prior to</w:t>
            </w:r>
            <w:r w:rsidR="00932C16">
              <w:rPr>
                <w:lang w:eastAsia="en-AU"/>
              </w:rPr>
              <w:br/>
            </w:r>
            <w:r w:rsidRPr="00F53FF8">
              <w:rPr>
                <w:lang w:eastAsia="en-AU"/>
              </w:rPr>
              <w:t>30</w:t>
            </w:r>
            <w:r w:rsidRPr="0024707E">
              <w:rPr>
                <w:color w:val="F0F4F5" w:themeColor="accent1" w:themeTint="33"/>
                <w:lang w:eastAsia="en-AU"/>
              </w:rPr>
              <w:t>-</w:t>
            </w:r>
            <w:r w:rsidR="003A6D2D" w:rsidRPr="0024707E">
              <w:rPr>
                <w:color w:val="F0F4F5" w:themeColor="accent1" w:themeTint="33"/>
                <w:lang w:eastAsia="en-AU"/>
              </w:rPr>
              <w:t>Jun</w:t>
            </w:r>
            <w:r w:rsidR="003A6D2D">
              <w:rPr>
                <w:color w:val="F0F4F5" w:themeColor="accent1" w:themeTint="33"/>
                <w:lang w:eastAsia="en-AU"/>
              </w:rPr>
              <w:t>-</w:t>
            </w:r>
            <w:r w:rsidR="003A6D2D" w:rsidRPr="0024707E">
              <w:rPr>
                <w:color w:val="F0F4F5" w:themeColor="accent1" w:themeTint="33"/>
                <w:lang w:eastAsia="en-AU"/>
              </w:rPr>
              <w:t>27</w:t>
            </w:r>
            <w:r w:rsidR="00932C16">
              <w:rPr>
                <w:lang w:eastAsia="en-AU"/>
              </w:rPr>
              <w:br/>
            </w:r>
            <w:r w:rsidRPr="00F53FF8">
              <w:rPr>
                <w:lang w:eastAsia="en-AU"/>
              </w:rPr>
              <w:t>($ including GST)</w:t>
            </w:r>
          </w:p>
        </w:tc>
        <w:tc>
          <w:tcPr>
            <w:tcW w:w="555" w:type="pct"/>
            <w:shd w:val="clear" w:color="000000" w:fill="53284F"/>
            <w:vAlign w:val="center"/>
            <w:hideMark/>
          </w:tcPr>
          <w:p w14:paraId="03635388" w14:textId="769956FC" w:rsidR="009C4D72" w:rsidRPr="00F53FF8" w:rsidRDefault="009C4D72" w:rsidP="00932C16">
            <w:pPr>
              <w:pStyle w:val="APVMATableHeadRight"/>
              <w:rPr>
                <w:lang w:eastAsia="en-AU"/>
              </w:rPr>
            </w:pPr>
            <w:r w:rsidRPr="00F53FF8">
              <w:rPr>
                <w:lang w:eastAsia="en-AU"/>
              </w:rPr>
              <w:t>Cost estimate from</w:t>
            </w:r>
            <w:r w:rsidR="00932C16">
              <w:rPr>
                <w:lang w:eastAsia="en-AU"/>
              </w:rPr>
              <w:br/>
            </w:r>
            <w:r w:rsidRPr="0024707E">
              <w:rPr>
                <w:color w:val="F0F4F5" w:themeColor="accent1" w:themeTint="33"/>
                <w:lang w:eastAsia="en-AU"/>
              </w:rPr>
              <w:t>1-</w:t>
            </w:r>
            <w:r w:rsidR="003A6D2D" w:rsidRPr="0024707E">
              <w:rPr>
                <w:color w:val="F0F4F5" w:themeColor="accent1" w:themeTint="33"/>
                <w:lang w:eastAsia="en-AU"/>
              </w:rPr>
              <w:t>Jul</w:t>
            </w:r>
            <w:r w:rsidR="003A6D2D">
              <w:rPr>
                <w:color w:val="F0F4F5" w:themeColor="accent1" w:themeTint="33"/>
                <w:lang w:eastAsia="en-AU"/>
              </w:rPr>
              <w:t>-</w:t>
            </w:r>
            <w:r w:rsidR="003A6D2D" w:rsidRPr="0024707E">
              <w:rPr>
                <w:color w:val="F0F4F5" w:themeColor="accent1" w:themeTint="33"/>
                <w:lang w:eastAsia="en-AU"/>
              </w:rPr>
              <w:t>27</w:t>
            </w:r>
            <w:r w:rsidR="00932C16">
              <w:rPr>
                <w:lang w:eastAsia="en-AU"/>
              </w:rPr>
              <w:br/>
            </w:r>
            <w:r w:rsidRPr="00F53FF8">
              <w:rPr>
                <w:lang w:eastAsia="en-AU"/>
              </w:rPr>
              <w:t>($)</w:t>
            </w:r>
          </w:p>
        </w:tc>
        <w:tc>
          <w:tcPr>
            <w:tcW w:w="462" w:type="pct"/>
            <w:shd w:val="clear" w:color="000000" w:fill="53284F"/>
            <w:vAlign w:val="center"/>
            <w:hideMark/>
          </w:tcPr>
          <w:p w14:paraId="7F324045" w14:textId="4114422A" w:rsidR="009C4D72" w:rsidRPr="00F53FF8" w:rsidRDefault="009C4D72" w:rsidP="00932C16">
            <w:pPr>
              <w:pStyle w:val="APVMATableHeadRight"/>
              <w:rPr>
                <w:lang w:eastAsia="en-AU"/>
              </w:rPr>
            </w:pPr>
            <w:r w:rsidRPr="00F53FF8">
              <w:rPr>
                <w:lang w:eastAsia="en-AU"/>
              </w:rPr>
              <w:t>Variance</w:t>
            </w:r>
            <w:r w:rsidR="00932C16">
              <w:rPr>
                <w:lang w:eastAsia="en-AU"/>
              </w:rPr>
              <w:br/>
            </w:r>
            <w:r w:rsidRPr="00F53FF8">
              <w:rPr>
                <w:lang w:eastAsia="en-AU"/>
              </w:rPr>
              <w:t>in cost</w:t>
            </w:r>
            <w:r w:rsidR="00932C16">
              <w:rPr>
                <w:lang w:eastAsia="en-AU"/>
              </w:rPr>
              <w:br/>
            </w:r>
            <w:r>
              <w:rPr>
                <w:lang w:eastAsia="en-AU"/>
              </w:rPr>
              <w:t>(</w:t>
            </w:r>
            <w:r w:rsidRPr="00F53FF8">
              <w:rPr>
                <w:lang w:eastAsia="en-AU"/>
              </w:rPr>
              <w:t>%</w:t>
            </w:r>
            <w:r>
              <w:rPr>
                <w:lang w:eastAsia="en-AU"/>
              </w:rPr>
              <w:t>)</w:t>
            </w:r>
          </w:p>
        </w:tc>
        <w:tc>
          <w:tcPr>
            <w:tcW w:w="601" w:type="pct"/>
            <w:shd w:val="clear" w:color="000000" w:fill="53284F"/>
            <w:vAlign w:val="center"/>
            <w:hideMark/>
          </w:tcPr>
          <w:p w14:paraId="5E4B2EA0" w14:textId="231E3D6A" w:rsidR="009C4D72" w:rsidRPr="00F53FF8" w:rsidRDefault="009C4D72" w:rsidP="00932C16">
            <w:pPr>
              <w:pStyle w:val="APVMATableHeadRight"/>
              <w:rPr>
                <w:lang w:eastAsia="en-AU"/>
              </w:rPr>
            </w:pPr>
            <w:r w:rsidRPr="00F53FF8">
              <w:rPr>
                <w:lang w:eastAsia="en-AU"/>
              </w:rPr>
              <w:t>Fee prior to</w:t>
            </w:r>
            <w:r w:rsidR="00932C16">
              <w:rPr>
                <w:lang w:eastAsia="en-AU"/>
              </w:rPr>
              <w:br/>
            </w:r>
            <w:r w:rsidRPr="00F53FF8">
              <w:rPr>
                <w:lang w:eastAsia="en-AU"/>
              </w:rPr>
              <w:t>3</w:t>
            </w:r>
            <w:r w:rsidRPr="0024707E">
              <w:rPr>
                <w:color w:val="F0F4F5" w:themeColor="accent1" w:themeTint="33"/>
                <w:lang w:eastAsia="en-AU"/>
              </w:rPr>
              <w:t>0-</w:t>
            </w:r>
            <w:r w:rsidR="003A6D2D" w:rsidRPr="0024707E">
              <w:rPr>
                <w:color w:val="F0F4F5" w:themeColor="accent1" w:themeTint="33"/>
                <w:lang w:eastAsia="en-AU"/>
              </w:rPr>
              <w:t>Jun-27</w:t>
            </w:r>
            <w:r w:rsidR="00932C16">
              <w:rPr>
                <w:lang w:eastAsia="en-AU"/>
              </w:rPr>
              <w:br/>
            </w:r>
            <w:r w:rsidRPr="00F53FF8">
              <w:rPr>
                <w:lang w:eastAsia="en-AU"/>
              </w:rPr>
              <w:t>($ including GST)</w:t>
            </w:r>
          </w:p>
        </w:tc>
        <w:tc>
          <w:tcPr>
            <w:tcW w:w="554" w:type="pct"/>
            <w:shd w:val="clear" w:color="000000" w:fill="53284F"/>
            <w:vAlign w:val="center"/>
            <w:hideMark/>
          </w:tcPr>
          <w:p w14:paraId="6EA5B862" w14:textId="4F823B6D" w:rsidR="009C4D72" w:rsidRPr="00F53FF8" w:rsidRDefault="009C4D72" w:rsidP="00932C16">
            <w:pPr>
              <w:pStyle w:val="APVMATableHeadRight"/>
              <w:rPr>
                <w:b/>
                <w:lang w:eastAsia="en-AU"/>
              </w:rPr>
            </w:pPr>
            <w:r w:rsidRPr="00F53FF8">
              <w:rPr>
                <w:lang w:eastAsia="en-AU"/>
              </w:rPr>
              <w:t>Fee from</w:t>
            </w:r>
            <w:r w:rsidR="00932C16">
              <w:rPr>
                <w:lang w:eastAsia="en-AU"/>
              </w:rPr>
              <w:br/>
            </w:r>
            <w:r w:rsidRPr="00F53FF8">
              <w:rPr>
                <w:lang w:eastAsia="en-AU"/>
              </w:rPr>
              <w:t>1</w:t>
            </w:r>
            <w:r w:rsidRPr="0024707E">
              <w:rPr>
                <w:color w:val="F0F4F5" w:themeColor="accent1" w:themeTint="33"/>
                <w:lang w:eastAsia="en-AU"/>
              </w:rPr>
              <w:t>-</w:t>
            </w:r>
            <w:r w:rsidR="003A6D2D" w:rsidRPr="0024707E">
              <w:rPr>
                <w:color w:val="F0F4F5" w:themeColor="accent1" w:themeTint="33"/>
                <w:lang w:eastAsia="en-AU"/>
              </w:rPr>
              <w:t>Jul-27</w:t>
            </w:r>
            <w:r w:rsidR="00932C16">
              <w:rPr>
                <w:lang w:eastAsia="en-AU"/>
              </w:rPr>
              <w:br/>
            </w:r>
            <w:r w:rsidRPr="00F53FF8">
              <w:rPr>
                <w:lang w:eastAsia="en-AU"/>
              </w:rPr>
              <w:t>($ including GST)</w:t>
            </w:r>
          </w:p>
        </w:tc>
        <w:tc>
          <w:tcPr>
            <w:tcW w:w="600" w:type="pct"/>
            <w:shd w:val="clear" w:color="000000" w:fill="53284F"/>
            <w:vAlign w:val="center"/>
            <w:hideMark/>
          </w:tcPr>
          <w:p w14:paraId="3EB47A5F" w14:textId="538A49A5" w:rsidR="009C4D72" w:rsidRPr="00F53FF8" w:rsidRDefault="009C4D72" w:rsidP="00932C16">
            <w:pPr>
              <w:pStyle w:val="APVMATableHeadRight"/>
              <w:rPr>
                <w:lang w:eastAsia="en-AU"/>
              </w:rPr>
            </w:pPr>
            <w:r w:rsidRPr="00F53FF8">
              <w:rPr>
                <w:lang w:eastAsia="en-AU"/>
              </w:rPr>
              <w:t>Variance</w:t>
            </w:r>
            <w:r w:rsidR="00932C16">
              <w:rPr>
                <w:lang w:eastAsia="en-AU"/>
              </w:rPr>
              <w:br/>
            </w:r>
            <w:r w:rsidRPr="00F53FF8">
              <w:rPr>
                <w:lang w:eastAsia="en-AU"/>
              </w:rPr>
              <w:t>in fees</w:t>
            </w:r>
            <w:r w:rsidR="00932C16">
              <w:rPr>
                <w:lang w:eastAsia="en-AU"/>
              </w:rPr>
              <w:br/>
            </w:r>
            <w:r w:rsidRPr="00F53FF8">
              <w:rPr>
                <w:lang w:eastAsia="en-AU"/>
              </w:rPr>
              <w:t>(%)</w:t>
            </w:r>
          </w:p>
        </w:tc>
      </w:tr>
      <w:tr w:rsidR="0052060D" w:rsidRPr="00F53FF8" w14:paraId="748F3026" w14:textId="77777777" w:rsidTr="00575EC5">
        <w:trPr>
          <w:trHeight w:val="449"/>
        </w:trPr>
        <w:tc>
          <w:tcPr>
            <w:tcW w:w="5000" w:type="pct"/>
            <w:gridSpan w:val="8"/>
            <w:vAlign w:val="center"/>
            <w:hideMark/>
          </w:tcPr>
          <w:p w14:paraId="1522D698" w14:textId="4438D927" w:rsidR="0052060D" w:rsidRPr="0052060D" w:rsidRDefault="0052060D">
            <w:pPr>
              <w:pStyle w:val="APVMATableText"/>
              <w:rPr>
                <w:b/>
                <w:bCs/>
                <w:lang w:eastAsia="en-AU"/>
              </w:rPr>
            </w:pPr>
            <w:r w:rsidRPr="006276C4">
              <w:rPr>
                <w:b/>
                <w:bCs/>
                <w:color w:val="53284F" w:themeColor="accent5"/>
                <w:lang w:eastAsia="en-AU"/>
              </w:rPr>
              <w:t>PAA Tier 1</w:t>
            </w:r>
          </w:p>
        </w:tc>
      </w:tr>
      <w:tr w:rsidR="009C4D72" w:rsidRPr="00F53FF8" w14:paraId="2F420F49" w14:textId="77777777" w:rsidTr="00575EC5">
        <w:trPr>
          <w:trHeight w:val="20"/>
        </w:trPr>
        <w:tc>
          <w:tcPr>
            <w:tcW w:w="1157" w:type="pct"/>
            <w:vAlign w:val="center"/>
            <w:hideMark/>
          </w:tcPr>
          <w:p w14:paraId="34372515" w14:textId="77777777" w:rsidR="009C4D72" w:rsidRPr="00F53FF8" w:rsidRDefault="009C4D72">
            <w:pPr>
              <w:pStyle w:val="APVMATableText"/>
              <w:rPr>
                <w:color w:val="000000"/>
                <w:szCs w:val="17"/>
                <w:lang w:eastAsia="en-AU"/>
              </w:rPr>
            </w:pPr>
            <w:r w:rsidRPr="00F53FF8">
              <w:rPr>
                <w:color w:val="000000"/>
                <w:szCs w:val="17"/>
                <w:lang w:eastAsia="en-AU"/>
              </w:rPr>
              <w:t>Administration fee</w:t>
            </w:r>
          </w:p>
        </w:tc>
        <w:tc>
          <w:tcPr>
            <w:tcW w:w="426" w:type="pct"/>
            <w:vAlign w:val="center"/>
            <w:hideMark/>
          </w:tcPr>
          <w:p w14:paraId="42965319" w14:textId="77777777" w:rsidR="009C4D72" w:rsidRPr="00F53FF8" w:rsidRDefault="009C4D72">
            <w:pPr>
              <w:pStyle w:val="APVMATableText"/>
              <w:rPr>
                <w:color w:val="000000"/>
                <w:szCs w:val="17"/>
                <w:lang w:eastAsia="en-AU"/>
              </w:rPr>
            </w:pPr>
            <w:r w:rsidRPr="00F53FF8">
              <w:rPr>
                <w:color w:val="000000"/>
                <w:szCs w:val="17"/>
                <w:lang w:eastAsia="en-AU"/>
              </w:rPr>
              <w:t>1-unit fee</w:t>
            </w:r>
          </w:p>
        </w:tc>
        <w:tc>
          <w:tcPr>
            <w:tcW w:w="645" w:type="pct"/>
            <w:vAlign w:val="center"/>
            <w:hideMark/>
          </w:tcPr>
          <w:p w14:paraId="1BFEAFF7"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1,727</w:t>
            </w:r>
          </w:p>
        </w:tc>
        <w:tc>
          <w:tcPr>
            <w:tcW w:w="555" w:type="pct"/>
            <w:vAlign w:val="center"/>
            <w:hideMark/>
          </w:tcPr>
          <w:p w14:paraId="14B14DF5"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3,067</w:t>
            </w:r>
          </w:p>
        </w:tc>
        <w:tc>
          <w:tcPr>
            <w:tcW w:w="462" w:type="pct"/>
            <w:vAlign w:val="center"/>
            <w:hideMark/>
          </w:tcPr>
          <w:p w14:paraId="71085E75"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78</w:t>
            </w:r>
          </w:p>
        </w:tc>
        <w:tc>
          <w:tcPr>
            <w:tcW w:w="601" w:type="pct"/>
            <w:vAlign w:val="center"/>
            <w:hideMark/>
          </w:tcPr>
          <w:p w14:paraId="691CA005"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19</w:t>
            </w:r>
            <w:r>
              <w:rPr>
                <w:color w:val="000000"/>
                <w:szCs w:val="17"/>
                <w:lang w:eastAsia="en-AU"/>
              </w:rPr>
              <w:t>2.50</w:t>
            </w:r>
          </w:p>
        </w:tc>
        <w:tc>
          <w:tcPr>
            <w:tcW w:w="554" w:type="pct"/>
            <w:shd w:val="clear" w:color="auto" w:fill="D5D7D5" w:themeFill="text1" w:themeFillTint="33"/>
            <w:vAlign w:val="center"/>
            <w:hideMark/>
          </w:tcPr>
          <w:p w14:paraId="0A33C0DA" w14:textId="77777777" w:rsidR="009C4D72" w:rsidRPr="00F53FF8" w:rsidRDefault="009C4D72" w:rsidP="009231A1">
            <w:pPr>
              <w:pStyle w:val="APVMATableText"/>
              <w:jc w:val="right"/>
              <w:rPr>
                <w:b/>
                <w:bCs/>
                <w:color w:val="000000"/>
                <w:szCs w:val="17"/>
                <w:lang w:eastAsia="en-AU"/>
              </w:rPr>
            </w:pPr>
            <w:r w:rsidRPr="00F53FF8">
              <w:rPr>
                <w:b/>
                <w:bCs/>
                <w:color w:val="000000"/>
                <w:szCs w:val="17"/>
                <w:lang w:eastAsia="en-AU"/>
              </w:rPr>
              <w:t>3,067</w:t>
            </w:r>
          </w:p>
        </w:tc>
        <w:tc>
          <w:tcPr>
            <w:tcW w:w="600" w:type="pct"/>
            <w:vAlign w:val="center"/>
            <w:hideMark/>
          </w:tcPr>
          <w:p w14:paraId="7E7A2749"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w:t>
            </w:r>
            <w:r>
              <w:rPr>
                <w:color w:val="000000"/>
                <w:szCs w:val="17"/>
                <w:lang w:eastAsia="en-AU"/>
              </w:rPr>
              <w:t>,</w:t>
            </w:r>
            <w:r w:rsidRPr="00F53FF8">
              <w:rPr>
                <w:color w:val="000000"/>
                <w:szCs w:val="17"/>
                <w:lang w:eastAsia="en-AU"/>
              </w:rPr>
              <w:t>493</w:t>
            </w:r>
          </w:p>
        </w:tc>
      </w:tr>
      <w:tr w:rsidR="009C4D72" w:rsidRPr="00F53FF8" w14:paraId="0665050B" w14:textId="77777777" w:rsidTr="00575EC5">
        <w:trPr>
          <w:trHeight w:val="20"/>
        </w:trPr>
        <w:tc>
          <w:tcPr>
            <w:tcW w:w="1157" w:type="pct"/>
            <w:vAlign w:val="center"/>
            <w:hideMark/>
          </w:tcPr>
          <w:p w14:paraId="14512F6D" w14:textId="77777777" w:rsidR="009C4D72" w:rsidRPr="00F53FF8" w:rsidRDefault="009C4D72">
            <w:pPr>
              <w:pStyle w:val="APVMATableText"/>
              <w:rPr>
                <w:color w:val="000000"/>
                <w:szCs w:val="17"/>
                <w:lang w:eastAsia="en-AU"/>
              </w:rPr>
            </w:pPr>
            <w:r w:rsidRPr="00F53FF8">
              <w:rPr>
                <w:color w:val="000000"/>
                <w:szCs w:val="17"/>
                <w:lang w:eastAsia="en-AU"/>
              </w:rPr>
              <w:t>Written response, including research</w:t>
            </w:r>
          </w:p>
        </w:tc>
        <w:tc>
          <w:tcPr>
            <w:tcW w:w="426" w:type="pct"/>
            <w:vAlign w:val="center"/>
            <w:hideMark/>
          </w:tcPr>
          <w:p w14:paraId="09951C27" w14:textId="77777777" w:rsidR="009C4D72" w:rsidRPr="00F53FF8" w:rsidRDefault="009C4D72">
            <w:pPr>
              <w:pStyle w:val="APVMATableText"/>
              <w:rPr>
                <w:color w:val="000000"/>
                <w:szCs w:val="17"/>
                <w:lang w:eastAsia="en-AU"/>
              </w:rPr>
            </w:pPr>
            <w:r w:rsidRPr="00F53FF8">
              <w:rPr>
                <w:color w:val="000000"/>
                <w:szCs w:val="17"/>
                <w:lang w:eastAsia="en-AU"/>
              </w:rPr>
              <w:t>2-unit fee</w:t>
            </w:r>
          </w:p>
        </w:tc>
        <w:tc>
          <w:tcPr>
            <w:tcW w:w="645" w:type="pct"/>
            <w:vAlign w:val="center"/>
            <w:hideMark/>
          </w:tcPr>
          <w:p w14:paraId="3865B672"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3,454</w:t>
            </w:r>
          </w:p>
        </w:tc>
        <w:tc>
          <w:tcPr>
            <w:tcW w:w="555" w:type="pct"/>
            <w:vAlign w:val="center"/>
            <w:hideMark/>
          </w:tcPr>
          <w:p w14:paraId="311508AF"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6,134</w:t>
            </w:r>
          </w:p>
        </w:tc>
        <w:tc>
          <w:tcPr>
            <w:tcW w:w="462" w:type="pct"/>
            <w:vAlign w:val="center"/>
            <w:hideMark/>
          </w:tcPr>
          <w:p w14:paraId="0EFAF02D"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78</w:t>
            </w:r>
          </w:p>
        </w:tc>
        <w:tc>
          <w:tcPr>
            <w:tcW w:w="601" w:type="pct"/>
            <w:vAlign w:val="center"/>
            <w:hideMark/>
          </w:tcPr>
          <w:p w14:paraId="4BDCB694"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385</w:t>
            </w:r>
            <w:r>
              <w:rPr>
                <w:color w:val="000000"/>
                <w:szCs w:val="17"/>
                <w:lang w:eastAsia="en-AU"/>
              </w:rPr>
              <w:t>.00</w:t>
            </w:r>
          </w:p>
        </w:tc>
        <w:tc>
          <w:tcPr>
            <w:tcW w:w="554" w:type="pct"/>
            <w:shd w:val="clear" w:color="auto" w:fill="D5D7D5" w:themeFill="text1" w:themeFillTint="33"/>
            <w:vAlign w:val="center"/>
            <w:hideMark/>
          </w:tcPr>
          <w:p w14:paraId="6D552980" w14:textId="77777777" w:rsidR="009C4D72" w:rsidRPr="00F53FF8" w:rsidRDefault="009C4D72" w:rsidP="009231A1">
            <w:pPr>
              <w:pStyle w:val="APVMATableText"/>
              <w:jc w:val="right"/>
              <w:rPr>
                <w:b/>
                <w:bCs/>
                <w:color w:val="000000"/>
                <w:szCs w:val="17"/>
                <w:lang w:eastAsia="en-AU"/>
              </w:rPr>
            </w:pPr>
            <w:r w:rsidRPr="00F53FF8">
              <w:rPr>
                <w:b/>
                <w:bCs/>
                <w:color w:val="000000"/>
                <w:szCs w:val="17"/>
                <w:lang w:eastAsia="en-AU"/>
              </w:rPr>
              <w:t>6,134</w:t>
            </w:r>
          </w:p>
        </w:tc>
        <w:tc>
          <w:tcPr>
            <w:tcW w:w="600" w:type="pct"/>
            <w:vAlign w:val="center"/>
            <w:hideMark/>
          </w:tcPr>
          <w:p w14:paraId="7725F641"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w:t>
            </w:r>
            <w:r>
              <w:rPr>
                <w:color w:val="000000"/>
                <w:szCs w:val="17"/>
                <w:lang w:eastAsia="en-AU"/>
              </w:rPr>
              <w:t>,</w:t>
            </w:r>
            <w:r w:rsidRPr="00F53FF8">
              <w:rPr>
                <w:color w:val="000000"/>
                <w:szCs w:val="17"/>
                <w:lang w:eastAsia="en-AU"/>
              </w:rPr>
              <w:t>493</w:t>
            </w:r>
          </w:p>
        </w:tc>
      </w:tr>
      <w:tr w:rsidR="0052060D" w:rsidRPr="00F53FF8" w14:paraId="673F974E" w14:textId="77777777" w:rsidTr="00575EC5">
        <w:trPr>
          <w:trHeight w:val="20"/>
        </w:trPr>
        <w:tc>
          <w:tcPr>
            <w:tcW w:w="5000" w:type="pct"/>
            <w:gridSpan w:val="8"/>
            <w:vAlign w:val="center"/>
            <w:hideMark/>
          </w:tcPr>
          <w:p w14:paraId="2B4DEB10" w14:textId="4CF6C3F3" w:rsidR="0052060D" w:rsidRPr="0052060D" w:rsidRDefault="0052060D" w:rsidP="009231A1">
            <w:pPr>
              <w:pStyle w:val="APVMATableText"/>
              <w:rPr>
                <w:b/>
                <w:bCs/>
                <w:lang w:eastAsia="en-AU"/>
              </w:rPr>
            </w:pPr>
            <w:r w:rsidRPr="006276C4">
              <w:rPr>
                <w:b/>
                <w:bCs/>
                <w:color w:val="53284F" w:themeColor="accent5"/>
                <w:lang w:eastAsia="en-AU"/>
              </w:rPr>
              <w:t>PAA Tier 2</w:t>
            </w:r>
          </w:p>
        </w:tc>
      </w:tr>
      <w:tr w:rsidR="009C4D72" w:rsidRPr="00F53FF8" w14:paraId="21AAADA1" w14:textId="77777777" w:rsidTr="00575EC5">
        <w:trPr>
          <w:trHeight w:val="20"/>
        </w:trPr>
        <w:tc>
          <w:tcPr>
            <w:tcW w:w="1157" w:type="pct"/>
            <w:vAlign w:val="center"/>
            <w:hideMark/>
          </w:tcPr>
          <w:p w14:paraId="0D9C8B04" w14:textId="77777777" w:rsidR="009C4D72" w:rsidRPr="00F53FF8" w:rsidRDefault="009C4D72">
            <w:pPr>
              <w:pStyle w:val="APVMATableText"/>
              <w:rPr>
                <w:color w:val="000000"/>
                <w:szCs w:val="17"/>
                <w:lang w:eastAsia="en-AU"/>
              </w:rPr>
            </w:pPr>
            <w:r w:rsidRPr="00F53FF8">
              <w:rPr>
                <w:color w:val="000000"/>
                <w:szCs w:val="17"/>
                <w:lang w:eastAsia="en-AU"/>
              </w:rPr>
              <w:t>Administration fee</w:t>
            </w:r>
          </w:p>
        </w:tc>
        <w:tc>
          <w:tcPr>
            <w:tcW w:w="426" w:type="pct"/>
            <w:vAlign w:val="center"/>
            <w:hideMark/>
          </w:tcPr>
          <w:p w14:paraId="498DDFB6" w14:textId="77777777" w:rsidR="009C4D72" w:rsidRPr="00F53FF8" w:rsidRDefault="009C4D72">
            <w:pPr>
              <w:pStyle w:val="APVMATableText"/>
              <w:rPr>
                <w:color w:val="000000"/>
                <w:szCs w:val="17"/>
                <w:lang w:eastAsia="en-AU"/>
              </w:rPr>
            </w:pPr>
            <w:r w:rsidRPr="00F53FF8">
              <w:rPr>
                <w:color w:val="000000"/>
                <w:szCs w:val="17"/>
                <w:lang w:eastAsia="en-AU"/>
              </w:rPr>
              <w:t>1-unit fee</w:t>
            </w:r>
          </w:p>
        </w:tc>
        <w:tc>
          <w:tcPr>
            <w:tcW w:w="645" w:type="pct"/>
            <w:vAlign w:val="center"/>
            <w:hideMark/>
          </w:tcPr>
          <w:p w14:paraId="62CC18FD"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1,727</w:t>
            </w:r>
          </w:p>
        </w:tc>
        <w:tc>
          <w:tcPr>
            <w:tcW w:w="555" w:type="pct"/>
            <w:vAlign w:val="center"/>
            <w:hideMark/>
          </w:tcPr>
          <w:p w14:paraId="4AE793E0"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3,067</w:t>
            </w:r>
          </w:p>
        </w:tc>
        <w:tc>
          <w:tcPr>
            <w:tcW w:w="462" w:type="pct"/>
            <w:vAlign w:val="center"/>
            <w:hideMark/>
          </w:tcPr>
          <w:p w14:paraId="3120DCC8"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78</w:t>
            </w:r>
          </w:p>
        </w:tc>
        <w:tc>
          <w:tcPr>
            <w:tcW w:w="601" w:type="pct"/>
            <w:vAlign w:val="center"/>
            <w:hideMark/>
          </w:tcPr>
          <w:p w14:paraId="54C2A76B"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19</w:t>
            </w:r>
            <w:r>
              <w:rPr>
                <w:color w:val="000000"/>
                <w:szCs w:val="17"/>
                <w:lang w:eastAsia="en-AU"/>
              </w:rPr>
              <w:t>2.50</w:t>
            </w:r>
          </w:p>
        </w:tc>
        <w:tc>
          <w:tcPr>
            <w:tcW w:w="554" w:type="pct"/>
            <w:shd w:val="clear" w:color="auto" w:fill="D5D7D5" w:themeFill="text1" w:themeFillTint="33"/>
            <w:vAlign w:val="center"/>
            <w:hideMark/>
          </w:tcPr>
          <w:p w14:paraId="4A9D87A4" w14:textId="77777777" w:rsidR="009C4D72" w:rsidRPr="00F53FF8" w:rsidRDefault="009C4D72" w:rsidP="009231A1">
            <w:pPr>
              <w:pStyle w:val="APVMATableText"/>
              <w:jc w:val="right"/>
              <w:rPr>
                <w:b/>
                <w:bCs/>
                <w:color w:val="000000"/>
                <w:szCs w:val="17"/>
                <w:lang w:eastAsia="en-AU"/>
              </w:rPr>
            </w:pPr>
            <w:r w:rsidRPr="00F53FF8">
              <w:rPr>
                <w:b/>
                <w:bCs/>
                <w:color w:val="000000"/>
                <w:szCs w:val="17"/>
                <w:lang w:eastAsia="en-AU"/>
              </w:rPr>
              <w:t>3,067</w:t>
            </w:r>
          </w:p>
        </w:tc>
        <w:tc>
          <w:tcPr>
            <w:tcW w:w="600" w:type="pct"/>
            <w:vAlign w:val="center"/>
            <w:hideMark/>
          </w:tcPr>
          <w:p w14:paraId="18697B44"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w:t>
            </w:r>
            <w:r>
              <w:rPr>
                <w:color w:val="000000"/>
                <w:szCs w:val="17"/>
                <w:lang w:eastAsia="en-AU"/>
              </w:rPr>
              <w:t>,</w:t>
            </w:r>
            <w:r w:rsidRPr="00F53FF8">
              <w:rPr>
                <w:color w:val="000000"/>
                <w:szCs w:val="17"/>
                <w:lang w:eastAsia="en-AU"/>
              </w:rPr>
              <w:t>493</w:t>
            </w:r>
          </w:p>
        </w:tc>
      </w:tr>
      <w:tr w:rsidR="009C4D72" w:rsidRPr="00F53FF8" w14:paraId="13C0B8DE" w14:textId="77777777" w:rsidTr="00575EC5">
        <w:trPr>
          <w:trHeight w:val="20"/>
        </w:trPr>
        <w:tc>
          <w:tcPr>
            <w:tcW w:w="1157" w:type="pct"/>
            <w:vAlign w:val="center"/>
            <w:hideMark/>
          </w:tcPr>
          <w:p w14:paraId="2BD3CFBB" w14:textId="77777777" w:rsidR="009C4D72" w:rsidRPr="00F53FF8" w:rsidRDefault="009C4D72">
            <w:pPr>
              <w:pStyle w:val="APVMATableText"/>
              <w:rPr>
                <w:color w:val="000000"/>
                <w:szCs w:val="17"/>
                <w:lang w:eastAsia="en-AU"/>
              </w:rPr>
            </w:pPr>
            <w:r w:rsidRPr="00F53FF8">
              <w:rPr>
                <w:color w:val="000000"/>
                <w:szCs w:val="17"/>
                <w:lang w:eastAsia="en-AU"/>
              </w:rPr>
              <w:t>Written response, including research</w:t>
            </w:r>
          </w:p>
        </w:tc>
        <w:tc>
          <w:tcPr>
            <w:tcW w:w="426" w:type="pct"/>
            <w:vAlign w:val="center"/>
            <w:hideMark/>
          </w:tcPr>
          <w:p w14:paraId="77D51564" w14:textId="77777777" w:rsidR="009C4D72" w:rsidRPr="00F53FF8" w:rsidRDefault="009C4D72">
            <w:pPr>
              <w:pStyle w:val="APVMATableText"/>
              <w:rPr>
                <w:color w:val="000000"/>
                <w:szCs w:val="17"/>
                <w:lang w:eastAsia="en-AU"/>
              </w:rPr>
            </w:pPr>
            <w:r w:rsidRPr="00F53FF8">
              <w:rPr>
                <w:color w:val="000000"/>
                <w:szCs w:val="17"/>
                <w:lang w:eastAsia="en-AU"/>
              </w:rPr>
              <w:t>4-unit fee</w:t>
            </w:r>
          </w:p>
        </w:tc>
        <w:tc>
          <w:tcPr>
            <w:tcW w:w="645" w:type="pct"/>
            <w:vAlign w:val="center"/>
            <w:hideMark/>
          </w:tcPr>
          <w:p w14:paraId="44A2A313"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6,908</w:t>
            </w:r>
          </w:p>
        </w:tc>
        <w:tc>
          <w:tcPr>
            <w:tcW w:w="555" w:type="pct"/>
            <w:vAlign w:val="center"/>
            <w:hideMark/>
          </w:tcPr>
          <w:p w14:paraId="2E56F296"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12,267</w:t>
            </w:r>
          </w:p>
        </w:tc>
        <w:tc>
          <w:tcPr>
            <w:tcW w:w="462" w:type="pct"/>
            <w:vAlign w:val="center"/>
            <w:hideMark/>
          </w:tcPr>
          <w:p w14:paraId="58A5206F"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78</w:t>
            </w:r>
          </w:p>
        </w:tc>
        <w:tc>
          <w:tcPr>
            <w:tcW w:w="601" w:type="pct"/>
            <w:vAlign w:val="center"/>
            <w:hideMark/>
          </w:tcPr>
          <w:p w14:paraId="51DA2827"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770</w:t>
            </w:r>
            <w:r>
              <w:rPr>
                <w:color w:val="000000"/>
                <w:szCs w:val="17"/>
                <w:lang w:eastAsia="en-AU"/>
              </w:rPr>
              <w:t>.00</w:t>
            </w:r>
          </w:p>
        </w:tc>
        <w:tc>
          <w:tcPr>
            <w:tcW w:w="554" w:type="pct"/>
            <w:shd w:val="clear" w:color="auto" w:fill="D5D7D5" w:themeFill="text1" w:themeFillTint="33"/>
            <w:vAlign w:val="center"/>
            <w:hideMark/>
          </w:tcPr>
          <w:p w14:paraId="3943343D" w14:textId="77777777" w:rsidR="009C4D72" w:rsidRPr="00F53FF8" w:rsidRDefault="009C4D72" w:rsidP="009231A1">
            <w:pPr>
              <w:pStyle w:val="APVMATableText"/>
              <w:jc w:val="right"/>
              <w:rPr>
                <w:b/>
                <w:bCs/>
                <w:color w:val="000000"/>
                <w:szCs w:val="17"/>
                <w:lang w:eastAsia="en-AU"/>
              </w:rPr>
            </w:pPr>
            <w:r w:rsidRPr="00F53FF8">
              <w:rPr>
                <w:b/>
                <w:bCs/>
                <w:color w:val="000000"/>
                <w:szCs w:val="17"/>
                <w:lang w:eastAsia="en-AU"/>
              </w:rPr>
              <w:t>12,267</w:t>
            </w:r>
          </w:p>
        </w:tc>
        <w:tc>
          <w:tcPr>
            <w:tcW w:w="600" w:type="pct"/>
            <w:vAlign w:val="center"/>
            <w:hideMark/>
          </w:tcPr>
          <w:p w14:paraId="6237DA5B"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w:t>
            </w:r>
            <w:r>
              <w:rPr>
                <w:color w:val="000000"/>
                <w:szCs w:val="17"/>
                <w:lang w:eastAsia="en-AU"/>
              </w:rPr>
              <w:t>,</w:t>
            </w:r>
            <w:r w:rsidRPr="00F53FF8">
              <w:rPr>
                <w:color w:val="000000"/>
                <w:szCs w:val="17"/>
                <w:lang w:eastAsia="en-AU"/>
              </w:rPr>
              <w:t>493</w:t>
            </w:r>
          </w:p>
        </w:tc>
      </w:tr>
      <w:tr w:rsidR="009C4D72" w:rsidRPr="00F53FF8" w14:paraId="429F8636" w14:textId="77777777" w:rsidTr="00575EC5">
        <w:trPr>
          <w:trHeight w:val="20"/>
        </w:trPr>
        <w:tc>
          <w:tcPr>
            <w:tcW w:w="1157" w:type="pct"/>
            <w:vAlign w:val="center"/>
            <w:hideMark/>
          </w:tcPr>
          <w:p w14:paraId="6380CE06" w14:textId="77777777" w:rsidR="009C4D72" w:rsidRPr="00F53FF8" w:rsidRDefault="009C4D72">
            <w:pPr>
              <w:pStyle w:val="APVMATableText"/>
              <w:rPr>
                <w:color w:val="000000"/>
                <w:szCs w:val="17"/>
                <w:lang w:eastAsia="en-AU"/>
              </w:rPr>
            </w:pPr>
            <w:r w:rsidRPr="00F53FF8">
              <w:rPr>
                <w:color w:val="000000"/>
                <w:szCs w:val="17"/>
                <w:lang w:eastAsia="en-AU"/>
              </w:rPr>
              <w:t>Meeting with applicant</w:t>
            </w:r>
          </w:p>
        </w:tc>
        <w:tc>
          <w:tcPr>
            <w:tcW w:w="426" w:type="pct"/>
            <w:vAlign w:val="center"/>
            <w:hideMark/>
          </w:tcPr>
          <w:p w14:paraId="5F6CB0EB" w14:textId="77777777" w:rsidR="009C4D72" w:rsidRPr="00F53FF8" w:rsidRDefault="009C4D72">
            <w:pPr>
              <w:pStyle w:val="APVMATableText"/>
              <w:rPr>
                <w:color w:val="000000"/>
                <w:szCs w:val="17"/>
                <w:lang w:eastAsia="en-AU"/>
              </w:rPr>
            </w:pPr>
            <w:r w:rsidRPr="00F53FF8">
              <w:rPr>
                <w:color w:val="000000"/>
                <w:szCs w:val="17"/>
                <w:lang w:eastAsia="en-AU"/>
              </w:rPr>
              <w:t>2-unit fee</w:t>
            </w:r>
          </w:p>
        </w:tc>
        <w:tc>
          <w:tcPr>
            <w:tcW w:w="645" w:type="pct"/>
            <w:vAlign w:val="center"/>
            <w:hideMark/>
          </w:tcPr>
          <w:p w14:paraId="67CC010F"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3,454</w:t>
            </w:r>
          </w:p>
        </w:tc>
        <w:tc>
          <w:tcPr>
            <w:tcW w:w="555" w:type="pct"/>
            <w:vAlign w:val="center"/>
            <w:hideMark/>
          </w:tcPr>
          <w:p w14:paraId="1851868D"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6,134</w:t>
            </w:r>
          </w:p>
        </w:tc>
        <w:tc>
          <w:tcPr>
            <w:tcW w:w="462" w:type="pct"/>
            <w:vAlign w:val="center"/>
            <w:hideMark/>
          </w:tcPr>
          <w:p w14:paraId="0AA38A7F"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78</w:t>
            </w:r>
          </w:p>
        </w:tc>
        <w:tc>
          <w:tcPr>
            <w:tcW w:w="601" w:type="pct"/>
            <w:vAlign w:val="center"/>
            <w:hideMark/>
          </w:tcPr>
          <w:p w14:paraId="3F04D140"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385</w:t>
            </w:r>
            <w:r>
              <w:rPr>
                <w:color w:val="000000"/>
                <w:szCs w:val="17"/>
                <w:lang w:eastAsia="en-AU"/>
              </w:rPr>
              <w:t>.00</w:t>
            </w:r>
          </w:p>
        </w:tc>
        <w:tc>
          <w:tcPr>
            <w:tcW w:w="554" w:type="pct"/>
            <w:shd w:val="clear" w:color="auto" w:fill="D5D7D5" w:themeFill="text1" w:themeFillTint="33"/>
            <w:vAlign w:val="center"/>
            <w:hideMark/>
          </w:tcPr>
          <w:p w14:paraId="36DC570C" w14:textId="77777777" w:rsidR="009C4D72" w:rsidRPr="00F53FF8" w:rsidRDefault="009C4D72" w:rsidP="009231A1">
            <w:pPr>
              <w:pStyle w:val="APVMATableText"/>
              <w:jc w:val="right"/>
              <w:rPr>
                <w:b/>
                <w:bCs/>
                <w:color w:val="000000"/>
                <w:szCs w:val="17"/>
                <w:lang w:eastAsia="en-AU"/>
              </w:rPr>
            </w:pPr>
            <w:r w:rsidRPr="00F53FF8">
              <w:rPr>
                <w:b/>
                <w:bCs/>
                <w:color w:val="000000"/>
                <w:szCs w:val="17"/>
                <w:lang w:eastAsia="en-AU"/>
              </w:rPr>
              <w:t>6,134</w:t>
            </w:r>
          </w:p>
        </w:tc>
        <w:tc>
          <w:tcPr>
            <w:tcW w:w="600" w:type="pct"/>
            <w:vAlign w:val="center"/>
            <w:hideMark/>
          </w:tcPr>
          <w:p w14:paraId="3E04362F"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w:t>
            </w:r>
            <w:r>
              <w:rPr>
                <w:color w:val="000000"/>
                <w:szCs w:val="17"/>
                <w:lang w:eastAsia="en-AU"/>
              </w:rPr>
              <w:t>,</w:t>
            </w:r>
            <w:r w:rsidRPr="00F53FF8">
              <w:rPr>
                <w:color w:val="000000"/>
                <w:szCs w:val="17"/>
                <w:lang w:eastAsia="en-AU"/>
              </w:rPr>
              <w:t>493</w:t>
            </w:r>
          </w:p>
        </w:tc>
      </w:tr>
      <w:tr w:rsidR="0052060D" w:rsidRPr="00F53FF8" w14:paraId="56B5C9A8" w14:textId="77777777" w:rsidTr="00575EC5">
        <w:trPr>
          <w:trHeight w:val="20"/>
        </w:trPr>
        <w:tc>
          <w:tcPr>
            <w:tcW w:w="5000" w:type="pct"/>
            <w:gridSpan w:val="8"/>
            <w:vAlign w:val="center"/>
            <w:hideMark/>
          </w:tcPr>
          <w:p w14:paraId="3C8F0B6B" w14:textId="4D1268D0" w:rsidR="0052060D" w:rsidRPr="0052060D" w:rsidRDefault="0052060D" w:rsidP="009231A1">
            <w:pPr>
              <w:pStyle w:val="APVMATableText"/>
              <w:rPr>
                <w:b/>
                <w:bCs/>
                <w:lang w:eastAsia="en-AU"/>
              </w:rPr>
            </w:pPr>
            <w:r w:rsidRPr="006276C4">
              <w:rPr>
                <w:b/>
                <w:bCs/>
                <w:color w:val="53284F" w:themeColor="accent5"/>
                <w:lang w:eastAsia="en-AU"/>
              </w:rPr>
              <w:t>PAA Tier 3</w:t>
            </w:r>
          </w:p>
        </w:tc>
      </w:tr>
      <w:tr w:rsidR="009C4D72" w:rsidRPr="00F53FF8" w14:paraId="0DA83617" w14:textId="77777777" w:rsidTr="00575EC5">
        <w:trPr>
          <w:trHeight w:val="20"/>
        </w:trPr>
        <w:tc>
          <w:tcPr>
            <w:tcW w:w="1157" w:type="pct"/>
            <w:vAlign w:val="center"/>
            <w:hideMark/>
          </w:tcPr>
          <w:p w14:paraId="17061E4E" w14:textId="77777777" w:rsidR="009C4D72" w:rsidRPr="00F53FF8" w:rsidRDefault="009C4D72">
            <w:pPr>
              <w:pStyle w:val="APVMATableText"/>
              <w:rPr>
                <w:color w:val="000000"/>
                <w:szCs w:val="17"/>
                <w:lang w:eastAsia="en-AU"/>
              </w:rPr>
            </w:pPr>
            <w:r w:rsidRPr="00F53FF8">
              <w:rPr>
                <w:color w:val="000000"/>
                <w:szCs w:val="17"/>
                <w:lang w:eastAsia="en-AU"/>
              </w:rPr>
              <w:t>Administration fee</w:t>
            </w:r>
          </w:p>
        </w:tc>
        <w:tc>
          <w:tcPr>
            <w:tcW w:w="426" w:type="pct"/>
            <w:vAlign w:val="center"/>
            <w:hideMark/>
          </w:tcPr>
          <w:p w14:paraId="60C55BDE" w14:textId="77777777" w:rsidR="009C4D72" w:rsidRPr="00F53FF8" w:rsidRDefault="009C4D72">
            <w:pPr>
              <w:pStyle w:val="APVMATableText"/>
              <w:rPr>
                <w:color w:val="000000"/>
                <w:szCs w:val="17"/>
                <w:lang w:eastAsia="en-AU"/>
              </w:rPr>
            </w:pPr>
            <w:r w:rsidRPr="00F53FF8">
              <w:rPr>
                <w:color w:val="000000"/>
                <w:szCs w:val="17"/>
                <w:lang w:eastAsia="en-AU"/>
              </w:rPr>
              <w:t>1-unit fee</w:t>
            </w:r>
          </w:p>
        </w:tc>
        <w:tc>
          <w:tcPr>
            <w:tcW w:w="645" w:type="pct"/>
            <w:vAlign w:val="center"/>
            <w:hideMark/>
          </w:tcPr>
          <w:p w14:paraId="0E624312"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1,727</w:t>
            </w:r>
          </w:p>
        </w:tc>
        <w:tc>
          <w:tcPr>
            <w:tcW w:w="555" w:type="pct"/>
            <w:vAlign w:val="center"/>
            <w:hideMark/>
          </w:tcPr>
          <w:p w14:paraId="6AB3C0D5"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3,067</w:t>
            </w:r>
          </w:p>
        </w:tc>
        <w:tc>
          <w:tcPr>
            <w:tcW w:w="462" w:type="pct"/>
            <w:vAlign w:val="center"/>
            <w:hideMark/>
          </w:tcPr>
          <w:p w14:paraId="0CF9AD88"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78</w:t>
            </w:r>
          </w:p>
        </w:tc>
        <w:tc>
          <w:tcPr>
            <w:tcW w:w="601" w:type="pct"/>
            <w:vAlign w:val="center"/>
            <w:hideMark/>
          </w:tcPr>
          <w:p w14:paraId="61830170"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19</w:t>
            </w:r>
            <w:r>
              <w:rPr>
                <w:color w:val="000000"/>
                <w:szCs w:val="17"/>
                <w:lang w:eastAsia="en-AU"/>
              </w:rPr>
              <w:t>2.50</w:t>
            </w:r>
          </w:p>
        </w:tc>
        <w:tc>
          <w:tcPr>
            <w:tcW w:w="554" w:type="pct"/>
            <w:shd w:val="clear" w:color="auto" w:fill="D5D7D5" w:themeFill="text1" w:themeFillTint="33"/>
            <w:vAlign w:val="center"/>
            <w:hideMark/>
          </w:tcPr>
          <w:p w14:paraId="79DB0704" w14:textId="77777777" w:rsidR="009C4D72" w:rsidRPr="00F53FF8" w:rsidRDefault="009C4D72" w:rsidP="009231A1">
            <w:pPr>
              <w:pStyle w:val="APVMATableText"/>
              <w:jc w:val="right"/>
              <w:rPr>
                <w:b/>
                <w:bCs/>
                <w:color w:val="000000"/>
                <w:szCs w:val="17"/>
                <w:lang w:eastAsia="en-AU"/>
              </w:rPr>
            </w:pPr>
            <w:r w:rsidRPr="00F53FF8">
              <w:rPr>
                <w:b/>
                <w:bCs/>
                <w:color w:val="000000"/>
                <w:szCs w:val="17"/>
                <w:lang w:eastAsia="en-AU"/>
              </w:rPr>
              <w:t>3,067</w:t>
            </w:r>
          </w:p>
        </w:tc>
        <w:tc>
          <w:tcPr>
            <w:tcW w:w="600" w:type="pct"/>
            <w:vAlign w:val="center"/>
            <w:hideMark/>
          </w:tcPr>
          <w:p w14:paraId="62A922C8"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w:t>
            </w:r>
            <w:r>
              <w:rPr>
                <w:color w:val="000000"/>
                <w:szCs w:val="17"/>
                <w:lang w:eastAsia="en-AU"/>
              </w:rPr>
              <w:t>,</w:t>
            </w:r>
            <w:r w:rsidRPr="00F53FF8">
              <w:rPr>
                <w:color w:val="000000"/>
                <w:szCs w:val="17"/>
                <w:lang w:eastAsia="en-AU"/>
              </w:rPr>
              <w:t>493</w:t>
            </w:r>
          </w:p>
        </w:tc>
      </w:tr>
      <w:tr w:rsidR="009C4D72" w:rsidRPr="00F53FF8" w14:paraId="37DB6AF3" w14:textId="77777777" w:rsidTr="00575EC5">
        <w:trPr>
          <w:trHeight w:val="20"/>
        </w:trPr>
        <w:tc>
          <w:tcPr>
            <w:tcW w:w="1157" w:type="pct"/>
            <w:vAlign w:val="center"/>
            <w:hideMark/>
          </w:tcPr>
          <w:p w14:paraId="092FC542" w14:textId="77777777" w:rsidR="009C4D72" w:rsidRPr="00F53FF8" w:rsidRDefault="009C4D72">
            <w:pPr>
              <w:pStyle w:val="APVMATableText"/>
              <w:rPr>
                <w:color w:val="000000"/>
                <w:szCs w:val="17"/>
                <w:lang w:eastAsia="en-AU"/>
              </w:rPr>
            </w:pPr>
            <w:r w:rsidRPr="00F53FF8">
              <w:rPr>
                <w:color w:val="000000"/>
                <w:szCs w:val="17"/>
                <w:lang w:eastAsia="en-AU"/>
              </w:rPr>
              <w:t>Written response, including analysis</w:t>
            </w:r>
          </w:p>
        </w:tc>
        <w:tc>
          <w:tcPr>
            <w:tcW w:w="426" w:type="pct"/>
            <w:vAlign w:val="center"/>
            <w:hideMark/>
          </w:tcPr>
          <w:p w14:paraId="08AF3199" w14:textId="77777777" w:rsidR="009C4D72" w:rsidRPr="00F53FF8" w:rsidRDefault="009C4D72">
            <w:pPr>
              <w:pStyle w:val="APVMATableText"/>
              <w:rPr>
                <w:color w:val="000000"/>
                <w:szCs w:val="17"/>
                <w:lang w:eastAsia="en-AU"/>
              </w:rPr>
            </w:pPr>
            <w:r w:rsidRPr="00F53FF8">
              <w:rPr>
                <w:color w:val="000000"/>
                <w:szCs w:val="17"/>
                <w:lang w:eastAsia="en-AU"/>
              </w:rPr>
              <w:t>6-unit fee</w:t>
            </w:r>
          </w:p>
        </w:tc>
        <w:tc>
          <w:tcPr>
            <w:tcW w:w="645" w:type="pct"/>
            <w:vAlign w:val="center"/>
            <w:hideMark/>
          </w:tcPr>
          <w:p w14:paraId="440E6C09"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10,362</w:t>
            </w:r>
          </w:p>
        </w:tc>
        <w:tc>
          <w:tcPr>
            <w:tcW w:w="555" w:type="pct"/>
            <w:vAlign w:val="center"/>
            <w:hideMark/>
          </w:tcPr>
          <w:p w14:paraId="78536A9C"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18,401</w:t>
            </w:r>
          </w:p>
        </w:tc>
        <w:tc>
          <w:tcPr>
            <w:tcW w:w="462" w:type="pct"/>
            <w:vAlign w:val="center"/>
            <w:hideMark/>
          </w:tcPr>
          <w:p w14:paraId="332DDE9B"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78</w:t>
            </w:r>
          </w:p>
        </w:tc>
        <w:tc>
          <w:tcPr>
            <w:tcW w:w="601" w:type="pct"/>
            <w:vAlign w:val="center"/>
            <w:hideMark/>
          </w:tcPr>
          <w:p w14:paraId="01C1A493"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1,155</w:t>
            </w:r>
            <w:r>
              <w:rPr>
                <w:color w:val="000000"/>
                <w:szCs w:val="17"/>
                <w:lang w:eastAsia="en-AU"/>
              </w:rPr>
              <w:t>.00</w:t>
            </w:r>
          </w:p>
        </w:tc>
        <w:tc>
          <w:tcPr>
            <w:tcW w:w="554" w:type="pct"/>
            <w:shd w:val="clear" w:color="auto" w:fill="D5D7D5" w:themeFill="text1" w:themeFillTint="33"/>
            <w:vAlign w:val="center"/>
            <w:hideMark/>
          </w:tcPr>
          <w:p w14:paraId="7CD33AB8" w14:textId="77777777" w:rsidR="009C4D72" w:rsidRPr="00F53FF8" w:rsidRDefault="009C4D72" w:rsidP="009231A1">
            <w:pPr>
              <w:pStyle w:val="APVMATableText"/>
              <w:jc w:val="right"/>
              <w:rPr>
                <w:b/>
                <w:bCs/>
                <w:color w:val="000000"/>
                <w:szCs w:val="17"/>
                <w:lang w:eastAsia="en-AU"/>
              </w:rPr>
            </w:pPr>
            <w:r w:rsidRPr="00F53FF8">
              <w:rPr>
                <w:b/>
                <w:bCs/>
                <w:color w:val="000000"/>
                <w:szCs w:val="17"/>
                <w:lang w:eastAsia="en-AU"/>
              </w:rPr>
              <w:t>18,401</w:t>
            </w:r>
          </w:p>
        </w:tc>
        <w:tc>
          <w:tcPr>
            <w:tcW w:w="600" w:type="pct"/>
            <w:vAlign w:val="center"/>
            <w:hideMark/>
          </w:tcPr>
          <w:p w14:paraId="4E80A233"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w:t>
            </w:r>
            <w:r>
              <w:rPr>
                <w:color w:val="000000"/>
                <w:szCs w:val="17"/>
                <w:lang w:eastAsia="en-AU"/>
              </w:rPr>
              <w:t>,</w:t>
            </w:r>
            <w:r w:rsidRPr="00F53FF8">
              <w:rPr>
                <w:color w:val="000000"/>
                <w:szCs w:val="17"/>
                <w:lang w:eastAsia="en-AU"/>
              </w:rPr>
              <w:t>493</w:t>
            </w:r>
          </w:p>
        </w:tc>
      </w:tr>
      <w:tr w:rsidR="009C4D72" w:rsidRPr="00F53FF8" w14:paraId="6C8970D5" w14:textId="77777777" w:rsidTr="00575EC5">
        <w:trPr>
          <w:trHeight w:val="20"/>
        </w:trPr>
        <w:tc>
          <w:tcPr>
            <w:tcW w:w="1157" w:type="pct"/>
            <w:vAlign w:val="center"/>
            <w:hideMark/>
          </w:tcPr>
          <w:p w14:paraId="77A2BFBF" w14:textId="77777777" w:rsidR="009C4D72" w:rsidRPr="00F53FF8" w:rsidRDefault="009C4D72">
            <w:pPr>
              <w:pStyle w:val="APVMATableText"/>
              <w:rPr>
                <w:color w:val="000000"/>
                <w:szCs w:val="17"/>
                <w:lang w:eastAsia="en-AU"/>
              </w:rPr>
            </w:pPr>
            <w:r w:rsidRPr="00F53FF8">
              <w:rPr>
                <w:color w:val="000000"/>
                <w:szCs w:val="17"/>
                <w:lang w:eastAsia="en-AU"/>
              </w:rPr>
              <w:t>Meeting with applicant</w:t>
            </w:r>
          </w:p>
        </w:tc>
        <w:tc>
          <w:tcPr>
            <w:tcW w:w="426" w:type="pct"/>
            <w:vAlign w:val="center"/>
            <w:hideMark/>
          </w:tcPr>
          <w:p w14:paraId="39A2E990" w14:textId="77777777" w:rsidR="009C4D72" w:rsidRPr="00F53FF8" w:rsidRDefault="009C4D72">
            <w:pPr>
              <w:pStyle w:val="APVMATableText"/>
              <w:rPr>
                <w:color w:val="000000"/>
                <w:szCs w:val="17"/>
                <w:lang w:eastAsia="en-AU"/>
              </w:rPr>
            </w:pPr>
            <w:r w:rsidRPr="00F53FF8">
              <w:rPr>
                <w:color w:val="000000"/>
                <w:szCs w:val="17"/>
                <w:lang w:eastAsia="en-AU"/>
              </w:rPr>
              <w:t>2-unit fee</w:t>
            </w:r>
          </w:p>
        </w:tc>
        <w:tc>
          <w:tcPr>
            <w:tcW w:w="645" w:type="pct"/>
            <w:vAlign w:val="center"/>
            <w:hideMark/>
          </w:tcPr>
          <w:p w14:paraId="39E717CC"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3,454</w:t>
            </w:r>
          </w:p>
        </w:tc>
        <w:tc>
          <w:tcPr>
            <w:tcW w:w="555" w:type="pct"/>
            <w:vAlign w:val="center"/>
            <w:hideMark/>
          </w:tcPr>
          <w:p w14:paraId="7188C8D2"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6,134</w:t>
            </w:r>
          </w:p>
        </w:tc>
        <w:tc>
          <w:tcPr>
            <w:tcW w:w="462" w:type="pct"/>
            <w:vAlign w:val="center"/>
            <w:hideMark/>
          </w:tcPr>
          <w:p w14:paraId="278D06B8"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78</w:t>
            </w:r>
          </w:p>
        </w:tc>
        <w:tc>
          <w:tcPr>
            <w:tcW w:w="601" w:type="pct"/>
            <w:vAlign w:val="center"/>
            <w:hideMark/>
          </w:tcPr>
          <w:p w14:paraId="68478002"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385</w:t>
            </w:r>
            <w:r>
              <w:rPr>
                <w:color w:val="000000"/>
                <w:szCs w:val="17"/>
                <w:lang w:eastAsia="en-AU"/>
              </w:rPr>
              <w:t>.00</w:t>
            </w:r>
          </w:p>
        </w:tc>
        <w:tc>
          <w:tcPr>
            <w:tcW w:w="554" w:type="pct"/>
            <w:shd w:val="clear" w:color="auto" w:fill="D5D7D5" w:themeFill="text1" w:themeFillTint="33"/>
            <w:vAlign w:val="center"/>
            <w:hideMark/>
          </w:tcPr>
          <w:p w14:paraId="1A06AB4A" w14:textId="77777777" w:rsidR="009C4D72" w:rsidRPr="00F53FF8" w:rsidRDefault="009C4D72" w:rsidP="009231A1">
            <w:pPr>
              <w:pStyle w:val="APVMATableText"/>
              <w:jc w:val="right"/>
              <w:rPr>
                <w:b/>
                <w:bCs/>
                <w:color w:val="000000"/>
                <w:szCs w:val="17"/>
                <w:lang w:eastAsia="en-AU"/>
              </w:rPr>
            </w:pPr>
            <w:r w:rsidRPr="00F53FF8">
              <w:rPr>
                <w:b/>
                <w:bCs/>
                <w:color w:val="000000"/>
                <w:szCs w:val="17"/>
                <w:lang w:eastAsia="en-AU"/>
              </w:rPr>
              <w:t>6,134</w:t>
            </w:r>
          </w:p>
        </w:tc>
        <w:tc>
          <w:tcPr>
            <w:tcW w:w="600" w:type="pct"/>
            <w:vAlign w:val="center"/>
            <w:hideMark/>
          </w:tcPr>
          <w:p w14:paraId="0CE5F234" w14:textId="77777777" w:rsidR="009C4D72" w:rsidRPr="00F53FF8" w:rsidRDefault="009C4D72" w:rsidP="009231A1">
            <w:pPr>
              <w:pStyle w:val="APVMATableText"/>
              <w:jc w:val="right"/>
              <w:rPr>
                <w:color w:val="000000"/>
                <w:szCs w:val="17"/>
                <w:lang w:eastAsia="en-AU"/>
              </w:rPr>
            </w:pPr>
            <w:r w:rsidRPr="00F53FF8">
              <w:rPr>
                <w:color w:val="000000"/>
                <w:szCs w:val="17"/>
                <w:lang w:eastAsia="en-AU"/>
              </w:rPr>
              <w:t>1</w:t>
            </w:r>
            <w:r>
              <w:rPr>
                <w:color w:val="000000"/>
                <w:szCs w:val="17"/>
                <w:lang w:eastAsia="en-AU"/>
              </w:rPr>
              <w:t>,</w:t>
            </w:r>
            <w:r w:rsidRPr="00F53FF8">
              <w:rPr>
                <w:color w:val="000000"/>
                <w:szCs w:val="17"/>
                <w:lang w:eastAsia="en-AU"/>
              </w:rPr>
              <w:t>493</w:t>
            </w:r>
          </w:p>
        </w:tc>
      </w:tr>
    </w:tbl>
    <w:p w14:paraId="24246CEE" w14:textId="77777777" w:rsidR="009C4D72" w:rsidRDefault="009C4D72" w:rsidP="00A24359">
      <w:pPr>
        <w:pStyle w:val="NormalText"/>
        <w:sectPr w:rsidR="009C4D72" w:rsidSect="00463804">
          <w:headerReference w:type="even" r:id="rId42"/>
          <w:headerReference w:type="default" r:id="rId43"/>
          <w:headerReference w:type="first" r:id="rId44"/>
          <w:pgSz w:w="16838" w:h="11906" w:orient="landscape" w:code="9"/>
          <w:pgMar w:top="2835" w:right="1134" w:bottom="1134" w:left="1134" w:header="1701" w:footer="680" w:gutter="0"/>
          <w:cols w:space="708"/>
          <w:docGrid w:linePitch="360"/>
        </w:sectPr>
      </w:pPr>
    </w:p>
    <w:p w14:paraId="327D8542" w14:textId="1F4CF997" w:rsidR="003053A9" w:rsidRDefault="00122810" w:rsidP="00122810">
      <w:pPr>
        <w:pStyle w:val="Heading3"/>
      </w:pPr>
      <w:bookmarkStart w:id="41" w:name="_Toc234585906"/>
      <w:r w:rsidRPr="00122810">
        <w:lastRenderedPageBreak/>
        <w:t>Good Manufacturing</w:t>
      </w:r>
      <w:r>
        <w:t xml:space="preserve"> </w:t>
      </w:r>
      <w:r w:rsidR="00081ECD" w:rsidRPr="00122810">
        <w:t>P</w:t>
      </w:r>
      <w:r w:rsidR="00081ECD">
        <w:t xml:space="preserve">ractice </w:t>
      </w:r>
      <w:r>
        <w:t>(GMP)</w:t>
      </w:r>
      <w:bookmarkEnd w:id="41"/>
    </w:p>
    <w:p w14:paraId="4369D8BE" w14:textId="6081AAA8" w:rsidR="00DE682B" w:rsidRDefault="00DE682B" w:rsidP="00DE682B">
      <w:pPr>
        <w:pStyle w:val="NormalText"/>
      </w:pPr>
      <w:r>
        <w:t>Veterinary chemical products manufactured in Australia are required to be produced in facilities that comply with the Code of Good Manufacturing Practice. Compliance is assessed through the Manufacturers’ Licensing Scheme (MLS) for Australian manufacturers and the overseas GMP scheme for imported products, ensuring that veterinary medicines are manufactured to approved quality standards.</w:t>
      </w:r>
    </w:p>
    <w:p w14:paraId="4EACCE62" w14:textId="77777777" w:rsidR="00DE682B" w:rsidRDefault="00DE682B" w:rsidP="00DE682B">
      <w:pPr>
        <w:pStyle w:val="NormalText"/>
      </w:pPr>
      <w:r>
        <w:t>For manufacturers with low wholesale values, the APVMA has historically applied a 50 per cent reduction to GMP fees to mitigate potential adverse impacts on small or low-volume producers. This reduction will be maintained under the revised cost recovery arrangements.</w:t>
      </w:r>
    </w:p>
    <w:p w14:paraId="56766BE1" w14:textId="77777777" w:rsidR="00DE682B" w:rsidRPr="00122810" w:rsidRDefault="00DE682B" w:rsidP="00DE682B">
      <w:pPr>
        <w:pStyle w:val="NormalText"/>
      </w:pPr>
      <w:r>
        <w:t>A table of comparative costs and fees is provided at Table 4.</w:t>
      </w:r>
    </w:p>
    <w:p w14:paraId="7500F1AD" w14:textId="354611F0" w:rsidR="0037465D" w:rsidRDefault="00463804" w:rsidP="0037465D">
      <w:pPr>
        <w:pStyle w:val="Caption"/>
        <w:ind w:left="0" w:firstLine="0"/>
      </w:pPr>
      <w:bookmarkStart w:id="42" w:name="_Toc234585736"/>
      <w:r>
        <w:t xml:space="preserve">Table </w:t>
      </w:r>
      <w:fldSimple w:instr=" SEQ Table \* ARABIC ">
        <w:r>
          <w:rPr>
            <w:noProof/>
          </w:rPr>
          <w:t>4</w:t>
        </w:r>
      </w:fldSimple>
      <w:r>
        <w:t>:</w:t>
      </w:r>
      <w:r>
        <w:tab/>
      </w:r>
      <w:r w:rsidR="0037465D" w:rsidRPr="00516CAD">
        <w:t xml:space="preserve">Cost </w:t>
      </w:r>
      <w:r w:rsidR="00D16426">
        <w:t xml:space="preserve">and fee </w:t>
      </w:r>
      <w:r w:rsidR="0037465D" w:rsidRPr="00516CAD">
        <w:t>elements of post-market activities</w:t>
      </w:r>
      <w:bookmarkEnd w:id="42"/>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51"/>
        <w:gridCol w:w="1251"/>
        <w:gridCol w:w="1251"/>
        <w:gridCol w:w="1251"/>
        <w:gridCol w:w="1251"/>
        <w:gridCol w:w="1251"/>
      </w:tblGrid>
      <w:tr w:rsidR="0037465D" w14:paraId="316BBB65" w14:textId="77777777" w:rsidTr="00463804">
        <w:trPr>
          <w:trHeight w:val="780"/>
          <w:tblHeader/>
        </w:trPr>
        <w:tc>
          <w:tcPr>
            <w:tcW w:w="2122"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40447003" w14:textId="77777777" w:rsidR="0037465D" w:rsidRDefault="0037465D" w:rsidP="00932C16">
            <w:pPr>
              <w:pStyle w:val="APVMATableHead"/>
              <w:rPr>
                <w:lang w:eastAsia="en-AU"/>
              </w:rPr>
            </w:pPr>
            <w:r>
              <w:rPr>
                <w:lang w:eastAsia="en-AU"/>
              </w:rPr>
              <w:t xml:space="preserve">Service </w:t>
            </w:r>
          </w:p>
        </w:tc>
        <w:tc>
          <w:tcPr>
            <w:tcW w:w="1251"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7FE93492" w14:textId="50BC06F5" w:rsidR="0037465D" w:rsidRPr="00932C16" w:rsidRDefault="0037465D" w:rsidP="00932C16">
            <w:pPr>
              <w:pStyle w:val="APVMATableHeadRight"/>
            </w:pPr>
            <w:r w:rsidRPr="00932C16">
              <w:t>Cost estimate prior to</w:t>
            </w:r>
            <w:r w:rsidR="00932C16">
              <w:br/>
            </w:r>
            <w:r w:rsidRPr="00932C16">
              <w:t>3</w:t>
            </w:r>
            <w:r w:rsidRPr="0024707E">
              <w:rPr>
                <w:color w:val="F0F4F5" w:themeColor="accent1" w:themeTint="33"/>
              </w:rPr>
              <w:t>0-</w:t>
            </w:r>
            <w:r w:rsidR="003A6D2D" w:rsidRPr="0024707E">
              <w:rPr>
                <w:color w:val="F0F4F5" w:themeColor="accent1" w:themeTint="33"/>
              </w:rPr>
              <w:t>Jun-27</w:t>
            </w:r>
            <w:r w:rsidR="00932C16">
              <w:br/>
            </w:r>
            <w:r w:rsidRPr="00932C16">
              <w:t>($ including GST)</w:t>
            </w:r>
          </w:p>
        </w:tc>
        <w:tc>
          <w:tcPr>
            <w:tcW w:w="1251"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24417B7D" w14:textId="02215D9E" w:rsidR="0037465D" w:rsidRPr="00932C16" w:rsidRDefault="0037465D" w:rsidP="00932C16">
            <w:pPr>
              <w:pStyle w:val="APVMATableHeadRight"/>
            </w:pPr>
            <w:r w:rsidRPr="00932C16">
              <w:t>Cost estimate from</w:t>
            </w:r>
            <w:r w:rsidR="00932C16">
              <w:br/>
            </w:r>
            <w:r w:rsidRPr="00932C16">
              <w:t>1-</w:t>
            </w:r>
            <w:r w:rsidR="003A6D2D" w:rsidRPr="0024707E">
              <w:rPr>
                <w:color w:val="F0F4F5" w:themeColor="accent1" w:themeTint="33"/>
              </w:rPr>
              <w:t>Jul-27</w:t>
            </w:r>
            <w:r w:rsidR="00932C16">
              <w:br/>
            </w:r>
            <w:r w:rsidRPr="00932C16">
              <w:t>($)</w:t>
            </w:r>
          </w:p>
        </w:tc>
        <w:tc>
          <w:tcPr>
            <w:tcW w:w="1251"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07AB9D65" w14:textId="0C66F23E" w:rsidR="0037465D" w:rsidRPr="00932C16" w:rsidRDefault="0037465D" w:rsidP="00932C16">
            <w:pPr>
              <w:pStyle w:val="APVMATableHeadRight"/>
            </w:pPr>
            <w:r w:rsidRPr="00932C16">
              <w:t>Variance</w:t>
            </w:r>
            <w:r w:rsidR="00932C16">
              <w:br/>
            </w:r>
            <w:r w:rsidRPr="00932C16">
              <w:t>in cost</w:t>
            </w:r>
            <w:r w:rsidR="00932C16">
              <w:br/>
            </w:r>
            <w:r w:rsidRPr="00932C16">
              <w:t>(%)</w:t>
            </w:r>
          </w:p>
        </w:tc>
        <w:tc>
          <w:tcPr>
            <w:tcW w:w="1251"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0639AB01" w14:textId="705D69BC" w:rsidR="0037465D" w:rsidRPr="00932C16" w:rsidRDefault="0037465D" w:rsidP="00932C16">
            <w:pPr>
              <w:pStyle w:val="APVMATableHeadRight"/>
            </w:pPr>
            <w:r w:rsidRPr="00932C16">
              <w:t>Fee prior to</w:t>
            </w:r>
            <w:r w:rsidR="00932C16">
              <w:br/>
            </w:r>
            <w:r w:rsidRPr="00932C16">
              <w:t>30</w:t>
            </w:r>
            <w:r w:rsidRPr="0024707E">
              <w:rPr>
                <w:color w:val="F0F4F5" w:themeColor="accent1" w:themeTint="33"/>
              </w:rPr>
              <w:t>-</w:t>
            </w:r>
            <w:r w:rsidR="003A6D2D" w:rsidRPr="0024707E">
              <w:rPr>
                <w:color w:val="F0F4F5" w:themeColor="accent1" w:themeTint="33"/>
              </w:rPr>
              <w:t>Jun-27</w:t>
            </w:r>
            <w:r w:rsidR="00932C16">
              <w:br/>
            </w:r>
            <w:r w:rsidRPr="00932C16">
              <w:t>($)</w:t>
            </w:r>
          </w:p>
        </w:tc>
        <w:tc>
          <w:tcPr>
            <w:tcW w:w="1251" w:type="dxa"/>
            <w:shd w:val="clear" w:color="auto" w:fill="53284F"/>
            <w:vAlign w:val="center"/>
          </w:tcPr>
          <w:p w14:paraId="15148396" w14:textId="68008C4C" w:rsidR="0037465D" w:rsidRPr="00932C16" w:rsidRDefault="0037465D" w:rsidP="00932C16">
            <w:pPr>
              <w:pStyle w:val="APVMATableHeadRight"/>
            </w:pPr>
            <w:r w:rsidRPr="00932C16">
              <w:t>Fee from</w:t>
            </w:r>
            <w:r w:rsidR="00932C16">
              <w:br/>
            </w:r>
            <w:r w:rsidRPr="00932C16">
              <w:t>1-</w:t>
            </w:r>
            <w:r w:rsidR="003A6D2D" w:rsidRPr="0024707E">
              <w:rPr>
                <w:color w:val="F0F4F5" w:themeColor="accent1" w:themeTint="33"/>
              </w:rPr>
              <w:t>Jul-27</w:t>
            </w:r>
            <w:r w:rsidR="00932C16">
              <w:br/>
            </w:r>
            <w:r w:rsidRPr="00932C16">
              <w:t>($)</w:t>
            </w:r>
          </w:p>
        </w:tc>
        <w:tc>
          <w:tcPr>
            <w:tcW w:w="1251" w:type="dxa"/>
            <w:shd w:val="clear" w:color="auto" w:fill="53284F"/>
            <w:vAlign w:val="center"/>
          </w:tcPr>
          <w:p w14:paraId="66B463F6" w14:textId="255DFCFF" w:rsidR="0037465D" w:rsidRPr="00932C16" w:rsidRDefault="0037465D" w:rsidP="00932C16">
            <w:pPr>
              <w:pStyle w:val="APVMATableHeadRight"/>
            </w:pPr>
            <w:r w:rsidRPr="00932C16">
              <w:t>Variance</w:t>
            </w:r>
            <w:r w:rsidR="00932C16">
              <w:br/>
            </w:r>
            <w:r w:rsidRPr="00932C16">
              <w:t>in fees</w:t>
            </w:r>
            <w:r w:rsidR="00932C16">
              <w:br/>
            </w:r>
            <w:r w:rsidRPr="00932C16">
              <w:t>(%)</w:t>
            </w:r>
          </w:p>
        </w:tc>
      </w:tr>
      <w:tr w:rsidR="0037465D" w14:paraId="5745703A" w14:textId="77777777">
        <w:trPr>
          <w:trHeight w:val="465"/>
        </w:trPr>
        <w:tc>
          <w:tcPr>
            <w:tcW w:w="2122" w:type="dxa"/>
            <w:tcBorders>
              <w:top w:val="single" w:sz="4" w:space="0" w:color="auto"/>
              <w:left w:val="single" w:sz="4" w:space="0" w:color="auto"/>
              <w:bottom w:val="single" w:sz="4" w:space="0" w:color="auto"/>
              <w:right w:val="single" w:sz="4" w:space="0" w:color="auto"/>
            </w:tcBorders>
            <w:vAlign w:val="center"/>
            <w:hideMark/>
          </w:tcPr>
          <w:p w14:paraId="75F1423E" w14:textId="2B0671E7" w:rsidR="0037465D" w:rsidRDefault="0037465D" w:rsidP="0037465D">
            <w:pPr>
              <w:pStyle w:val="APVMATableText"/>
              <w:rPr>
                <w:lang w:eastAsia="en-AU"/>
              </w:rPr>
            </w:pPr>
            <w:r w:rsidRPr="007D5CE7">
              <w:rPr>
                <w:color w:val="000000"/>
                <w:szCs w:val="17"/>
                <w:lang w:eastAsia="en-AU"/>
              </w:rPr>
              <w:t>Licence application fee</w:t>
            </w:r>
          </w:p>
        </w:tc>
        <w:tc>
          <w:tcPr>
            <w:tcW w:w="1251" w:type="dxa"/>
            <w:tcBorders>
              <w:top w:val="single" w:sz="4" w:space="0" w:color="auto"/>
              <w:left w:val="single" w:sz="4" w:space="0" w:color="auto"/>
              <w:bottom w:val="single" w:sz="4" w:space="0" w:color="auto"/>
              <w:right w:val="single" w:sz="4" w:space="0" w:color="auto"/>
            </w:tcBorders>
            <w:vAlign w:val="center"/>
          </w:tcPr>
          <w:p w14:paraId="43872E53" w14:textId="5C7FFB53" w:rsidR="0037465D" w:rsidRDefault="0037465D" w:rsidP="009231A1">
            <w:pPr>
              <w:pStyle w:val="APVMATableText"/>
              <w:jc w:val="right"/>
              <w:rPr>
                <w:lang w:eastAsia="en-AU"/>
              </w:rPr>
            </w:pPr>
            <w:r>
              <w:rPr>
                <w:color w:val="000000"/>
                <w:szCs w:val="17"/>
              </w:rPr>
              <w:t>2,250</w:t>
            </w:r>
          </w:p>
        </w:tc>
        <w:tc>
          <w:tcPr>
            <w:tcW w:w="1251" w:type="dxa"/>
            <w:tcBorders>
              <w:top w:val="single" w:sz="4" w:space="0" w:color="auto"/>
              <w:left w:val="single" w:sz="4" w:space="0" w:color="auto"/>
              <w:bottom w:val="single" w:sz="4" w:space="0" w:color="auto"/>
              <w:right w:val="single" w:sz="4" w:space="0" w:color="auto"/>
            </w:tcBorders>
            <w:vAlign w:val="center"/>
          </w:tcPr>
          <w:p w14:paraId="3408EBE9" w14:textId="17342C3D" w:rsidR="0037465D" w:rsidRDefault="0037465D" w:rsidP="009231A1">
            <w:pPr>
              <w:pStyle w:val="APVMATableText"/>
              <w:jc w:val="right"/>
              <w:rPr>
                <w:lang w:eastAsia="en-AU"/>
              </w:rPr>
            </w:pPr>
            <w:r>
              <w:rPr>
                <w:color w:val="000000"/>
                <w:szCs w:val="17"/>
              </w:rPr>
              <w:t>2,298</w:t>
            </w:r>
          </w:p>
        </w:tc>
        <w:tc>
          <w:tcPr>
            <w:tcW w:w="1251" w:type="dxa"/>
            <w:tcBorders>
              <w:top w:val="single" w:sz="4" w:space="0" w:color="auto"/>
              <w:left w:val="single" w:sz="4" w:space="0" w:color="auto"/>
              <w:bottom w:val="single" w:sz="4" w:space="0" w:color="auto"/>
              <w:right w:val="single" w:sz="4" w:space="0" w:color="auto"/>
            </w:tcBorders>
            <w:vAlign w:val="center"/>
          </w:tcPr>
          <w:p w14:paraId="554F279B" w14:textId="43E63E0E" w:rsidR="0037465D" w:rsidRDefault="0037465D" w:rsidP="009231A1">
            <w:pPr>
              <w:pStyle w:val="APVMATableText"/>
              <w:jc w:val="right"/>
              <w:rPr>
                <w:lang w:eastAsia="en-AU"/>
              </w:rPr>
            </w:pPr>
            <w:r>
              <w:rPr>
                <w:color w:val="000000"/>
                <w:szCs w:val="17"/>
              </w:rPr>
              <w:t>2</w:t>
            </w:r>
          </w:p>
        </w:tc>
        <w:tc>
          <w:tcPr>
            <w:tcW w:w="1251" w:type="dxa"/>
            <w:tcBorders>
              <w:top w:val="single" w:sz="4" w:space="0" w:color="auto"/>
              <w:left w:val="single" w:sz="4" w:space="0" w:color="auto"/>
              <w:bottom w:val="single" w:sz="4" w:space="0" w:color="auto"/>
              <w:right w:val="single" w:sz="4" w:space="0" w:color="auto"/>
            </w:tcBorders>
            <w:vAlign w:val="center"/>
          </w:tcPr>
          <w:p w14:paraId="58AF369B" w14:textId="3487343D" w:rsidR="0037465D" w:rsidRDefault="0037465D" w:rsidP="009231A1">
            <w:pPr>
              <w:pStyle w:val="APVMATableText"/>
              <w:jc w:val="right"/>
              <w:rPr>
                <w:lang w:eastAsia="en-AU"/>
              </w:rPr>
            </w:pPr>
            <w:r>
              <w:rPr>
                <w:color w:val="000000"/>
                <w:szCs w:val="17"/>
              </w:rPr>
              <w:t>900</w:t>
            </w:r>
          </w:p>
        </w:tc>
        <w:tc>
          <w:tcPr>
            <w:tcW w:w="1251" w:type="dxa"/>
            <w:shd w:val="clear" w:color="auto" w:fill="D5D7D5" w:themeFill="text1" w:themeFillTint="33"/>
            <w:vAlign w:val="center"/>
          </w:tcPr>
          <w:p w14:paraId="54CEB538" w14:textId="0D9B1618" w:rsidR="0037465D" w:rsidRDefault="0037465D" w:rsidP="009231A1">
            <w:pPr>
              <w:pStyle w:val="APVMATableText"/>
              <w:jc w:val="right"/>
              <w:rPr>
                <w:lang w:eastAsia="en-AU"/>
              </w:rPr>
            </w:pPr>
            <w:r>
              <w:rPr>
                <w:color w:val="000000"/>
                <w:szCs w:val="17"/>
              </w:rPr>
              <w:t>2,298</w:t>
            </w:r>
          </w:p>
        </w:tc>
        <w:tc>
          <w:tcPr>
            <w:tcW w:w="1251" w:type="dxa"/>
            <w:vAlign w:val="center"/>
          </w:tcPr>
          <w:p w14:paraId="190B082D" w14:textId="7491E317" w:rsidR="0037465D" w:rsidRDefault="0037465D" w:rsidP="009231A1">
            <w:pPr>
              <w:pStyle w:val="APVMATableText"/>
              <w:jc w:val="right"/>
              <w:rPr>
                <w:lang w:eastAsia="en-AU"/>
              </w:rPr>
            </w:pPr>
            <w:r>
              <w:rPr>
                <w:color w:val="000000"/>
                <w:szCs w:val="17"/>
              </w:rPr>
              <w:t>155</w:t>
            </w:r>
          </w:p>
        </w:tc>
      </w:tr>
      <w:tr w:rsidR="0037465D" w14:paraId="08814124" w14:textId="77777777">
        <w:trPr>
          <w:trHeight w:val="465"/>
        </w:trPr>
        <w:tc>
          <w:tcPr>
            <w:tcW w:w="2122" w:type="dxa"/>
            <w:tcBorders>
              <w:top w:val="single" w:sz="4" w:space="0" w:color="auto"/>
              <w:left w:val="single" w:sz="4" w:space="0" w:color="auto"/>
              <w:bottom w:val="single" w:sz="4" w:space="0" w:color="auto"/>
              <w:right w:val="single" w:sz="4" w:space="0" w:color="auto"/>
            </w:tcBorders>
            <w:vAlign w:val="center"/>
          </w:tcPr>
          <w:p w14:paraId="1DEF3EA8" w14:textId="77AE75C4" w:rsidR="0037465D" w:rsidRDefault="0037465D" w:rsidP="0037465D">
            <w:pPr>
              <w:pStyle w:val="APVMATableText"/>
              <w:rPr>
                <w:lang w:eastAsia="en-AU"/>
              </w:rPr>
            </w:pPr>
            <w:r w:rsidRPr="007D5CE7">
              <w:rPr>
                <w:color w:val="000000"/>
                <w:szCs w:val="17"/>
                <w:lang w:eastAsia="en-AU"/>
              </w:rPr>
              <w:t>Category1</w:t>
            </w:r>
            <w:r>
              <w:rPr>
                <w:color w:val="000000"/>
                <w:szCs w:val="17"/>
                <w:lang w:eastAsia="en-AU"/>
              </w:rPr>
              <w:t xml:space="preserve"> </w:t>
            </w:r>
            <w:r w:rsidRPr="007D5CE7">
              <w:rPr>
                <w:color w:val="000000"/>
                <w:szCs w:val="17"/>
                <w:lang w:eastAsia="en-AU"/>
              </w:rPr>
              <w:t>licences</w:t>
            </w:r>
          </w:p>
        </w:tc>
        <w:tc>
          <w:tcPr>
            <w:tcW w:w="1251" w:type="dxa"/>
            <w:tcBorders>
              <w:top w:val="single" w:sz="4" w:space="0" w:color="auto"/>
              <w:left w:val="single" w:sz="4" w:space="0" w:color="auto"/>
              <w:bottom w:val="single" w:sz="4" w:space="0" w:color="auto"/>
              <w:right w:val="single" w:sz="4" w:space="0" w:color="auto"/>
            </w:tcBorders>
            <w:vAlign w:val="center"/>
          </w:tcPr>
          <w:p w14:paraId="7E4387D9" w14:textId="4F3892AB" w:rsidR="0037465D" w:rsidRDefault="0037465D" w:rsidP="009231A1">
            <w:pPr>
              <w:pStyle w:val="APVMATableText"/>
              <w:jc w:val="right"/>
              <w:rPr>
                <w:lang w:eastAsia="en-AU"/>
              </w:rPr>
            </w:pPr>
            <w:r>
              <w:rPr>
                <w:color w:val="000000"/>
                <w:szCs w:val="17"/>
              </w:rPr>
              <w:t>18,750</w:t>
            </w:r>
          </w:p>
        </w:tc>
        <w:tc>
          <w:tcPr>
            <w:tcW w:w="1251" w:type="dxa"/>
            <w:tcBorders>
              <w:top w:val="single" w:sz="4" w:space="0" w:color="auto"/>
              <w:left w:val="single" w:sz="4" w:space="0" w:color="auto"/>
              <w:bottom w:val="single" w:sz="4" w:space="0" w:color="auto"/>
              <w:right w:val="single" w:sz="4" w:space="0" w:color="auto"/>
            </w:tcBorders>
            <w:vAlign w:val="center"/>
          </w:tcPr>
          <w:p w14:paraId="7FBF8158" w14:textId="140E3DC4" w:rsidR="0037465D" w:rsidRDefault="0037465D" w:rsidP="009231A1">
            <w:pPr>
              <w:pStyle w:val="APVMATableText"/>
              <w:jc w:val="right"/>
              <w:rPr>
                <w:lang w:eastAsia="en-AU"/>
              </w:rPr>
            </w:pPr>
            <w:r>
              <w:rPr>
                <w:color w:val="000000"/>
                <w:szCs w:val="17"/>
              </w:rPr>
              <w:t>8,603</w:t>
            </w:r>
          </w:p>
        </w:tc>
        <w:tc>
          <w:tcPr>
            <w:tcW w:w="1251" w:type="dxa"/>
            <w:tcBorders>
              <w:top w:val="single" w:sz="4" w:space="0" w:color="auto"/>
              <w:left w:val="single" w:sz="4" w:space="0" w:color="auto"/>
              <w:bottom w:val="single" w:sz="4" w:space="0" w:color="auto"/>
              <w:right w:val="single" w:sz="4" w:space="0" w:color="auto"/>
            </w:tcBorders>
            <w:vAlign w:val="center"/>
          </w:tcPr>
          <w:p w14:paraId="70D2145D" w14:textId="7DF90C61" w:rsidR="0037465D" w:rsidRDefault="0037465D" w:rsidP="009231A1">
            <w:pPr>
              <w:pStyle w:val="APVMATableText"/>
              <w:jc w:val="right"/>
              <w:rPr>
                <w:lang w:eastAsia="en-AU"/>
              </w:rPr>
            </w:pPr>
            <w:r>
              <w:rPr>
                <w:color w:val="000000"/>
                <w:szCs w:val="17"/>
              </w:rPr>
              <w:t>-54</w:t>
            </w:r>
          </w:p>
        </w:tc>
        <w:tc>
          <w:tcPr>
            <w:tcW w:w="1251" w:type="dxa"/>
            <w:tcBorders>
              <w:top w:val="single" w:sz="4" w:space="0" w:color="auto"/>
              <w:left w:val="single" w:sz="4" w:space="0" w:color="auto"/>
              <w:bottom w:val="single" w:sz="4" w:space="0" w:color="auto"/>
              <w:right w:val="single" w:sz="4" w:space="0" w:color="auto"/>
            </w:tcBorders>
            <w:vAlign w:val="center"/>
          </w:tcPr>
          <w:p w14:paraId="46641651" w14:textId="43768D5F" w:rsidR="0037465D" w:rsidRDefault="0037465D" w:rsidP="009231A1">
            <w:pPr>
              <w:pStyle w:val="APVMATableText"/>
              <w:jc w:val="right"/>
              <w:rPr>
                <w:lang w:eastAsia="en-AU"/>
              </w:rPr>
            </w:pPr>
            <w:r>
              <w:rPr>
                <w:color w:val="000000"/>
                <w:szCs w:val="17"/>
              </w:rPr>
              <w:t>7,500</w:t>
            </w:r>
          </w:p>
        </w:tc>
        <w:tc>
          <w:tcPr>
            <w:tcW w:w="1251" w:type="dxa"/>
            <w:shd w:val="clear" w:color="auto" w:fill="D5D7D5" w:themeFill="text1" w:themeFillTint="33"/>
            <w:vAlign w:val="center"/>
          </w:tcPr>
          <w:p w14:paraId="08B8F5E0" w14:textId="2D0C42B8" w:rsidR="0037465D" w:rsidRPr="0037465D" w:rsidRDefault="0037465D" w:rsidP="009231A1">
            <w:pPr>
              <w:pStyle w:val="APVMATableText"/>
              <w:jc w:val="right"/>
              <w:rPr>
                <w:bCs/>
                <w:lang w:eastAsia="en-AU"/>
              </w:rPr>
            </w:pPr>
            <w:r>
              <w:rPr>
                <w:color w:val="000000"/>
                <w:szCs w:val="17"/>
              </w:rPr>
              <w:t>8,603</w:t>
            </w:r>
          </w:p>
        </w:tc>
        <w:tc>
          <w:tcPr>
            <w:tcW w:w="1251" w:type="dxa"/>
            <w:vAlign w:val="center"/>
          </w:tcPr>
          <w:p w14:paraId="3ABD3AB0" w14:textId="1F83586A" w:rsidR="0037465D" w:rsidRDefault="0037465D" w:rsidP="009231A1">
            <w:pPr>
              <w:pStyle w:val="APVMATableText"/>
              <w:jc w:val="right"/>
              <w:rPr>
                <w:lang w:eastAsia="en-AU"/>
              </w:rPr>
            </w:pPr>
            <w:r>
              <w:rPr>
                <w:color w:val="000000"/>
                <w:szCs w:val="17"/>
              </w:rPr>
              <w:t>15</w:t>
            </w:r>
          </w:p>
        </w:tc>
      </w:tr>
      <w:tr w:rsidR="0037465D" w14:paraId="3E859761" w14:textId="77777777">
        <w:trPr>
          <w:trHeight w:val="465"/>
        </w:trPr>
        <w:tc>
          <w:tcPr>
            <w:tcW w:w="2122" w:type="dxa"/>
            <w:tcBorders>
              <w:top w:val="single" w:sz="4" w:space="0" w:color="auto"/>
              <w:left w:val="single" w:sz="4" w:space="0" w:color="auto"/>
              <w:bottom w:val="single" w:sz="4" w:space="0" w:color="auto"/>
              <w:right w:val="single" w:sz="4" w:space="0" w:color="auto"/>
            </w:tcBorders>
            <w:vAlign w:val="center"/>
          </w:tcPr>
          <w:p w14:paraId="61ACB554" w14:textId="15D57428" w:rsidR="0037465D" w:rsidRDefault="0037465D" w:rsidP="0037465D">
            <w:pPr>
              <w:pStyle w:val="APVMATableText"/>
              <w:rPr>
                <w:color w:val="000000"/>
                <w:szCs w:val="17"/>
                <w:lang w:eastAsia="en-AU"/>
              </w:rPr>
            </w:pPr>
            <w:r w:rsidRPr="007D5CE7">
              <w:rPr>
                <w:color w:val="000000"/>
                <w:szCs w:val="17"/>
                <w:lang w:eastAsia="en-AU"/>
              </w:rPr>
              <w:t>Category</w:t>
            </w:r>
            <w:r>
              <w:rPr>
                <w:color w:val="000000"/>
                <w:szCs w:val="17"/>
                <w:lang w:eastAsia="en-AU"/>
              </w:rPr>
              <w:t xml:space="preserve"> </w:t>
            </w:r>
            <w:r w:rsidRPr="007D5CE7">
              <w:rPr>
                <w:color w:val="000000"/>
                <w:szCs w:val="17"/>
                <w:lang w:eastAsia="en-AU"/>
              </w:rPr>
              <w:t>2,3</w:t>
            </w:r>
            <w:r>
              <w:rPr>
                <w:color w:val="000000"/>
                <w:szCs w:val="17"/>
                <w:lang w:eastAsia="en-AU"/>
              </w:rPr>
              <w:t xml:space="preserve"> </w:t>
            </w:r>
            <w:r w:rsidRPr="007D5CE7">
              <w:rPr>
                <w:color w:val="000000"/>
                <w:szCs w:val="17"/>
                <w:lang w:eastAsia="en-AU"/>
              </w:rPr>
              <w:t>or</w:t>
            </w:r>
            <w:r>
              <w:rPr>
                <w:color w:val="000000"/>
                <w:szCs w:val="17"/>
                <w:lang w:eastAsia="en-AU"/>
              </w:rPr>
              <w:t xml:space="preserve"> </w:t>
            </w:r>
            <w:r w:rsidRPr="007D5CE7">
              <w:rPr>
                <w:color w:val="000000"/>
                <w:szCs w:val="17"/>
                <w:lang w:eastAsia="en-AU"/>
              </w:rPr>
              <w:t>4</w:t>
            </w:r>
            <w:r>
              <w:rPr>
                <w:color w:val="000000"/>
                <w:szCs w:val="17"/>
                <w:lang w:eastAsia="en-AU"/>
              </w:rPr>
              <w:t xml:space="preserve"> </w:t>
            </w:r>
            <w:r w:rsidRPr="007D5CE7">
              <w:rPr>
                <w:color w:val="000000"/>
                <w:szCs w:val="17"/>
                <w:lang w:eastAsia="en-AU"/>
              </w:rPr>
              <w:t>licences</w:t>
            </w:r>
          </w:p>
        </w:tc>
        <w:tc>
          <w:tcPr>
            <w:tcW w:w="1251" w:type="dxa"/>
            <w:tcBorders>
              <w:top w:val="single" w:sz="4" w:space="0" w:color="auto"/>
              <w:left w:val="single" w:sz="4" w:space="0" w:color="auto"/>
              <w:bottom w:val="single" w:sz="4" w:space="0" w:color="auto"/>
              <w:right w:val="single" w:sz="4" w:space="0" w:color="auto"/>
            </w:tcBorders>
            <w:vAlign w:val="center"/>
          </w:tcPr>
          <w:p w14:paraId="39B53AA5" w14:textId="7D188C90" w:rsidR="0037465D" w:rsidRDefault="0037465D" w:rsidP="009231A1">
            <w:pPr>
              <w:pStyle w:val="APVMATableText"/>
              <w:jc w:val="right"/>
              <w:rPr>
                <w:color w:val="000000"/>
                <w:szCs w:val="17"/>
              </w:rPr>
            </w:pPr>
            <w:r>
              <w:rPr>
                <w:color w:val="000000"/>
                <w:szCs w:val="17"/>
              </w:rPr>
              <w:t>12,500</w:t>
            </w:r>
          </w:p>
        </w:tc>
        <w:tc>
          <w:tcPr>
            <w:tcW w:w="1251" w:type="dxa"/>
            <w:tcBorders>
              <w:top w:val="single" w:sz="4" w:space="0" w:color="auto"/>
              <w:left w:val="single" w:sz="4" w:space="0" w:color="auto"/>
              <w:bottom w:val="single" w:sz="4" w:space="0" w:color="auto"/>
              <w:right w:val="single" w:sz="4" w:space="0" w:color="auto"/>
            </w:tcBorders>
            <w:vAlign w:val="center"/>
          </w:tcPr>
          <w:p w14:paraId="7897B1B1" w14:textId="60EED04B" w:rsidR="0037465D" w:rsidRDefault="0037465D" w:rsidP="009231A1">
            <w:pPr>
              <w:pStyle w:val="APVMATableText"/>
              <w:jc w:val="right"/>
              <w:rPr>
                <w:color w:val="000000"/>
                <w:szCs w:val="17"/>
              </w:rPr>
            </w:pPr>
            <w:r>
              <w:rPr>
                <w:color w:val="000000"/>
                <w:szCs w:val="17"/>
              </w:rPr>
              <w:t>6,760</w:t>
            </w:r>
          </w:p>
        </w:tc>
        <w:tc>
          <w:tcPr>
            <w:tcW w:w="1251" w:type="dxa"/>
            <w:tcBorders>
              <w:top w:val="single" w:sz="4" w:space="0" w:color="auto"/>
              <w:left w:val="single" w:sz="4" w:space="0" w:color="auto"/>
              <w:bottom w:val="single" w:sz="4" w:space="0" w:color="auto"/>
              <w:right w:val="single" w:sz="4" w:space="0" w:color="auto"/>
            </w:tcBorders>
            <w:vAlign w:val="center"/>
          </w:tcPr>
          <w:p w14:paraId="6E88C6C3" w14:textId="21E9E18E" w:rsidR="0037465D" w:rsidRDefault="0037465D" w:rsidP="009231A1">
            <w:pPr>
              <w:pStyle w:val="APVMATableText"/>
              <w:jc w:val="right"/>
              <w:rPr>
                <w:bCs/>
                <w:color w:val="000000"/>
                <w:szCs w:val="17"/>
                <w:lang w:eastAsia="en-AU"/>
              </w:rPr>
            </w:pPr>
            <w:r>
              <w:rPr>
                <w:color w:val="000000"/>
                <w:szCs w:val="17"/>
              </w:rPr>
              <w:t>-46</w:t>
            </w:r>
          </w:p>
        </w:tc>
        <w:tc>
          <w:tcPr>
            <w:tcW w:w="1251" w:type="dxa"/>
            <w:tcBorders>
              <w:top w:val="single" w:sz="4" w:space="0" w:color="auto"/>
              <w:left w:val="single" w:sz="4" w:space="0" w:color="auto"/>
              <w:bottom w:val="single" w:sz="4" w:space="0" w:color="auto"/>
              <w:right w:val="single" w:sz="4" w:space="0" w:color="auto"/>
            </w:tcBorders>
            <w:vAlign w:val="center"/>
          </w:tcPr>
          <w:p w14:paraId="103E2399" w14:textId="2CDDEA2F" w:rsidR="0037465D" w:rsidRDefault="0037465D" w:rsidP="009231A1">
            <w:pPr>
              <w:pStyle w:val="APVMATableText"/>
              <w:jc w:val="right"/>
              <w:rPr>
                <w:color w:val="000000"/>
                <w:szCs w:val="17"/>
              </w:rPr>
            </w:pPr>
            <w:r>
              <w:rPr>
                <w:color w:val="000000"/>
                <w:szCs w:val="17"/>
              </w:rPr>
              <w:t>5,000</w:t>
            </w:r>
          </w:p>
        </w:tc>
        <w:tc>
          <w:tcPr>
            <w:tcW w:w="1251" w:type="dxa"/>
            <w:shd w:val="clear" w:color="auto" w:fill="D5D7D5" w:themeFill="text1" w:themeFillTint="33"/>
            <w:vAlign w:val="center"/>
          </w:tcPr>
          <w:p w14:paraId="3AE868B1" w14:textId="08DC2C3B" w:rsidR="0037465D" w:rsidRPr="0037465D" w:rsidRDefault="0037465D" w:rsidP="009231A1">
            <w:pPr>
              <w:pStyle w:val="APVMATableText"/>
              <w:jc w:val="right"/>
              <w:rPr>
                <w:bCs/>
                <w:color w:val="000000"/>
                <w:szCs w:val="17"/>
              </w:rPr>
            </w:pPr>
            <w:r>
              <w:rPr>
                <w:color w:val="000000"/>
                <w:szCs w:val="17"/>
              </w:rPr>
              <w:t>6,760</w:t>
            </w:r>
          </w:p>
        </w:tc>
        <w:tc>
          <w:tcPr>
            <w:tcW w:w="1251" w:type="dxa"/>
            <w:vAlign w:val="center"/>
          </w:tcPr>
          <w:p w14:paraId="01052C6A" w14:textId="7918D2FA" w:rsidR="0037465D" w:rsidRDefault="0037465D" w:rsidP="009231A1">
            <w:pPr>
              <w:pStyle w:val="APVMATableText"/>
              <w:jc w:val="right"/>
              <w:rPr>
                <w:bCs/>
                <w:color w:val="000000"/>
                <w:szCs w:val="17"/>
                <w:lang w:eastAsia="en-AU"/>
              </w:rPr>
            </w:pPr>
            <w:r>
              <w:rPr>
                <w:color w:val="000000"/>
                <w:szCs w:val="17"/>
              </w:rPr>
              <w:t>35</w:t>
            </w:r>
          </w:p>
        </w:tc>
      </w:tr>
      <w:tr w:rsidR="0037465D" w14:paraId="215BACFD" w14:textId="77777777">
        <w:trPr>
          <w:trHeight w:val="465"/>
        </w:trPr>
        <w:tc>
          <w:tcPr>
            <w:tcW w:w="2122" w:type="dxa"/>
            <w:tcBorders>
              <w:top w:val="single" w:sz="4" w:space="0" w:color="auto"/>
              <w:left w:val="single" w:sz="4" w:space="0" w:color="auto"/>
              <w:bottom w:val="single" w:sz="4" w:space="0" w:color="auto"/>
              <w:right w:val="single" w:sz="4" w:space="0" w:color="auto"/>
            </w:tcBorders>
            <w:vAlign w:val="center"/>
          </w:tcPr>
          <w:p w14:paraId="260D38E9" w14:textId="10A4F41C" w:rsidR="0037465D" w:rsidRDefault="0037465D" w:rsidP="0037465D">
            <w:pPr>
              <w:pStyle w:val="APVMATableText"/>
              <w:rPr>
                <w:color w:val="000000"/>
                <w:szCs w:val="17"/>
                <w:lang w:eastAsia="en-AU"/>
              </w:rPr>
            </w:pPr>
            <w:r w:rsidRPr="007D5CE7">
              <w:rPr>
                <w:color w:val="000000"/>
                <w:szCs w:val="17"/>
                <w:lang w:eastAsia="en-AU"/>
              </w:rPr>
              <w:t>Category6</w:t>
            </w:r>
            <w:r>
              <w:rPr>
                <w:color w:val="000000"/>
                <w:szCs w:val="17"/>
                <w:lang w:eastAsia="en-AU"/>
              </w:rPr>
              <w:t xml:space="preserve"> </w:t>
            </w:r>
            <w:r w:rsidRPr="007D5CE7">
              <w:rPr>
                <w:color w:val="000000"/>
                <w:szCs w:val="17"/>
                <w:lang w:eastAsia="en-AU"/>
              </w:rPr>
              <w:t>licence</w:t>
            </w:r>
          </w:p>
        </w:tc>
        <w:tc>
          <w:tcPr>
            <w:tcW w:w="1251" w:type="dxa"/>
            <w:tcBorders>
              <w:top w:val="single" w:sz="4" w:space="0" w:color="auto"/>
              <w:left w:val="single" w:sz="4" w:space="0" w:color="auto"/>
              <w:bottom w:val="single" w:sz="4" w:space="0" w:color="auto"/>
              <w:right w:val="single" w:sz="4" w:space="0" w:color="auto"/>
            </w:tcBorders>
            <w:vAlign w:val="center"/>
          </w:tcPr>
          <w:p w14:paraId="644D0B53" w14:textId="56872724" w:rsidR="0037465D" w:rsidRDefault="0037465D" w:rsidP="009231A1">
            <w:pPr>
              <w:pStyle w:val="APVMATableText"/>
              <w:jc w:val="right"/>
              <w:rPr>
                <w:color w:val="000000"/>
                <w:szCs w:val="17"/>
              </w:rPr>
            </w:pPr>
            <w:r>
              <w:rPr>
                <w:color w:val="000000"/>
                <w:szCs w:val="17"/>
              </w:rPr>
              <w:t>4,500</w:t>
            </w:r>
          </w:p>
        </w:tc>
        <w:tc>
          <w:tcPr>
            <w:tcW w:w="1251" w:type="dxa"/>
            <w:tcBorders>
              <w:top w:val="single" w:sz="4" w:space="0" w:color="auto"/>
              <w:left w:val="single" w:sz="4" w:space="0" w:color="auto"/>
              <w:bottom w:val="single" w:sz="4" w:space="0" w:color="auto"/>
              <w:right w:val="single" w:sz="4" w:space="0" w:color="auto"/>
            </w:tcBorders>
            <w:vAlign w:val="center"/>
          </w:tcPr>
          <w:p w14:paraId="7AB85055" w14:textId="7951727E" w:rsidR="0037465D" w:rsidRDefault="0037465D" w:rsidP="009231A1">
            <w:pPr>
              <w:pStyle w:val="APVMATableText"/>
              <w:jc w:val="right"/>
              <w:rPr>
                <w:color w:val="000000"/>
                <w:szCs w:val="17"/>
              </w:rPr>
            </w:pPr>
            <w:r>
              <w:rPr>
                <w:color w:val="000000"/>
                <w:szCs w:val="17"/>
              </w:rPr>
              <w:t>3,687</w:t>
            </w:r>
          </w:p>
        </w:tc>
        <w:tc>
          <w:tcPr>
            <w:tcW w:w="1251" w:type="dxa"/>
            <w:tcBorders>
              <w:top w:val="single" w:sz="4" w:space="0" w:color="auto"/>
              <w:left w:val="single" w:sz="4" w:space="0" w:color="auto"/>
              <w:bottom w:val="single" w:sz="4" w:space="0" w:color="auto"/>
              <w:right w:val="single" w:sz="4" w:space="0" w:color="auto"/>
            </w:tcBorders>
            <w:vAlign w:val="center"/>
          </w:tcPr>
          <w:p w14:paraId="0BEEBD46" w14:textId="21E7A088" w:rsidR="0037465D" w:rsidRDefault="0037465D" w:rsidP="009231A1">
            <w:pPr>
              <w:pStyle w:val="APVMATableText"/>
              <w:jc w:val="right"/>
              <w:rPr>
                <w:bCs/>
                <w:color w:val="000000"/>
                <w:szCs w:val="17"/>
                <w:lang w:eastAsia="en-AU"/>
              </w:rPr>
            </w:pPr>
            <w:r>
              <w:rPr>
                <w:color w:val="000000"/>
                <w:szCs w:val="17"/>
              </w:rPr>
              <w:t>-18</w:t>
            </w:r>
          </w:p>
        </w:tc>
        <w:tc>
          <w:tcPr>
            <w:tcW w:w="1251" w:type="dxa"/>
            <w:tcBorders>
              <w:top w:val="single" w:sz="4" w:space="0" w:color="auto"/>
              <w:left w:val="single" w:sz="4" w:space="0" w:color="auto"/>
              <w:bottom w:val="single" w:sz="4" w:space="0" w:color="auto"/>
              <w:right w:val="single" w:sz="4" w:space="0" w:color="auto"/>
            </w:tcBorders>
            <w:vAlign w:val="center"/>
          </w:tcPr>
          <w:p w14:paraId="60DFEB96" w14:textId="61B4166A" w:rsidR="0037465D" w:rsidRDefault="0037465D" w:rsidP="009231A1">
            <w:pPr>
              <w:pStyle w:val="APVMATableText"/>
              <w:jc w:val="right"/>
              <w:rPr>
                <w:color w:val="000000"/>
                <w:szCs w:val="17"/>
              </w:rPr>
            </w:pPr>
            <w:r>
              <w:rPr>
                <w:color w:val="000000"/>
                <w:szCs w:val="17"/>
              </w:rPr>
              <w:t>1,800</w:t>
            </w:r>
          </w:p>
        </w:tc>
        <w:tc>
          <w:tcPr>
            <w:tcW w:w="1251" w:type="dxa"/>
            <w:shd w:val="clear" w:color="auto" w:fill="D5D7D5" w:themeFill="text1" w:themeFillTint="33"/>
            <w:vAlign w:val="center"/>
          </w:tcPr>
          <w:p w14:paraId="095DCC70" w14:textId="508DF20B" w:rsidR="0037465D" w:rsidRPr="0037465D" w:rsidRDefault="0037465D" w:rsidP="009231A1">
            <w:pPr>
              <w:pStyle w:val="APVMATableText"/>
              <w:jc w:val="right"/>
              <w:rPr>
                <w:bCs/>
                <w:color w:val="000000"/>
                <w:szCs w:val="17"/>
              </w:rPr>
            </w:pPr>
            <w:r>
              <w:rPr>
                <w:color w:val="000000"/>
                <w:szCs w:val="17"/>
              </w:rPr>
              <w:t>3,687</w:t>
            </w:r>
          </w:p>
        </w:tc>
        <w:tc>
          <w:tcPr>
            <w:tcW w:w="1251" w:type="dxa"/>
            <w:vAlign w:val="center"/>
          </w:tcPr>
          <w:p w14:paraId="6E788A39" w14:textId="2E3A35FF" w:rsidR="0037465D" w:rsidRDefault="0037465D" w:rsidP="009231A1">
            <w:pPr>
              <w:pStyle w:val="APVMATableText"/>
              <w:jc w:val="right"/>
              <w:rPr>
                <w:bCs/>
                <w:color w:val="000000"/>
                <w:szCs w:val="17"/>
                <w:lang w:eastAsia="en-AU"/>
              </w:rPr>
            </w:pPr>
            <w:r>
              <w:rPr>
                <w:color w:val="000000"/>
                <w:szCs w:val="17"/>
              </w:rPr>
              <w:t>105</w:t>
            </w:r>
          </w:p>
        </w:tc>
      </w:tr>
      <w:tr w:rsidR="0037465D" w14:paraId="65116C8C" w14:textId="77777777">
        <w:trPr>
          <w:trHeight w:val="465"/>
        </w:trPr>
        <w:tc>
          <w:tcPr>
            <w:tcW w:w="2122" w:type="dxa"/>
            <w:tcBorders>
              <w:top w:val="single" w:sz="4" w:space="0" w:color="auto"/>
              <w:left w:val="single" w:sz="4" w:space="0" w:color="auto"/>
              <w:bottom w:val="single" w:sz="4" w:space="0" w:color="auto"/>
              <w:right w:val="single" w:sz="4" w:space="0" w:color="auto"/>
            </w:tcBorders>
            <w:vAlign w:val="center"/>
          </w:tcPr>
          <w:p w14:paraId="4107729F" w14:textId="0A363575" w:rsidR="0037465D" w:rsidRPr="007D5CE7" w:rsidRDefault="0037465D" w:rsidP="0037465D">
            <w:pPr>
              <w:pStyle w:val="APVMATableText"/>
              <w:rPr>
                <w:lang w:eastAsia="en-AU"/>
              </w:rPr>
            </w:pPr>
            <w:r w:rsidRPr="007D5CE7">
              <w:rPr>
                <w:color w:val="000000"/>
                <w:szCs w:val="17"/>
                <w:lang w:eastAsia="en-AU"/>
              </w:rPr>
              <w:t>Multi-category licences</w:t>
            </w:r>
          </w:p>
        </w:tc>
        <w:tc>
          <w:tcPr>
            <w:tcW w:w="1251" w:type="dxa"/>
            <w:tcBorders>
              <w:top w:val="single" w:sz="4" w:space="0" w:color="auto"/>
              <w:left w:val="single" w:sz="4" w:space="0" w:color="auto"/>
              <w:bottom w:val="single" w:sz="4" w:space="0" w:color="auto"/>
              <w:right w:val="single" w:sz="4" w:space="0" w:color="auto"/>
            </w:tcBorders>
            <w:vAlign w:val="center"/>
          </w:tcPr>
          <w:p w14:paraId="55C512CE" w14:textId="5CAD775C" w:rsidR="0037465D" w:rsidRPr="00114D98" w:rsidRDefault="0037465D" w:rsidP="009231A1">
            <w:pPr>
              <w:pStyle w:val="APVMATableText"/>
              <w:jc w:val="right"/>
              <w:rPr>
                <w:bCs/>
                <w:color w:val="000000"/>
                <w:szCs w:val="17"/>
                <w:lang w:eastAsia="en-AU"/>
              </w:rPr>
            </w:pPr>
            <w:r>
              <w:rPr>
                <w:color w:val="000000"/>
                <w:szCs w:val="17"/>
              </w:rPr>
              <w:t>18,750</w:t>
            </w:r>
          </w:p>
        </w:tc>
        <w:tc>
          <w:tcPr>
            <w:tcW w:w="1251" w:type="dxa"/>
            <w:tcBorders>
              <w:top w:val="single" w:sz="4" w:space="0" w:color="auto"/>
              <w:left w:val="single" w:sz="4" w:space="0" w:color="auto"/>
              <w:bottom w:val="single" w:sz="4" w:space="0" w:color="auto"/>
              <w:right w:val="single" w:sz="4" w:space="0" w:color="auto"/>
            </w:tcBorders>
            <w:vAlign w:val="center"/>
          </w:tcPr>
          <w:p w14:paraId="046F48E6" w14:textId="05C8E48F" w:rsidR="0037465D" w:rsidRPr="00114D98" w:rsidRDefault="0037465D" w:rsidP="009231A1">
            <w:pPr>
              <w:pStyle w:val="APVMATableText"/>
              <w:jc w:val="right"/>
              <w:rPr>
                <w:bCs/>
                <w:lang w:eastAsia="en-AU"/>
              </w:rPr>
            </w:pPr>
            <w:r>
              <w:rPr>
                <w:color w:val="000000"/>
                <w:szCs w:val="17"/>
              </w:rPr>
              <w:t>8,603</w:t>
            </w:r>
          </w:p>
        </w:tc>
        <w:tc>
          <w:tcPr>
            <w:tcW w:w="1251" w:type="dxa"/>
            <w:tcBorders>
              <w:top w:val="single" w:sz="4" w:space="0" w:color="auto"/>
              <w:left w:val="single" w:sz="4" w:space="0" w:color="auto"/>
              <w:bottom w:val="single" w:sz="4" w:space="0" w:color="auto"/>
              <w:right w:val="single" w:sz="4" w:space="0" w:color="auto"/>
            </w:tcBorders>
            <w:vAlign w:val="center"/>
          </w:tcPr>
          <w:p w14:paraId="3C4C4DC9" w14:textId="06F4F727" w:rsidR="0037465D" w:rsidRDefault="0037465D" w:rsidP="009231A1">
            <w:pPr>
              <w:pStyle w:val="APVMATableText"/>
              <w:jc w:val="right"/>
              <w:rPr>
                <w:bCs/>
                <w:color w:val="000000"/>
                <w:szCs w:val="17"/>
                <w:lang w:eastAsia="en-AU"/>
              </w:rPr>
            </w:pPr>
            <w:r>
              <w:rPr>
                <w:color w:val="000000"/>
                <w:szCs w:val="17"/>
              </w:rPr>
              <w:t>-54</w:t>
            </w:r>
          </w:p>
        </w:tc>
        <w:tc>
          <w:tcPr>
            <w:tcW w:w="1251" w:type="dxa"/>
            <w:tcBorders>
              <w:top w:val="single" w:sz="4" w:space="0" w:color="auto"/>
              <w:left w:val="single" w:sz="4" w:space="0" w:color="auto"/>
              <w:bottom w:val="single" w:sz="4" w:space="0" w:color="auto"/>
              <w:right w:val="single" w:sz="4" w:space="0" w:color="auto"/>
            </w:tcBorders>
            <w:vAlign w:val="center"/>
          </w:tcPr>
          <w:p w14:paraId="5650F4A1" w14:textId="7EBA454B" w:rsidR="0037465D" w:rsidRPr="00114D98" w:rsidRDefault="0037465D" w:rsidP="009231A1">
            <w:pPr>
              <w:pStyle w:val="APVMATableText"/>
              <w:jc w:val="right"/>
              <w:rPr>
                <w:bCs/>
                <w:color w:val="000000"/>
                <w:szCs w:val="17"/>
                <w:lang w:eastAsia="en-AU"/>
              </w:rPr>
            </w:pPr>
            <w:r>
              <w:rPr>
                <w:color w:val="000000"/>
                <w:szCs w:val="17"/>
              </w:rPr>
              <w:t>7,500</w:t>
            </w:r>
          </w:p>
        </w:tc>
        <w:tc>
          <w:tcPr>
            <w:tcW w:w="1251" w:type="dxa"/>
            <w:shd w:val="clear" w:color="auto" w:fill="D5D7D5" w:themeFill="text1" w:themeFillTint="33"/>
            <w:vAlign w:val="center"/>
          </w:tcPr>
          <w:p w14:paraId="7AC5B1CE" w14:textId="4B013BF1" w:rsidR="0037465D" w:rsidRPr="0037465D" w:rsidRDefault="0037465D" w:rsidP="009231A1">
            <w:pPr>
              <w:pStyle w:val="APVMATableText"/>
              <w:jc w:val="right"/>
              <w:rPr>
                <w:bCs/>
                <w:lang w:eastAsia="en-AU"/>
              </w:rPr>
            </w:pPr>
            <w:r>
              <w:rPr>
                <w:color w:val="000000"/>
                <w:szCs w:val="17"/>
              </w:rPr>
              <w:t>8,603</w:t>
            </w:r>
          </w:p>
        </w:tc>
        <w:tc>
          <w:tcPr>
            <w:tcW w:w="1251" w:type="dxa"/>
            <w:vAlign w:val="center"/>
          </w:tcPr>
          <w:p w14:paraId="0D432C91" w14:textId="09656365" w:rsidR="0037465D" w:rsidRDefault="0037465D" w:rsidP="009231A1">
            <w:pPr>
              <w:pStyle w:val="APVMATableText"/>
              <w:jc w:val="right"/>
              <w:rPr>
                <w:bCs/>
                <w:color w:val="000000"/>
                <w:szCs w:val="17"/>
                <w:lang w:eastAsia="en-AU"/>
              </w:rPr>
            </w:pPr>
            <w:r>
              <w:rPr>
                <w:color w:val="000000"/>
                <w:szCs w:val="17"/>
              </w:rPr>
              <w:t>15</w:t>
            </w:r>
          </w:p>
        </w:tc>
      </w:tr>
      <w:tr w:rsidR="0037465D" w14:paraId="0602C5FB" w14:textId="77777777">
        <w:trPr>
          <w:trHeight w:val="465"/>
        </w:trPr>
        <w:tc>
          <w:tcPr>
            <w:tcW w:w="2122" w:type="dxa"/>
            <w:tcBorders>
              <w:top w:val="single" w:sz="4" w:space="0" w:color="auto"/>
              <w:left w:val="single" w:sz="4" w:space="0" w:color="auto"/>
              <w:bottom w:val="single" w:sz="4" w:space="0" w:color="auto"/>
              <w:right w:val="single" w:sz="4" w:space="0" w:color="auto"/>
            </w:tcBorders>
            <w:vAlign w:val="center"/>
          </w:tcPr>
          <w:p w14:paraId="19AEC0E3" w14:textId="11A2E12D" w:rsidR="0037465D" w:rsidRPr="007D5CE7" w:rsidRDefault="0037465D" w:rsidP="0037465D">
            <w:pPr>
              <w:pStyle w:val="APVMATableText"/>
              <w:rPr>
                <w:lang w:eastAsia="en-AU"/>
              </w:rPr>
            </w:pPr>
            <w:r w:rsidRPr="007D5CE7">
              <w:rPr>
                <w:color w:val="000000"/>
                <w:szCs w:val="17"/>
                <w:lang w:eastAsia="en-AU"/>
              </w:rPr>
              <w:t>Low</w:t>
            </w:r>
            <w:r>
              <w:rPr>
                <w:color w:val="000000"/>
                <w:szCs w:val="17"/>
                <w:lang w:eastAsia="en-AU"/>
              </w:rPr>
              <w:t xml:space="preserve"> </w:t>
            </w:r>
            <w:r w:rsidRPr="007D5CE7">
              <w:rPr>
                <w:color w:val="000000"/>
                <w:szCs w:val="17"/>
                <w:lang w:eastAsia="en-AU"/>
              </w:rPr>
              <w:t>value</w:t>
            </w:r>
            <w:r>
              <w:rPr>
                <w:color w:val="000000"/>
                <w:szCs w:val="17"/>
                <w:lang w:eastAsia="en-AU"/>
              </w:rPr>
              <w:t xml:space="preserve"> </w:t>
            </w:r>
            <w:r w:rsidRPr="007D5CE7">
              <w:rPr>
                <w:color w:val="000000"/>
                <w:szCs w:val="17"/>
                <w:lang w:eastAsia="en-AU"/>
              </w:rPr>
              <w:t>manufacturers</w:t>
            </w:r>
            <w:r>
              <w:rPr>
                <w:color w:val="000000"/>
                <w:szCs w:val="17"/>
                <w:lang w:eastAsia="en-AU"/>
              </w:rPr>
              <w:t xml:space="preserve"> </w:t>
            </w:r>
            <w:r w:rsidRPr="007D5CE7">
              <w:rPr>
                <w:color w:val="000000"/>
                <w:szCs w:val="17"/>
                <w:lang w:eastAsia="en-AU"/>
              </w:rPr>
              <w:t>–</w:t>
            </w:r>
            <w:r>
              <w:rPr>
                <w:color w:val="000000"/>
                <w:szCs w:val="17"/>
                <w:lang w:eastAsia="en-AU"/>
              </w:rPr>
              <w:t xml:space="preserve"> </w:t>
            </w:r>
            <w:r w:rsidRPr="007D5CE7">
              <w:rPr>
                <w:color w:val="000000"/>
                <w:szCs w:val="17"/>
                <w:lang w:eastAsia="en-AU"/>
              </w:rPr>
              <w:t>Category</w:t>
            </w:r>
            <w:r>
              <w:rPr>
                <w:color w:val="000000"/>
                <w:szCs w:val="17"/>
                <w:lang w:eastAsia="en-AU"/>
              </w:rPr>
              <w:t xml:space="preserve"> </w:t>
            </w:r>
            <w:r w:rsidRPr="007D5CE7">
              <w:rPr>
                <w:color w:val="000000"/>
                <w:szCs w:val="17"/>
                <w:lang w:eastAsia="en-AU"/>
              </w:rPr>
              <w:t>1</w:t>
            </w:r>
          </w:p>
        </w:tc>
        <w:tc>
          <w:tcPr>
            <w:tcW w:w="1251" w:type="dxa"/>
            <w:tcBorders>
              <w:top w:val="single" w:sz="4" w:space="0" w:color="auto"/>
              <w:left w:val="single" w:sz="4" w:space="0" w:color="auto"/>
              <w:bottom w:val="single" w:sz="4" w:space="0" w:color="auto"/>
              <w:right w:val="single" w:sz="4" w:space="0" w:color="auto"/>
            </w:tcBorders>
            <w:vAlign w:val="center"/>
          </w:tcPr>
          <w:p w14:paraId="602A73AB" w14:textId="30A539C4" w:rsidR="0037465D" w:rsidRPr="00114D98" w:rsidRDefault="0037465D" w:rsidP="009231A1">
            <w:pPr>
              <w:pStyle w:val="APVMATableText"/>
              <w:jc w:val="right"/>
              <w:rPr>
                <w:bCs/>
                <w:color w:val="000000"/>
                <w:szCs w:val="17"/>
                <w:lang w:eastAsia="en-AU"/>
              </w:rPr>
            </w:pPr>
            <w:r>
              <w:rPr>
                <w:color w:val="000000"/>
                <w:szCs w:val="17"/>
              </w:rPr>
              <w:t>18,750</w:t>
            </w:r>
          </w:p>
        </w:tc>
        <w:tc>
          <w:tcPr>
            <w:tcW w:w="1251" w:type="dxa"/>
            <w:tcBorders>
              <w:top w:val="single" w:sz="4" w:space="0" w:color="auto"/>
              <w:left w:val="single" w:sz="4" w:space="0" w:color="auto"/>
              <w:bottom w:val="single" w:sz="4" w:space="0" w:color="auto"/>
              <w:right w:val="single" w:sz="4" w:space="0" w:color="auto"/>
            </w:tcBorders>
            <w:vAlign w:val="center"/>
          </w:tcPr>
          <w:p w14:paraId="57A45198" w14:textId="4DA5D371" w:rsidR="0037465D" w:rsidRPr="00114D98" w:rsidRDefault="0037465D" w:rsidP="009231A1">
            <w:pPr>
              <w:pStyle w:val="APVMATableText"/>
              <w:jc w:val="right"/>
              <w:rPr>
                <w:bCs/>
                <w:lang w:eastAsia="en-AU"/>
              </w:rPr>
            </w:pPr>
            <w:r>
              <w:rPr>
                <w:color w:val="000000"/>
                <w:szCs w:val="17"/>
              </w:rPr>
              <w:t>8,603</w:t>
            </w:r>
          </w:p>
        </w:tc>
        <w:tc>
          <w:tcPr>
            <w:tcW w:w="1251" w:type="dxa"/>
            <w:tcBorders>
              <w:top w:val="single" w:sz="4" w:space="0" w:color="auto"/>
              <w:left w:val="single" w:sz="4" w:space="0" w:color="auto"/>
              <w:bottom w:val="single" w:sz="4" w:space="0" w:color="auto"/>
              <w:right w:val="single" w:sz="4" w:space="0" w:color="auto"/>
            </w:tcBorders>
            <w:vAlign w:val="center"/>
          </w:tcPr>
          <w:p w14:paraId="55DB1254" w14:textId="6DAD7B93" w:rsidR="0037465D" w:rsidRDefault="0037465D" w:rsidP="009231A1">
            <w:pPr>
              <w:pStyle w:val="APVMATableText"/>
              <w:jc w:val="right"/>
              <w:rPr>
                <w:bCs/>
                <w:color w:val="000000"/>
                <w:szCs w:val="17"/>
                <w:lang w:eastAsia="en-AU"/>
              </w:rPr>
            </w:pPr>
            <w:r>
              <w:rPr>
                <w:color w:val="000000"/>
                <w:szCs w:val="17"/>
              </w:rPr>
              <w:t>-54</w:t>
            </w:r>
          </w:p>
        </w:tc>
        <w:tc>
          <w:tcPr>
            <w:tcW w:w="1251" w:type="dxa"/>
            <w:tcBorders>
              <w:top w:val="single" w:sz="4" w:space="0" w:color="auto"/>
              <w:left w:val="single" w:sz="4" w:space="0" w:color="auto"/>
              <w:bottom w:val="single" w:sz="4" w:space="0" w:color="auto"/>
              <w:right w:val="single" w:sz="4" w:space="0" w:color="auto"/>
            </w:tcBorders>
            <w:vAlign w:val="center"/>
          </w:tcPr>
          <w:p w14:paraId="505AFFC0" w14:textId="336ABB54" w:rsidR="0037465D" w:rsidRPr="00114D98" w:rsidRDefault="0037465D" w:rsidP="009231A1">
            <w:pPr>
              <w:pStyle w:val="APVMATableText"/>
              <w:jc w:val="right"/>
              <w:rPr>
                <w:bCs/>
                <w:color w:val="000000"/>
                <w:szCs w:val="17"/>
                <w:lang w:eastAsia="en-AU"/>
              </w:rPr>
            </w:pPr>
            <w:r>
              <w:rPr>
                <w:color w:val="000000"/>
                <w:szCs w:val="17"/>
              </w:rPr>
              <w:t>3,750</w:t>
            </w:r>
          </w:p>
        </w:tc>
        <w:tc>
          <w:tcPr>
            <w:tcW w:w="1251" w:type="dxa"/>
            <w:shd w:val="clear" w:color="auto" w:fill="D5D7D5" w:themeFill="text1" w:themeFillTint="33"/>
            <w:vAlign w:val="center"/>
          </w:tcPr>
          <w:p w14:paraId="4E123D6B" w14:textId="20A141FC" w:rsidR="0037465D" w:rsidRPr="0037465D" w:rsidRDefault="0037465D" w:rsidP="009231A1">
            <w:pPr>
              <w:pStyle w:val="APVMATableText"/>
              <w:jc w:val="right"/>
              <w:rPr>
                <w:bCs/>
                <w:lang w:eastAsia="en-AU"/>
              </w:rPr>
            </w:pPr>
            <w:r>
              <w:rPr>
                <w:color w:val="000000"/>
                <w:szCs w:val="17"/>
              </w:rPr>
              <w:t>4,302</w:t>
            </w:r>
          </w:p>
        </w:tc>
        <w:tc>
          <w:tcPr>
            <w:tcW w:w="1251" w:type="dxa"/>
            <w:vAlign w:val="center"/>
          </w:tcPr>
          <w:p w14:paraId="2CCB1574" w14:textId="656D2A6D" w:rsidR="0037465D" w:rsidRDefault="0037465D" w:rsidP="009231A1">
            <w:pPr>
              <w:pStyle w:val="APVMATableText"/>
              <w:jc w:val="right"/>
              <w:rPr>
                <w:bCs/>
                <w:color w:val="000000"/>
                <w:szCs w:val="17"/>
                <w:lang w:eastAsia="en-AU"/>
              </w:rPr>
            </w:pPr>
            <w:r>
              <w:rPr>
                <w:color w:val="000000"/>
                <w:szCs w:val="17"/>
              </w:rPr>
              <w:t>15</w:t>
            </w:r>
          </w:p>
        </w:tc>
      </w:tr>
      <w:tr w:rsidR="0037465D" w14:paraId="05249672" w14:textId="77777777">
        <w:trPr>
          <w:trHeight w:val="465"/>
        </w:trPr>
        <w:tc>
          <w:tcPr>
            <w:tcW w:w="2122" w:type="dxa"/>
            <w:tcBorders>
              <w:top w:val="single" w:sz="4" w:space="0" w:color="auto"/>
              <w:left w:val="single" w:sz="4" w:space="0" w:color="auto"/>
              <w:bottom w:val="single" w:sz="4" w:space="0" w:color="auto"/>
              <w:right w:val="single" w:sz="4" w:space="0" w:color="auto"/>
            </w:tcBorders>
            <w:vAlign w:val="center"/>
          </w:tcPr>
          <w:p w14:paraId="795DDBD3" w14:textId="2801752F" w:rsidR="0037465D" w:rsidRPr="007D5CE7" w:rsidRDefault="0037465D" w:rsidP="0037465D">
            <w:pPr>
              <w:pStyle w:val="APVMATableText"/>
              <w:rPr>
                <w:lang w:eastAsia="en-AU"/>
              </w:rPr>
            </w:pPr>
            <w:r w:rsidRPr="007D5CE7">
              <w:rPr>
                <w:color w:val="000000"/>
                <w:szCs w:val="17"/>
                <w:lang w:eastAsia="en-AU"/>
              </w:rPr>
              <w:t>Low</w:t>
            </w:r>
            <w:r>
              <w:rPr>
                <w:color w:val="000000"/>
                <w:szCs w:val="17"/>
                <w:lang w:eastAsia="en-AU"/>
              </w:rPr>
              <w:t xml:space="preserve"> </w:t>
            </w:r>
            <w:r w:rsidRPr="007D5CE7">
              <w:rPr>
                <w:color w:val="000000"/>
                <w:szCs w:val="17"/>
                <w:lang w:eastAsia="en-AU"/>
              </w:rPr>
              <w:t>value</w:t>
            </w:r>
            <w:r>
              <w:rPr>
                <w:color w:val="000000"/>
                <w:szCs w:val="17"/>
                <w:lang w:eastAsia="en-AU"/>
              </w:rPr>
              <w:t xml:space="preserve"> </w:t>
            </w:r>
            <w:r w:rsidRPr="007D5CE7">
              <w:rPr>
                <w:color w:val="000000"/>
                <w:szCs w:val="17"/>
                <w:lang w:eastAsia="en-AU"/>
              </w:rPr>
              <w:t>manufacturers</w:t>
            </w:r>
            <w:r>
              <w:rPr>
                <w:color w:val="000000"/>
                <w:szCs w:val="17"/>
                <w:lang w:eastAsia="en-AU"/>
              </w:rPr>
              <w:t xml:space="preserve"> </w:t>
            </w:r>
            <w:r w:rsidRPr="007D5CE7">
              <w:rPr>
                <w:color w:val="000000"/>
                <w:szCs w:val="17"/>
                <w:lang w:eastAsia="en-AU"/>
              </w:rPr>
              <w:t>–</w:t>
            </w:r>
            <w:r>
              <w:rPr>
                <w:color w:val="000000"/>
                <w:szCs w:val="17"/>
                <w:lang w:eastAsia="en-AU"/>
              </w:rPr>
              <w:t xml:space="preserve"> </w:t>
            </w:r>
            <w:r w:rsidRPr="007D5CE7">
              <w:rPr>
                <w:color w:val="000000"/>
                <w:szCs w:val="17"/>
                <w:lang w:eastAsia="en-AU"/>
              </w:rPr>
              <w:t>Categories</w:t>
            </w:r>
            <w:r>
              <w:rPr>
                <w:color w:val="000000"/>
                <w:szCs w:val="17"/>
                <w:lang w:eastAsia="en-AU"/>
              </w:rPr>
              <w:t xml:space="preserve"> </w:t>
            </w:r>
            <w:r w:rsidRPr="007D5CE7">
              <w:rPr>
                <w:color w:val="000000"/>
                <w:szCs w:val="17"/>
                <w:lang w:eastAsia="en-AU"/>
              </w:rPr>
              <w:t>2,3</w:t>
            </w:r>
            <w:r>
              <w:rPr>
                <w:color w:val="000000"/>
                <w:szCs w:val="17"/>
                <w:lang w:eastAsia="en-AU"/>
              </w:rPr>
              <w:t xml:space="preserve"> </w:t>
            </w:r>
            <w:r w:rsidRPr="007D5CE7">
              <w:rPr>
                <w:color w:val="000000"/>
                <w:szCs w:val="17"/>
                <w:lang w:eastAsia="en-AU"/>
              </w:rPr>
              <w:t>or</w:t>
            </w:r>
            <w:r>
              <w:rPr>
                <w:color w:val="000000"/>
                <w:szCs w:val="17"/>
                <w:lang w:eastAsia="en-AU"/>
              </w:rPr>
              <w:t xml:space="preserve"> </w:t>
            </w:r>
            <w:r w:rsidRPr="007D5CE7">
              <w:rPr>
                <w:color w:val="000000"/>
                <w:szCs w:val="17"/>
                <w:lang w:eastAsia="en-AU"/>
              </w:rPr>
              <w:t>4</w:t>
            </w:r>
          </w:p>
        </w:tc>
        <w:tc>
          <w:tcPr>
            <w:tcW w:w="1251" w:type="dxa"/>
            <w:tcBorders>
              <w:top w:val="single" w:sz="4" w:space="0" w:color="auto"/>
              <w:left w:val="single" w:sz="4" w:space="0" w:color="auto"/>
              <w:bottom w:val="single" w:sz="4" w:space="0" w:color="auto"/>
              <w:right w:val="single" w:sz="4" w:space="0" w:color="auto"/>
            </w:tcBorders>
            <w:vAlign w:val="center"/>
          </w:tcPr>
          <w:p w14:paraId="20C72816" w14:textId="5AF960E4" w:rsidR="0037465D" w:rsidRPr="00114D98" w:rsidRDefault="0037465D" w:rsidP="009231A1">
            <w:pPr>
              <w:pStyle w:val="APVMATableText"/>
              <w:jc w:val="right"/>
              <w:rPr>
                <w:bCs/>
                <w:color w:val="000000"/>
                <w:szCs w:val="17"/>
                <w:lang w:eastAsia="en-AU"/>
              </w:rPr>
            </w:pPr>
            <w:r>
              <w:rPr>
                <w:color w:val="000000"/>
                <w:szCs w:val="17"/>
              </w:rPr>
              <w:t>12,500</w:t>
            </w:r>
          </w:p>
        </w:tc>
        <w:tc>
          <w:tcPr>
            <w:tcW w:w="1251" w:type="dxa"/>
            <w:tcBorders>
              <w:top w:val="single" w:sz="4" w:space="0" w:color="auto"/>
              <w:left w:val="single" w:sz="4" w:space="0" w:color="auto"/>
              <w:bottom w:val="single" w:sz="4" w:space="0" w:color="auto"/>
              <w:right w:val="single" w:sz="4" w:space="0" w:color="auto"/>
            </w:tcBorders>
            <w:vAlign w:val="center"/>
          </w:tcPr>
          <w:p w14:paraId="1359A657" w14:textId="2C06FC59" w:rsidR="0037465D" w:rsidRPr="00114D98" w:rsidRDefault="0037465D" w:rsidP="009231A1">
            <w:pPr>
              <w:pStyle w:val="APVMATableText"/>
              <w:jc w:val="right"/>
              <w:rPr>
                <w:bCs/>
                <w:lang w:eastAsia="en-AU"/>
              </w:rPr>
            </w:pPr>
            <w:r>
              <w:rPr>
                <w:color w:val="000000"/>
                <w:szCs w:val="17"/>
              </w:rPr>
              <w:t>6,760</w:t>
            </w:r>
          </w:p>
        </w:tc>
        <w:tc>
          <w:tcPr>
            <w:tcW w:w="1251" w:type="dxa"/>
            <w:tcBorders>
              <w:top w:val="single" w:sz="4" w:space="0" w:color="auto"/>
              <w:left w:val="single" w:sz="4" w:space="0" w:color="auto"/>
              <w:bottom w:val="single" w:sz="4" w:space="0" w:color="auto"/>
              <w:right w:val="single" w:sz="4" w:space="0" w:color="auto"/>
            </w:tcBorders>
            <w:vAlign w:val="center"/>
          </w:tcPr>
          <w:p w14:paraId="714F22FB" w14:textId="230B9CEE" w:rsidR="0037465D" w:rsidRDefault="0037465D" w:rsidP="009231A1">
            <w:pPr>
              <w:pStyle w:val="APVMATableText"/>
              <w:jc w:val="right"/>
              <w:rPr>
                <w:bCs/>
                <w:color w:val="000000"/>
                <w:szCs w:val="17"/>
                <w:lang w:eastAsia="en-AU"/>
              </w:rPr>
            </w:pPr>
            <w:r>
              <w:rPr>
                <w:color w:val="000000"/>
                <w:szCs w:val="17"/>
              </w:rPr>
              <w:t>-46</w:t>
            </w:r>
          </w:p>
        </w:tc>
        <w:tc>
          <w:tcPr>
            <w:tcW w:w="1251" w:type="dxa"/>
            <w:tcBorders>
              <w:top w:val="single" w:sz="4" w:space="0" w:color="auto"/>
              <w:left w:val="single" w:sz="4" w:space="0" w:color="auto"/>
              <w:bottom w:val="single" w:sz="4" w:space="0" w:color="auto"/>
              <w:right w:val="single" w:sz="4" w:space="0" w:color="auto"/>
            </w:tcBorders>
            <w:vAlign w:val="center"/>
          </w:tcPr>
          <w:p w14:paraId="03FDED0D" w14:textId="0F900B97" w:rsidR="0037465D" w:rsidRPr="00114D98" w:rsidRDefault="0037465D" w:rsidP="009231A1">
            <w:pPr>
              <w:pStyle w:val="APVMATableText"/>
              <w:jc w:val="right"/>
              <w:rPr>
                <w:bCs/>
                <w:color w:val="000000"/>
                <w:szCs w:val="17"/>
                <w:lang w:eastAsia="en-AU"/>
              </w:rPr>
            </w:pPr>
            <w:r>
              <w:rPr>
                <w:color w:val="000000"/>
                <w:szCs w:val="17"/>
              </w:rPr>
              <w:t>2,500</w:t>
            </w:r>
          </w:p>
        </w:tc>
        <w:tc>
          <w:tcPr>
            <w:tcW w:w="1251" w:type="dxa"/>
            <w:shd w:val="clear" w:color="auto" w:fill="D5D7D5" w:themeFill="text1" w:themeFillTint="33"/>
            <w:vAlign w:val="center"/>
          </w:tcPr>
          <w:p w14:paraId="3F7BB48F" w14:textId="24194B04" w:rsidR="0037465D" w:rsidRPr="0037465D" w:rsidRDefault="0037465D" w:rsidP="009231A1">
            <w:pPr>
              <w:pStyle w:val="APVMATableText"/>
              <w:jc w:val="right"/>
              <w:rPr>
                <w:bCs/>
                <w:lang w:eastAsia="en-AU"/>
              </w:rPr>
            </w:pPr>
            <w:r>
              <w:rPr>
                <w:color w:val="000000"/>
                <w:szCs w:val="17"/>
              </w:rPr>
              <w:t>3,380</w:t>
            </w:r>
          </w:p>
        </w:tc>
        <w:tc>
          <w:tcPr>
            <w:tcW w:w="1251" w:type="dxa"/>
            <w:vAlign w:val="center"/>
          </w:tcPr>
          <w:p w14:paraId="07CAAB91" w14:textId="795FA3E7" w:rsidR="0037465D" w:rsidRDefault="0037465D" w:rsidP="009231A1">
            <w:pPr>
              <w:pStyle w:val="APVMATableText"/>
              <w:jc w:val="right"/>
              <w:rPr>
                <w:bCs/>
                <w:color w:val="000000"/>
                <w:szCs w:val="17"/>
                <w:lang w:eastAsia="en-AU"/>
              </w:rPr>
            </w:pPr>
            <w:r>
              <w:rPr>
                <w:color w:val="000000"/>
                <w:szCs w:val="17"/>
              </w:rPr>
              <w:t>35</w:t>
            </w:r>
          </w:p>
        </w:tc>
      </w:tr>
      <w:tr w:rsidR="0037465D" w14:paraId="2C3535B2" w14:textId="77777777">
        <w:trPr>
          <w:trHeight w:val="465"/>
        </w:trPr>
        <w:tc>
          <w:tcPr>
            <w:tcW w:w="2122" w:type="dxa"/>
            <w:tcBorders>
              <w:top w:val="single" w:sz="4" w:space="0" w:color="auto"/>
              <w:left w:val="single" w:sz="4" w:space="0" w:color="auto"/>
              <w:bottom w:val="single" w:sz="4" w:space="0" w:color="auto"/>
              <w:right w:val="single" w:sz="4" w:space="0" w:color="auto"/>
            </w:tcBorders>
            <w:vAlign w:val="center"/>
          </w:tcPr>
          <w:p w14:paraId="50523A57" w14:textId="651FD1BF" w:rsidR="0037465D" w:rsidRPr="007D5CE7" w:rsidRDefault="0037465D" w:rsidP="0037465D">
            <w:pPr>
              <w:pStyle w:val="APVMATableText"/>
              <w:rPr>
                <w:lang w:eastAsia="en-AU"/>
              </w:rPr>
            </w:pPr>
            <w:r w:rsidRPr="007D5CE7">
              <w:rPr>
                <w:color w:val="000000"/>
                <w:szCs w:val="17"/>
                <w:lang w:eastAsia="en-AU"/>
              </w:rPr>
              <w:t>Low</w:t>
            </w:r>
            <w:r>
              <w:rPr>
                <w:color w:val="000000"/>
                <w:szCs w:val="17"/>
                <w:lang w:eastAsia="en-AU"/>
              </w:rPr>
              <w:t xml:space="preserve"> </w:t>
            </w:r>
            <w:r w:rsidRPr="007D5CE7">
              <w:rPr>
                <w:color w:val="000000"/>
                <w:szCs w:val="17"/>
                <w:lang w:eastAsia="en-AU"/>
              </w:rPr>
              <w:t>value</w:t>
            </w:r>
            <w:r>
              <w:rPr>
                <w:color w:val="000000"/>
                <w:szCs w:val="17"/>
                <w:lang w:eastAsia="en-AU"/>
              </w:rPr>
              <w:t xml:space="preserve"> </w:t>
            </w:r>
            <w:r w:rsidRPr="007D5CE7">
              <w:rPr>
                <w:color w:val="000000"/>
                <w:szCs w:val="17"/>
                <w:lang w:eastAsia="en-AU"/>
              </w:rPr>
              <w:t>manufacturers</w:t>
            </w:r>
            <w:r>
              <w:rPr>
                <w:color w:val="000000"/>
                <w:szCs w:val="17"/>
                <w:lang w:eastAsia="en-AU"/>
              </w:rPr>
              <w:t xml:space="preserve"> </w:t>
            </w:r>
            <w:r w:rsidRPr="007D5CE7">
              <w:rPr>
                <w:color w:val="000000"/>
                <w:szCs w:val="17"/>
                <w:lang w:eastAsia="en-AU"/>
              </w:rPr>
              <w:t>–</w:t>
            </w:r>
            <w:r>
              <w:rPr>
                <w:color w:val="000000"/>
                <w:szCs w:val="17"/>
                <w:lang w:eastAsia="en-AU"/>
              </w:rPr>
              <w:t xml:space="preserve"> </w:t>
            </w:r>
            <w:r w:rsidRPr="007D5CE7">
              <w:rPr>
                <w:color w:val="000000"/>
                <w:szCs w:val="17"/>
                <w:lang w:eastAsia="en-AU"/>
              </w:rPr>
              <w:t>Category</w:t>
            </w:r>
            <w:r>
              <w:rPr>
                <w:color w:val="000000"/>
                <w:szCs w:val="17"/>
                <w:lang w:eastAsia="en-AU"/>
              </w:rPr>
              <w:t xml:space="preserve"> </w:t>
            </w:r>
            <w:r w:rsidRPr="007D5CE7">
              <w:rPr>
                <w:color w:val="000000"/>
                <w:szCs w:val="17"/>
                <w:lang w:eastAsia="en-AU"/>
              </w:rPr>
              <w:t>6</w:t>
            </w:r>
          </w:p>
        </w:tc>
        <w:tc>
          <w:tcPr>
            <w:tcW w:w="1251" w:type="dxa"/>
            <w:tcBorders>
              <w:top w:val="single" w:sz="4" w:space="0" w:color="auto"/>
              <w:left w:val="single" w:sz="4" w:space="0" w:color="auto"/>
              <w:bottom w:val="single" w:sz="4" w:space="0" w:color="auto"/>
              <w:right w:val="single" w:sz="4" w:space="0" w:color="auto"/>
            </w:tcBorders>
            <w:vAlign w:val="center"/>
          </w:tcPr>
          <w:p w14:paraId="7D94FFC8" w14:textId="10BE7DE8" w:rsidR="0037465D" w:rsidRPr="00114D98" w:rsidRDefault="0037465D" w:rsidP="009231A1">
            <w:pPr>
              <w:pStyle w:val="APVMATableText"/>
              <w:jc w:val="right"/>
              <w:rPr>
                <w:bCs/>
                <w:color w:val="000000"/>
                <w:szCs w:val="17"/>
                <w:lang w:eastAsia="en-AU"/>
              </w:rPr>
            </w:pPr>
            <w:r>
              <w:rPr>
                <w:color w:val="000000"/>
                <w:szCs w:val="17"/>
              </w:rPr>
              <w:t>4,500</w:t>
            </w:r>
          </w:p>
        </w:tc>
        <w:tc>
          <w:tcPr>
            <w:tcW w:w="1251" w:type="dxa"/>
            <w:tcBorders>
              <w:top w:val="single" w:sz="4" w:space="0" w:color="auto"/>
              <w:left w:val="single" w:sz="4" w:space="0" w:color="auto"/>
              <w:bottom w:val="single" w:sz="4" w:space="0" w:color="auto"/>
              <w:right w:val="single" w:sz="4" w:space="0" w:color="auto"/>
            </w:tcBorders>
            <w:vAlign w:val="center"/>
          </w:tcPr>
          <w:p w14:paraId="5825963D" w14:textId="76F0E7DF" w:rsidR="0037465D" w:rsidRPr="00114D98" w:rsidRDefault="0037465D" w:rsidP="009231A1">
            <w:pPr>
              <w:pStyle w:val="APVMATableText"/>
              <w:jc w:val="right"/>
              <w:rPr>
                <w:bCs/>
                <w:lang w:eastAsia="en-AU"/>
              </w:rPr>
            </w:pPr>
            <w:r>
              <w:rPr>
                <w:color w:val="000000"/>
                <w:szCs w:val="17"/>
              </w:rPr>
              <w:t>3,687</w:t>
            </w:r>
          </w:p>
        </w:tc>
        <w:tc>
          <w:tcPr>
            <w:tcW w:w="1251" w:type="dxa"/>
            <w:tcBorders>
              <w:top w:val="single" w:sz="4" w:space="0" w:color="auto"/>
              <w:left w:val="single" w:sz="4" w:space="0" w:color="auto"/>
              <w:bottom w:val="single" w:sz="4" w:space="0" w:color="auto"/>
              <w:right w:val="single" w:sz="4" w:space="0" w:color="auto"/>
            </w:tcBorders>
            <w:vAlign w:val="center"/>
          </w:tcPr>
          <w:p w14:paraId="3501824B" w14:textId="12FC57DE" w:rsidR="0037465D" w:rsidRDefault="0037465D" w:rsidP="009231A1">
            <w:pPr>
              <w:pStyle w:val="APVMATableText"/>
              <w:jc w:val="right"/>
              <w:rPr>
                <w:bCs/>
                <w:color w:val="000000"/>
                <w:szCs w:val="17"/>
                <w:lang w:eastAsia="en-AU"/>
              </w:rPr>
            </w:pPr>
            <w:r>
              <w:rPr>
                <w:color w:val="000000"/>
                <w:szCs w:val="17"/>
              </w:rPr>
              <w:t>-18</w:t>
            </w:r>
          </w:p>
        </w:tc>
        <w:tc>
          <w:tcPr>
            <w:tcW w:w="1251" w:type="dxa"/>
            <w:tcBorders>
              <w:top w:val="single" w:sz="4" w:space="0" w:color="auto"/>
              <w:left w:val="single" w:sz="4" w:space="0" w:color="auto"/>
              <w:bottom w:val="single" w:sz="4" w:space="0" w:color="auto"/>
              <w:right w:val="single" w:sz="4" w:space="0" w:color="auto"/>
            </w:tcBorders>
            <w:vAlign w:val="center"/>
          </w:tcPr>
          <w:p w14:paraId="15F052D0" w14:textId="75C38AE1" w:rsidR="0037465D" w:rsidRPr="00114D98" w:rsidRDefault="0037465D" w:rsidP="009231A1">
            <w:pPr>
              <w:pStyle w:val="APVMATableText"/>
              <w:jc w:val="right"/>
              <w:rPr>
                <w:bCs/>
                <w:color w:val="000000"/>
                <w:szCs w:val="17"/>
                <w:lang w:eastAsia="en-AU"/>
              </w:rPr>
            </w:pPr>
            <w:r>
              <w:rPr>
                <w:color w:val="000000"/>
                <w:szCs w:val="17"/>
              </w:rPr>
              <w:t>900</w:t>
            </w:r>
          </w:p>
        </w:tc>
        <w:tc>
          <w:tcPr>
            <w:tcW w:w="1251" w:type="dxa"/>
            <w:shd w:val="clear" w:color="auto" w:fill="D5D7D5" w:themeFill="text1" w:themeFillTint="33"/>
            <w:vAlign w:val="center"/>
          </w:tcPr>
          <w:p w14:paraId="3FA5A7B1" w14:textId="69B3D285" w:rsidR="0037465D" w:rsidRPr="0037465D" w:rsidRDefault="0037465D" w:rsidP="009231A1">
            <w:pPr>
              <w:pStyle w:val="APVMATableText"/>
              <w:jc w:val="right"/>
              <w:rPr>
                <w:bCs/>
                <w:lang w:eastAsia="en-AU"/>
              </w:rPr>
            </w:pPr>
            <w:r>
              <w:rPr>
                <w:color w:val="000000"/>
                <w:szCs w:val="17"/>
              </w:rPr>
              <w:t>1,844</w:t>
            </w:r>
          </w:p>
        </w:tc>
        <w:tc>
          <w:tcPr>
            <w:tcW w:w="1251" w:type="dxa"/>
            <w:vAlign w:val="center"/>
          </w:tcPr>
          <w:p w14:paraId="511EF8A2" w14:textId="32A03107" w:rsidR="0037465D" w:rsidRDefault="0037465D" w:rsidP="009231A1">
            <w:pPr>
              <w:pStyle w:val="APVMATableText"/>
              <w:jc w:val="right"/>
              <w:rPr>
                <w:bCs/>
                <w:color w:val="000000"/>
                <w:szCs w:val="17"/>
                <w:lang w:eastAsia="en-AU"/>
              </w:rPr>
            </w:pPr>
            <w:r>
              <w:rPr>
                <w:color w:val="000000"/>
                <w:szCs w:val="17"/>
              </w:rPr>
              <w:t>105</w:t>
            </w:r>
          </w:p>
        </w:tc>
      </w:tr>
      <w:tr w:rsidR="0037465D" w14:paraId="0C96401D" w14:textId="77777777">
        <w:trPr>
          <w:trHeight w:val="465"/>
        </w:trPr>
        <w:tc>
          <w:tcPr>
            <w:tcW w:w="2122" w:type="dxa"/>
            <w:tcBorders>
              <w:top w:val="single" w:sz="4" w:space="0" w:color="auto"/>
              <w:left w:val="single" w:sz="4" w:space="0" w:color="auto"/>
              <w:bottom w:val="single" w:sz="4" w:space="0" w:color="auto"/>
              <w:right w:val="single" w:sz="4" w:space="0" w:color="auto"/>
            </w:tcBorders>
            <w:vAlign w:val="center"/>
          </w:tcPr>
          <w:p w14:paraId="3847FC44" w14:textId="4685A4EC" w:rsidR="0037465D" w:rsidRPr="007D5CE7" w:rsidRDefault="0037465D" w:rsidP="0037465D">
            <w:pPr>
              <w:pStyle w:val="APVMATableText"/>
              <w:rPr>
                <w:lang w:eastAsia="en-AU"/>
              </w:rPr>
            </w:pPr>
            <w:r w:rsidRPr="007D5CE7">
              <w:rPr>
                <w:color w:val="000000"/>
                <w:szCs w:val="17"/>
                <w:lang w:eastAsia="en-AU"/>
              </w:rPr>
              <w:t>Low</w:t>
            </w:r>
            <w:r>
              <w:rPr>
                <w:color w:val="000000"/>
                <w:szCs w:val="17"/>
                <w:lang w:eastAsia="en-AU"/>
              </w:rPr>
              <w:t xml:space="preserve"> </w:t>
            </w:r>
            <w:r w:rsidRPr="007D5CE7">
              <w:rPr>
                <w:color w:val="000000"/>
                <w:szCs w:val="17"/>
                <w:lang w:eastAsia="en-AU"/>
              </w:rPr>
              <w:t>value</w:t>
            </w:r>
            <w:r>
              <w:rPr>
                <w:color w:val="000000"/>
                <w:szCs w:val="17"/>
                <w:lang w:eastAsia="en-AU"/>
              </w:rPr>
              <w:t xml:space="preserve"> </w:t>
            </w:r>
            <w:r w:rsidRPr="007D5CE7">
              <w:rPr>
                <w:color w:val="000000"/>
                <w:szCs w:val="17"/>
                <w:lang w:eastAsia="en-AU"/>
              </w:rPr>
              <w:t>manufacturers</w:t>
            </w:r>
            <w:r>
              <w:rPr>
                <w:color w:val="000000"/>
                <w:szCs w:val="17"/>
                <w:lang w:eastAsia="en-AU"/>
              </w:rPr>
              <w:t xml:space="preserve"> </w:t>
            </w:r>
            <w:r w:rsidRPr="007D5CE7">
              <w:rPr>
                <w:color w:val="000000"/>
                <w:szCs w:val="17"/>
                <w:lang w:eastAsia="en-AU"/>
              </w:rPr>
              <w:t>–</w:t>
            </w:r>
            <w:r>
              <w:rPr>
                <w:color w:val="000000"/>
                <w:szCs w:val="17"/>
                <w:lang w:eastAsia="en-AU"/>
              </w:rPr>
              <w:br/>
            </w:r>
            <w:proofErr w:type="gramStart"/>
            <w:r>
              <w:rPr>
                <w:color w:val="000000"/>
                <w:szCs w:val="17"/>
                <w:lang w:eastAsia="en-AU"/>
              </w:rPr>
              <w:t>M</w:t>
            </w:r>
            <w:r w:rsidRPr="007D5CE7">
              <w:rPr>
                <w:color w:val="000000"/>
                <w:szCs w:val="17"/>
                <w:lang w:eastAsia="en-AU"/>
              </w:rPr>
              <w:t>ulti-category</w:t>
            </w:r>
            <w:proofErr w:type="gramEnd"/>
          </w:p>
        </w:tc>
        <w:tc>
          <w:tcPr>
            <w:tcW w:w="1251" w:type="dxa"/>
            <w:tcBorders>
              <w:top w:val="single" w:sz="4" w:space="0" w:color="auto"/>
              <w:left w:val="single" w:sz="4" w:space="0" w:color="auto"/>
              <w:bottom w:val="single" w:sz="4" w:space="0" w:color="auto"/>
              <w:right w:val="single" w:sz="4" w:space="0" w:color="auto"/>
            </w:tcBorders>
            <w:vAlign w:val="center"/>
          </w:tcPr>
          <w:p w14:paraId="3CA58157" w14:textId="1014C13D" w:rsidR="0037465D" w:rsidRPr="00114D98" w:rsidRDefault="0037465D" w:rsidP="009231A1">
            <w:pPr>
              <w:pStyle w:val="APVMATableText"/>
              <w:jc w:val="right"/>
              <w:rPr>
                <w:bCs/>
                <w:color w:val="000000"/>
                <w:szCs w:val="17"/>
                <w:lang w:eastAsia="en-AU"/>
              </w:rPr>
            </w:pPr>
            <w:r>
              <w:rPr>
                <w:color w:val="000000"/>
                <w:szCs w:val="17"/>
              </w:rPr>
              <w:t>18,750</w:t>
            </w:r>
          </w:p>
        </w:tc>
        <w:tc>
          <w:tcPr>
            <w:tcW w:w="1251" w:type="dxa"/>
            <w:tcBorders>
              <w:top w:val="single" w:sz="4" w:space="0" w:color="auto"/>
              <w:left w:val="single" w:sz="4" w:space="0" w:color="auto"/>
              <w:bottom w:val="single" w:sz="4" w:space="0" w:color="auto"/>
              <w:right w:val="single" w:sz="4" w:space="0" w:color="auto"/>
            </w:tcBorders>
            <w:vAlign w:val="center"/>
          </w:tcPr>
          <w:p w14:paraId="345FA8C5" w14:textId="0745E9ED" w:rsidR="0037465D" w:rsidRPr="00114D98" w:rsidRDefault="0037465D" w:rsidP="009231A1">
            <w:pPr>
              <w:pStyle w:val="APVMATableText"/>
              <w:jc w:val="right"/>
              <w:rPr>
                <w:bCs/>
                <w:lang w:eastAsia="en-AU"/>
              </w:rPr>
            </w:pPr>
            <w:r>
              <w:rPr>
                <w:color w:val="000000"/>
                <w:szCs w:val="17"/>
              </w:rPr>
              <w:t>8,603</w:t>
            </w:r>
          </w:p>
        </w:tc>
        <w:tc>
          <w:tcPr>
            <w:tcW w:w="1251" w:type="dxa"/>
            <w:tcBorders>
              <w:top w:val="single" w:sz="4" w:space="0" w:color="auto"/>
              <w:left w:val="single" w:sz="4" w:space="0" w:color="auto"/>
              <w:bottom w:val="single" w:sz="4" w:space="0" w:color="auto"/>
              <w:right w:val="single" w:sz="4" w:space="0" w:color="auto"/>
            </w:tcBorders>
            <w:vAlign w:val="center"/>
          </w:tcPr>
          <w:p w14:paraId="54DA4FF4" w14:textId="202BD562" w:rsidR="0037465D" w:rsidRDefault="0037465D" w:rsidP="009231A1">
            <w:pPr>
              <w:pStyle w:val="APVMATableText"/>
              <w:jc w:val="right"/>
              <w:rPr>
                <w:bCs/>
                <w:color w:val="000000"/>
                <w:szCs w:val="17"/>
                <w:lang w:eastAsia="en-AU"/>
              </w:rPr>
            </w:pPr>
            <w:r>
              <w:rPr>
                <w:color w:val="000000"/>
                <w:szCs w:val="17"/>
              </w:rPr>
              <w:t>-54</w:t>
            </w:r>
          </w:p>
        </w:tc>
        <w:tc>
          <w:tcPr>
            <w:tcW w:w="1251" w:type="dxa"/>
            <w:tcBorders>
              <w:top w:val="single" w:sz="4" w:space="0" w:color="auto"/>
              <w:left w:val="single" w:sz="4" w:space="0" w:color="auto"/>
              <w:bottom w:val="single" w:sz="4" w:space="0" w:color="auto"/>
              <w:right w:val="single" w:sz="4" w:space="0" w:color="auto"/>
            </w:tcBorders>
            <w:vAlign w:val="center"/>
          </w:tcPr>
          <w:p w14:paraId="563A1AEE" w14:textId="4CA5D17D" w:rsidR="0037465D" w:rsidRPr="00114D98" w:rsidRDefault="0037465D" w:rsidP="009231A1">
            <w:pPr>
              <w:pStyle w:val="APVMATableText"/>
              <w:jc w:val="right"/>
              <w:rPr>
                <w:bCs/>
                <w:color w:val="000000"/>
                <w:szCs w:val="17"/>
                <w:lang w:eastAsia="en-AU"/>
              </w:rPr>
            </w:pPr>
            <w:r>
              <w:rPr>
                <w:color w:val="000000"/>
                <w:szCs w:val="17"/>
              </w:rPr>
              <w:t>3,750</w:t>
            </w:r>
          </w:p>
        </w:tc>
        <w:tc>
          <w:tcPr>
            <w:tcW w:w="1251" w:type="dxa"/>
            <w:shd w:val="clear" w:color="auto" w:fill="D5D7D5" w:themeFill="text1" w:themeFillTint="33"/>
            <w:vAlign w:val="center"/>
          </w:tcPr>
          <w:p w14:paraId="0E280DC2" w14:textId="10628DCB" w:rsidR="0037465D" w:rsidRPr="0037465D" w:rsidRDefault="0037465D" w:rsidP="009231A1">
            <w:pPr>
              <w:pStyle w:val="APVMATableText"/>
              <w:jc w:val="right"/>
              <w:rPr>
                <w:bCs/>
                <w:lang w:eastAsia="en-AU"/>
              </w:rPr>
            </w:pPr>
            <w:r>
              <w:rPr>
                <w:color w:val="000000"/>
                <w:szCs w:val="17"/>
              </w:rPr>
              <w:t>4,302</w:t>
            </w:r>
          </w:p>
        </w:tc>
        <w:tc>
          <w:tcPr>
            <w:tcW w:w="1251" w:type="dxa"/>
            <w:vAlign w:val="center"/>
          </w:tcPr>
          <w:p w14:paraId="31A4712B" w14:textId="2FE64F02" w:rsidR="0037465D" w:rsidRDefault="0037465D" w:rsidP="009231A1">
            <w:pPr>
              <w:pStyle w:val="APVMATableText"/>
              <w:jc w:val="right"/>
              <w:rPr>
                <w:bCs/>
                <w:color w:val="000000"/>
                <w:szCs w:val="17"/>
                <w:lang w:eastAsia="en-AU"/>
              </w:rPr>
            </w:pPr>
            <w:r>
              <w:rPr>
                <w:color w:val="000000"/>
                <w:szCs w:val="17"/>
              </w:rPr>
              <w:t>15</w:t>
            </w:r>
          </w:p>
        </w:tc>
      </w:tr>
      <w:tr w:rsidR="0037465D" w14:paraId="3CD6673E" w14:textId="77777777">
        <w:trPr>
          <w:trHeight w:val="465"/>
        </w:trPr>
        <w:tc>
          <w:tcPr>
            <w:tcW w:w="2122" w:type="dxa"/>
            <w:tcBorders>
              <w:top w:val="single" w:sz="4" w:space="0" w:color="auto"/>
              <w:left w:val="single" w:sz="4" w:space="0" w:color="auto"/>
              <w:bottom w:val="single" w:sz="4" w:space="0" w:color="auto"/>
              <w:right w:val="single" w:sz="4" w:space="0" w:color="auto"/>
            </w:tcBorders>
            <w:vAlign w:val="center"/>
          </w:tcPr>
          <w:p w14:paraId="1037D6BB" w14:textId="3171C44A" w:rsidR="0037465D" w:rsidRPr="007D5CE7" w:rsidRDefault="0037465D" w:rsidP="0037465D">
            <w:pPr>
              <w:pStyle w:val="APVMATableText"/>
              <w:rPr>
                <w:lang w:eastAsia="en-AU"/>
              </w:rPr>
            </w:pPr>
            <w:r w:rsidRPr="007D5CE7">
              <w:rPr>
                <w:color w:val="000000"/>
                <w:szCs w:val="17"/>
                <w:lang w:eastAsia="en-AU"/>
              </w:rPr>
              <w:t>GMP</w:t>
            </w:r>
            <w:r>
              <w:rPr>
                <w:color w:val="000000"/>
                <w:szCs w:val="17"/>
                <w:lang w:eastAsia="en-AU"/>
              </w:rPr>
              <w:t xml:space="preserve"> </w:t>
            </w:r>
            <w:r w:rsidRPr="007D5CE7">
              <w:rPr>
                <w:color w:val="000000"/>
                <w:szCs w:val="17"/>
                <w:lang w:eastAsia="en-AU"/>
              </w:rPr>
              <w:t>Audit</w:t>
            </w:r>
            <w:r>
              <w:rPr>
                <w:color w:val="000000"/>
                <w:szCs w:val="17"/>
                <w:lang w:eastAsia="en-AU"/>
              </w:rPr>
              <w:t xml:space="preserve"> </w:t>
            </w:r>
            <w:r w:rsidRPr="007D5CE7">
              <w:rPr>
                <w:color w:val="000000"/>
                <w:szCs w:val="17"/>
                <w:lang w:eastAsia="en-AU"/>
              </w:rPr>
              <w:t>fee</w:t>
            </w:r>
            <w:r>
              <w:rPr>
                <w:color w:val="000000"/>
                <w:szCs w:val="17"/>
                <w:lang w:eastAsia="en-AU"/>
              </w:rPr>
              <w:t xml:space="preserve"> </w:t>
            </w:r>
            <w:r>
              <w:rPr>
                <w:color w:val="000000"/>
                <w:szCs w:val="17"/>
                <w:lang w:eastAsia="en-AU"/>
              </w:rPr>
              <w:br/>
            </w:r>
            <w:r w:rsidRPr="007D5CE7">
              <w:rPr>
                <w:color w:val="000000"/>
                <w:szCs w:val="17"/>
                <w:lang w:eastAsia="en-AU"/>
              </w:rPr>
              <w:t>(if</w:t>
            </w:r>
            <w:r>
              <w:rPr>
                <w:color w:val="000000"/>
                <w:szCs w:val="17"/>
                <w:lang w:eastAsia="en-AU"/>
              </w:rPr>
              <w:t xml:space="preserve"> </w:t>
            </w:r>
            <w:r w:rsidRPr="007D5CE7">
              <w:rPr>
                <w:color w:val="000000"/>
                <w:szCs w:val="17"/>
                <w:lang w:eastAsia="en-AU"/>
              </w:rPr>
              <w:t>required)</w:t>
            </w:r>
          </w:p>
        </w:tc>
        <w:tc>
          <w:tcPr>
            <w:tcW w:w="1251" w:type="dxa"/>
            <w:tcBorders>
              <w:top w:val="single" w:sz="4" w:space="0" w:color="auto"/>
              <w:left w:val="single" w:sz="4" w:space="0" w:color="auto"/>
              <w:bottom w:val="single" w:sz="4" w:space="0" w:color="auto"/>
              <w:right w:val="single" w:sz="4" w:space="0" w:color="auto"/>
            </w:tcBorders>
            <w:vAlign w:val="center"/>
          </w:tcPr>
          <w:p w14:paraId="49356AAC" w14:textId="74840613" w:rsidR="0037465D" w:rsidRPr="00114D98" w:rsidRDefault="0037465D" w:rsidP="009231A1">
            <w:pPr>
              <w:pStyle w:val="APVMATableText"/>
              <w:jc w:val="right"/>
              <w:rPr>
                <w:bCs/>
                <w:color w:val="000000"/>
                <w:szCs w:val="17"/>
                <w:lang w:eastAsia="en-AU"/>
              </w:rPr>
            </w:pPr>
            <w:r>
              <w:rPr>
                <w:color w:val="000000"/>
                <w:szCs w:val="17"/>
              </w:rPr>
              <w:t>4,500</w:t>
            </w:r>
          </w:p>
        </w:tc>
        <w:tc>
          <w:tcPr>
            <w:tcW w:w="1251" w:type="dxa"/>
            <w:tcBorders>
              <w:top w:val="single" w:sz="4" w:space="0" w:color="auto"/>
              <w:left w:val="single" w:sz="4" w:space="0" w:color="auto"/>
              <w:bottom w:val="single" w:sz="4" w:space="0" w:color="auto"/>
              <w:right w:val="single" w:sz="4" w:space="0" w:color="auto"/>
            </w:tcBorders>
            <w:vAlign w:val="center"/>
          </w:tcPr>
          <w:p w14:paraId="214A1ECE" w14:textId="07E9F3C7" w:rsidR="0037465D" w:rsidRPr="00114D98" w:rsidRDefault="0037465D" w:rsidP="009231A1">
            <w:pPr>
              <w:pStyle w:val="APVMATableText"/>
              <w:jc w:val="right"/>
              <w:rPr>
                <w:bCs/>
                <w:lang w:eastAsia="en-AU"/>
              </w:rPr>
            </w:pPr>
            <w:r>
              <w:rPr>
                <w:color w:val="000000"/>
                <w:szCs w:val="17"/>
              </w:rPr>
              <w:t>4,302</w:t>
            </w:r>
          </w:p>
        </w:tc>
        <w:tc>
          <w:tcPr>
            <w:tcW w:w="1251" w:type="dxa"/>
            <w:tcBorders>
              <w:top w:val="single" w:sz="4" w:space="0" w:color="auto"/>
              <w:left w:val="single" w:sz="4" w:space="0" w:color="auto"/>
              <w:bottom w:val="single" w:sz="4" w:space="0" w:color="auto"/>
              <w:right w:val="single" w:sz="4" w:space="0" w:color="auto"/>
            </w:tcBorders>
            <w:vAlign w:val="center"/>
          </w:tcPr>
          <w:p w14:paraId="338C81E7" w14:textId="3539C9EC" w:rsidR="0037465D" w:rsidRDefault="0037465D" w:rsidP="009231A1">
            <w:pPr>
              <w:pStyle w:val="APVMATableText"/>
              <w:jc w:val="right"/>
              <w:rPr>
                <w:bCs/>
                <w:color w:val="000000"/>
                <w:szCs w:val="17"/>
                <w:lang w:eastAsia="en-AU"/>
              </w:rPr>
            </w:pPr>
            <w:r>
              <w:rPr>
                <w:color w:val="000000"/>
                <w:szCs w:val="17"/>
              </w:rPr>
              <w:t>-4</w:t>
            </w:r>
          </w:p>
        </w:tc>
        <w:tc>
          <w:tcPr>
            <w:tcW w:w="1251" w:type="dxa"/>
            <w:tcBorders>
              <w:top w:val="single" w:sz="4" w:space="0" w:color="auto"/>
              <w:left w:val="single" w:sz="4" w:space="0" w:color="auto"/>
              <w:bottom w:val="single" w:sz="4" w:space="0" w:color="auto"/>
              <w:right w:val="single" w:sz="4" w:space="0" w:color="auto"/>
            </w:tcBorders>
            <w:vAlign w:val="center"/>
          </w:tcPr>
          <w:p w14:paraId="3060562F" w14:textId="05043828" w:rsidR="0037465D" w:rsidRPr="00114D98" w:rsidRDefault="0037465D" w:rsidP="009231A1">
            <w:pPr>
              <w:pStyle w:val="APVMATableText"/>
              <w:jc w:val="right"/>
              <w:rPr>
                <w:bCs/>
                <w:color w:val="000000"/>
                <w:szCs w:val="17"/>
                <w:lang w:eastAsia="en-AU"/>
              </w:rPr>
            </w:pPr>
            <w:r>
              <w:rPr>
                <w:color w:val="000000"/>
                <w:szCs w:val="17"/>
              </w:rPr>
              <w:t>1,800</w:t>
            </w:r>
          </w:p>
        </w:tc>
        <w:tc>
          <w:tcPr>
            <w:tcW w:w="1251" w:type="dxa"/>
            <w:shd w:val="clear" w:color="auto" w:fill="D5D7D5" w:themeFill="text1" w:themeFillTint="33"/>
            <w:vAlign w:val="center"/>
          </w:tcPr>
          <w:p w14:paraId="7AD705B0" w14:textId="0DEB0CB5" w:rsidR="0037465D" w:rsidRPr="0037465D" w:rsidRDefault="0037465D" w:rsidP="009231A1">
            <w:pPr>
              <w:pStyle w:val="APVMATableText"/>
              <w:jc w:val="right"/>
              <w:rPr>
                <w:bCs/>
                <w:lang w:eastAsia="en-AU"/>
              </w:rPr>
            </w:pPr>
            <w:r>
              <w:rPr>
                <w:color w:val="000000"/>
                <w:szCs w:val="17"/>
              </w:rPr>
              <w:t>4,302</w:t>
            </w:r>
          </w:p>
        </w:tc>
        <w:tc>
          <w:tcPr>
            <w:tcW w:w="1251" w:type="dxa"/>
            <w:vAlign w:val="center"/>
          </w:tcPr>
          <w:p w14:paraId="26022F1E" w14:textId="0D533BBF" w:rsidR="0037465D" w:rsidRDefault="0037465D" w:rsidP="009231A1">
            <w:pPr>
              <w:pStyle w:val="APVMATableText"/>
              <w:jc w:val="right"/>
              <w:rPr>
                <w:bCs/>
                <w:color w:val="000000"/>
                <w:szCs w:val="17"/>
                <w:lang w:eastAsia="en-AU"/>
              </w:rPr>
            </w:pPr>
            <w:r>
              <w:rPr>
                <w:color w:val="000000"/>
                <w:szCs w:val="17"/>
              </w:rPr>
              <w:t>139</w:t>
            </w:r>
          </w:p>
        </w:tc>
      </w:tr>
      <w:tr w:rsidR="0037465D" w14:paraId="65C25FC6" w14:textId="77777777">
        <w:trPr>
          <w:trHeight w:val="465"/>
        </w:trPr>
        <w:tc>
          <w:tcPr>
            <w:tcW w:w="2122" w:type="dxa"/>
            <w:tcBorders>
              <w:top w:val="single" w:sz="4" w:space="0" w:color="auto"/>
              <w:left w:val="single" w:sz="4" w:space="0" w:color="auto"/>
              <w:bottom w:val="single" w:sz="4" w:space="0" w:color="auto"/>
              <w:right w:val="single" w:sz="4" w:space="0" w:color="auto"/>
            </w:tcBorders>
            <w:vAlign w:val="center"/>
          </w:tcPr>
          <w:p w14:paraId="77C50B2D" w14:textId="4D27C682" w:rsidR="0037465D" w:rsidRPr="007D5CE7" w:rsidRDefault="0037465D" w:rsidP="0037465D">
            <w:pPr>
              <w:pStyle w:val="APVMATableText"/>
              <w:rPr>
                <w:lang w:eastAsia="en-AU"/>
              </w:rPr>
            </w:pPr>
            <w:r w:rsidRPr="007D5CE7">
              <w:rPr>
                <w:color w:val="000000"/>
                <w:szCs w:val="17"/>
                <w:lang w:eastAsia="en-AU"/>
              </w:rPr>
              <w:lastRenderedPageBreak/>
              <w:t>Annual</w:t>
            </w:r>
            <w:r>
              <w:rPr>
                <w:color w:val="000000"/>
                <w:szCs w:val="17"/>
                <w:lang w:eastAsia="en-AU"/>
              </w:rPr>
              <w:t xml:space="preserve"> </w:t>
            </w:r>
            <w:r w:rsidRPr="007D5CE7">
              <w:rPr>
                <w:color w:val="000000"/>
                <w:szCs w:val="17"/>
                <w:lang w:eastAsia="en-AU"/>
              </w:rPr>
              <w:t>overseas</w:t>
            </w:r>
            <w:r>
              <w:rPr>
                <w:color w:val="000000"/>
                <w:szCs w:val="17"/>
                <w:lang w:eastAsia="en-AU"/>
              </w:rPr>
              <w:t xml:space="preserve"> </w:t>
            </w:r>
            <w:r w:rsidRPr="007D5CE7">
              <w:rPr>
                <w:color w:val="000000"/>
                <w:szCs w:val="17"/>
                <w:lang w:eastAsia="en-AU"/>
              </w:rPr>
              <w:t>GMP</w:t>
            </w:r>
            <w:r>
              <w:rPr>
                <w:color w:val="000000"/>
                <w:szCs w:val="17"/>
                <w:lang w:eastAsia="en-AU"/>
              </w:rPr>
              <w:t xml:space="preserve"> </w:t>
            </w:r>
            <w:r w:rsidRPr="007D5CE7">
              <w:rPr>
                <w:color w:val="000000"/>
                <w:szCs w:val="17"/>
                <w:lang w:eastAsia="en-AU"/>
              </w:rPr>
              <w:t>compliance</w:t>
            </w:r>
            <w:r>
              <w:rPr>
                <w:color w:val="000000"/>
                <w:szCs w:val="17"/>
                <w:lang w:eastAsia="en-AU"/>
              </w:rPr>
              <w:t xml:space="preserve"> </w:t>
            </w:r>
            <w:r w:rsidRPr="007D5CE7">
              <w:rPr>
                <w:color w:val="000000"/>
                <w:szCs w:val="17"/>
                <w:lang w:eastAsia="en-AU"/>
              </w:rPr>
              <w:t>assessment</w:t>
            </w:r>
            <w:r>
              <w:rPr>
                <w:color w:val="000000"/>
                <w:szCs w:val="17"/>
                <w:lang w:eastAsia="en-AU"/>
              </w:rPr>
              <w:t xml:space="preserve"> </w:t>
            </w:r>
            <w:r w:rsidRPr="007D5CE7">
              <w:rPr>
                <w:color w:val="000000"/>
                <w:szCs w:val="17"/>
                <w:lang w:eastAsia="en-AU"/>
              </w:rPr>
              <w:t>fee</w:t>
            </w:r>
          </w:p>
        </w:tc>
        <w:tc>
          <w:tcPr>
            <w:tcW w:w="1251" w:type="dxa"/>
            <w:tcBorders>
              <w:top w:val="single" w:sz="4" w:space="0" w:color="auto"/>
              <w:left w:val="single" w:sz="4" w:space="0" w:color="auto"/>
              <w:bottom w:val="single" w:sz="4" w:space="0" w:color="auto"/>
              <w:right w:val="single" w:sz="4" w:space="0" w:color="auto"/>
            </w:tcBorders>
            <w:vAlign w:val="center"/>
          </w:tcPr>
          <w:p w14:paraId="5D4ABE73" w14:textId="09F744F1" w:rsidR="0037465D" w:rsidRPr="00114D98" w:rsidRDefault="0037465D" w:rsidP="009231A1">
            <w:pPr>
              <w:pStyle w:val="APVMATableText"/>
              <w:jc w:val="right"/>
              <w:rPr>
                <w:bCs/>
                <w:color w:val="000000"/>
                <w:szCs w:val="17"/>
                <w:lang w:eastAsia="en-AU"/>
              </w:rPr>
            </w:pPr>
            <w:r>
              <w:rPr>
                <w:color w:val="000000"/>
                <w:szCs w:val="17"/>
              </w:rPr>
              <w:t>2,500</w:t>
            </w:r>
          </w:p>
        </w:tc>
        <w:tc>
          <w:tcPr>
            <w:tcW w:w="1251" w:type="dxa"/>
            <w:tcBorders>
              <w:top w:val="single" w:sz="4" w:space="0" w:color="auto"/>
              <w:left w:val="single" w:sz="4" w:space="0" w:color="auto"/>
              <w:bottom w:val="single" w:sz="4" w:space="0" w:color="auto"/>
              <w:right w:val="single" w:sz="4" w:space="0" w:color="auto"/>
            </w:tcBorders>
            <w:vAlign w:val="center"/>
          </w:tcPr>
          <w:p w14:paraId="17791A6C" w14:textId="6E1C919D" w:rsidR="0037465D" w:rsidRPr="00114D98" w:rsidRDefault="0037465D" w:rsidP="009231A1">
            <w:pPr>
              <w:pStyle w:val="APVMATableText"/>
              <w:jc w:val="right"/>
              <w:rPr>
                <w:bCs/>
                <w:lang w:eastAsia="en-AU"/>
              </w:rPr>
            </w:pPr>
            <w:r>
              <w:rPr>
                <w:color w:val="000000"/>
                <w:szCs w:val="17"/>
              </w:rPr>
              <w:t>2,544</w:t>
            </w:r>
          </w:p>
        </w:tc>
        <w:tc>
          <w:tcPr>
            <w:tcW w:w="1251" w:type="dxa"/>
            <w:tcBorders>
              <w:top w:val="single" w:sz="4" w:space="0" w:color="auto"/>
              <w:left w:val="single" w:sz="4" w:space="0" w:color="auto"/>
              <w:bottom w:val="single" w:sz="4" w:space="0" w:color="auto"/>
              <w:right w:val="single" w:sz="4" w:space="0" w:color="auto"/>
            </w:tcBorders>
            <w:vAlign w:val="center"/>
          </w:tcPr>
          <w:p w14:paraId="1BF75024" w14:textId="590B197D" w:rsidR="0037465D" w:rsidRDefault="0037465D" w:rsidP="009231A1">
            <w:pPr>
              <w:pStyle w:val="APVMATableText"/>
              <w:jc w:val="right"/>
              <w:rPr>
                <w:bCs/>
                <w:color w:val="000000"/>
                <w:szCs w:val="17"/>
                <w:lang w:eastAsia="en-AU"/>
              </w:rPr>
            </w:pPr>
            <w:r>
              <w:rPr>
                <w:color w:val="000000"/>
                <w:szCs w:val="17"/>
              </w:rPr>
              <w:t>2</w:t>
            </w:r>
          </w:p>
        </w:tc>
        <w:tc>
          <w:tcPr>
            <w:tcW w:w="1251" w:type="dxa"/>
            <w:tcBorders>
              <w:top w:val="single" w:sz="4" w:space="0" w:color="auto"/>
              <w:left w:val="single" w:sz="4" w:space="0" w:color="auto"/>
              <w:bottom w:val="single" w:sz="4" w:space="0" w:color="auto"/>
              <w:right w:val="single" w:sz="4" w:space="0" w:color="auto"/>
            </w:tcBorders>
            <w:vAlign w:val="center"/>
          </w:tcPr>
          <w:p w14:paraId="79CA43AD" w14:textId="19DDA827" w:rsidR="0037465D" w:rsidRPr="00114D98" w:rsidRDefault="0037465D" w:rsidP="009231A1">
            <w:pPr>
              <w:pStyle w:val="APVMATableText"/>
              <w:jc w:val="right"/>
              <w:rPr>
                <w:bCs/>
                <w:color w:val="000000"/>
                <w:szCs w:val="17"/>
                <w:lang w:eastAsia="en-AU"/>
              </w:rPr>
            </w:pPr>
            <w:r>
              <w:rPr>
                <w:color w:val="000000"/>
                <w:szCs w:val="17"/>
              </w:rPr>
              <w:t>1,000</w:t>
            </w:r>
          </w:p>
        </w:tc>
        <w:tc>
          <w:tcPr>
            <w:tcW w:w="1251" w:type="dxa"/>
            <w:shd w:val="clear" w:color="auto" w:fill="D5D7D5" w:themeFill="text1" w:themeFillTint="33"/>
            <w:vAlign w:val="center"/>
          </w:tcPr>
          <w:p w14:paraId="5F933271" w14:textId="6788AE8A" w:rsidR="0037465D" w:rsidRPr="0037465D" w:rsidRDefault="0037465D" w:rsidP="009231A1">
            <w:pPr>
              <w:pStyle w:val="APVMATableText"/>
              <w:jc w:val="right"/>
              <w:rPr>
                <w:bCs/>
                <w:lang w:eastAsia="en-AU"/>
              </w:rPr>
            </w:pPr>
            <w:r>
              <w:rPr>
                <w:color w:val="000000"/>
                <w:szCs w:val="17"/>
              </w:rPr>
              <w:t>2,544</w:t>
            </w:r>
          </w:p>
        </w:tc>
        <w:tc>
          <w:tcPr>
            <w:tcW w:w="1251" w:type="dxa"/>
            <w:vAlign w:val="center"/>
          </w:tcPr>
          <w:p w14:paraId="2D02F6CA" w14:textId="019CE430" w:rsidR="0037465D" w:rsidRDefault="0037465D" w:rsidP="009231A1">
            <w:pPr>
              <w:pStyle w:val="APVMATableText"/>
              <w:jc w:val="right"/>
              <w:rPr>
                <w:bCs/>
                <w:color w:val="000000"/>
                <w:szCs w:val="17"/>
                <w:lang w:eastAsia="en-AU"/>
              </w:rPr>
            </w:pPr>
            <w:r>
              <w:rPr>
                <w:color w:val="000000"/>
                <w:szCs w:val="17"/>
              </w:rPr>
              <w:t>154</w:t>
            </w:r>
          </w:p>
        </w:tc>
      </w:tr>
    </w:tbl>
    <w:p w14:paraId="6CBC2F7B" w14:textId="77777777" w:rsidR="00407BE8" w:rsidRDefault="00407BE8">
      <w:pPr>
        <w:spacing w:line="240" w:lineRule="auto"/>
        <w:rPr>
          <w:rFonts w:ascii="Franklin Gothic Medium" w:hAnsi="Franklin Gothic Medium" w:cs="Arial"/>
          <w:color w:val="53284F" w:themeColor="accent5"/>
          <w:kern w:val="20"/>
          <w:sz w:val="24"/>
          <w:szCs w:val="26"/>
          <w:u w:color="000000"/>
        </w:rPr>
      </w:pPr>
      <w:r>
        <w:br w:type="page"/>
      </w:r>
    </w:p>
    <w:p w14:paraId="146E0F91" w14:textId="5C2AEC6B" w:rsidR="003053A9" w:rsidRDefault="00122810" w:rsidP="00122810">
      <w:pPr>
        <w:pStyle w:val="Heading3"/>
      </w:pPr>
      <w:bookmarkStart w:id="43" w:name="_Toc234585907"/>
      <w:proofErr w:type="spellStart"/>
      <w:r>
        <w:lastRenderedPageBreak/>
        <w:t>Agvet</w:t>
      </w:r>
      <w:proofErr w:type="spellEnd"/>
      <w:r>
        <w:t xml:space="preserve"> Code Requests</w:t>
      </w:r>
      <w:bookmarkEnd w:id="43"/>
    </w:p>
    <w:p w14:paraId="411D6C83" w14:textId="77777777" w:rsidR="00E17D5D" w:rsidRDefault="00E17D5D" w:rsidP="00E17D5D">
      <w:pPr>
        <w:pStyle w:val="NormalText"/>
      </w:pPr>
      <w:proofErr w:type="spellStart"/>
      <w:r>
        <w:t>Agvet</w:t>
      </w:r>
      <w:proofErr w:type="spellEnd"/>
      <w:r>
        <w:t xml:space="preserve"> Code requests provide a mechanism for individuals to access documents relating to approved active constituents or registered agricultural and veterinary chemical products. This includes access to records and registers held by the APVMA, as well as other documents that are not publicly available.</w:t>
      </w:r>
    </w:p>
    <w:p w14:paraId="20D8AD77" w14:textId="77777777" w:rsidR="00E17D5D" w:rsidRDefault="00E17D5D" w:rsidP="00E17D5D">
      <w:pPr>
        <w:pStyle w:val="NormalText"/>
      </w:pPr>
      <w:r>
        <w:t xml:space="preserve">These requests are currently charged at an hourly rate that does not fully recover the costs incurred by the APVMA. </w:t>
      </w:r>
      <w:proofErr w:type="spellStart"/>
      <w:r>
        <w:t>Agvet</w:t>
      </w:r>
      <w:proofErr w:type="spellEnd"/>
      <w:r>
        <w:t xml:space="preserve"> Code request fees are set at $95 per hour, while the estimated cost to the APVMA is approximately $190 per hour.</w:t>
      </w:r>
    </w:p>
    <w:p w14:paraId="338379D6" w14:textId="77777777" w:rsidR="00E17D5D" w:rsidRDefault="00E17D5D" w:rsidP="00E17D5D">
      <w:pPr>
        <w:pStyle w:val="NormalText"/>
      </w:pPr>
      <w:r>
        <w:t xml:space="preserve">While this represents under-recovery, the APVMA has considered the potential behavioural impacts of significant fee increases in this area. </w:t>
      </w:r>
      <w:proofErr w:type="gramStart"/>
      <w:r>
        <w:t>In particular, there</w:t>
      </w:r>
      <w:proofErr w:type="gramEnd"/>
      <w:r>
        <w:t xml:space="preserve"> is a risk that materially higher fees could divert demand toward Freedom of Information (FOI) processes, as applicants seek alternative pathways to access information.</w:t>
      </w:r>
    </w:p>
    <w:p w14:paraId="55E5C4C8" w14:textId="77777777" w:rsidR="00E17D5D" w:rsidRPr="00516CAD" w:rsidRDefault="00E17D5D" w:rsidP="00E17D5D">
      <w:pPr>
        <w:pStyle w:val="NormalText"/>
      </w:pPr>
      <w:r>
        <w:t>A table of comparative costs and fees is provided at Table 5.</w:t>
      </w:r>
    </w:p>
    <w:p w14:paraId="7D60F33B" w14:textId="3ADD3FFE" w:rsidR="00E40583" w:rsidRDefault="00463804" w:rsidP="00E40583">
      <w:pPr>
        <w:pStyle w:val="Caption"/>
        <w:ind w:left="0" w:firstLine="0"/>
      </w:pPr>
      <w:bookmarkStart w:id="44" w:name="_Toc234585737"/>
      <w:r>
        <w:t xml:space="preserve">Table </w:t>
      </w:r>
      <w:fldSimple w:instr=" SEQ Table \* ARABIC ">
        <w:r>
          <w:rPr>
            <w:noProof/>
          </w:rPr>
          <w:t>5</w:t>
        </w:r>
      </w:fldSimple>
      <w:r>
        <w:t>:</w:t>
      </w:r>
      <w:r>
        <w:tab/>
      </w:r>
      <w:proofErr w:type="spellStart"/>
      <w:r w:rsidR="009C4D72" w:rsidRPr="00516CAD">
        <w:t>Agvet</w:t>
      </w:r>
      <w:proofErr w:type="spellEnd"/>
      <w:r w:rsidR="009C4D72" w:rsidRPr="00516CAD">
        <w:t xml:space="preserve"> Code requests costs and fees</w:t>
      </w:r>
      <w:bookmarkEnd w:id="44"/>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51"/>
        <w:gridCol w:w="1251"/>
        <w:gridCol w:w="1251"/>
        <w:gridCol w:w="1251"/>
        <w:gridCol w:w="1251"/>
        <w:gridCol w:w="1251"/>
      </w:tblGrid>
      <w:tr w:rsidR="0037465D" w14:paraId="47C06DED" w14:textId="77777777" w:rsidTr="00463804">
        <w:trPr>
          <w:trHeight w:val="780"/>
          <w:tblHeader/>
        </w:trPr>
        <w:tc>
          <w:tcPr>
            <w:tcW w:w="2122"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0B602A67" w14:textId="0C1EA5A9" w:rsidR="00E40583" w:rsidRDefault="00E40583" w:rsidP="00932C16">
            <w:pPr>
              <w:pStyle w:val="APVMATableHead"/>
              <w:rPr>
                <w:lang w:eastAsia="en-AU"/>
              </w:rPr>
            </w:pPr>
            <w:r>
              <w:rPr>
                <w:lang w:eastAsia="en-AU"/>
              </w:rPr>
              <w:t>Service</w:t>
            </w:r>
          </w:p>
        </w:tc>
        <w:tc>
          <w:tcPr>
            <w:tcW w:w="1251"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11235CA0" w14:textId="68274497" w:rsidR="00E40583" w:rsidRPr="00E40583" w:rsidRDefault="00E40583" w:rsidP="00932C16">
            <w:pPr>
              <w:pStyle w:val="APVMATableHeadRight"/>
              <w:rPr>
                <w:lang w:eastAsia="en-AU"/>
              </w:rPr>
            </w:pPr>
            <w:r>
              <w:rPr>
                <w:lang w:eastAsia="en-AU"/>
              </w:rPr>
              <w:t>Cost estimate prior to</w:t>
            </w:r>
            <w:r w:rsidR="00932C16">
              <w:rPr>
                <w:lang w:eastAsia="en-AU"/>
              </w:rPr>
              <w:br/>
            </w:r>
            <w:r>
              <w:rPr>
                <w:lang w:eastAsia="en-AU"/>
              </w:rPr>
              <w:t>30</w:t>
            </w:r>
            <w:r w:rsidRPr="0024707E">
              <w:rPr>
                <w:color w:val="F0F4F5" w:themeColor="accent1" w:themeTint="33"/>
                <w:lang w:eastAsia="en-AU"/>
              </w:rPr>
              <w:t>-</w:t>
            </w:r>
            <w:r w:rsidR="003A6D2D" w:rsidRPr="0024707E">
              <w:rPr>
                <w:color w:val="F0F4F5" w:themeColor="accent1" w:themeTint="33"/>
                <w:lang w:eastAsia="en-AU"/>
              </w:rPr>
              <w:t>Jun-27</w:t>
            </w:r>
            <w:r w:rsidR="00932C16">
              <w:rPr>
                <w:lang w:eastAsia="en-AU"/>
              </w:rPr>
              <w:br/>
            </w:r>
            <w:r w:rsidRPr="00E40583">
              <w:rPr>
                <w:lang w:eastAsia="en-AU"/>
              </w:rPr>
              <w:t>($ including GST)</w:t>
            </w:r>
          </w:p>
        </w:tc>
        <w:tc>
          <w:tcPr>
            <w:tcW w:w="1251"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69F44AD8" w14:textId="58B9989A" w:rsidR="00E40583" w:rsidRPr="00E40583" w:rsidRDefault="00E40583" w:rsidP="00932C16">
            <w:pPr>
              <w:pStyle w:val="APVMATableHeadRight"/>
              <w:rPr>
                <w:lang w:eastAsia="en-AU"/>
              </w:rPr>
            </w:pPr>
            <w:r>
              <w:rPr>
                <w:lang w:eastAsia="en-AU"/>
              </w:rPr>
              <w:t>Cost estimate from</w:t>
            </w:r>
            <w:r w:rsidR="00932C16">
              <w:rPr>
                <w:lang w:eastAsia="en-AU"/>
              </w:rPr>
              <w:br/>
            </w:r>
            <w:r>
              <w:rPr>
                <w:lang w:eastAsia="en-AU"/>
              </w:rPr>
              <w:t>1</w:t>
            </w:r>
            <w:r w:rsidRPr="0024707E">
              <w:rPr>
                <w:color w:val="F0F4F5" w:themeColor="accent1" w:themeTint="33"/>
                <w:lang w:eastAsia="en-AU"/>
              </w:rPr>
              <w:t>-</w:t>
            </w:r>
            <w:r w:rsidR="003A6D2D" w:rsidRPr="0024707E">
              <w:rPr>
                <w:color w:val="F0F4F5" w:themeColor="accent1" w:themeTint="33"/>
                <w:lang w:eastAsia="en-AU"/>
              </w:rPr>
              <w:t>Jul-27</w:t>
            </w:r>
            <w:r w:rsidR="00932C16">
              <w:rPr>
                <w:lang w:eastAsia="en-AU"/>
              </w:rPr>
              <w:br/>
            </w:r>
            <w:r w:rsidRPr="00E40583">
              <w:rPr>
                <w:lang w:eastAsia="en-AU"/>
              </w:rPr>
              <w:t>($)</w:t>
            </w:r>
          </w:p>
        </w:tc>
        <w:tc>
          <w:tcPr>
            <w:tcW w:w="1251"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34EDB52F" w14:textId="47803CFA" w:rsidR="00E40583" w:rsidRPr="00E40583" w:rsidRDefault="00E40583" w:rsidP="00932C16">
            <w:pPr>
              <w:pStyle w:val="APVMATableHeadRight"/>
              <w:rPr>
                <w:lang w:eastAsia="en-AU"/>
              </w:rPr>
            </w:pPr>
            <w:r>
              <w:rPr>
                <w:lang w:eastAsia="en-AU"/>
              </w:rPr>
              <w:t>Variance</w:t>
            </w:r>
            <w:r w:rsidR="00932C16">
              <w:rPr>
                <w:lang w:eastAsia="en-AU"/>
              </w:rPr>
              <w:br/>
            </w:r>
            <w:r>
              <w:rPr>
                <w:lang w:eastAsia="en-AU"/>
              </w:rPr>
              <w:t>in cost</w:t>
            </w:r>
            <w:r w:rsidR="00932C16">
              <w:rPr>
                <w:lang w:eastAsia="en-AU"/>
              </w:rPr>
              <w:br/>
            </w:r>
            <w:r w:rsidRPr="00E40583">
              <w:rPr>
                <w:lang w:eastAsia="en-AU"/>
              </w:rPr>
              <w:t>(%)</w:t>
            </w:r>
          </w:p>
        </w:tc>
        <w:tc>
          <w:tcPr>
            <w:tcW w:w="1251"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5F2E0CA8" w14:textId="70178449" w:rsidR="00E40583" w:rsidRPr="00E40583" w:rsidRDefault="00E40583" w:rsidP="00932C16">
            <w:pPr>
              <w:pStyle w:val="APVMATableHeadRight"/>
              <w:rPr>
                <w:lang w:eastAsia="en-AU"/>
              </w:rPr>
            </w:pPr>
            <w:r>
              <w:rPr>
                <w:lang w:eastAsia="en-AU"/>
              </w:rPr>
              <w:t>Fee prior to</w:t>
            </w:r>
            <w:r w:rsidR="00932C16">
              <w:rPr>
                <w:lang w:eastAsia="en-AU"/>
              </w:rPr>
              <w:br/>
            </w:r>
            <w:r>
              <w:rPr>
                <w:lang w:eastAsia="en-AU"/>
              </w:rPr>
              <w:t>30</w:t>
            </w:r>
            <w:r w:rsidRPr="0024707E">
              <w:rPr>
                <w:color w:val="F0F4F5" w:themeColor="accent1" w:themeTint="33"/>
                <w:lang w:eastAsia="en-AU"/>
              </w:rPr>
              <w:t>-</w:t>
            </w:r>
            <w:r w:rsidR="003A6D2D" w:rsidRPr="0024707E">
              <w:rPr>
                <w:color w:val="F0F4F5" w:themeColor="accent1" w:themeTint="33"/>
                <w:lang w:eastAsia="en-AU"/>
              </w:rPr>
              <w:t>Jun-27</w:t>
            </w:r>
            <w:r w:rsidR="00932C16">
              <w:rPr>
                <w:lang w:eastAsia="en-AU"/>
              </w:rPr>
              <w:br/>
            </w:r>
            <w:r w:rsidRPr="00E40583">
              <w:rPr>
                <w:lang w:eastAsia="en-AU"/>
              </w:rPr>
              <w:t>($)</w:t>
            </w:r>
          </w:p>
        </w:tc>
        <w:tc>
          <w:tcPr>
            <w:tcW w:w="1251" w:type="dxa"/>
            <w:shd w:val="clear" w:color="auto" w:fill="53284F"/>
            <w:vAlign w:val="center"/>
          </w:tcPr>
          <w:p w14:paraId="332B0B20" w14:textId="7568786D" w:rsidR="00E40583" w:rsidRPr="00E40583" w:rsidRDefault="00E40583" w:rsidP="00932C16">
            <w:pPr>
              <w:pStyle w:val="APVMATableHeadRight"/>
              <w:rPr>
                <w:lang w:eastAsia="en-AU"/>
              </w:rPr>
            </w:pPr>
            <w:r>
              <w:rPr>
                <w:lang w:eastAsia="en-AU"/>
              </w:rPr>
              <w:t>Fee from</w:t>
            </w:r>
            <w:r w:rsidR="00932C16">
              <w:rPr>
                <w:lang w:eastAsia="en-AU"/>
              </w:rPr>
              <w:br/>
            </w:r>
            <w:r>
              <w:rPr>
                <w:lang w:eastAsia="en-AU"/>
              </w:rPr>
              <w:t>1</w:t>
            </w:r>
            <w:r w:rsidRPr="0024707E">
              <w:rPr>
                <w:color w:val="F0F4F5" w:themeColor="accent1" w:themeTint="33"/>
                <w:lang w:eastAsia="en-AU"/>
              </w:rPr>
              <w:t>-</w:t>
            </w:r>
            <w:r w:rsidR="003A6D2D" w:rsidRPr="0024707E">
              <w:rPr>
                <w:color w:val="F0F4F5" w:themeColor="accent1" w:themeTint="33"/>
                <w:lang w:eastAsia="en-AU"/>
              </w:rPr>
              <w:t>Jul-27</w:t>
            </w:r>
            <w:r w:rsidR="00932C16">
              <w:rPr>
                <w:lang w:eastAsia="en-AU"/>
              </w:rPr>
              <w:br/>
            </w:r>
            <w:r w:rsidRPr="00E40583">
              <w:rPr>
                <w:lang w:eastAsia="en-AU"/>
              </w:rPr>
              <w:t>($)</w:t>
            </w:r>
          </w:p>
        </w:tc>
        <w:tc>
          <w:tcPr>
            <w:tcW w:w="1251" w:type="dxa"/>
            <w:shd w:val="clear" w:color="auto" w:fill="53284F"/>
            <w:vAlign w:val="center"/>
          </w:tcPr>
          <w:p w14:paraId="1C60C709" w14:textId="30CFB34E" w:rsidR="00E40583" w:rsidRPr="00E40583" w:rsidRDefault="00E40583" w:rsidP="00932C16">
            <w:pPr>
              <w:pStyle w:val="APVMATableHeadRight"/>
              <w:rPr>
                <w:lang w:eastAsia="en-AU"/>
              </w:rPr>
            </w:pPr>
            <w:r w:rsidRPr="00114D98">
              <w:rPr>
                <w:lang w:eastAsia="en-AU"/>
              </w:rPr>
              <w:t>Variance</w:t>
            </w:r>
            <w:r w:rsidR="00932C16">
              <w:rPr>
                <w:lang w:eastAsia="en-AU"/>
              </w:rPr>
              <w:br/>
            </w:r>
            <w:r w:rsidRPr="00114D98">
              <w:rPr>
                <w:lang w:eastAsia="en-AU"/>
              </w:rPr>
              <w:t>in fees</w:t>
            </w:r>
            <w:r w:rsidR="00932C16">
              <w:rPr>
                <w:lang w:eastAsia="en-AU"/>
              </w:rPr>
              <w:br/>
            </w:r>
            <w:r w:rsidRPr="00114D98">
              <w:rPr>
                <w:lang w:eastAsia="en-AU"/>
              </w:rPr>
              <w:t>(%)</w:t>
            </w:r>
          </w:p>
        </w:tc>
      </w:tr>
      <w:tr w:rsidR="0037465D" w14:paraId="27939BEB" w14:textId="77777777" w:rsidTr="0037465D">
        <w:trPr>
          <w:trHeight w:val="465"/>
        </w:trPr>
        <w:tc>
          <w:tcPr>
            <w:tcW w:w="2122" w:type="dxa"/>
            <w:tcBorders>
              <w:top w:val="single" w:sz="4" w:space="0" w:color="auto"/>
              <w:left w:val="single" w:sz="4" w:space="0" w:color="auto"/>
              <w:bottom w:val="single" w:sz="4" w:space="0" w:color="auto"/>
              <w:right w:val="single" w:sz="4" w:space="0" w:color="auto"/>
            </w:tcBorders>
            <w:vAlign w:val="center"/>
            <w:hideMark/>
          </w:tcPr>
          <w:p w14:paraId="1CC78BCC" w14:textId="77777777" w:rsidR="0037465D" w:rsidRDefault="0037465D" w:rsidP="0037465D">
            <w:pPr>
              <w:pStyle w:val="APVMATableText"/>
              <w:rPr>
                <w:color w:val="000000"/>
                <w:szCs w:val="17"/>
                <w:lang w:eastAsia="en-AU"/>
              </w:rPr>
            </w:pPr>
            <w:r w:rsidRPr="007D5CE7">
              <w:rPr>
                <w:color w:val="000000"/>
                <w:szCs w:val="17"/>
                <w:lang w:eastAsia="en-AU"/>
              </w:rPr>
              <w:t xml:space="preserve">Includes all requests under sub-regulation 73(1) of the </w:t>
            </w:r>
            <w:proofErr w:type="spellStart"/>
            <w:r w:rsidRPr="007D5CE7">
              <w:rPr>
                <w:color w:val="000000"/>
                <w:szCs w:val="17"/>
                <w:lang w:eastAsia="en-AU"/>
              </w:rPr>
              <w:t>Agvet</w:t>
            </w:r>
            <w:proofErr w:type="spellEnd"/>
            <w:r w:rsidRPr="007D5CE7">
              <w:rPr>
                <w:color w:val="000000"/>
                <w:szCs w:val="17"/>
                <w:lang w:eastAsia="en-AU"/>
              </w:rPr>
              <w:t xml:space="preserve"> Code Regulations. The hourly fee applies to the rates set out in paragraph 73(2)(a) and (b) of the </w:t>
            </w:r>
            <w:proofErr w:type="spellStart"/>
            <w:r w:rsidRPr="007D5CE7">
              <w:rPr>
                <w:color w:val="000000"/>
                <w:szCs w:val="17"/>
                <w:lang w:eastAsia="en-AU"/>
              </w:rPr>
              <w:t>Agvet</w:t>
            </w:r>
            <w:proofErr w:type="spellEnd"/>
            <w:r w:rsidRPr="007D5CE7">
              <w:rPr>
                <w:color w:val="000000"/>
                <w:szCs w:val="17"/>
                <w:lang w:eastAsia="en-AU"/>
              </w:rPr>
              <w:t xml:space="preserve"> Code Regulations. There are no changes to the copy and transcript rates set out in out in paragraph 73(2)(c)-(e) of the </w:t>
            </w:r>
            <w:proofErr w:type="spellStart"/>
            <w:r w:rsidRPr="007D5CE7">
              <w:rPr>
                <w:color w:val="000000"/>
                <w:szCs w:val="17"/>
                <w:lang w:eastAsia="en-AU"/>
              </w:rPr>
              <w:t>Agvet</w:t>
            </w:r>
            <w:proofErr w:type="spellEnd"/>
            <w:r w:rsidRPr="007D5CE7">
              <w:rPr>
                <w:color w:val="000000"/>
                <w:szCs w:val="17"/>
                <w:lang w:eastAsia="en-AU"/>
              </w:rPr>
              <w:t xml:space="preserve"> Code Regulations.</w:t>
            </w:r>
          </w:p>
          <w:p w14:paraId="3C45E5C7" w14:textId="2E4ADA8A" w:rsidR="0037465D" w:rsidRDefault="0037465D" w:rsidP="0037465D">
            <w:pPr>
              <w:pStyle w:val="APVMATableText"/>
              <w:rPr>
                <w:lang w:eastAsia="en-AU"/>
              </w:rPr>
            </w:pPr>
            <w:r>
              <w:rPr>
                <w:color w:val="000000"/>
                <w:szCs w:val="17"/>
                <w:lang w:eastAsia="en-AU"/>
              </w:rPr>
              <w:t>Fee per hour</w:t>
            </w:r>
          </w:p>
        </w:tc>
        <w:tc>
          <w:tcPr>
            <w:tcW w:w="1251" w:type="dxa"/>
            <w:tcBorders>
              <w:top w:val="single" w:sz="4" w:space="0" w:color="auto"/>
              <w:left w:val="single" w:sz="4" w:space="0" w:color="auto"/>
              <w:bottom w:val="single" w:sz="4" w:space="0" w:color="auto"/>
              <w:right w:val="single" w:sz="4" w:space="0" w:color="auto"/>
            </w:tcBorders>
            <w:vAlign w:val="center"/>
          </w:tcPr>
          <w:p w14:paraId="608CE479" w14:textId="322CD69D" w:rsidR="0037465D" w:rsidRDefault="0037465D" w:rsidP="009231A1">
            <w:pPr>
              <w:pStyle w:val="APVMATableText"/>
              <w:jc w:val="right"/>
              <w:rPr>
                <w:lang w:eastAsia="en-AU"/>
              </w:rPr>
            </w:pPr>
            <w:r>
              <w:rPr>
                <w:color w:val="000000"/>
                <w:szCs w:val="17"/>
              </w:rPr>
              <w:t xml:space="preserve">238 </w:t>
            </w:r>
          </w:p>
        </w:tc>
        <w:tc>
          <w:tcPr>
            <w:tcW w:w="1251" w:type="dxa"/>
            <w:tcBorders>
              <w:top w:val="single" w:sz="4" w:space="0" w:color="auto"/>
              <w:left w:val="single" w:sz="4" w:space="0" w:color="auto"/>
              <w:bottom w:val="single" w:sz="4" w:space="0" w:color="auto"/>
              <w:right w:val="single" w:sz="4" w:space="0" w:color="auto"/>
            </w:tcBorders>
            <w:vAlign w:val="center"/>
          </w:tcPr>
          <w:p w14:paraId="1825E65A" w14:textId="044DA647" w:rsidR="0037465D" w:rsidRDefault="0037465D" w:rsidP="009231A1">
            <w:pPr>
              <w:pStyle w:val="APVMATableText"/>
              <w:jc w:val="right"/>
              <w:rPr>
                <w:lang w:eastAsia="en-AU"/>
              </w:rPr>
            </w:pPr>
            <w:r>
              <w:rPr>
                <w:color w:val="000000"/>
                <w:szCs w:val="17"/>
              </w:rPr>
              <w:t>675</w:t>
            </w:r>
          </w:p>
        </w:tc>
        <w:tc>
          <w:tcPr>
            <w:tcW w:w="1251" w:type="dxa"/>
            <w:tcBorders>
              <w:top w:val="single" w:sz="4" w:space="0" w:color="auto"/>
              <w:left w:val="single" w:sz="4" w:space="0" w:color="auto"/>
              <w:bottom w:val="single" w:sz="4" w:space="0" w:color="auto"/>
              <w:right w:val="single" w:sz="4" w:space="0" w:color="auto"/>
            </w:tcBorders>
            <w:vAlign w:val="center"/>
          </w:tcPr>
          <w:p w14:paraId="0102CFDC" w14:textId="79880826" w:rsidR="0037465D" w:rsidRDefault="0037465D" w:rsidP="009231A1">
            <w:pPr>
              <w:pStyle w:val="APVMATableText"/>
              <w:jc w:val="right"/>
              <w:rPr>
                <w:lang w:eastAsia="en-AU"/>
              </w:rPr>
            </w:pPr>
            <w:r>
              <w:rPr>
                <w:color w:val="000000"/>
                <w:szCs w:val="17"/>
              </w:rPr>
              <w:t>184</w:t>
            </w:r>
          </w:p>
        </w:tc>
        <w:tc>
          <w:tcPr>
            <w:tcW w:w="1251" w:type="dxa"/>
            <w:tcBorders>
              <w:top w:val="single" w:sz="4" w:space="0" w:color="auto"/>
              <w:left w:val="single" w:sz="4" w:space="0" w:color="auto"/>
              <w:bottom w:val="single" w:sz="4" w:space="0" w:color="auto"/>
              <w:right w:val="single" w:sz="4" w:space="0" w:color="auto"/>
            </w:tcBorders>
            <w:vAlign w:val="center"/>
          </w:tcPr>
          <w:p w14:paraId="63ECD122" w14:textId="0567F99A" w:rsidR="0037465D" w:rsidRDefault="0037465D" w:rsidP="009231A1">
            <w:pPr>
              <w:pStyle w:val="APVMATableText"/>
              <w:jc w:val="right"/>
              <w:rPr>
                <w:lang w:eastAsia="en-AU"/>
              </w:rPr>
            </w:pPr>
            <w:r>
              <w:rPr>
                <w:color w:val="000000"/>
                <w:szCs w:val="17"/>
              </w:rPr>
              <w:t>95</w:t>
            </w:r>
          </w:p>
        </w:tc>
        <w:tc>
          <w:tcPr>
            <w:tcW w:w="1251" w:type="dxa"/>
            <w:shd w:val="clear" w:color="auto" w:fill="D5D7D5" w:themeFill="text1" w:themeFillTint="33"/>
            <w:vAlign w:val="center"/>
          </w:tcPr>
          <w:p w14:paraId="0F1FF79F" w14:textId="110676ED" w:rsidR="0037465D" w:rsidRDefault="0037465D" w:rsidP="009231A1">
            <w:pPr>
              <w:pStyle w:val="APVMATableText"/>
              <w:jc w:val="right"/>
              <w:rPr>
                <w:lang w:eastAsia="en-AU"/>
              </w:rPr>
            </w:pPr>
            <w:r>
              <w:rPr>
                <w:color w:val="000000"/>
                <w:szCs w:val="17"/>
              </w:rPr>
              <w:t>675</w:t>
            </w:r>
          </w:p>
        </w:tc>
        <w:tc>
          <w:tcPr>
            <w:tcW w:w="1251" w:type="dxa"/>
            <w:vAlign w:val="center"/>
          </w:tcPr>
          <w:p w14:paraId="586B4DC6" w14:textId="4F6F17AE" w:rsidR="0037465D" w:rsidRDefault="0037465D" w:rsidP="009231A1">
            <w:pPr>
              <w:pStyle w:val="APVMATableText"/>
              <w:jc w:val="right"/>
              <w:rPr>
                <w:lang w:eastAsia="en-AU"/>
              </w:rPr>
            </w:pPr>
            <w:r>
              <w:rPr>
                <w:color w:val="000000"/>
                <w:szCs w:val="17"/>
              </w:rPr>
              <w:t>610</w:t>
            </w:r>
          </w:p>
        </w:tc>
      </w:tr>
      <w:tr w:rsidR="0037465D" w14:paraId="3769E5AD" w14:textId="77777777" w:rsidTr="0037465D">
        <w:trPr>
          <w:trHeight w:val="465"/>
        </w:trPr>
        <w:tc>
          <w:tcPr>
            <w:tcW w:w="2122" w:type="dxa"/>
            <w:tcBorders>
              <w:top w:val="single" w:sz="4" w:space="0" w:color="auto"/>
              <w:left w:val="single" w:sz="4" w:space="0" w:color="auto"/>
              <w:bottom w:val="single" w:sz="4" w:space="0" w:color="auto"/>
              <w:right w:val="single" w:sz="4" w:space="0" w:color="auto"/>
            </w:tcBorders>
            <w:vAlign w:val="center"/>
          </w:tcPr>
          <w:p w14:paraId="64D14AEE" w14:textId="4CEDB15D" w:rsidR="0037465D" w:rsidRDefault="0037465D" w:rsidP="0037465D">
            <w:pPr>
              <w:pStyle w:val="APVMATableText"/>
              <w:rPr>
                <w:lang w:eastAsia="en-AU"/>
              </w:rPr>
            </w:pPr>
            <w:r w:rsidRPr="007D5CE7">
              <w:rPr>
                <w:lang w:eastAsia="en-AU"/>
              </w:rPr>
              <w:t>Late application fee for renewal of registration</w:t>
            </w:r>
          </w:p>
        </w:tc>
        <w:tc>
          <w:tcPr>
            <w:tcW w:w="1251" w:type="dxa"/>
            <w:tcBorders>
              <w:top w:val="single" w:sz="4" w:space="0" w:color="auto"/>
              <w:left w:val="single" w:sz="4" w:space="0" w:color="auto"/>
              <w:bottom w:val="single" w:sz="4" w:space="0" w:color="auto"/>
              <w:right w:val="single" w:sz="4" w:space="0" w:color="auto"/>
            </w:tcBorders>
            <w:vAlign w:val="center"/>
          </w:tcPr>
          <w:p w14:paraId="4C346E04" w14:textId="621C261A" w:rsidR="0037465D" w:rsidRDefault="0037465D" w:rsidP="009231A1">
            <w:pPr>
              <w:pStyle w:val="APVMATableText"/>
              <w:jc w:val="right"/>
              <w:rPr>
                <w:lang w:eastAsia="en-AU"/>
              </w:rPr>
            </w:pPr>
            <w:r w:rsidRPr="00114D98">
              <w:rPr>
                <w:bCs/>
                <w:color w:val="000000"/>
                <w:szCs w:val="17"/>
                <w:lang w:eastAsia="en-AU"/>
              </w:rPr>
              <w:t xml:space="preserve">Not determined </w:t>
            </w:r>
          </w:p>
        </w:tc>
        <w:tc>
          <w:tcPr>
            <w:tcW w:w="1251" w:type="dxa"/>
            <w:tcBorders>
              <w:top w:val="single" w:sz="4" w:space="0" w:color="auto"/>
              <w:left w:val="single" w:sz="4" w:space="0" w:color="auto"/>
              <w:bottom w:val="single" w:sz="4" w:space="0" w:color="auto"/>
              <w:right w:val="single" w:sz="4" w:space="0" w:color="auto"/>
            </w:tcBorders>
            <w:vAlign w:val="center"/>
          </w:tcPr>
          <w:p w14:paraId="126D7C54" w14:textId="18A324B1" w:rsidR="0037465D" w:rsidRDefault="0037465D" w:rsidP="009231A1">
            <w:pPr>
              <w:pStyle w:val="APVMATableText"/>
              <w:jc w:val="right"/>
              <w:rPr>
                <w:lang w:eastAsia="en-AU"/>
              </w:rPr>
            </w:pPr>
            <w:r w:rsidRPr="00114D98">
              <w:rPr>
                <w:bCs/>
                <w:color w:val="000000"/>
                <w:szCs w:val="17"/>
                <w:lang w:eastAsia="en-AU"/>
              </w:rPr>
              <w:t>175</w:t>
            </w:r>
          </w:p>
        </w:tc>
        <w:tc>
          <w:tcPr>
            <w:tcW w:w="1251" w:type="dxa"/>
            <w:tcBorders>
              <w:top w:val="single" w:sz="4" w:space="0" w:color="auto"/>
              <w:left w:val="single" w:sz="4" w:space="0" w:color="auto"/>
              <w:bottom w:val="single" w:sz="4" w:space="0" w:color="auto"/>
              <w:right w:val="single" w:sz="4" w:space="0" w:color="auto"/>
            </w:tcBorders>
            <w:vAlign w:val="center"/>
          </w:tcPr>
          <w:p w14:paraId="0D475313" w14:textId="7240894E" w:rsidR="0037465D" w:rsidRDefault="0037465D" w:rsidP="009231A1">
            <w:pPr>
              <w:pStyle w:val="APVMATableText"/>
              <w:jc w:val="right"/>
              <w:rPr>
                <w:lang w:eastAsia="en-AU"/>
              </w:rPr>
            </w:pPr>
            <w:r w:rsidRPr="00114D98">
              <w:rPr>
                <w:bCs/>
                <w:color w:val="000000"/>
                <w:szCs w:val="17"/>
                <w:lang w:eastAsia="en-AU"/>
              </w:rPr>
              <w:t>-</w:t>
            </w:r>
          </w:p>
        </w:tc>
        <w:tc>
          <w:tcPr>
            <w:tcW w:w="1251" w:type="dxa"/>
            <w:tcBorders>
              <w:top w:val="single" w:sz="4" w:space="0" w:color="auto"/>
              <w:left w:val="single" w:sz="4" w:space="0" w:color="auto"/>
              <w:bottom w:val="single" w:sz="4" w:space="0" w:color="auto"/>
              <w:right w:val="single" w:sz="4" w:space="0" w:color="auto"/>
            </w:tcBorders>
            <w:vAlign w:val="center"/>
          </w:tcPr>
          <w:p w14:paraId="044AA7FE" w14:textId="2C15D762" w:rsidR="0037465D" w:rsidRDefault="0037465D" w:rsidP="009231A1">
            <w:pPr>
              <w:pStyle w:val="APVMATableText"/>
              <w:jc w:val="right"/>
              <w:rPr>
                <w:lang w:eastAsia="en-AU"/>
              </w:rPr>
            </w:pPr>
            <w:r w:rsidRPr="00114D98">
              <w:rPr>
                <w:bCs/>
                <w:color w:val="000000"/>
                <w:szCs w:val="17"/>
                <w:lang w:eastAsia="en-AU"/>
              </w:rPr>
              <w:t>50</w:t>
            </w:r>
          </w:p>
        </w:tc>
        <w:tc>
          <w:tcPr>
            <w:tcW w:w="1251" w:type="dxa"/>
            <w:shd w:val="clear" w:color="auto" w:fill="D5D7D5" w:themeFill="text1" w:themeFillTint="33"/>
            <w:vAlign w:val="center"/>
          </w:tcPr>
          <w:p w14:paraId="3F1B7591" w14:textId="2F893DE8" w:rsidR="0037465D" w:rsidRPr="0037465D" w:rsidRDefault="0037465D" w:rsidP="009231A1">
            <w:pPr>
              <w:pStyle w:val="APVMATableText"/>
              <w:jc w:val="right"/>
              <w:rPr>
                <w:bCs/>
                <w:lang w:eastAsia="en-AU"/>
              </w:rPr>
            </w:pPr>
            <w:r w:rsidRPr="0037465D">
              <w:rPr>
                <w:bCs/>
                <w:color w:val="000000"/>
                <w:szCs w:val="17"/>
                <w:lang w:eastAsia="en-AU"/>
              </w:rPr>
              <w:t>175</w:t>
            </w:r>
          </w:p>
        </w:tc>
        <w:tc>
          <w:tcPr>
            <w:tcW w:w="1251" w:type="dxa"/>
            <w:vAlign w:val="center"/>
          </w:tcPr>
          <w:p w14:paraId="1B7A21A8" w14:textId="32657B69" w:rsidR="0037465D" w:rsidRDefault="0037465D" w:rsidP="009231A1">
            <w:pPr>
              <w:pStyle w:val="APVMATableText"/>
              <w:jc w:val="right"/>
              <w:rPr>
                <w:lang w:eastAsia="en-AU"/>
              </w:rPr>
            </w:pPr>
            <w:r w:rsidRPr="00114D98">
              <w:rPr>
                <w:bCs/>
                <w:color w:val="000000"/>
                <w:szCs w:val="17"/>
                <w:lang w:eastAsia="en-AU"/>
              </w:rPr>
              <w:t>2</w:t>
            </w:r>
            <w:r>
              <w:rPr>
                <w:bCs/>
                <w:color w:val="000000"/>
                <w:szCs w:val="17"/>
                <w:lang w:eastAsia="en-AU"/>
              </w:rPr>
              <w:t>50</w:t>
            </w:r>
          </w:p>
        </w:tc>
      </w:tr>
      <w:tr w:rsidR="0037465D" w14:paraId="57A9D68B" w14:textId="77777777" w:rsidTr="0037465D">
        <w:trPr>
          <w:trHeight w:val="465"/>
        </w:trPr>
        <w:tc>
          <w:tcPr>
            <w:tcW w:w="2122" w:type="dxa"/>
            <w:tcBorders>
              <w:top w:val="single" w:sz="4" w:space="0" w:color="auto"/>
              <w:left w:val="single" w:sz="4" w:space="0" w:color="auto"/>
              <w:bottom w:val="single" w:sz="4" w:space="0" w:color="auto"/>
              <w:right w:val="single" w:sz="4" w:space="0" w:color="auto"/>
            </w:tcBorders>
            <w:vAlign w:val="center"/>
          </w:tcPr>
          <w:p w14:paraId="1C930551" w14:textId="13768B37" w:rsidR="0037465D" w:rsidRDefault="0037465D" w:rsidP="0037465D">
            <w:pPr>
              <w:pStyle w:val="APVMATableText"/>
              <w:rPr>
                <w:color w:val="000000"/>
                <w:szCs w:val="17"/>
                <w:lang w:eastAsia="en-AU"/>
              </w:rPr>
            </w:pPr>
            <w:r w:rsidRPr="007D5CE7">
              <w:rPr>
                <w:lang w:eastAsia="en-AU"/>
              </w:rPr>
              <w:t>Fee for converting information and documents into electronic form (per hour)</w:t>
            </w:r>
          </w:p>
        </w:tc>
        <w:tc>
          <w:tcPr>
            <w:tcW w:w="1251" w:type="dxa"/>
            <w:tcBorders>
              <w:top w:val="single" w:sz="4" w:space="0" w:color="auto"/>
              <w:left w:val="single" w:sz="4" w:space="0" w:color="auto"/>
              <w:bottom w:val="single" w:sz="4" w:space="0" w:color="auto"/>
              <w:right w:val="single" w:sz="4" w:space="0" w:color="auto"/>
            </w:tcBorders>
            <w:vAlign w:val="center"/>
          </w:tcPr>
          <w:p w14:paraId="4F3FA461" w14:textId="45C788CF" w:rsidR="0037465D" w:rsidRDefault="0037465D" w:rsidP="009231A1">
            <w:pPr>
              <w:pStyle w:val="APVMATableText"/>
              <w:jc w:val="right"/>
              <w:rPr>
                <w:color w:val="000000"/>
                <w:szCs w:val="17"/>
              </w:rPr>
            </w:pPr>
            <w:r w:rsidRPr="00114D98">
              <w:rPr>
                <w:bCs/>
                <w:color w:val="000000"/>
                <w:szCs w:val="17"/>
                <w:lang w:eastAsia="en-AU"/>
              </w:rPr>
              <w:t xml:space="preserve">238 </w:t>
            </w:r>
          </w:p>
        </w:tc>
        <w:tc>
          <w:tcPr>
            <w:tcW w:w="1251" w:type="dxa"/>
            <w:tcBorders>
              <w:top w:val="single" w:sz="4" w:space="0" w:color="auto"/>
              <w:left w:val="single" w:sz="4" w:space="0" w:color="auto"/>
              <w:bottom w:val="single" w:sz="4" w:space="0" w:color="auto"/>
              <w:right w:val="single" w:sz="4" w:space="0" w:color="auto"/>
            </w:tcBorders>
            <w:vAlign w:val="center"/>
          </w:tcPr>
          <w:p w14:paraId="579200AB" w14:textId="12D84026" w:rsidR="0037465D" w:rsidRDefault="0037465D" w:rsidP="009231A1">
            <w:pPr>
              <w:pStyle w:val="APVMATableText"/>
              <w:jc w:val="right"/>
              <w:rPr>
                <w:color w:val="000000"/>
                <w:szCs w:val="17"/>
              </w:rPr>
            </w:pPr>
            <w:r w:rsidRPr="00114D98">
              <w:rPr>
                <w:bCs/>
                <w:lang w:eastAsia="en-AU"/>
              </w:rPr>
              <w:t>175</w:t>
            </w:r>
          </w:p>
        </w:tc>
        <w:tc>
          <w:tcPr>
            <w:tcW w:w="1251" w:type="dxa"/>
            <w:tcBorders>
              <w:top w:val="single" w:sz="4" w:space="0" w:color="auto"/>
              <w:left w:val="single" w:sz="4" w:space="0" w:color="auto"/>
              <w:bottom w:val="single" w:sz="4" w:space="0" w:color="auto"/>
              <w:right w:val="single" w:sz="4" w:space="0" w:color="auto"/>
            </w:tcBorders>
            <w:vAlign w:val="center"/>
          </w:tcPr>
          <w:p w14:paraId="17307B63" w14:textId="0D21A835" w:rsidR="0037465D" w:rsidRDefault="0037465D" w:rsidP="009231A1">
            <w:pPr>
              <w:pStyle w:val="APVMATableText"/>
              <w:jc w:val="right"/>
              <w:rPr>
                <w:bCs/>
                <w:color w:val="000000"/>
                <w:szCs w:val="17"/>
                <w:lang w:eastAsia="en-AU"/>
              </w:rPr>
            </w:pPr>
            <w:r>
              <w:rPr>
                <w:bCs/>
                <w:color w:val="000000"/>
                <w:szCs w:val="17"/>
                <w:lang w:eastAsia="en-AU"/>
              </w:rPr>
              <w:t>-26</w:t>
            </w:r>
          </w:p>
        </w:tc>
        <w:tc>
          <w:tcPr>
            <w:tcW w:w="1251" w:type="dxa"/>
            <w:tcBorders>
              <w:top w:val="single" w:sz="4" w:space="0" w:color="auto"/>
              <w:left w:val="single" w:sz="4" w:space="0" w:color="auto"/>
              <w:bottom w:val="single" w:sz="4" w:space="0" w:color="auto"/>
              <w:right w:val="single" w:sz="4" w:space="0" w:color="auto"/>
            </w:tcBorders>
            <w:vAlign w:val="center"/>
          </w:tcPr>
          <w:p w14:paraId="39FA4195" w14:textId="5F3EA7C8" w:rsidR="0037465D" w:rsidRDefault="0037465D" w:rsidP="009231A1">
            <w:pPr>
              <w:pStyle w:val="APVMATableText"/>
              <w:jc w:val="right"/>
              <w:rPr>
                <w:color w:val="000000"/>
                <w:szCs w:val="17"/>
              </w:rPr>
            </w:pPr>
            <w:r w:rsidRPr="00114D98">
              <w:rPr>
                <w:bCs/>
                <w:color w:val="000000"/>
                <w:szCs w:val="17"/>
                <w:lang w:eastAsia="en-AU"/>
              </w:rPr>
              <w:t>90</w:t>
            </w:r>
          </w:p>
        </w:tc>
        <w:tc>
          <w:tcPr>
            <w:tcW w:w="1251" w:type="dxa"/>
            <w:shd w:val="clear" w:color="auto" w:fill="D5D7D5" w:themeFill="text1" w:themeFillTint="33"/>
            <w:vAlign w:val="center"/>
          </w:tcPr>
          <w:p w14:paraId="50B2C8F2" w14:textId="01B79C25" w:rsidR="0037465D" w:rsidRPr="0037465D" w:rsidRDefault="0037465D" w:rsidP="009231A1">
            <w:pPr>
              <w:pStyle w:val="APVMATableText"/>
              <w:jc w:val="right"/>
              <w:rPr>
                <w:bCs/>
                <w:color w:val="000000"/>
                <w:szCs w:val="17"/>
              </w:rPr>
            </w:pPr>
            <w:r w:rsidRPr="0037465D">
              <w:rPr>
                <w:bCs/>
                <w:lang w:eastAsia="en-AU"/>
              </w:rPr>
              <w:t>175</w:t>
            </w:r>
          </w:p>
        </w:tc>
        <w:tc>
          <w:tcPr>
            <w:tcW w:w="1251" w:type="dxa"/>
            <w:vAlign w:val="center"/>
          </w:tcPr>
          <w:p w14:paraId="75D3C141" w14:textId="7BEDEDE9" w:rsidR="0037465D" w:rsidRDefault="0037465D" w:rsidP="009231A1">
            <w:pPr>
              <w:pStyle w:val="APVMATableText"/>
              <w:jc w:val="right"/>
              <w:rPr>
                <w:bCs/>
                <w:color w:val="000000"/>
                <w:szCs w:val="17"/>
                <w:lang w:eastAsia="en-AU"/>
              </w:rPr>
            </w:pPr>
            <w:r>
              <w:rPr>
                <w:bCs/>
                <w:color w:val="000000"/>
                <w:szCs w:val="17"/>
                <w:lang w:eastAsia="en-AU"/>
              </w:rPr>
              <w:t>94</w:t>
            </w:r>
          </w:p>
        </w:tc>
      </w:tr>
    </w:tbl>
    <w:p w14:paraId="737DDBF1" w14:textId="4B796196" w:rsidR="00122810" w:rsidRDefault="00122810" w:rsidP="00122810">
      <w:pPr>
        <w:pStyle w:val="Heading3"/>
        <w:ind w:left="0" w:firstLine="0"/>
      </w:pPr>
      <w:bookmarkStart w:id="45" w:name="_Toc234585908"/>
      <w:r>
        <w:lastRenderedPageBreak/>
        <w:t>Certificates of export</w:t>
      </w:r>
      <w:bookmarkEnd w:id="45"/>
    </w:p>
    <w:p w14:paraId="00BF986C" w14:textId="77777777" w:rsidR="001677FB" w:rsidRPr="00595290" w:rsidRDefault="001677FB" w:rsidP="001677FB">
      <w:pPr>
        <w:pStyle w:val="Caption"/>
        <w:tabs>
          <w:tab w:val="clear" w:pos="907"/>
          <w:tab w:val="left" w:pos="0"/>
        </w:tabs>
        <w:ind w:left="0" w:firstLine="0"/>
        <w:rPr>
          <w:rFonts w:ascii="Arial" w:hAnsi="Arial" w:cs="Arial"/>
          <w:color w:val="auto"/>
          <w:kern w:val="20"/>
          <w:sz w:val="19"/>
          <w:u w:color="000000"/>
        </w:rPr>
      </w:pPr>
      <w:r w:rsidRPr="00595290">
        <w:rPr>
          <w:rFonts w:ascii="Arial" w:hAnsi="Arial" w:cs="Arial"/>
          <w:color w:val="auto"/>
          <w:kern w:val="20"/>
          <w:sz w:val="19"/>
          <w:u w:color="000000"/>
        </w:rPr>
        <w:t xml:space="preserve">Before exporting an </w:t>
      </w:r>
      <w:proofErr w:type="spellStart"/>
      <w:r w:rsidRPr="00595290">
        <w:rPr>
          <w:rFonts w:ascii="Arial" w:hAnsi="Arial" w:cs="Arial"/>
          <w:color w:val="auto"/>
          <w:kern w:val="20"/>
          <w:sz w:val="19"/>
          <w:u w:color="000000"/>
        </w:rPr>
        <w:t>agvet</w:t>
      </w:r>
      <w:proofErr w:type="spellEnd"/>
      <w:r w:rsidRPr="00595290">
        <w:rPr>
          <w:rFonts w:ascii="Arial" w:hAnsi="Arial" w:cs="Arial"/>
          <w:color w:val="auto"/>
          <w:kern w:val="20"/>
          <w:sz w:val="19"/>
          <w:u w:color="000000"/>
        </w:rPr>
        <w:t xml:space="preserve"> chemical product from Australia, many countries require assurance from the APVMA that the product is suitable for supply and use. The APVMA has legislative authority under section 69D of the Administration Act to issue Certificates of Export for </w:t>
      </w:r>
      <w:proofErr w:type="spellStart"/>
      <w:r w:rsidRPr="00595290">
        <w:rPr>
          <w:rFonts w:ascii="Arial" w:hAnsi="Arial" w:cs="Arial"/>
          <w:color w:val="auto"/>
          <w:kern w:val="20"/>
          <w:sz w:val="19"/>
          <w:u w:color="000000"/>
        </w:rPr>
        <w:t>agvet</w:t>
      </w:r>
      <w:proofErr w:type="spellEnd"/>
      <w:r w:rsidRPr="00595290">
        <w:rPr>
          <w:rFonts w:ascii="Arial" w:hAnsi="Arial" w:cs="Arial"/>
          <w:color w:val="auto"/>
          <w:kern w:val="20"/>
          <w:sz w:val="19"/>
          <w:u w:color="000000"/>
        </w:rPr>
        <w:t xml:space="preserve"> chemical products.</w:t>
      </w:r>
    </w:p>
    <w:p w14:paraId="51472533" w14:textId="3C1762D9" w:rsidR="001677FB" w:rsidRDefault="001677FB" w:rsidP="001677FB">
      <w:pPr>
        <w:pStyle w:val="Caption"/>
        <w:ind w:left="0" w:firstLine="0"/>
        <w:rPr>
          <w:rFonts w:ascii="Arial" w:hAnsi="Arial" w:cs="Arial"/>
          <w:color w:val="auto"/>
          <w:kern w:val="20"/>
          <w:sz w:val="19"/>
          <w:u w:color="000000"/>
        </w:rPr>
      </w:pPr>
      <w:r w:rsidRPr="00595290">
        <w:rPr>
          <w:rFonts w:ascii="Arial" w:hAnsi="Arial" w:cs="Arial"/>
          <w:color w:val="auto"/>
          <w:kern w:val="20"/>
          <w:sz w:val="19"/>
          <w:u w:color="000000"/>
        </w:rPr>
        <w:t>Certificates of Export are provided on a direct fee-for-service basis. A table of comparative costs and fees is provided at Table 6.</w:t>
      </w:r>
    </w:p>
    <w:p w14:paraId="100BB197" w14:textId="4F54A2EB" w:rsidR="00E40583" w:rsidRDefault="00E40583" w:rsidP="00E40583">
      <w:pPr>
        <w:pStyle w:val="Caption"/>
        <w:ind w:left="0" w:firstLine="0"/>
      </w:pPr>
      <w:r w:rsidRPr="00516CAD">
        <w:t xml:space="preserve">Table </w:t>
      </w:r>
      <w:r w:rsidR="00516CAD" w:rsidRPr="00516CAD">
        <w:t>6</w:t>
      </w:r>
      <w:r w:rsidRPr="00516CAD">
        <w:t>:</w:t>
      </w:r>
      <w:r w:rsidRPr="00516CAD">
        <w:tab/>
      </w:r>
      <w:r w:rsidR="009C4D72" w:rsidRPr="00516CAD">
        <w:t>Certificates of export costs and fees</w:t>
      </w:r>
      <w:r w:rsidR="009C4D72">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371"/>
        <w:gridCol w:w="1372"/>
        <w:gridCol w:w="1371"/>
        <w:gridCol w:w="1372"/>
        <w:gridCol w:w="1371"/>
        <w:gridCol w:w="1372"/>
      </w:tblGrid>
      <w:tr w:rsidR="00E40583" w14:paraId="2036CD10" w14:textId="77777777" w:rsidTr="00463804">
        <w:trPr>
          <w:trHeight w:val="780"/>
          <w:tblHeader/>
        </w:trPr>
        <w:tc>
          <w:tcPr>
            <w:tcW w:w="1399"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2BA8A873" w14:textId="42BA78C0" w:rsidR="00E40583" w:rsidRDefault="00E40583" w:rsidP="00932C16">
            <w:pPr>
              <w:pStyle w:val="APVMATableHead"/>
              <w:rPr>
                <w:lang w:eastAsia="en-AU"/>
              </w:rPr>
            </w:pPr>
            <w:r>
              <w:rPr>
                <w:lang w:eastAsia="en-AU"/>
              </w:rPr>
              <w:t>Service</w:t>
            </w:r>
          </w:p>
        </w:tc>
        <w:tc>
          <w:tcPr>
            <w:tcW w:w="1371"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1CE38D87" w14:textId="35190EA8" w:rsidR="00E40583" w:rsidRPr="00E40583" w:rsidRDefault="00E40583" w:rsidP="00932C16">
            <w:pPr>
              <w:pStyle w:val="APVMATableHeadRight"/>
              <w:rPr>
                <w:lang w:eastAsia="en-AU"/>
              </w:rPr>
            </w:pPr>
            <w:r>
              <w:rPr>
                <w:lang w:eastAsia="en-AU"/>
              </w:rPr>
              <w:t>Cost estimate prior to</w:t>
            </w:r>
            <w:r w:rsidR="00932C16">
              <w:rPr>
                <w:lang w:eastAsia="en-AU"/>
              </w:rPr>
              <w:br/>
            </w:r>
            <w:r>
              <w:rPr>
                <w:lang w:eastAsia="en-AU"/>
              </w:rPr>
              <w:t>30</w:t>
            </w:r>
            <w:r w:rsidRPr="0024707E">
              <w:rPr>
                <w:color w:val="F0F4F5" w:themeColor="accent1" w:themeTint="33"/>
                <w:lang w:eastAsia="en-AU"/>
              </w:rPr>
              <w:t>-</w:t>
            </w:r>
            <w:r w:rsidR="003A6D2D" w:rsidRPr="0024707E">
              <w:rPr>
                <w:color w:val="F0F4F5" w:themeColor="accent1" w:themeTint="33"/>
                <w:lang w:eastAsia="en-AU"/>
              </w:rPr>
              <w:t>Jun-27</w:t>
            </w:r>
            <w:r w:rsidR="00932C16">
              <w:rPr>
                <w:lang w:eastAsia="en-AU"/>
              </w:rPr>
              <w:br/>
            </w:r>
            <w:r w:rsidRPr="00E40583">
              <w:rPr>
                <w:lang w:eastAsia="en-AU"/>
              </w:rPr>
              <w:t>($ including GST)</w:t>
            </w:r>
          </w:p>
        </w:tc>
        <w:tc>
          <w:tcPr>
            <w:tcW w:w="1372"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457AB0B9" w14:textId="406A44DA" w:rsidR="00E40583" w:rsidRPr="00E40583" w:rsidRDefault="00E40583" w:rsidP="00932C16">
            <w:pPr>
              <w:pStyle w:val="APVMATableHeadRight"/>
              <w:rPr>
                <w:lang w:eastAsia="en-AU"/>
              </w:rPr>
            </w:pPr>
            <w:r>
              <w:rPr>
                <w:lang w:eastAsia="en-AU"/>
              </w:rPr>
              <w:t>Cost estimate from</w:t>
            </w:r>
            <w:r w:rsidR="00932C16">
              <w:rPr>
                <w:lang w:eastAsia="en-AU"/>
              </w:rPr>
              <w:br/>
            </w:r>
            <w:r>
              <w:rPr>
                <w:lang w:eastAsia="en-AU"/>
              </w:rPr>
              <w:t>1</w:t>
            </w:r>
            <w:r w:rsidRPr="0024707E">
              <w:rPr>
                <w:color w:val="F0F4F5" w:themeColor="accent1" w:themeTint="33"/>
                <w:lang w:eastAsia="en-AU"/>
              </w:rPr>
              <w:t>-</w:t>
            </w:r>
            <w:r w:rsidR="003A6D2D" w:rsidRPr="0024707E">
              <w:rPr>
                <w:color w:val="F0F4F5" w:themeColor="accent1" w:themeTint="33"/>
                <w:lang w:eastAsia="en-AU"/>
              </w:rPr>
              <w:t>Jul-27</w:t>
            </w:r>
            <w:r w:rsidR="00932C16">
              <w:rPr>
                <w:lang w:eastAsia="en-AU"/>
              </w:rPr>
              <w:br/>
            </w:r>
            <w:r w:rsidRPr="00E40583">
              <w:rPr>
                <w:lang w:eastAsia="en-AU"/>
              </w:rPr>
              <w:t>($)</w:t>
            </w:r>
          </w:p>
        </w:tc>
        <w:tc>
          <w:tcPr>
            <w:tcW w:w="1371"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05784780" w14:textId="0EC9F304" w:rsidR="00E40583" w:rsidRPr="00E40583" w:rsidRDefault="00E40583" w:rsidP="00932C16">
            <w:pPr>
              <w:pStyle w:val="APVMATableHeadRight"/>
              <w:rPr>
                <w:lang w:eastAsia="en-AU"/>
              </w:rPr>
            </w:pPr>
            <w:r>
              <w:rPr>
                <w:lang w:eastAsia="en-AU"/>
              </w:rPr>
              <w:t>Variance</w:t>
            </w:r>
            <w:r w:rsidR="00932C16">
              <w:rPr>
                <w:lang w:eastAsia="en-AU"/>
              </w:rPr>
              <w:br/>
            </w:r>
            <w:r>
              <w:rPr>
                <w:lang w:eastAsia="en-AU"/>
              </w:rPr>
              <w:t>in cost</w:t>
            </w:r>
            <w:r w:rsidR="00932C16">
              <w:rPr>
                <w:lang w:eastAsia="en-AU"/>
              </w:rPr>
              <w:br/>
            </w:r>
            <w:r w:rsidRPr="00E40583">
              <w:rPr>
                <w:lang w:eastAsia="en-AU"/>
              </w:rPr>
              <w:t>(%)</w:t>
            </w:r>
          </w:p>
        </w:tc>
        <w:tc>
          <w:tcPr>
            <w:tcW w:w="1372" w:type="dxa"/>
            <w:tcBorders>
              <w:top w:val="single" w:sz="4" w:space="0" w:color="auto"/>
              <w:left w:val="single" w:sz="4" w:space="0" w:color="auto"/>
              <w:bottom w:val="single" w:sz="4" w:space="0" w:color="auto"/>
              <w:right w:val="single" w:sz="4" w:space="0" w:color="auto"/>
            </w:tcBorders>
            <w:shd w:val="clear" w:color="auto" w:fill="53284F"/>
            <w:vAlign w:val="center"/>
            <w:hideMark/>
          </w:tcPr>
          <w:p w14:paraId="5AA35110" w14:textId="1A620DDA" w:rsidR="00E40583" w:rsidRPr="00E40583" w:rsidRDefault="00E40583" w:rsidP="00932C16">
            <w:pPr>
              <w:pStyle w:val="APVMATableHeadRight"/>
              <w:rPr>
                <w:lang w:eastAsia="en-AU"/>
              </w:rPr>
            </w:pPr>
            <w:r>
              <w:rPr>
                <w:lang w:eastAsia="en-AU"/>
              </w:rPr>
              <w:t>Fee prior to</w:t>
            </w:r>
            <w:r w:rsidR="00932C16">
              <w:rPr>
                <w:lang w:eastAsia="en-AU"/>
              </w:rPr>
              <w:br/>
            </w:r>
            <w:r>
              <w:rPr>
                <w:lang w:eastAsia="en-AU"/>
              </w:rPr>
              <w:t>30</w:t>
            </w:r>
            <w:r w:rsidRPr="0024707E">
              <w:rPr>
                <w:color w:val="F0F4F5" w:themeColor="accent1" w:themeTint="33"/>
                <w:lang w:eastAsia="en-AU"/>
              </w:rPr>
              <w:t>-</w:t>
            </w:r>
            <w:r w:rsidR="003A6D2D" w:rsidRPr="0024707E">
              <w:rPr>
                <w:color w:val="F0F4F5" w:themeColor="accent1" w:themeTint="33"/>
                <w:lang w:eastAsia="en-AU"/>
              </w:rPr>
              <w:t>Jun-27</w:t>
            </w:r>
            <w:r w:rsidR="00932C16">
              <w:rPr>
                <w:lang w:eastAsia="en-AU"/>
              </w:rPr>
              <w:br/>
            </w:r>
            <w:r w:rsidRPr="00E40583">
              <w:rPr>
                <w:lang w:eastAsia="en-AU"/>
              </w:rPr>
              <w:t>($)</w:t>
            </w:r>
          </w:p>
        </w:tc>
        <w:tc>
          <w:tcPr>
            <w:tcW w:w="1371" w:type="dxa"/>
            <w:shd w:val="clear" w:color="auto" w:fill="53284F"/>
            <w:vAlign w:val="center"/>
          </w:tcPr>
          <w:p w14:paraId="1B63225B" w14:textId="11F83E5E" w:rsidR="00E40583" w:rsidRPr="00E40583" w:rsidRDefault="00E40583" w:rsidP="00932C16">
            <w:pPr>
              <w:pStyle w:val="APVMATableHeadRight"/>
              <w:rPr>
                <w:lang w:eastAsia="en-AU"/>
              </w:rPr>
            </w:pPr>
            <w:r>
              <w:rPr>
                <w:lang w:eastAsia="en-AU"/>
              </w:rPr>
              <w:t>Fee from</w:t>
            </w:r>
            <w:r w:rsidR="00932C16">
              <w:rPr>
                <w:lang w:eastAsia="en-AU"/>
              </w:rPr>
              <w:br/>
            </w:r>
            <w:r>
              <w:rPr>
                <w:lang w:eastAsia="en-AU"/>
              </w:rPr>
              <w:t>1</w:t>
            </w:r>
            <w:r w:rsidRPr="0024707E">
              <w:rPr>
                <w:color w:val="F0F4F5" w:themeColor="accent1" w:themeTint="33"/>
                <w:lang w:eastAsia="en-AU"/>
              </w:rPr>
              <w:t>-</w:t>
            </w:r>
            <w:r w:rsidR="003A6D2D" w:rsidRPr="0024707E">
              <w:rPr>
                <w:color w:val="F0F4F5" w:themeColor="accent1" w:themeTint="33"/>
                <w:lang w:eastAsia="en-AU"/>
              </w:rPr>
              <w:t>Jul-27</w:t>
            </w:r>
            <w:r w:rsidR="00932C16">
              <w:rPr>
                <w:lang w:eastAsia="en-AU"/>
              </w:rPr>
              <w:br/>
            </w:r>
            <w:r w:rsidRPr="00E40583">
              <w:rPr>
                <w:lang w:eastAsia="en-AU"/>
              </w:rPr>
              <w:t>($)</w:t>
            </w:r>
          </w:p>
        </w:tc>
        <w:tc>
          <w:tcPr>
            <w:tcW w:w="1372" w:type="dxa"/>
            <w:shd w:val="clear" w:color="auto" w:fill="53284F"/>
            <w:vAlign w:val="center"/>
          </w:tcPr>
          <w:p w14:paraId="0CEAA133" w14:textId="71D8DB24" w:rsidR="00E40583" w:rsidRPr="00E40583" w:rsidRDefault="00E40583" w:rsidP="00932C16">
            <w:pPr>
              <w:pStyle w:val="APVMATableHeadRight"/>
              <w:rPr>
                <w:lang w:eastAsia="en-AU"/>
              </w:rPr>
            </w:pPr>
            <w:r w:rsidRPr="00114D98">
              <w:rPr>
                <w:lang w:eastAsia="en-AU"/>
              </w:rPr>
              <w:t>Variance</w:t>
            </w:r>
            <w:r w:rsidR="00932C16">
              <w:rPr>
                <w:lang w:eastAsia="en-AU"/>
              </w:rPr>
              <w:br/>
            </w:r>
            <w:r w:rsidRPr="00114D98">
              <w:rPr>
                <w:lang w:eastAsia="en-AU"/>
              </w:rPr>
              <w:t>in fees</w:t>
            </w:r>
            <w:r w:rsidR="00932C16">
              <w:rPr>
                <w:lang w:eastAsia="en-AU"/>
              </w:rPr>
              <w:br/>
            </w:r>
            <w:r w:rsidRPr="00114D98">
              <w:rPr>
                <w:lang w:eastAsia="en-AU"/>
              </w:rPr>
              <w:t>(%)</w:t>
            </w:r>
          </w:p>
        </w:tc>
      </w:tr>
      <w:tr w:rsidR="00E40583" w14:paraId="40D0F827" w14:textId="77777777" w:rsidTr="00E40583">
        <w:trPr>
          <w:trHeight w:val="465"/>
        </w:trPr>
        <w:tc>
          <w:tcPr>
            <w:tcW w:w="1399" w:type="dxa"/>
            <w:tcBorders>
              <w:top w:val="single" w:sz="4" w:space="0" w:color="auto"/>
              <w:left w:val="single" w:sz="4" w:space="0" w:color="auto"/>
              <w:bottom w:val="single" w:sz="4" w:space="0" w:color="auto"/>
              <w:right w:val="single" w:sz="4" w:space="0" w:color="auto"/>
            </w:tcBorders>
            <w:vAlign w:val="center"/>
            <w:hideMark/>
          </w:tcPr>
          <w:p w14:paraId="7165A6BE" w14:textId="40903788" w:rsidR="00E40583" w:rsidRDefault="00E40583" w:rsidP="00E40583">
            <w:pPr>
              <w:pStyle w:val="APVMATableText"/>
              <w:rPr>
                <w:lang w:eastAsia="en-AU"/>
              </w:rPr>
            </w:pPr>
            <w:r>
              <w:rPr>
                <w:color w:val="000000"/>
                <w:szCs w:val="17"/>
                <w:lang w:eastAsia="en-AU"/>
              </w:rPr>
              <w:t>No technical assessment</w:t>
            </w:r>
          </w:p>
        </w:tc>
        <w:tc>
          <w:tcPr>
            <w:tcW w:w="1371" w:type="dxa"/>
            <w:tcBorders>
              <w:top w:val="single" w:sz="4" w:space="0" w:color="auto"/>
              <w:left w:val="single" w:sz="4" w:space="0" w:color="auto"/>
              <w:bottom w:val="single" w:sz="4" w:space="0" w:color="auto"/>
              <w:right w:val="single" w:sz="4" w:space="0" w:color="auto"/>
            </w:tcBorders>
            <w:vAlign w:val="center"/>
          </w:tcPr>
          <w:p w14:paraId="63BAAF3F" w14:textId="77AF2A2E" w:rsidR="00E40583" w:rsidRDefault="00E40583" w:rsidP="009231A1">
            <w:pPr>
              <w:pStyle w:val="APVMATableText"/>
              <w:jc w:val="right"/>
              <w:rPr>
                <w:lang w:eastAsia="en-AU"/>
              </w:rPr>
            </w:pPr>
            <w:r>
              <w:rPr>
                <w:color w:val="000000"/>
                <w:szCs w:val="17"/>
              </w:rPr>
              <w:t>313</w:t>
            </w:r>
          </w:p>
        </w:tc>
        <w:tc>
          <w:tcPr>
            <w:tcW w:w="1372" w:type="dxa"/>
            <w:tcBorders>
              <w:top w:val="single" w:sz="4" w:space="0" w:color="auto"/>
              <w:left w:val="single" w:sz="4" w:space="0" w:color="auto"/>
              <w:bottom w:val="single" w:sz="4" w:space="0" w:color="auto"/>
              <w:right w:val="single" w:sz="4" w:space="0" w:color="auto"/>
            </w:tcBorders>
            <w:vAlign w:val="center"/>
          </w:tcPr>
          <w:p w14:paraId="0BE1F734" w14:textId="15F21562" w:rsidR="00E40583" w:rsidRDefault="00E40583" w:rsidP="009231A1">
            <w:pPr>
              <w:pStyle w:val="APVMATableText"/>
              <w:jc w:val="right"/>
              <w:rPr>
                <w:lang w:eastAsia="en-AU"/>
              </w:rPr>
            </w:pPr>
            <w:r>
              <w:rPr>
                <w:color w:val="000000"/>
                <w:szCs w:val="17"/>
              </w:rPr>
              <w:t>633</w:t>
            </w:r>
          </w:p>
        </w:tc>
        <w:tc>
          <w:tcPr>
            <w:tcW w:w="1371" w:type="dxa"/>
            <w:tcBorders>
              <w:top w:val="single" w:sz="4" w:space="0" w:color="auto"/>
              <w:left w:val="single" w:sz="4" w:space="0" w:color="auto"/>
              <w:bottom w:val="single" w:sz="4" w:space="0" w:color="auto"/>
              <w:right w:val="single" w:sz="4" w:space="0" w:color="auto"/>
            </w:tcBorders>
            <w:vAlign w:val="center"/>
          </w:tcPr>
          <w:p w14:paraId="76D54E45" w14:textId="032B0F05" w:rsidR="00E40583" w:rsidRDefault="00E40583" w:rsidP="009231A1">
            <w:pPr>
              <w:pStyle w:val="APVMATableText"/>
              <w:jc w:val="right"/>
              <w:rPr>
                <w:lang w:eastAsia="en-AU"/>
              </w:rPr>
            </w:pPr>
            <w:r>
              <w:rPr>
                <w:bCs/>
                <w:color w:val="000000"/>
                <w:szCs w:val="17"/>
                <w:lang w:eastAsia="en-AU"/>
              </w:rPr>
              <w:t>103</w:t>
            </w:r>
          </w:p>
        </w:tc>
        <w:tc>
          <w:tcPr>
            <w:tcW w:w="1372" w:type="dxa"/>
            <w:tcBorders>
              <w:top w:val="single" w:sz="4" w:space="0" w:color="auto"/>
              <w:left w:val="single" w:sz="4" w:space="0" w:color="auto"/>
              <w:bottom w:val="single" w:sz="4" w:space="0" w:color="auto"/>
              <w:right w:val="single" w:sz="4" w:space="0" w:color="auto"/>
            </w:tcBorders>
            <w:vAlign w:val="center"/>
          </w:tcPr>
          <w:p w14:paraId="702898BC" w14:textId="25EBF20F" w:rsidR="00E40583" w:rsidRDefault="00E40583" w:rsidP="009231A1">
            <w:pPr>
              <w:pStyle w:val="APVMATableText"/>
              <w:jc w:val="right"/>
              <w:rPr>
                <w:lang w:eastAsia="en-AU"/>
              </w:rPr>
            </w:pPr>
            <w:r>
              <w:rPr>
                <w:color w:val="000000"/>
                <w:szCs w:val="17"/>
              </w:rPr>
              <w:t>125</w:t>
            </w:r>
          </w:p>
        </w:tc>
        <w:tc>
          <w:tcPr>
            <w:tcW w:w="1371" w:type="dxa"/>
            <w:shd w:val="clear" w:color="auto" w:fill="D5D7D5" w:themeFill="text1" w:themeFillTint="33"/>
            <w:vAlign w:val="center"/>
          </w:tcPr>
          <w:p w14:paraId="6078653F" w14:textId="67B1E89D" w:rsidR="00E40583" w:rsidRDefault="00E40583" w:rsidP="009231A1">
            <w:pPr>
              <w:pStyle w:val="APVMATableText"/>
              <w:jc w:val="right"/>
              <w:rPr>
                <w:lang w:eastAsia="en-AU"/>
              </w:rPr>
            </w:pPr>
            <w:r>
              <w:rPr>
                <w:color w:val="000000"/>
                <w:szCs w:val="17"/>
              </w:rPr>
              <w:t>633</w:t>
            </w:r>
          </w:p>
        </w:tc>
        <w:tc>
          <w:tcPr>
            <w:tcW w:w="1372" w:type="dxa"/>
            <w:vAlign w:val="center"/>
          </w:tcPr>
          <w:p w14:paraId="05D112F5" w14:textId="2F35C499" w:rsidR="00E40583" w:rsidRDefault="00E40583" w:rsidP="009231A1">
            <w:pPr>
              <w:pStyle w:val="APVMATableText"/>
              <w:jc w:val="right"/>
              <w:rPr>
                <w:lang w:eastAsia="en-AU"/>
              </w:rPr>
            </w:pPr>
            <w:r>
              <w:rPr>
                <w:bCs/>
                <w:color w:val="000000"/>
                <w:szCs w:val="17"/>
                <w:lang w:eastAsia="en-AU"/>
              </w:rPr>
              <w:t>406</w:t>
            </w:r>
          </w:p>
        </w:tc>
      </w:tr>
      <w:tr w:rsidR="00E40583" w14:paraId="4372FA3F" w14:textId="77777777" w:rsidTr="00E40583">
        <w:trPr>
          <w:trHeight w:val="465"/>
        </w:trPr>
        <w:tc>
          <w:tcPr>
            <w:tcW w:w="1399" w:type="dxa"/>
            <w:tcBorders>
              <w:top w:val="single" w:sz="4" w:space="0" w:color="auto"/>
              <w:left w:val="single" w:sz="4" w:space="0" w:color="auto"/>
              <w:bottom w:val="single" w:sz="4" w:space="0" w:color="auto"/>
              <w:right w:val="single" w:sz="4" w:space="0" w:color="auto"/>
            </w:tcBorders>
            <w:vAlign w:val="center"/>
          </w:tcPr>
          <w:p w14:paraId="0D4749E0" w14:textId="3CC3FB32" w:rsidR="00E40583" w:rsidRDefault="00E40583" w:rsidP="00E40583">
            <w:pPr>
              <w:pStyle w:val="APVMATableText"/>
              <w:rPr>
                <w:lang w:eastAsia="en-AU"/>
              </w:rPr>
            </w:pPr>
            <w:r>
              <w:rPr>
                <w:color w:val="000000"/>
                <w:szCs w:val="17"/>
                <w:lang w:eastAsia="en-AU"/>
              </w:rPr>
              <w:t>Requires technical assessment</w:t>
            </w:r>
          </w:p>
        </w:tc>
        <w:tc>
          <w:tcPr>
            <w:tcW w:w="1371" w:type="dxa"/>
            <w:tcBorders>
              <w:top w:val="single" w:sz="4" w:space="0" w:color="auto"/>
              <w:left w:val="single" w:sz="4" w:space="0" w:color="auto"/>
              <w:bottom w:val="single" w:sz="4" w:space="0" w:color="auto"/>
              <w:right w:val="single" w:sz="4" w:space="0" w:color="auto"/>
            </w:tcBorders>
            <w:vAlign w:val="center"/>
          </w:tcPr>
          <w:p w14:paraId="02E9E009" w14:textId="4588904B" w:rsidR="00E40583" w:rsidRDefault="00E40583" w:rsidP="009231A1">
            <w:pPr>
              <w:pStyle w:val="APVMATableText"/>
              <w:jc w:val="right"/>
              <w:rPr>
                <w:lang w:eastAsia="en-AU"/>
              </w:rPr>
            </w:pPr>
            <w:r>
              <w:rPr>
                <w:color w:val="000000"/>
                <w:szCs w:val="17"/>
              </w:rPr>
              <w:t>558</w:t>
            </w:r>
          </w:p>
        </w:tc>
        <w:tc>
          <w:tcPr>
            <w:tcW w:w="1372" w:type="dxa"/>
            <w:tcBorders>
              <w:top w:val="single" w:sz="4" w:space="0" w:color="auto"/>
              <w:left w:val="single" w:sz="4" w:space="0" w:color="auto"/>
              <w:bottom w:val="single" w:sz="4" w:space="0" w:color="auto"/>
              <w:right w:val="single" w:sz="4" w:space="0" w:color="auto"/>
            </w:tcBorders>
            <w:vAlign w:val="center"/>
          </w:tcPr>
          <w:p w14:paraId="61445B96" w14:textId="23147300" w:rsidR="00E40583" w:rsidRDefault="00E40583" w:rsidP="009231A1">
            <w:pPr>
              <w:pStyle w:val="APVMATableText"/>
              <w:jc w:val="right"/>
              <w:rPr>
                <w:lang w:eastAsia="en-AU"/>
              </w:rPr>
            </w:pPr>
            <w:r>
              <w:rPr>
                <w:color w:val="000000"/>
                <w:szCs w:val="17"/>
              </w:rPr>
              <w:t>747</w:t>
            </w:r>
          </w:p>
        </w:tc>
        <w:tc>
          <w:tcPr>
            <w:tcW w:w="1371" w:type="dxa"/>
            <w:tcBorders>
              <w:top w:val="single" w:sz="4" w:space="0" w:color="auto"/>
              <w:left w:val="single" w:sz="4" w:space="0" w:color="auto"/>
              <w:bottom w:val="single" w:sz="4" w:space="0" w:color="auto"/>
              <w:right w:val="single" w:sz="4" w:space="0" w:color="auto"/>
            </w:tcBorders>
            <w:vAlign w:val="center"/>
          </w:tcPr>
          <w:p w14:paraId="167A6AAE" w14:textId="628C9419" w:rsidR="00E40583" w:rsidRDefault="00E40583" w:rsidP="009231A1">
            <w:pPr>
              <w:pStyle w:val="APVMATableText"/>
              <w:jc w:val="right"/>
              <w:rPr>
                <w:lang w:eastAsia="en-AU"/>
              </w:rPr>
            </w:pPr>
            <w:r>
              <w:rPr>
                <w:bCs/>
                <w:color w:val="000000"/>
                <w:szCs w:val="17"/>
                <w:lang w:eastAsia="en-AU"/>
              </w:rPr>
              <w:t>34</w:t>
            </w:r>
          </w:p>
        </w:tc>
        <w:tc>
          <w:tcPr>
            <w:tcW w:w="1372" w:type="dxa"/>
            <w:tcBorders>
              <w:top w:val="single" w:sz="4" w:space="0" w:color="auto"/>
              <w:left w:val="single" w:sz="4" w:space="0" w:color="auto"/>
              <w:bottom w:val="single" w:sz="4" w:space="0" w:color="auto"/>
              <w:right w:val="single" w:sz="4" w:space="0" w:color="auto"/>
            </w:tcBorders>
            <w:vAlign w:val="center"/>
          </w:tcPr>
          <w:p w14:paraId="715B4FE1" w14:textId="461A7FC3" w:rsidR="00E40583" w:rsidRDefault="00E40583" w:rsidP="009231A1">
            <w:pPr>
              <w:pStyle w:val="APVMATableText"/>
              <w:jc w:val="right"/>
              <w:rPr>
                <w:lang w:eastAsia="en-AU"/>
              </w:rPr>
            </w:pPr>
            <w:r>
              <w:rPr>
                <w:color w:val="000000"/>
                <w:szCs w:val="17"/>
              </w:rPr>
              <w:t>230</w:t>
            </w:r>
          </w:p>
        </w:tc>
        <w:tc>
          <w:tcPr>
            <w:tcW w:w="1371" w:type="dxa"/>
            <w:shd w:val="clear" w:color="auto" w:fill="D5D7D5" w:themeFill="text1" w:themeFillTint="33"/>
            <w:vAlign w:val="center"/>
          </w:tcPr>
          <w:p w14:paraId="57144D31" w14:textId="01A43F46" w:rsidR="00E40583" w:rsidRDefault="00E40583" w:rsidP="009231A1">
            <w:pPr>
              <w:pStyle w:val="APVMATableText"/>
              <w:jc w:val="right"/>
              <w:rPr>
                <w:lang w:eastAsia="en-AU"/>
              </w:rPr>
            </w:pPr>
            <w:r>
              <w:rPr>
                <w:color w:val="000000"/>
                <w:szCs w:val="17"/>
              </w:rPr>
              <w:t>747</w:t>
            </w:r>
          </w:p>
        </w:tc>
        <w:tc>
          <w:tcPr>
            <w:tcW w:w="1372" w:type="dxa"/>
            <w:vAlign w:val="center"/>
          </w:tcPr>
          <w:p w14:paraId="40E244B7" w14:textId="151C1555" w:rsidR="00E40583" w:rsidRDefault="00E40583" w:rsidP="009231A1">
            <w:pPr>
              <w:pStyle w:val="APVMATableText"/>
              <w:jc w:val="right"/>
              <w:rPr>
                <w:lang w:eastAsia="en-AU"/>
              </w:rPr>
            </w:pPr>
            <w:r>
              <w:rPr>
                <w:bCs/>
                <w:color w:val="000000"/>
                <w:szCs w:val="17"/>
                <w:lang w:eastAsia="en-AU"/>
              </w:rPr>
              <w:t>225</w:t>
            </w:r>
          </w:p>
        </w:tc>
      </w:tr>
    </w:tbl>
    <w:p w14:paraId="1FD570AD" w14:textId="77037D36" w:rsidR="006077CD" w:rsidRDefault="001F34F8" w:rsidP="006077CD">
      <w:pPr>
        <w:pStyle w:val="Heading3"/>
        <w:ind w:left="0" w:firstLine="0"/>
      </w:pPr>
      <w:bookmarkStart w:id="46" w:name="_Toc234585909"/>
      <w:r>
        <w:t>Consent to</w:t>
      </w:r>
      <w:r w:rsidR="00A24359">
        <w:t xml:space="preserve"> import</w:t>
      </w:r>
      <w:bookmarkEnd w:id="46"/>
    </w:p>
    <w:p w14:paraId="5A506BD2" w14:textId="0DDA456A" w:rsidR="006077CD" w:rsidRDefault="006077CD" w:rsidP="006077CD">
      <w:pPr>
        <w:pStyle w:val="NormalText"/>
      </w:pPr>
      <w:r w:rsidRPr="00595290">
        <w:t xml:space="preserve">A person must not import an unregistered </w:t>
      </w:r>
      <w:proofErr w:type="spellStart"/>
      <w:r w:rsidRPr="00595290">
        <w:t>agvet</w:t>
      </w:r>
      <w:proofErr w:type="spellEnd"/>
      <w:r w:rsidRPr="00595290">
        <w:t xml:space="preserve"> chemical product or unapproved active constituent into Australia unless the product is exempt from the importation provisions or the importer has obtained written consent from the APVMA.</w:t>
      </w:r>
      <w:r w:rsidRPr="6A1DCDDD">
        <w:rPr>
          <w:vertAlign w:val="superscript"/>
        </w:rPr>
        <w:footnoteReference w:id="2"/>
      </w:r>
      <w:r w:rsidRPr="00595290">
        <w:t xml:space="preserve"> Consents to import are issued under limited circumstances, for example to veterinarians for the treatment of animals under their care where no suitably registered product exists in Australia, or where an APVMA permit authorises the supply or use of the product.</w:t>
      </w:r>
    </w:p>
    <w:p w14:paraId="32F2222F" w14:textId="787C893E" w:rsidR="00122810" w:rsidRPr="00575EC5" w:rsidRDefault="006077CD" w:rsidP="00463804">
      <w:pPr>
        <w:pStyle w:val="NormalText"/>
        <w:rPr>
          <w:lang w:eastAsia="en-GB"/>
        </w:rPr>
      </w:pPr>
      <w:r>
        <w:t>The cost of issuing consents to import is not recovered through fees, as there is currently no legislative authority to impose a charge for this service.</w:t>
      </w:r>
      <w:r w:rsidR="00122810">
        <w:br w:type="page"/>
      </w:r>
    </w:p>
    <w:p w14:paraId="6B8C7686" w14:textId="77777777" w:rsidR="00E70807" w:rsidRPr="00E70807" w:rsidRDefault="00E70807" w:rsidP="0062403A">
      <w:pPr>
        <w:pStyle w:val="Heading2"/>
      </w:pPr>
      <w:bookmarkStart w:id="47" w:name="_Toc234585910"/>
      <w:r w:rsidRPr="00E70807">
        <w:lastRenderedPageBreak/>
        <w:t>Introduction of indexation to APVMA charges</w:t>
      </w:r>
      <w:bookmarkEnd w:id="47"/>
    </w:p>
    <w:p w14:paraId="06ABEEC4" w14:textId="77777777" w:rsidR="00E70807" w:rsidRPr="00E70807" w:rsidRDefault="00E70807" w:rsidP="0062403A">
      <w:pPr>
        <w:pStyle w:val="Heading3"/>
      </w:pPr>
      <w:bookmarkStart w:id="48" w:name="_Toc234585911"/>
      <w:r w:rsidRPr="00E70807">
        <w:t>What is changing</w:t>
      </w:r>
      <w:bookmarkEnd w:id="48"/>
    </w:p>
    <w:p w14:paraId="51199C85" w14:textId="60608C43" w:rsidR="00E70807" w:rsidRPr="00E70807" w:rsidRDefault="00E70807" w:rsidP="0024707E">
      <w:pPr>
        <w:pStyle w:val="NormalText"/>
      </w:pPr>
      <w:r w:rsidRPr="00E70807">
        <w:t>As part of this CRIS, the APVMA is proposing the introduction of indexation to regulatory charges. Indexation is intended to support the ongoing alignment of fees with the efficient cost of delivering regulatory services, consistent with the Commonwealth Cost Recovery Guidelines.</w:t>
      </w:r>
    </w:p>
    <w:p w14:paraId="5E966BE9" w14:textId="75B63C0E" w:rsidR="00E70807" w:rsidRPr="00E70807" w:rsidRDefault="00E70807" w:rsidP="0024707E">
      <w:pPr>
        <w:pStyle w:val="NormalText"/>
      </w:pPr>
      <w:r w:rsidRPr="00E70807">
        <w:t xml:space="preserve">The introduction of indexation </w:t>
      </w:r>
      <w:r>
        <w:t>is consistent</w:t>
      </w:r>
      <w:r w:rsidRPr="00E70807">
        <w:t xml:space="preserve"> with the Australian Government’s longstanding policy position that government charges are indexed by default,</w:t>
      </w:r>
      <w:r w:rsidR="00966BC4">
        <w:t xml:space="preserve"> and</w:t>
      </w:r>
      <w:r w:rsidRPr="00E70807">
        <w:t xml:space="preserve"> </w:t>
      </w:r>
      <w:r w:rsidR="00600DB7">
        <w:t xml:space="preserve">the CRIS proposes an indexation methodology based on published ABS indexes. </w:t>
      </w:r>
      <w:r w:rsidR="00600DB7" w:rsidRPr="0024707E">
        <w:t>The APVMA welcomes feedback on the proposed indexes, weightings and overall approach</w:t>
      </w:r>
      <w:r w:rsidRPr="00E70807">
        <w:t>.</w:t>
      </w:r>
    </w:p>
    <w:p w14:paraId="74A45A54" w14:textId="46D29B4F" w:rsidR="00E70807" w:rsidRPr="0024707E" w:rsidRDefault="00E70807" w:rsidP="0062403A">
      <w:pPr>
        <w:pStyle w:val="Heading3"/>
      </w:pPr>
      <w:bookmarkStart w:id="49" w:name="_Toc234585912"/>
      <w:r w:rsidRPr="0024707E">
        <w:t>Why indexation is being introduced</w:t>
      </w:r>
      <w:bookmarkEnd w:id="49"/>
    </w:p>
    <w:p w14:paraId="023ABF87" w14:textId="0CCA0269" w:rsidR="00E70807" w:rsidRPr="00E70807" w:rsidRDefault="00E70807" w:rsidP="0024707E">
      <w:pPr>
        <w:pStyle w:val="NormalText"/>
      </w:pPr>
      <w:r w:rsidRPr="00E70807">
        <w:t xml:space="preserve">The cost base underpinning this CRIS reflects </w:t>
      </w:r>
      <w:r>
        <w:t>the results of a detailed</w:t>
      </w:r>
      <w:r w:rsidRPr="00E70807">
        <w:t xml:space="preserve"> activity</w:t>
      </w:r>
      <w:r w:rsidRPr="00E70807">
        <w:noBreakHyphen/>
        <w:t>based costing exercise expressed in 2024</w:t>
      </w:r>
      <w:r w:rsidR="00966BC4">
        <w:t>–</w:t>
      </w:r>
      <w:r w:rsidRPr="00E70807">
        <w:t>25 prices. However, the costs incurred by the APVMA in delivering regulatory activities change over time due to movements in wages and supplier prices.</w:t>
      </w:r>
    </w:p>
    <w:p w14:paraId="66A698FF" w14:textId="25D611AA" w:rsidR="00E70807" w:rsidRPr="00E70807" w:rsidRDefault="00E70807" w:rsidP="0024707E">
      <w:pPr>
        <w:pStyle w:val="NormalText"/>
      </w:pPr>
      <w:r w:rsidRPr="00E70807">
        <w:t>In the absence of indexation, regulatory charges can progressively move out of alignment with efficient costs, resulting in cost under</w:t>
      </w:r>
      <w:r w:rsidRPr="00E70807">
        <w:noBreakHyphen/>
        <w:t>recovery or over</w:t>
      </w:r>
      <w:r w:rsidRPr="00E70807">
        <w:noBreakHyphen/>
        <w:t>recovery. Relying solely on periodic full cost recovery reviews to address this misalignment can lead to larger step changes in charges and reduced predictability.</w:t>
      </w:r>
    </w:p>
    <w:p w14:paraId="6B8D9AD0" w14:textId="77777777" w:rsidR="00E70807" w:rsidRDefault="00E70807" w:rsidP="0024707E">
      <w:pPr>
        <w:pStyle w:val="NormalText"/>
      </w:pPr>
      <w:r w:rsidRPr="00E70807">
        <w:t>Indexation provides a transparent and predictable mechanism to maintain alignment between regulatory charges and efficient costs between full CRIS reviews.</w:t>
      </w:r>
    </w:p>
    <w:p w14:paraId="1CD31B26" w14:textId="2F200D58" w:rsidR="00E70807" w:rsidRPr="0024707E" w:rsidRDefault="00E70807" w:rsidP="0062403A">
      <w:pPr>
        <w:pStyle w:val="Heading3"/>
      </w:pPr>
      <w:bookmarkStart w:id="50" w:name="_Toc234585913"/>
      <w:r w:rsidRPr="0024707E">
        <w:t>How indexation will work</w:t>
      </w:r>
      <w:bookmarkEnd w:id="50"/>
    </w:p>
    <w:p w14:paraId="77C4CA4C" w14:textId="77777777" w:rsidR="00E70807" w:rsidRPr="00E70807" w:rsidRDefault="00E70807" w:rsidP="00E70807">
      <w:pPr>
        <w:pStyle w:val="NormalText"/>
      </w:pPr>
      <w:r w:rsidRPr="00E70807">
        <w:t>Indexation would be applied to the APVMA cost base using a weighted composite of Australian Bureau of Statistics (ABS) indexes that reflect the major drivers of APVMA expenditure, including labour and supplier inputs.</w:t>
      </w:r>
    </w:p>
    <w:p w14:paraId="5391CFA0" w14:textId="77777777" w:rsidR="00E70807" w:rsidRPr="00E70807" w:rsidRDefault="00E70807" w:rsidP="00E70807">
      <w:pPr>
        <w:pStyle w:val="NormalText"/>
      </w:pPr>
      <w:r w:rsidRPr="00E70807">
        <w:t>Rather than relying on a single headline inflation measure, expenditure categories are weighted based on their share of total costs. This approach is intended to ensure that changes in regulatory charges more closely reflect movements in the underlying costs of delivering regulatory activities.</w:t>
      </w:r>
    </w:p>
    <w:p w14:paraId="1BD71D72" w14:textId="77777777" w:rsidR="00E70807" w:rsidRPr="00E70807" w:rsidRDefault="00E70807" w:rsidP="00E70807">
      <w:pPr>
        <w:pStyle w:val="NormalText"/>
      </w:pPr>
      <w:r w:rsidRPr="00E70807">
        <w:t>The expenditure structure and weights used for indexation are proposed to remain fixed between full costing exercises, providing stability and predictability in indexation outcomes over time.</w:t>
      </w:r>
    </w:p>
    <w:p w14:paraId="5440CC63" w14:textId="77777777" w:rsidR="00E70807" w:rsidRPr="0024707E" w:rsidRDefault="00E70807" w:rsidP="0062403A">
      <w:pPr>
        <w:pStyle w:val="Heading3"/>
      </w:pPr>
      <w:bookmarkStart w:id="51" w:name="_Toc234585914"/>
      <w:r w:rsidRPr="0024707E">
        <w:t>Timing and implementation</w:t>
      </w:r>
      <w:bookmarkEnd w:id="51"/>
    </w:p>
    <w:p w14:paraId="54EDCC67" w14:textId="77777777" w:rsidR="00E70807" w:rsidRPr="00E70807" w:rsidRDefault="00E70807" w:rsidP="00E70807">
      <w:pPr>
        <w:pStyle w:val="NormalText"/>
      </w:pPr>
      <w:r w:rsidRPr="00E70807">
        <w:t>Under the proposed approach:</w:t>
      </w:r>
    </w:p>
    <w:p w14:paraId="1AE5F6BE" w14:textId="01FD9A9D" w:rsidR="00E70807" w:rsidRPr="0062403A" w:rsidRDefault="00E70807" w:rsidP="0062403A">
      <w:pPr>
        <w:pStyle w:val="Bullet1"/>
      </w:pPr>
      <w:r w:rsidRPr="0062403A">
        <w:t xml:space="preserve">Indexation would be applied </w:t>
      </w:r>
      <w:r w:rsidR="00424474" w:rsidRPr="0062403A">
        <w:t xml:space="preserve">to the fees in the draft CRIS, </w:t>
      </w:r>
      <w:r w:rsidRPr="0062403A">
        <w:t>following the completion of the 2025</w:t>
      </w:r>
      <w:r w:rsidR="00966BC4" w:rsidRPr="0062403A">
        <w:t>–</w:t>
      </w:r>
      <w:r w:rsidRPr="0062403A">
        <w:t>26 financial year, using final published ABS data (normally ready 6</w:t>
      </w:r>
      <w:r w:rsidR="00966BC4" w:rsidRPr="0062403A">
        <w:t xml:space="preserve"> to </w:t>
      </w:r>
      <w:r w:rsidRPr="0062403A">
        <w:t>8 weeks after the end of the financial year).</w:t>
      </w:r>
    </w:p>
    <w:p w14:paraId="0337A840" w14:textId="0AB61C0F" w:rsidR="00E70807" w:rsidRPr="0062403A" w:rsidRDefault="00E70807" w:rsidP="0062403A">
      <w:pPr>
        <w:pStyle w:val="Bullet1"/>
      </w:pPr>
      <w:r w:rsidRPr="0062403A">
        <w:t xml:space="preserve">Updated indexed costs, and resulting changes to </w:t>
      </w:r>
      <w:r w:rsidR="00901655" w:rsidRPr="0062403A">
        <w:t>fees</w:t>
      </w:r>
      <w:r w:rsidRPr="0062403A">
        <w:t>, would be published</w:t>
      </w:r>
      <w:r w:rsidR="00424474" w:rsidRPr="0062403A">
        <w:t xml:space="preserve"> via the CRIS, early in 2027,</w:t>
      </w:r>
      <w:r w:rsidRPr="0062403A">
        <w:t xml:space="preserve"> in advance of their commencement.</w:t>
      </w:r>
    </w:p>
    <w:p w14:paraId="68B30819" w14:textId="5A4269F6" w:rsidR="00424474" w:rsidRPr="0062403A" w:rsidRDefault="00424474" w:rsidP="0062403A">
      <w:pPr>
        <w:pStyle w:val="Bullet1"/>
      </w:pPr>
      <w:r w:rsidRPr="0062403A">
        <w:lastRenderedPageBreak/>
        <w:t>The final indexed fees will be updated in the regulations</w:t>
      </w:r>
    </w:p>
    <w:p w14:paraId="093E4ED5" w14:textId="7921380C" w:rsidR="00E70807" w:rsidRPr="0062403A" w:rsidRDefault="00E70807" w:rsidP="0062403A">
      <w:pPr>
        <w:pStyle w:val="Bullet1"/>
      </w:pPr>
      <w:r w:rsidRPr="0062403A">
        <w:t xml:space="preserve">Indexed charges would take effect from </w:t>
      </w:r>
      <w:r w:rsidR="00424474" w:rsidRPr="0062403A">
        <w:t>1 July 2027</w:t>
      </w:r>
      <w:r w:rsidRPr="0062403A">
        <w:t xml:space="preserve">, subject to </w:t>
      </w:r>
      <w:r w:rsidR="00966BC4" w:rsidRPr="0062403A">
        <w:t>g</w:t>
      </w:r>
      <w:r w:rsidRPr="0062403A">
        <w:t>overnment agreement.</w:t>
      </w:r>
    </w:p>
    <w:p w14:paraId="366301F8" w14:textId="719ACFD2" w:rsidR="00E70807" w:rsidRPr="00E70807" w:rsidRDefault="00E70807" w:rsidP="00E70807">
      <w:pPr>
        <w:pStyle w:val="NormalText"/>
      </w:pPr>
      <w:r w:rsidRPr="00E70807">
        <w:t xml:space="preserve">This approach ensures indexation is applied using final, objective data and provides advance notice </w:t>
      </w:r>
      <w:r>
        <w:t>for stakeholders</w:t>
      </w:r>
      <w:r w:rsidRPr="00E70807">
        <w:t>.</w:t>
      </w:r>
    </w:p>
    <w:p w14:paraId="72BB9E15" w14:textId="77777777" w:rsidR="00E70807" w:rsidRPr="0024707E" w:rsidRDefault="00E70807" w:rsidP="0062403A">
      <w:pPr>
        <w:pStyle w:val="Heading3"/>
      </w:pPr>
      <w:bookmarkStart w:id="52" w:name="_Toc234585915"/>
      <w:r w:rsidRPr="0024707E">
        <w:t>Relationship to future CRIS reviews</w:t>
      </w:r>
      <w:bookmarkEnd w:id="52"/>
    </w:p>
    <w:p w14:paraId="22AC7A13" w14:textId="0A701B5A" w:rsidR="00E70807" w:rsidRPr="00E70807" w:rsidRDefault="00E70807" w:rsidP="00E70807">
      <w:pPr>
        <w:pStyle w:val="NormalText"/>
      </w:pPr>
      <w:r w:rsidRPr="00E70807">
        <w:t>Indexation does not replace the need for periodic full cost recovery reviews</w:t>
      </w:r>
      <w:r w:rsidR="001F08E5">
        <w:t xml:space="preserve"> or</w:t>
      </w:r>
      <w:r w:rsidR="00424474">
        <w:t xml:space="preserve"> a</w:t>
      </w:r>
      <w:r w:rsidR="001F08E5">
        <w:t xml:space="preserve"> future CRIS.</w:t>
      </w:r>
    </w:p>
    <w:p w14:paraId="4DD3FADA" w14:textId="77777777" w:rsidR="00E70807" w:rsidRPr="00E70807" w:rsidRDefault="00E70807" w:rsidP="00E70807">
      <w:pPr>
        <w:pStyle w:val="NormalText"/>
      </w:pPr>
      <w:r w:rsidRPr="00E70807">
        <w:t>Full CRIS reviews remain the mechanism through which APVMA activities, expenditure structures, cost drivers and cost recovery arrangements are comprehensively reassessed. The indexation methodology, including expenditure categories, weights and the choice of indexes, would be reviewed and, if necessary, updated as part of a future CRIS.</w:t>
      </w:r>
    </w:p>
    <w:p w14:paraId="08C9A7BB" w14:textId="30D93B13" w:rsidR="00E70807" w:rsidRPr="0024707E" w:rsidRDefault="00E70807" w:rsidP="0062403A">
      <w:pPr>
        <w:pStyle w:val="Heading3"/>
      </w:pPr>
      <w:bookmarkStart w:id="53" w:name="_Toc234585916"/>
      <w:r>
        <w:t>I</w:t>
      </w:r>
      <w:r w:rsidRPr="0024707E">
        <w:t>mpact on charges</w:t>
      </w:r>
      <w:bookmarkEnd w:id="53"/>
    </w:p>
    <w:p w14:paraId="3B3461B6" w14:textId="77777777" w:rsidR="00E70807" w:rsidRPr="00E70807" w:rsidRDefault="00E70807" w:rsidP="00E70807">
      <w:pPr>
        <w:pStyle w:val="NormalText"/>
      </w:pPr>
      <w:r w:rsidRPr="00E70807">
        <w:t>Indexation updates the underlying cost base used to inform regulatory charges. It does not introduce new regulatory activities or expand APVMA’s functions.</w:t>
      </w:r>
    </w:p>
    <w:p w14:paraId="3A1B16D7" w14:textId="09D600F9" w:rsidR="00E70807" w:rsidRPr="00E90E7A" w:rsidRDefault="00E70807" w:rsidP="0062403A">
      <w:pPr>
        <w:pStyle w:val="NormalText"/>
        <w:rPr>
          <w:lang w:eastAsia="en-GB"/>
        </w:rPr>
      </w:pPr>
      <w:r w:rsidRPr="00E70807">
        <w:t>Regulatory charges encompass both fee</w:t>
      </w:r>
      <w:r w:rsidRPr="00E70807">
        <w:noBreakHyphen/>
        <w:t>for</w:t>
      </w:r>
      <w:r w:rsidRPr="00E70807">
        <w:noBreakHyphen/>
        <w:t>service activities and levy</w:t>
      </w:r>
      <w:r w:rsidRPr="00E70807">
        <w:noBreakHyphen/>
        <w:t>funded activities. Where charges are set on a nominal basis, or where activities are partially funded through appropriation, indexation updates the underlying cost position only.</w:t>
      </w:r>
      <w:r>
        <w:br w:type="page"/>
      </w:r>
    </w:p>
    <w:p w14:paraId="13F700A8" w14:textId="1AAEAC77" w:rsidR="00797C0E" w:rsidRPr="00826CA0" w:rsidRDefault="00797C0E" w:rsidP="00D0686C">
      <w:pPr>
        <w:pStyle w:val="Heading2"/>
      </w:pPr>
      <w:bookmarkStart w:id="54" w:name="_Toc234585917"/>
      <w:r w:rsidRPr="00826CA0">
        <w:lastRenderedPageBreak/>
        <w:t>Other changes</w:t>
      </w:r>
      <w:bookmarkEnd w:id="54"/>
    </w:p>
    <w:p w14:paraId="0B131B48" w14:textId="2F43635A" w:rsidR="002C7147" w:rsidRPr="003053A9" w:rsidRDefault="002C7147" w:rsidP="002C7147">
      <w:pPr>
        <w:pStyle w:val="NormalText"/>
      </w:pPr>
      <w:r w:rsidRPr="003053A9">
        <w:t xml:space="preserve">In addition to the funding and pricing reforms, </w:t>
      </w:r>
      <w:r w:rsidR="00DA11A9" w:rsidRPr="003053A9">
        <w:t>several</w:t>
      </w:r>
      <w:r w:rsidRPr="003053A9">
        <w:t xml:space="preserve"> structural and presentation changes have been made to improve transparency, usability and confidence in the cost-recovery framework.</w:t>
      </w:r>
    </w:p>
    <w:p w14:paraId="770A5997" w14:textId="77777777" w:rsidR="002C7147" w:rsidRPr="003053A9" w:rsidRDefault="002C7147" w:rsidP="002C7147">
      <w:pPr>
        <w:pStyle w:val="NormalText"/>
      </w:pPr>
      <w:r w:rsidRPr="003053A9">
        <w:t xml:space="preserve">Fee categories have been refined to better reflect different types of regulatory work. </w:t>
      </w:r>
      <w:r>
        <w:t xml:space="preserve">The refined categories differentiate between activities related to </w:t>
      </w:r>
      <w:r w:rsidRPr="003053A9">
        <w:t>agricultural chemicals, veterinary medicines, active</w:t>
      </w:r>
      <w:r>
        <w:t xml:space="preserve"> constituents</w:t>
      </w:r>
      <w:r w:rsidRPr="003053A9">
        <w:t>, permits and holders. This responds directly to stakeholder feedback and improves cost transparency by reducing the risk of cross-subsidisation between sectors.</w:t>
      </w:r>
    </w:p>
    <w:p w14:paraId="631BFE26" w14:textId="77777777" w:rsidR="002C7147" w:rsidRPr="003053A9" w:rsidRDefault="002C7147" w:rsidP="002C7147">
      <w:pPr>
        <w:pStyle w:val="NormalText"/>
      </w:pPr>
      <w:r w:rsidRPr="003053A9">
        <w:t>The underlying cost-recovery framework has also been clarified. Definitions of functions, activities, outputs and cost elements have been restructured to more clearly align regulatory functions with the services delivered and the way costs are recovered. A consolidated schedule of fees has been introduced as an attachment to improve accessibility and ease of use.</w:t>
      </w:r>
    </w:p>
    <w:p w14:paraId="43F1E13B" w14:textId="4F3FF0BD" w:rsidR="002C7147" w:rsidRPr="003053A9" w:rsidRDefault="002C7147" w:rsidP="002C7147">
      <w:pPr>
        <w:pStyle w:val="NormalText"/>
      </w:pPr>
      <w:r w:rsidRPr="003053A9">
        <w:t xml:space="preserve">Several technical costing issues have been addressed. For example, </w:t>
      </w:r>
      <w:r>
        <w:t xml:space="preserve">the APVMA has improved the accuracy of calculating </w:t>
      </w:r>
      <w:r w:rsidRPr="003053A9">
        <w:t xml:space="preserve">the hourly rate </w:t>
      </w:r>
      <w:r>
        <w:t xml:space="preserve">for </w:t>
      </w:r>
      <w:proofErr w:type="spellStart"/>
      <w:r>
        <w:t>Agvet</w:t>
      </w:r>
      <w:proofErr w:type="spellEnd"/>
      <w:r>
        <w:t xml:space="preserve"> Code requests by aligning this activity with broader averages for effort and hourly cost. This change has significantly reduced the risk of these fees becoming distorted.</w:t>
      </w:r>
    </w:p>
    <w:p w14:paraId="315A5DB7" w14:textId="77777777" w:rsidR="002C7147" w:rsidRDefault="002C7147" w:rsidP="002C7147">
      <w:pPr>
        <w:pStyle w:val="NormalText"/>
      </w:pPr>
      <w:r>
        <w:t>Based on stakeholder feedback, t</w:t>
      </w:r>
      <w:r w:rsidRPr="003053A9">
        <w:t>he APVMA</w:t>
      </w:r>
      <w:r>
        <w:t xml:space="preserve"> has</w:t>
      </w:r>
      <w:r w:rsidRPr="003053A9">
        <w:t xml:space="preserve"> expanded its costing dataset to include all available operational, financial, application and time-recording data from 2019 to 2025, reviewed outliers and variations in effort, strengthened activity-based costing methods, and recalibrated business rules to validate efficient cost levels. Together, these changes materially improve the accuracy, consistency and transparency of cost estimates.</w:t>
      </w:r>
    </w:p>
    <w:p w14:paraId="732B9989" w14:textId="6B132053" w:rsidR="00421B2F" w:rsidRPr="003053A9" w:rsidRDefault="00421B2F" w:rsidP="002C7147">
      <w:pPr>
        <w:pStyle w:val="NormalText"/>
      </w:pPr>
      <w:r>
        <w:t>The expanded costing dataset and improved model has enabled the APVMA to calculate distinct costs based on which category applies to each module or application. This has enabled the APVMA to more closely align fees module and service costs.</w:t>
      </w:r>
    </w:p>
    <w:p w14:paraId="72CA01AE" w14:textId="1C1E5DFC" w:rsidR="002C7147" w:rsidRPr="003053A9" w:rsidRDefault="002C7147" w:rsidP="002C7147">
      <w:pPr>
        <w:pStyle w:val="NormalText"/>
      </w:pPr>
      <w:r>
        <w:t>T</w:t>
      </w:r>
      <w:r w:rsidRPr="003053A9">
        <w:t>he 202</w:t>
      </w:r>
      <w:r w:rsidR="0091088C">
        <w:t>7</w:t>
      </w:r>
      <w:r>
        <w:t>–2</w:t>
      </w:r>
      <w:r w:rsidR="0091088C">
        <w:t>8</w:t>
      </w:r>
      <w:r>
        <w:t xml:space="preserve"> CRIS </w:t>
      </w:r>
      <w:r w:rsidRPr="003053A9">
        <w:t xml:space="preserve">simplifies </w:t>
      </w:r>
      <w:r>
        <w:t xml:space="preserve">how information is presented by </w:t>
      </w:r>
      <w:r w:rsidRPr="003053A9">
        <w:t>adopt</w:t>
      </w:r>
      <w:r>
        <w:t>ing</w:t>
      </w:r>
      <w:r w:rsidRPr="003053A9">
        <w:t xml:space="preserve"> a more intuitive structure across activities and fee categories. Separate fee tables are provided for agricultural chemicals, veterinary medicines, permits, actives and holders, allowing stakeholders to quickly locate relevant information without unnecessary complexity.</w:t>
      </w:r>
    </w:p>
    <w:p w14:paraId="4AAF65FF" w14:textId="77777777" w:rsidR="002C7147" w:rsidRDefault="002C7147" w:rsidP="002C7147">
      <w:pPr>
        <w:pStyle w:val="NormalText"/>
      </w:pPr>
      <w:r>
        <w:t>T</w:t>
      </w:r>
      <w:r w:rsidRPr="003053A9">
        <w:t>he APVMA will continue to refine its approach through</w:t>
      </w:r>
      <w:r>
        <w:t>:</w:t>
      </w:r>
    </w:p>
    <w:p w14:paraId="45E8D628" w14:textId="63035A40" w:rsidR="002C7147" w:rsidRDefault="002C7147" w:rsidP="0062403A">
      <w:pPr>
        <w:pStyle w:val="Bullet1"/>
      </w:pPr>
      <w:r w:rsidRPr="003053A9">
        <w:t xml:space="preserve">annual </w:t>
      </w:r>
      <w:r>
        <w:t>updates to the CRIS</w:t>
      </w:r>
      <w:r w:rsidRPr="003053A9">
        <w:t>,</w:t>
      </w:r>
    </w:p>
    <w:p w14:paraId="106C934D" w14:textId="12AA300E" w:rsidR="002C7147" w:rsidRDefault="002C7147" w:rsidP="0062403A">
      <w:pPr>
        <w:pStyle w:val="Bullet1"/>
      </w:pPr>
      <w:r w:rsidRPr="003053A9">
        <w:t>monitor</w:t>
      </w:r>
      <w:r w:rsidR="00421B2F">
        <w:t>ing</w:t>
      </w:r>
      <w:r w:rsidRPr="003053A9">
        <w:t xml:space="preserve"> improvements</w:t>
      </w:r>
      <w:r>
        <w:t xml:space="preserve"> to operational efficiency</w:t>
      </w:r>
      <w:r w:rsidRPr="003053A9">
        <w:t>, and</w:t>
      </w:r>
    </w:p>
    <w:p w14:paraId="305BB17D" w14:textId="77777777" w:rsidR="002C7147" w:rsidRPr="003053A9" w:rsidRDefault="002C7147" w:rsidP="0062403A">
      <w:pPr>
        <w:pStyle w:val="Bullet1"/>
      </w:pPr>
      <w:r w:rsidRPr="003053A9">
        <w:t>engag</w:t>
      </w:r>
      <w:r>
        <w:t>ing</w:t>
      </w:r>
      <w:r w:rsidRPr="003053A9">
        <w:t xml:space="preserve"> with </w:t>
      </w:r>
      <w:r>
        <w:t>government and other stakeholders</w:t>
      </w:r>
      <w:r w:rsidRPr="003053A9">
        <w:t xml:space="preserve"> to ensure the </w:t>
      </w:r>
      <w:r>
        <w:t>CRIS</w:t>
      </w:r>
      <w:r w:rsidRPr="003053A9">
        <w:t xml:space="preserve"> remains transparent, accurate and fit for purpose.</w:t>
      </w:r>
    </w:p>
    <w:p w14:paraId="1069A520" w14:textId="77777777" w:rsidR="00CD66B1" w:rsidRDefault="00CD66B1" w:rsidP="00C94A0D">
      <w:pPr>
        <w:pStyle w:val="NormalText"/>
        <w:sectPr w:rsidR="00CD66B1" w:rsidSect="009C4D72">
          <w:headerReference w:type="even" r:id="rId45"/>
          <w:pgSz w:w="11906" w:h="16838" w:code="9"/>
          <w:pgMar w:top="2835" w:right="1134" w:bottom="1134" w:left="1134" w:header="1701" w:footer="680" w:gutter="0"/>
          <w:cols w:space="708"/>
          <w:docGrid w:linePitch="360"/>
        </w:sectPr>
      </w:pPr>
      <w:bookmarkStart w:id="55" w:name="_Toc175137393"/>
      <w:bookmarkStart w:id="56" w:name="_Toc21685622"/>
      <w:bookmarkStart w:id="57" w:name="_Toc115355139"/>
      <w:bookmarkStart w:id="58" w:name="_Toc78086751"/>
      <w:bookmarkStart w:id="59" w:name="_Toc485435377"/>
      <w:bookmarkStart w:id="60" w:name="_Toc171075118"/>
      <w:bookmarkStart w:id="61" w:name="_Toc171075160"/>
      <w:bookmarkEnd w:id="36"/>
      <w:bookmarkEnd w:id="55"/>
    </w:p>
    <w:p w14:paraId="645A2AC4" w14:textId="2861BA0A" w:rsidR="000D718E" w:rsidRDefault="000D718E" w:rsidP="000D718E">
      <w:pPr>
        <w:pStyle w:val="Heading1"/>
      </w:pPr>
      <w:bookmarkStart w:id="62" w:name="_Toc234585918"/>
      <w:bookmarkEnd w:id="56"/>
      <w:bookmarkEnd w:id="57"/>
      <w:bookmarkEnd w:id="58"/>
      <w:bookmarkEnd w:id="59"/>
      <w:bookmarkEnd w:id="60"/>
      <w:bookmarkEnd w:id="61"/>
      <w:r>
        <w:lastRenderedPageBreak/>
        <w:t>Implementation</w:t>
      </w:r>
      <w:bookmarkEnd w:id="62"/>
    </w:p>
    <w:p w14:paraId="3B775D84" w14:textId="2E0A4096" w:rsidR="00977891" w:rsidRDefault="00247ECF" w:rsidP="000D718E">
      <w:pPr>
        <w:pStyle w:val="NormalText"/>
      </w:pPr>
      <w:r w:rsidRPr="00247ECF">
        <w:t xml:space="preserve">The APVMA will </w:t>
      </w:r>
      <w:r w:rsidR="00977891">
        <w:t>seek approval for the 202</w:t>
      </w:r>
      <w:r w:rsidR="0091088C">
        <w:t>7</w:t>
      </w:r>
      <w:r w:rsidR="00977891">
        <w:t>–2</w:t>
      </w:r>
      <w:r w:rsidR="0091088C">
        <w:t>8</w:t>
      </w:r>
      <w:r w:rsidR="00977891">
        <w:t xml:space="preserve"> CRIS from the Minister for Agriculture, Fisheries and Forestry after considering insights received during the public consultation process</w:t>
      </w:r>
      <w:r w:rsidR="00424474">
        <w:t xml:space="preserve"> and applying indexation</w:t>
      </w:r>
      <w:r w:rsidR="00977891">
        <w:t>.</w:t>
      </w:r>
    </w:p>
    <w:p w14:paraId="17C40498" w14:textId="573091A9" w:rsidR="00247ECF" w:rsidRDefault="00977891" w:rsidP="00977891">
      <w:pPr>
        <w:pStyle w:val="NormalText"/>
      </w:pPr>
      <w:r>
        <w:t>Once the minister has approved the proposed CRIS</w:t>
      </w:r>
      <w:r w:rsidR="009B4B53">
        <w:t xml:space="preserve"> and associated regulations </w:t>
      </w:r>
      <w:r w:rsidR="00AB21F1">
        <w:t>amended</w:t>
      </w:r>
      <w:r>
        <w:t xml:space="preserve">, changes will </w:t>
      </w:r>
      <w:r w:rsidR="00247ECF">
        <w:t xml:space="preserve">take effect from 1 </w:t>
      </w:r>
      <w:r w:rsidR="0091088C">
        <w:t>July 2027</w:t>
      </w:r>
      <w:r w:rsidR="00247ECF">
        <w:t>.</w:t>
      </w:r>
    </w:p>
    <w:p w14:paraId="72278B99" w14:textId="7D50EB77" w:rsidR="000D718E" w:rsidRDefault="00247ECF" w:rsidP="000D718E">
      <w:pPr>
        <w:pStyle w:val="NormalText"/>
      </w:pPr>
      <w:r w:rsidRPr="00247ECF">
        <w:t>Th</w:t>
      </w:r>
      <w:r w:rsidR="000D718E" w:rsidRPr="00247ECF">
        <w:t>e following minor and technical amendments will be brought forward</w:t>
      </w:r>
      <w:r w:rsidR="00AB21F1">
        <w:t xml:space="preserve"> at the same time</w:t>
      </w:r>
      <w:r w:rsidR="000D718E" w:rsidRPr="00247ECF">
        <w:t xml:space="preserve"> to:</w:t>
      </w:r>
    </w:p>
    <w:p w14:paraId="72236A16" w14:textId="7A599CAB" w:rsidR="000D718E" w:rsidRDefault="000D718E" w:rsidP="00362E96">
      <w:pPr>
        <w:pStyle w:val="NormalText"/>
        <w:numPr>
          <w:ilvl w:val="0"/>
          <w:numId w:val="16"/>
        </w:numPr>
      </w:pPr>
      <w:r>
        <w:t>change the</w:t>
      </w:r>
      <w:r w:rsidR="00013AB3">
        <w:t xml:space="preserve"> amount of fee applicants are required to pay when they lodge their applications</w:t>
      </w:r>
      <w:r w:rsidR="0004669C">
        <w:t>, and</w:t>
      </w:r>
    </w:p>
    <w:p w14:paraId="53A9B16C" w14:textId="246623BA" w:rsidR="000D718E" w:rsidRDefault="000D718E" w:rsidP="00362E96">
      <w:pPr>
        <w:pStyle w:val="NormalText"/>
        <w:numPr>
          <w:ilvl w:val="0"/>
          <w:numId w:val="16"/>
        </w:numPr>
      </w:pPr>
      <w:r>
        <w:t>remove the option of a meeting during the provision of tier 1 pre-application assessments</w:t>
      </w:r>
      <w:r w:rsidR="003A42C9">
        <w:t>.</w:t>
      </w:r>
    </w:p>
    <w:p w14:paraId="68996E9A" w14:textId="4A324538" w:rsidR="000D718E" w:rsidRDefault="008103A3" w:rsidP="00D0686C">
      <w:pPr>
        <w:pStyle w:val="Heading2"/>
      </w:pPr>
      <w:bookmarkStart w:id="63" w:name="_Toc234585919"/>
      <w:r>
        <w:t>Minimum fees when lodging an application</w:t>
      </w:r>
      <w:bookmarkEnd w:id="63"/>
    </w:p>
    <w:p w14:paraId="1507C1E2" w14:textId="1DBAE474" w:rsidR="008103A3" w:rsidRPr="008103A3" w:rsidRDefault="008103A3" w:rsidP="00D16426">
      <w:pPr>
        <w:pStyle w:val="NormalText"/>
        <w:rPr>
          <w:lang w:eastAsia="en-GB"/>
        </w:rPr>
      </w:pPr>
      <w:r w:rsidRPr="008103A3">
        <w:rPr>
          <w:lang w:eastAsia="en-GB"/>
        </w:rPr>
        <w:t>Most applicants are only required to pay part of their application fee at the time the application is made. This amount is currently set at $710. If the total application fee is less than this, applicants are required to pay the total fee when they lodge their application.</w:t>
      </w:r>
      <w:r>
        <w:rPr>
          <w:lang w:eastAsia="en-GB"/>
        </w:rPr>
        <w:t xml:space="preserve"> </w:t>
      </w:r>
      <w:r w:rsidRPr="008103A3">
        <w:rPr>
          <w:lang w:eastAsia="en-GB"/>
        </w:rPr>
        <w:t>It is proposed that minimum upfront fees will now:</w:t>
      </w:r>
    </w:p>
    <w:p w14:paraId="2A92EAD7" w14:textId="77777777" w:rsidR="008103A3" w:rsidRDefault="008103A3" w:rsidP="008103A3">
      <w:pPr>
        <w:pStyle w:val="NormalText"/>
        <w:numPr>
          <w:ilvl w:val="0"/>
          <w:numId w:val="27"/>
        </w:numPr>
        <w:rPr>
          <w:lang w:eastAsia="en-GB"/>
        </w:rPr>
      </w:pPr>
      <w:r w:rsidRPr="008103A3">
        <w:rPr>
          <w:lang w:eastAsia="en-GB"/>
        </w:rPr>
        <w:t>match how much it costs to conduct a preliminary assessment for that category,</w:t>
      </w:r>
    </w:p>
    <w:p w14:paraId="1D01AA09" w14:textId="60EA567C" w:rsidR="008103A3" w:rsidRDefault="008103A3">
      <w:pPr>
        <w:pStyle w:val="NormalText"/>
        <w:numPr>
          <w:ilvl w:val="0"/>
          <w:numId w:val="27"/>
        </w:numPr>
        <w:rPr>
          <w:lang w:eastAsia="en-GB"/>
        </w:rPr>
      </w:pPr>
      <w:r w:rsidRPr="008103A3">
        <w:rPr>
          <w:lang w:eastAsia="en-GB"/>
        </w:rPr>
        <w:t>cost $844</w:t>
      </w:r>
      <w:r w:rsidR="00327221">
        <w:rPr>
          <w:lang w:eastAsia="en-GB"/>
        </w:rPr>
        <w:t xml:space="preserve">, </w:t>
      </w:r>
      <w:r w:rsidRPr="008103A3">
        <w:rPr>
          <w:lang w:eastAsia="en-GB"/>
        </w:rPr>
        <w:t>if a preliminary assessment is</w:t>
      </w:r>
      <w:r w:rsidR="00327221">
        <w:rPr>
          <w:lang w:eastAsia="en-GB"/>
        </w:rPr>
        <w:t xml:space="preserve"> </w:t>
      </w:r>
      <w:r w:rsidRPr="008103A3">
        <w:rPr>
          <w:lang w:eastAsia="en-GB"/>
        </w:rPr>
        <w:t>n</w:t>
      </w:r>
      <w:r w:rsidR="00327221">
        <w:rPr>
          <w:lang w:eastAsia="en-GB"/>
        </w:rPr>
        <w:t>o</w:t>
      </w:r>
      <w:r w:rsidRPr="008103A3">
        <w:rPr>
          <w:lang w:eastAsia="en-GB"/>
        </w:rPr>
        <w:t>t required</w:t>
      </w:r>
      <w:r w:rsidR="00327221">
        <w:rPr>
          <w:lang w:eastAsia="en-GB"/>
        </w:rPr>
        <w:t xml:space="preserve"> </w:t>
      </w:r>
      <w:r w:rsidR="00EA7AC3">
        <w:rPr>
          <w:lang w:eastAsia="en-GB"/>
        </w:rPr>
        <w:t xml:space="preserve">for that application type </w:t>
      </w:r>
      <w:r w:rsidR="00327221">
        <w:rPr>
          <w:lang w:eastAsia="en-GB"/>
        </w:rPr>
        <w:t>and the total</w:t>
      </w:r>
      <w:r w:rsidR="00EA7AC3">
        <w:rPr>
          <w:lang w:eastAsia="en-GB"/>
        </w:rPr>
        <w:t xml:space="preserve"> application</w:t>
      </w:r>
      <w:r w:rsidR="00327221">
        <w:rPr>
          <w:lang w:eastAsia="en-GB"/>
        </w:rPr>
        <w:t xml:space="preserve"> fee is more than this, or</w:t>
      </w:r>
    </w:p>
    <w:p w14:paraId="4AF66BC0" w14:textId="7D7554D5" w:rsidR="00327221" w:rsidRPr="008103A3" w:rsidRDefault="006F00D4" w:rsidP="00D16426">
      <w:pPr>
        <w:pStyle w:val="NormalText"/>
        <w:numPr>
          <w:ilvl w:val="0"/>
          <w:numId w:val="27"/>
        </w:numPr>
        <w:rPr>
          <w:lang w:eastAsia="en-GB"/>
        </w:rPr>
      </w:pPr>
      <w:r>
        <w:rPr>
          <w:lang w:eastAsia="en-GB"/>
        </w:rPr>
        <w:t xml:space="preserve">the total fee, for application types which cost </w:t>
      </w:r>
      <w:r w:rsidR="00327221">
        <w:rPr>
          <w:lang w:eastAsia="en-GB"/>
        </w:rPr>
        <w:t>less than $844.</w:t>
      </w:r>
    </w:p>
    <w:p w14:paraId="63E4E8F8" w14:textId="77777777" w:rsidR="008103A3" w:rsidRPr="008103A3" w:rsidRDefault="008103A3" w:rsidP="00D16426">
      <w:pPr>
        <w:pStyle w:val="NormalText"/>
        <w:rPr>
          <w:lang w:eastAsia="en-GB"/>
        </w:rPr>
      </w:pPr>
      <w:r w:rsidRPr="008103A3">
        <w:rPr>
          <w:lang w:eastAsia="en-GB"/>
        </w:rPr>
        <w:t>Preliminary assessments ensure that applications are complete and meet the APVMA’s minimum standards technical assessments begin. These are required for applications to:</w:t>
      </w:r>
    </w:p>
    <w:p w14:paraId="656CB549" w14:textId="77777777" w:rsidR="008103A3" w:rsidRDefault="008103A3" w:rsidP="008103A3">
      <w:pPr>
        <w:pStyle w:val="NormalText"/>
        <w:numPr>
          <w:ilvl w:val="0"/>
          <w:numId w:val="28"/>
        </w:numPr>
        <w:rPr>
          <w:lang w:eastAsia="en-GB"/>
        </w:rPr>
      </w:pPr>
      <w:r w:rsidRPr="008103A3">
        <w:rPr>
          <w:lang w:eastAsia="en-GB"/>
        </w:rPr>
        <w:t>approve active constituents and labels, and register chemical products,</w:t>
      </w:r>
    </w:p>
    <w:p w14:paraId="420A79E9" w14:textId="77777777" w:rsidR="008103A3" w:rsidRDefault="008103A3" w:rsidP="008103A3">
      <w:pPr>
        <w:pStyle w:val="NormalText"/>
        <w:numPr>
          <w:ilvl w:val="0"/>
          <w:numId w:val="28"/>
        </w:numPr>
        <w:rPr>
          <w:lang w:eastAsia="en-GB"/>
        </w:rPr>
      </w:pPr>
      <w:r w:rsidRPr="008103A3">
        <w:rPr>
          <w:lang w:eastAsia="en-GB"/>
        </w:rPr>
        <w:t>hold a permit, or</w:t>
      </w:r>
    </w:p>
    <w:p w14:paraId="6C9664ED" w14:textId="664B52B3" w:rsidR="008103A3" w:rsidRPr="008103A3" w:rsidRDefault="008103A3" w:rsidP="00D16426">
      <w:pPr>
        <w:pStyle w:val="NormalText"/>
        <w:numPr>
          <w:ilvl w:val="0"/>
          <w:numId w:val="28"/>
        </w:numPr>
        <w:rPr>
          <w:lang w:eastAsia="en-GB"/>
        </w:rPr>
      </w:pPr>
      <w:r w:rsidRPr="008103A3">
        <w:rPr>
          <w:lang w:eastAsia="en-GB"/>
        </w:rPr>
        <w:t>vary relevant particulars or conditions associated with approved active constituents, registered chemical products and their associated labels.</w:t>
      </w:r>
    </w:p>
    <w:p w14:paraId="26858632" w14:textId="381EBBEC" w:rsidR="00407BE8" w:rsidRDefault="008103A3" w:rsidP="00E90E7A">
      <w:pPr>
        <w:pStyle w:val="NormalText"/>
        <w:rPr>
          <w:rFonts w:ascii="Franklin Gothic Medium" w:hAnsi="Franklin Gothic Medium"/>
          <w:color w:val="53284F"/>
        </w:rPr>
      </w:pPr>
      <w:r w:rsidRPr="008103A3">
        <w:rPr>
          <w:lang w:eastAsia="en-GB"/>
        </w:rPr>
        <w:t>Applicants will still have the option to choose to pay the total fee when they</w:t>
      </w:r>
      <w:r>
        <w:rPr>
          <w:lang w:eastAsia="en-GB"/>
        </w:rPr>
        <w:t xml:space="preserve"> lodge</w:t>
      </w:r>
      <w:r w:rsidRPr="008103A3">
        <w:rPr>
          <w:lang w:eastAsia="en-GB"/>
        </w:rPr>
        <w:t xml:space="preserve"> their application if </w:t>
      </w:r>
      <w:r>
        <w:rPr>
          <w:lang w:eastAsia="en-GB"/>
        </w:rPr>
        <w:t>they prefer.</w:t>
      </w:r>
      <w:r w:rsidR="00407BE8">
        <w:br w:type="page"/>
      </w:r>
    </w:p>
    <w:p w14:paraId="440EDF4F" w14:textId="2BCF740C" w:rsidR="008103A3" w:rsidRPr="00407BE8" w:rsidRDefault="00463804" w:rsidP="00D16426">
      <w:pPr>
        <w:pStyle w:val="Caption"/>
        <w:ind w:left="0" w:firstLine="0"/>
        <w:rPr>
          <w:lang w:eastAsia="en-GB"/>
        </w:rPr>
      </w:pPr>
      <w:bookmarkStart w:id="64" w:name="_Toc234585738"/>
      <w:r>
        <w:lastRenderedPageBreak/>
        <w:t xml:space="preserve">Table </w:t>
      </w:r>
      <w:fldSimple w:instr=" SEQ Table \* ARABIC ">
        <w:r>
          <w:rPr>
            <w:noProof/>
          </w:rPr>
          <w:t>6</w:t>
        </w:r>
      </w:fldSimple>
      <w:r>
        <w:t>:</w:t>
      </w:r>
      <w:r>
        <w:tab/>
      </w:r>
      <w:r w:rsidR="008103A3" w:rsidRPr="00407BE8">
        <w:t>Proposed minimum upfront fees when lodging an application</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3"/>
        <w:gridCol w:w="2625"/>
      </w:tblGrid>
      <w:tr w:rsidR="008103A3" w:rsidRPr="008103A3" w14:paraId="6BC2435F" w14:textId="77777777" w:rsidTr="00932C16">
        <w:tc>
          <w:tcPr>
            <w:tcW w:w="6993" w:type="dxa"/>
            <w:shd w:val="clear" w:color="auto" w:fill="53284F" w:themeFill="accent5"/>
            <w:tcMar>
              <w:top w:w="40" w:type="dxa"/>
              <w:left w:w="60" w:type="dxa"/>
              <w:bottom w:w="40" w:type="dxa"/>
              <w:right w:w="60" w:type="dxa"/>
            </w:tcMar>
            <w:hideMark/>
          </w:tcPr>
          <w:p w14:paraId="0999A24F" w14:textId="33E9F0A4" w:rsidR="008103A3" w:rsidRPr="00826CA0" w:rsidRDefault="008103A3" w:rsidP="00932C16">
            <w:pPr>
              <w:pStyle w:val="APVMATableHead"/>
              <w:rPr>
                <w:lang w:eastAsia="en-AU"/>
              </w:rPr>
            </w:pPr>
            <w:r w:rsidRPr="00826CA0">
              <w:rPr>
                <w:lang w:eastAsia="en-AU"/>
              </w:rPr>
              <w:t>Application for registrations, approvals, and variations of veterinary chemical products</w:t>
            </w:r>
            <w:r w:rsidR="00327221" w:rsidRPr="00826CA0">
              <w:rPr>
                <w:lang w:eastAsia="en-AU"/>
              </w:rPr>
              <w:t xml:space="preserve"> and labels, with or without approval of an active constituent </w:t>
            </w:r>
          </w:p>
        </w:tc>
        <w:tc>
          <w:tcPr>
            <w:tcW w:w="2625" w:type="dxa"/>
            <w:tcMar>
              <w:top w:w="40" w:type="dxa"/>
              <w:left w:w="60" w:type="dxa"/>
              <w:bottom w:w="40" w:type="dxa"/>
              <w:right w:w="60" w:type="dxa"/>
            </w:tcMar>
            <w:vAlign w:val="center"/>
            <w:hideMark/>
          </w:tcPr>
          <w:p w14:paraId="65F4648C" w14:textId="77777777" w:rsidR="008103A3" w:rsidRPr="00407BE8" w:rsidRDefault="008103A3" w:rsidP="00932C16">
            <w:pPr>
              <w:pStyle w:val="APVMATableText"/>
              <w:jc w:val="right"/>
              <w:rPr>
                <w:lang w:eastAsia="en-AU"/>
              </w:rPr>
            </w:pPr>
            <w:r w:rsidRPr="00407BE8">
              <w:rPr>
                <w:lang w:eastAsia="en-AU"/>
              </w:rPr>
              <w:t>$2,480</w:t>
            </w:r>
          </w:p>
        </w:tc>
      </w:tr>
      <w:tr w:rsidR="008103A3" w:rsidRPr="008103A3" w14:paraId="26722706" w14:textId="77777777" w:rsidTr="00932C16">
        <w:tc>
          <w:tcPr>
            <w:tcW w:w="6993" w:type="dxa"/>
            <w:shd w:val="clear" w:color="auto" w:fill="53284F" w:themeFill="accent5"/>
            <w:tcMar>
              <w:top w:w="40" w:type="dxa"/>
              <w:left w:w="60" w:type="dxa"/>
              <w:bottom w:w="40" w:type="dxa"/>
              <w:right w:w="60" w:type="dxa"/>
            </w:tcMar>
            <w:hideMark/>
          </w:tcPr>
          <w:p w14:paraId="169F7EA9" w14:textId="090353CA" w:rsidR="008103A3" w:rsidRPr="00826CA0" w:rsidRDefault="008103A3" w:rsidP="00932C16">
            <w:pPr>
              <w:pStyle w:val="APVMATableHead"/>
              <w:rPr>
                <w:lang w:eastAsia="en-AU"/>
              </w:rPr>
            </w:pPr>
            <w:r w:rsidRPr="00826CA0">
              <w:rPr>
                <w:lang w:eastAsia="en-AU"/>
              </w:rPr>
              <w:t>Application for registration, approvals, and variations of agricultural chemical products</w:t>
            </w:r>
            <w:r w:rsidR="00327221" w:rsidRPr="00826CA0">
              <w:rPr>
                <w:lang w:eastAsia="en-AU"/>
              </w:rPr>
              <w:t xml:space="preserve">, with or without approval of an active constituent </w:t>
            </w:r>
          </w:p>
        </w:tc>
        <w:tc>
          <w:tcPr>
            <w:tcW w:w="2625" w:type="dxa"/>
            <w:tcMar>
              <w:top w:w="40" w:type="dxa"/>
              <w:left w:w="60" w:type="dxa"/>
              <w:bottom w:w="40" w:type="dxa"/>
              <w:right w:w="60" w:type="dxa"/>
            </w:tcMar>
            <w:vAlign w:val="center"/>
            <w:hideMark/>
          </w:tcPr>
          <w:p w14:paraId="7FCAE9A4" w14:textId="77777777" w:rsidR="008103A3" w:rsidRPr="00407BE8" w:rsidRDefault="008103A3" w:rsidP="00932C16">
            <w:pPr>
              <w:pStyle w:val="APVMATableText"/>
              <w:jc w:val="right"/>
              <w:rPr>
                <w:lang w:eastAsia="en-AU"/>
              </w:rPr>
            </w:pPr>
            <w:r w:rsidRPr="00407BE8">
              <w:rPr>
                <w:lang w:eastAsia="en-AU"/>
              </w:rPr>
              <w:t>$2,435</w:t>
            </w:r>
          </w:p>
        </w:tc>
      </w:tr>
      <w:tr w:rsidR="008103A3" w:rsidRPr="008103A3" w14:paraId="4E832B3B" w14:textId="77777777" w:rsidTr="00932C16">
        <w:tc>
          <w:tcPr>
            <w:tcW w:w="6993" w:type="dxa"/>
            <w:shd w:val="clear" w:color="auto" w:fill="53284F" w:themeFill="accent5"/>
            <w:tcMar>
              <w:top w:w="40" w:type="dxa"/>
              <w:left w:w="60" w:type="dxa"/>
              <w:bottom w:w="40" w:type="dxa"/>
              <w:right w:w="60" w:type="dxa"/>
            </w:tcMar>
            <w:hideMark/>
          </w:tcPr>
          <w:p w14:paraId="044FE122" w14:textId="77777777" w:rsidR="008103A3" w:rsidRPr="00826CA0" w:rsidRDefault="008103A3" w:rsidP="00932C16">
            <w:pPr>
              <w:pStyle w:val="APVMATableHead"/>
              <w:rPr>
                <w:lang w:eastAsia="en-AU"/>
              </w:rPr>
            </w:pPr>
            <w:r w:rsidRPr="00826CA0">
              <w:rPr>
                <w:lang w:eastAsia="en-AU"/>
              </w:rPr>
              <w:t>Applications for permits</w:t>
            </w:r>
          </w:p>
        </w:tc>
        <w:tc>
          <w:tcPr>
            <w:tcW w:w="2625" w:type="dxa"/>
            <w:tcMar>
              <w:top w:w="40" w:type="dxa"/>
              <w:left w:w="60" w:type="dxa"/>
              <w:bottom w:w="40" w:type="dxa"/>
              <w:right w:w="60" w:type="dxa"/>
            </w:tcMar>
            <w:vAlign w:val="center"/>
            <w:hideMark/>
          </w:tcPr>
          <w:p w14:paraId="077C8190" w14:textId="77777777" w:rsidR="008103A3" w:rsidRPr="00407BE8" w:rsidRDefault="008103A3" w:rsidP="00932C16">
            <w:pPr>
              <w:pStyle w:val="APVMATableText"/>
              <w:jc w:val="right"/>
              <w:rPr>
                <w:lang w:eastAsia="en-AU"/>
              </w:rPr>
            </w:pPr>
            <w:r w:rsidRPr="00407BE8">
              <w:rPr>
                <w:lang w:eastAsia="en-AU"/>
              </w:rPr>
              <w:t>$1,750</w:t>
            </w:r>
          </w:p>
        </w:tc>
      </w:tr>
      <w:tr w:rsidR="008103A3" w:rsidRPr="008103A3" w14:paraId="399BB4FC" w14:textId="77777777" w:rsidTr="00932C16">
        <w:tc>
          <w:tcPr>
            <w:tcW w:w="6993" w:type="dxa"/>
            <w:shd w:val="clear" w:color="auto" w:fill="53284F" w:themeFill="accent5"/>
            <w:tcMar>
              <w:top w:w="40" w:type="dxa"/>
              <w:left w:w="60" w:type="dxa"/>
              <w:bottom w:w="40" w:type="dxa"/>
              <w:right w:w="60" w:type="dxa"/>
            </w:tcMar>
            <w:hideMark/>
          </w:tcPr>
          <w:p w14:paraId="191E5FEF" w14:textId="34C67B7F" w:rsidR="008103A3" w:rsidRPr="00826CA0" w:rsidRDefault="008103A3" w:rsidP="00932C16">
            <w:pPr>
              <w:pStyle w:val="APVMATableHead"/>
              <w:rPr>
                <w:lang w:eastAsia="en-AU"/>
              </w:rPr>
            </w:pPr>
            <w:r w:rsidRPr="00826CA0">
              <w:rPr>
                <w:lang w:eastAsia="en-AU"/>
              </w:rPr>
              <w:t>Applications for approvals, and variations of active constituents</w:t>
            </w:r>
          </w:p>
        </w:tc>
        <w:tc>
          <w:tcPr>
            <w:tcW w:w="2625" w:type="dxa"/>
            <w:tcMar>
              <w:top w:w="40" w:type="dxa"/>
              <w:left w:w="60" w:type="dxa"/>
              <w:bottom w:w="40" w:type="dxa"/>
              <w:right w:w="60" w:type="dxa"/>
            </w:tcMar>
            <w:vAlign w:val="center"/>
            <w:hideMark/>
          </w:tcPr>
          <w:p w14:paraId="3D532413" w14:textId="77777777" w:rsidR="008103A3" w:rsidRPr="00407BE8" w:rsidRDefault="008103A3" w:rsidP="00932C16">
            <w:pPr>
              <w:pStyle w:val="APVMATableText"/>
              <w:jc w:val="right"/>
              <w:rPr>
                <w:lang w:eastAsia="en-AU"/>
              </w:rPr>
            </w:pPr>
            <w:r w:rsidRPr="00407BE8">
              <w:rPr>
                <w:lang w:eastAsia="en-AU"/>
              </w:rPr>
              <w:t>$844</w:t>
            </w:r>
          </w:p>
        </w:tc>
      </w:tr>
      <w:tr w:rsidR="008103A3" w:rsidRPr="008103A3" w14:paraId="52704D41" w14:textId="77777777" w:rsidTr="00932C16">
        <w:tc>
          <w:tcPr>
            <w:tcW w:w="6993" w:type="dxa"/>
            <w:shd w:val="clear" w:color="auto" w:fill="53284F" w:themeFill="accent5"/>
            <w:tcMar>
              <w:top w:w="40" w:type="dxa"/>
              <w:left w:w="60" w:type="dxa"/>
              <w:bottom w:w="40" w:type="dxa"/>
              <w:right w:w="60" w:type="dxa"/>
            </w:tcMar>
            <w:hideMark/>
          </w:tcPr>
          <w:p w14:paraId="257AF759" w14:textId="7D78CDC0" w:rsidR="008103A3" w:rsidRPr="00826CA0" w:rsidRDefault="00327221" w:rsidP="00932C16">
            <w:pPr>
              <w:pStyle w:val="APVMATableHead"/>
              <w:rPr>
                <w:lang w:eastAsia="en-AU"/>
              </w:rPr>
            </w:pPr>
            <w:r w:rsidRPr="00826CA0">
              <w:rPr>
                <w:lang w:eastAsia="en-AU"/>
              </w:rPr>
              <w:t>Applications that do not undergo preliminary assessment and where the total fee is more than $844</w:t>
            </w:r>
            <w:r w:rsidR="008103A3" w:rsidRPr="00826CA0">
              <w:rPr>
                <w:lang w:eastAsia="en-AU"/>
              </w:rPr>
              <w:t xml:space="preserve"> </w:t>
            </w:r>
          </w:p>
        </w:tc>
        <w:tc>
          <w:tcPr>
            <w:tcW w:w="2625" w:type="dxa"/>
            <w:tcMar>
              <w:top w:w="40" w:type="dxa"/>
              <w:left w:w="60" w:type="dxa"/>
              <w:bottom w:w="40" w:type="dxa"/>
              <w:right w:w="60" w:type="dxa"/>
            </w:tcMar>
            <w:vAlign w:val="center"/>
            <w:hideMark/>
          </w:tcPr>
          <w:p w14:paraId="796FD5F7" w14:textId="77777777" w:rsidR="008103A3" w:rsidRPr="00407BE8" w:rsidRDefault="008103A3" w:rsidP="00932C16">
            <w:pPr>
              <w:pStyle w:val="APVMATableText"/>
              <w:jc w:val="right"/>
              <w:rPr>
                <w:lang w:eastAsia="en-AU"/>
              </w:rPr>
            </w:pPr>
            <w:r w:rsidRPr="00407BE8">
              <w:rPr>
                <w:lang w:eastAsia="en-AU"/>
              </w:rPr>
              <w:t>$844</w:t>
            </w:r>
          </w:p>
        </w:tc>
      </w:tr>
      <w:tr w:rsidR="00327221" w:rsidRPr="008103A3" w14:paraId="719BB27E" w14:textId="77777777" w:rsidTr="00932C16">
        <w:tc>
          <w:tcPr>
            <w:tcW w:w="6993" w:type="dxa"/>
            <w:shd w:val="clear" w:color="auto" w:fill="53284F" w:themeFill="accent5"/>
            <w:tcMar>
              <w:top w:w="40" w:type="dxa"/>
              <w:left w:w="60" w:type="dxa"/>
              <w:bottom w:w="40" w:type="dxa"/>
              <w:right w:w="60" w:type="dxa"/>
            </w:tcMar>
          </w:tcPr>
          <w:p w14:paraId="401250B6" w14:textId="33E7F87C" w:rsidR="00327221" w:rsidRPr="00826CA0" w:rsidDel="00327221" w:rsidRDefault="00327221" w:rsidP="00932C16">
            <w:pPr>
              <w:pStyle w:val="APVMATableHead"/>
              <w:rPr>
                <w:lang w:eastAsia="en-AU"/>
              </w:rPr>
            </w:pPr>
            <w:r w:rsidRPr="00826CA0">
              <w:rPr>
                <w:lang w:eastAsia="en-AU"/>
              </w:rPr>
              <w:t>Applications that do not undergo preliminary assessment and where the total fee is less than $844</w:t>
            </w:r>
          </w:p>
        </w:tc>
        <w:tc>
          <w:tcPr>
            <w:tcW w:w="2625" w:type="dxa"/>
            <w:tcMar>
              <w:top w:w="40" w:type="dxa"/>
              <w:left w:w="60" w:type="dxa"/>
              <w:bottom w:w="40" w:type="dxa"/>
              <w:right w:w="60" w:type="dxa"/>
            </w:tcMar>
            <w:vAlign w:val="center"/>
          </w:tcPr>
          <w:p w14:paraId="19AF3547" w14:textId="0FDE7A66" w:rsidR="00327221" w:rsidRPr="00407BE8" w:rsidRDefault="00327221" w:rsidP="00932C16">
            <w:pPr>
              <w:pStyle w:val="APVMATableText"/>
              <w:jc w:val="right"/>
              <w:rPr>
                <w:lang w:eastAsia="en-AU"/>
              </w:rPr>
            </w:pPr>
            <w:r w:rsidRPr="00407BE8">
              <w:rPr>
                <w:lang w:eastAsia="en-AU"/>
              </w:rPr>
              <w:t xml:space="preserve">Total fee </w:t>
            </w:r>
          </w:p>
        </w:tc>
      </w:tr>
    </w:tbl>
    <w:p w14:paraId="4EE89C80" w14:textId="011EED89" w:rsidR="000D718E" w:rsidRPr="004F5FD5" w:rsidRDefault="00247ECF" w:rsidP="00D0686C">
      <w:pPr>
        <w:pStyle w:val="Heading2"/>
      </w:pPr>
      <w:bookmarkStart w:id="65" w:name="_Toc234585920"/>
      <w:r>
        <w:t>Update</w:t>
      </w:r>
      <w:r w:rsidR="000D718E">
        <w:t xml:space="preserve"> provision of tier 1 pre-application assistance</w:t>
      </w:r>
      <w:bookmarkEnd w:id="65"/>
      <w:r w:rsidR="000D718E">
        <w:t xml:space="preserve"> </w:t>
      </w:r>
    </w:p>
    <w:p w14:paraId="4CC8C233" w14:textId="1E1E06AD" w:rsidR="000D718E" w:rsidRDefault="000D718E" w:rsidP="000D718E">
      <w:pPr>
        <w:pStyle w:val="NormalText"/>
        <w:tabs>
          <w:tab w:val="left" w:pos="5124"/>
        </w:tabs>
      </w:pPr>
      <w:r>
        <w:t>Pre-application assistance is provided in 3 tiers. Tier 1 pre-application assistance</w:t>
      </w:r>
      <w:r w:rsidRPr="001C6EAB">
        <w:t xml:space="preserve"> </w:t>
      </w:r>
      <w:r w:rsidR="3FE27E95">
        <w:t>is the least complex</w:t>
      </w:r>
      <w:r w:rsidR="47B9E8FA">
        <w:t xml:space="preserve"> </w:t>
      </w:r>
      <w:r w:rsidR="3FE27E95">
        <w:t xml:space="preserve">and </w:t>
      </w:r>
      <w:r w:rsidR="74973F43">
        <w:t>assist</w:t>
      </w:r>
      <w:r w:rsidR="346D8D40">
        <w:t>s</w:t>
      </w:r>
      <w:r w:rsidRPr="001C6EAB">
        <w:t xml:space="preserve"> applicants </w:t>
      </w:r>
      <w:r w:rsidR="1E9B514C">
        <w:t>by</w:t>
      </w:r>
      <w:r w:rsidRPr="001C6EAB">
        <w:t xml:space="preserve"> clarifying the types of regulatory assessments likely to be </w:t>
      </w:r>
      <w:r w:rsidR="1A0ADD2F">
        <w:t xml:space="preserve">required for their </w:t>
      </w:r>
      <w:r w:rsidRPr="001C6EAB">
        <w:t>submission</w:t>
      </w:r>
      <w:r w:rsidR="54E960F4">
        <w:t>.</w:t>
      </w:r>
      <w:r>
        <w:t xml:space="preserve"> </w:t>
      </w:r>
      <w:r w:rsidR="00A17C90">
        <w:t>Applicants may</w:t>
      </w:r>
      <w:r w:rsidR="00DB34F1">
        <w:t xml:space="preserve"> apply for tier 2 or 3 advice if they have more complex </w:t>
      </w:r>
      <w:r w:rsidR="00A17C90">
        <w:t>questions or</w:t>
      </w:r>
      <w:r w:rsidR="00DB34F1">
        <w:t xml:space="preserve"> </w:t>
      </w:r>
      <w:r>
        <w:t>wish to</w:t>
      </w:r>
      <w:r w:rsidR="00DB34F1">
        <w:t xml:space="preserve"> meet </w:t>
      </w:r>
      <w:r>
        <w:t xml:space="preserve">with the </w:t>
      </w:r>
      <w:r w:rsidR="00A17C90">
        <w:t>APVMA.</w:t>
      </w:r>
    </w:p>
    <w:p w14:paraId="1C6A238C" w14:textId="4A2161EE" w:rsidR="00247ECF" w:rsidRPr="004F5FD5" w:rsidRDefault="00247ECF" w:rsidP="00D0686C">
      <w:pPr>
        <w:pStyle w:val="Heading2"/>
      </w:pPr>
      <w:bookmarkStart w:id="66" w:name="_Toc234585921"/>
      <w:r>
        <w:t>Review</w:t>
      </w:r>
      <w:bookmarkEnd w:id="66"/>
      <w:r>
        <w:t xml:space="preserve"> </w:t>
      </w:r>
    </w:p>
    <w:p w14:paraId="5B65787B" w14:textId="3887D808" w:rsidR="009562B3" w:rsidRDefault="00247ECF" w:rsidP="000D718E">
      <w:pPr>
        <w:pStyle w:val="NormalText"/>
        <w:tabs>
          <w:tab w:val="left" w:pos="5124"/>
        </w:tabs>
      </w:pPr>
      <w:r w:rsidRPr="00247ECF">
        <w:t xml:space="preserve">The </w:t>
      </w:r>
      <w:r>
        <w:t xml:space="preserve">implementation of the CRIS </w:t>
      </w:r>
      <w:r w:rsidRPr="00247ECF">
        <w:t xml:space="preserve">will be assessed </w:t>
      </w:r>
      <w:r w:rsidR="009562B3">
        <w:t xml:space="preserve">based </w:t>
      </w:r>
      <w:r w:rsidRPr="00247ECF">
        <w:t>on</w:t>
      </w:r>
      <w:r w:rsidR="009562B3">
        <w:t>:</w:t>
      </w:r>
    </w:p>
    <w:p w14:paraId="1660DB27" w14:textId="19446D69" w:rsidR="009562B3" w:rsidRDefault="009562B3" w:rsidP="009562B3">
      <w:pPr>
        <w:pStyle w:val="NormalText"/>
        <w:numPr>
          <w:ilvl w:val="0"/>
          <w:numId w:val="15"/>
        </w:numPr>
        <w:tabs>
          <w:tab w:val="left" w:pos="5124"/>
        </w:tabs>
      </w:pPr>
      <w:r>
        <w:t>the adequacy of resourcing for the APVMA to undertake its full suit</w:t>
      </w:r>
      <w:r w:rsidR="00050DC4">
        <w:t>e</w:t>
      </w:r>
      <w:r>
        <w:t xml:space="preserve"> of regulatory responsibilities in line with the</w:t>
      </w:r>
      <w:r w:rsidR="00826CA0">
        <w:t xml:space="preserve"> Agriculture</w:t>
      </w:r>
      <w:r>
        <w:t xml:space="preserve"> </w:t>
      </w:r>
      <w:r w:rsidR="00826CA0">
        <w:t>M</w:t>
      </w:r>
      <w:r>
        <w:t>inister’s expectations,</w:t>
      </w:r>
    </w:p>
    <w:p w14:paraId="7DC2E7B5" w14:textId="71261CB3" w:rsidR="009562B3" w:rsidRDefault="009562B3" w:rsidP="009562B3">
      <w:pPr>
        <w:pStyle w:val="NormalText"/>
        <w:numPr>
          <w:ilvl w:val="0"/>
          <w:numId w:val="15"/>
        </w:numPr>
        <w:tabs>
          <w:tab w:val="left" w:pos="5124"/>
        </w:tabs>
      </w:pPr>
      <w:r>
        <w:t xml:space="preserve">the APVMA’s capacity </w:t>
      </w:r>
      <w:r w:rsidR="00DB34F1">
        <w:t xml:space="preserve">to fund necessary </w:t>
      </w:r>
      <w:r>
        <w:t>process improvements,</w:t>
      </w:r>
    </w:p>
    <w:p w14:paraId="74596693" w14:textId="005F2B48" w:rsidR="009562B3" w:rsidRDefault="009562B3" w:rsidP="009562B3">
      <w:pPr>
        <w:pStyle w:val="NormalText"/>
        <w:numPr>
          <w:ilvl w:val="0"/>
          <w:numId w:val="15"/>
        </w:numPr>
        <w:tabs>
          <w:tab w:val="left" w:pos="5124"/>
        </w:tabs>
      </w:pPr>
      <w:r>
        <w:t xml:space="preserve">timeframe performance for </w:t>
      </w:r>
      <w:proofErr w:type="spellStart"/>
      <w:r>
        <w:t>agvet</w:t>
      </w:r>
      <w:proofErr w:type="spellEnd"/>
      <w:r>
        <w:t xml:space="preserve"> chemical registrations and reviews, and</w:t>
      </w:r>
    </w:p>
    <w:p w14:paraId="3E75744C" w14:textId="77777777" w:rsidR="00463804" w:rsidRDefault="009562B3" w:rsidP="006C363C">
      <w:pPr>
        <w:pStyle w:val="NormalText"/>
        <w:numPr>
          <w:ilvl w:val="0"/>
          <w:numId w:val="15"/>
        </w:numPr>
        <w:tabs>
          <w:tab w:val="left" w:pos="5124"/>
        </w:tabs>
        <w:sectPr w:rsidR="00463804" w:rsidSect="002F4E44">
          <w:headerReference w:type="even" r:id="rId46"/>
          <w:headerReference w:type="default" r:id="rId47"/>
          <w:headerReference w:type="first" r:id="rId48"/>
          <w:pgSz w:w="11906" w:h="16838" w:code="9"/>
          <w:pgMar w:top="2835" w:right="1134" w:bottom="1134" w:left="1134" w:header="1701" w:footer="680" w:gutter="0"/>
          <w:cols w:space="708"/>
          <w:docGrid w:linePitch="360"/>
        </w:sectPr>
      </w:pPr>
      <w:r>
        <w:t>the number of new applications for innovative products received.</w:t>
      </w:r>
    </w:p>
    <w:p w14:paraId="1228A090" w14:textId="1F3E6FCB" w:rsidR="006124A6" w:rsidRDefault="006124A6" w:rsidP="006124A6">
      <w:pPr>
        <w:pStyle w:val="Heading1"/>
        <w:rPr>
          <w:lang w:eastAsia="en-GB"/>
        </w:rPr>
      </w:pPr>
      <w:bookmarkStart w:id="67" w:name="_Toc234585922"/>
      <w:bookmarkStart w:id="68" w:name="_Toc1263866690"/>
      <w:r>
        <w:rPr>
          <w:lang w:eastAsia="en-GB"/>
        </w:rPr>
        <w:lastRenderedPageBreak/>
        <w:t xml:space="preserve">Frequently </w:t>
      </w:r>
      <w:r w:rsidR="00463804">
        <w:rPr>
          <w:lang w:eastAsia="en-GB"/>
        </w:rPr>
        <w:t>a</w:t>
      </w:r>
      <w:r>
        <w:rPr>
          <w:lang w:eastAsia="en-GB"/>
        </w:rPr>
        <w:t xml:space="preserve">sked </w:t>
      </w:r>
      <w:r w:rsidR="00463804">
        <w:rPr>
          <w:lang w:eastAsia="en-GB"/>
        </w:rPr>
        <w:t>q</w:t>
      </w:r>
      <w:r>
        <w:rPr>
          <w:lang w:eastAsia="en-GB"/>
        </w:rPr>
        <w:t>uestions</w:t>
      </w:r>
      <w:bookmarkEnd w:id="67"/>
    </w:p>
    <w:p w14:paraId="3BA4816A" w14:textId="3DE217A9" w:rsidR="006124A6" w:rsidRPr="00563D16" w:rsidRDefault="006124A6" w:rsidP="006124A6">
      <w:pPr>
        <w:pStyle w:val="Heading4"/>
        <w:rPr>
          <w:lang w:eastAsia="en-GB"/>
        </w:rPr>
      </w:pPr>
      <w:r w:rsidRPr="00563D16">
        <w:rPr>
          <w:lang w:eastAsia="en-GB"/>
        </w:rPr>
        <w:t>Why</w:t>
      </w:r>
      <w:r w:rsidR="009562B3">
        <w:rPr>
          <w:lang w:eastAsia="en-GB"/>
        </w:rPr>
        <w:t xml:space="preserve"> did the Australian Government change the</w:t>
      </w:r>
      <w:r w:rsidRPr="00563D16">
        <w:rPr>
          <w:lang w:eastAsia="en-GB"/>
        </w:rPr>
        <w:t xml:space="preserve"> APVMA</w:t>
      </w:r>
      <w:r w:rsidR="009562B3">
        <w:rPr>
          <w:lang w:eastAsia="en-GB"/>
        </w:rPr>
        <w:t>’s</w:t>
      </w:r>
      <w:r w:rsidRPr="00563D16">
        <w:rPr>
          <w:lang w:eastAsia="en-GB"/>
        </w:rPr>
        <w:t xml:space="preserve"> </w:t>
      </w:r>
      <w:r w:rsidR="009562B3">
        <w:rPr>
          <w:lang w:eastAsia="en-GB"/>
        </w:rPr>
        <w:t>cost recovery policy</w:t>
      </w:r>
      <w:r w:rsidRPr="00563D16">
        <w:rPr>
          <w:lang w:eastAsia="en-GB"/>
        </w:rPr>
        <w:t>?</w:t>
      </w:r>
    </w:p>
    <w:p w14:paraId="367CDD3D" w14:textId="3C668F90" w:rsidR="009562B3" w:rsidRDefault="006124A6" w:rsidP="009562B3">
      <w:pPr>
        <w:pStyle w:val="NormalText"/>
        <w:rPr>
          <w:lang w:eastAsia="en-GB"/>
        </w:rPr>
      </w:pPr>
      <w:r w:rsidRPr="00EF4520">
        <w:rPr>
          <w:lang w:eastAsia="en-GB"/>
        </w:rPr>
        <w:t xml:space="preserve">The current system means that some businesses pay more than their share, while others contribute little or nothing. The new model </w:t>
      </w:r>
      <w:r w:rsidR="3DA8E742" w:rsidRPr="1AFF332C">
        <w:rPr>
          <w:lang w:eastAsia="en-GB"/>
        </w:rPr>
        <w:t xml:space="preserve">is more </w:t>
      </w:r>
      <w:r w:rsidR="00A17C90" w:rsidRPr="1AFF332C">
        <w:rPr>
          <w:lang w:eastAsia="en-GB"/>
        </w:rPr>
        <w:t>accurate and</w:t>
      </w:r>
      <w:r w:rsidR="3DA8E742" w:rsidRPr="1AFF332C">
        <w:rPr>
          <w:lang w:eastAsia="en-GB"/>
        </w:rPr>
        <w:t xml:space="preserve"> reduces</w:t>
      </w:r>
      <w:r w:rsidRPr="00EF4520">
        <w:rPr>
          <w:lang w:eastAsia="en-GB"/>
        </w:rPr>
        <w:t xml:space="preserve"> long-term sales levies for businesses that actively sell products in Australia.</w:t>
      </w:r>
    </w:p>
    <w:p w14:paraId="310595D4" w14:textId="5E27EAC6" w:rsidR="006124A6" w:rsidRPr="00EF4520" w:rsidRDefault="009562B3" w:rsidP="006124A6">
      <w:pPr>
        <w:pStyle w:val="NormalText"/>
        <w:rPr>
          <w:lang w:eastAsia="en-GB"/>
        </w:rPr>
      </w:pPr>
      <w:r w:rsidRPr="00EF4520">
        <w:rPr>
          <w:lang w:eastAsia="en-GB"/>
        </w:rPr>
        <w:t>The APVMA is updating its cost</w:t>
      </w:r>
      <w:r>
        <w:rPr>
          <w:lang w:eastAsia="en-GB"/>
        </w:rPr>
        <w:t xml:space="preserve"> </w:t>
      </w:r>
      <w:r w:rsidRPr="00EF4520">
        <w:rPr>
          <w:lang w:eastAsia="en-GB"/>
        </w:rPr>
        <w:t xml:space="preserve">recovery </w:t>
      </w:r>
      <w:r>
        <w:rPr>
          <w:lang w:eastAsia="en-GB"/>
        </w:rPr>
        <w:t>charges because of this policy change. The changes ensure the APVMA’s cost recovery charges are fair, transparent and sustainable</w:t>
      </w:r>
      <w:r w:rsidR="00A17C90">
        <w:rPr>
          <w:lang w:eastAsia="en-GB"/>
        </w:rPr>
        <w:t>.</w:t>
      </w:r>
    </w:p>
    <w:p w14:paraId="3E51A315" w14:textId="77777777" w:rsidR="006124A6" w:rsidRPr="00563D16" w:rsidRDefault="006124A6" w:rsidP="006124A6">
      <w:pPr>
        <w:pStyle w:val="Heading4"/>
        <w:rPr>
          <w:lang w:eastAsia="en-GB"/>
        </w:rPr>
      </w:pPr>
      <w:r w:rsidRPr="00563D16">
        <w:rPr>
          <w:lang w:eastAsia="en-GB"/>
        </w:rPr>
        <w:t>Will higher application fees discourage new products from coming to Australia?</w:t>
      </w:r>
    </w:p>
    <w:p w14:paraId="5CEA37E4" w14:textId="77777777" w:rsidR="006124A6" w:rsidRPr="00EF4520" w:rsidRDefault="006124A6" w:rsidP="006124A6">
      <w:pPr>
        <w:pStyle w:val="NormalText"/>
        <w:rPr>
          <w:lang w:eastAsia="en-GB"/>
        </w:rPr>
      </w:pPr>
      <w:r w:rsidRPr="00EF4520">
        <w:rPr>
          <w:lang w:eastAsia="en-GB"/>
        </w:rPr>
        <w:t>No. Independent economic analysis shows that application fees are only a small part of the total cost of bringing an agricultural or veterinary chemical product to market. Other factors—such as market size, research and development costs, and regulatory certainty—play a much bigger role.</w:t>
      </w:r>
    </w:p>
    <w:p w14:paraId="206F08D0" w14:textId="77777777" w:rsidR="006124A6" w:rsidRPr="00EF4520" w:rsidRDefault="006124A6" w:rsidP="006124A6">
      <w:pPr>
        <w:pStyle w:val="NormalText"/>
        <w:rPr>
          <w:lang w:eastAsia="en-GB"/>
        </w:rPr>
      </w:pPr>
      <w:r w:rsidRPr="00EF4520">
        <w:rPr>
          <w:lang w:eastAsia="en-GB"/>
        </w:rPr>
        <w:t>The proposed reduction in ongoing sales levies will also make it more attractive to sell products in the Australian market. Overall, the changes are not expected to reduce the number of new products intended for sale in Australia.</w:t>
      </w:r>
    </w:p>
    <w:p w14:paraId="5EB1C503" w14:textId="77777777" w:rsidR="006124A6" w:rsidRPr="00563D16" w:rsidRDefault="006124A6" w:rsidP="006124A6">
      <w:pPr>
        <w:pStyle w:val="Heading4"/>
        <w:rPr>
          <w:lang w:eastAsia="en-GB"/>
        </w:rPr>
      </w:pPr>
      <w:r w:rsidRPr="00563D16">
        <w:rPr>
          <w:lang w:eastAsia="en-GB"/>
        </w:rPr>
        <w:t>How do Australia’s fees compare internationally?</w:t>
      </w:r>
    </w:p>
    <w:p w14:paraId="64DFFFCB" w14:textId="77777777" w:rsidR="006124A6" w:rsidRPr="00EF4520" w:rsidRDefault="006124A6" w:rsidP="006124A6">
      <w:pPr>
        <w:pStyle w:val="NormalText"/>
        <w:rPr>
          <w:lang w:eastAsia="en-GB"/>
        </w:rPr>
      </w:pPr>
      <w:r w:rsidRPr="00EF4520">
        <w:rPr>
          <w:lang w:eastAsia="en-GB"/>
        </w:rPr>
        <w:t>After the changes, Australia’s regulatory fees will be broadly consistent with comparable regulators in countries such as Canada, New Zealand and the United Kingdom.</w:t>
      </w:r>
    </w:p>
    <w:p w14:paraId="00650AAF" w14:textId="77777777" w:rsidR="006124A6" w:rsidRPr="00563D16" w:rsidRDefault="006124A6" w:rsidP="006124A6">
      <w:pPr>
        <w:pStyle w:val="Heading4"/>
        <w:rPr>
          <w:lang w:eastAsia="en-GB"/>
        </w:rPr>
      </w:pPr>
      <w:r w:rsidRPr="00563D16">
        <w:rPr>
          <w:lang w:eastAsia="en-GB"/>
        </w:rPr>
        <w:t>Will higher fees reduce the availability of generic products?</w:t>
      </w:r>
    </w:p>
    <w:p w14:paraId="3F577952" w14:textId="6B897471" w:rsidR="006124A6" w:rsidRPr="00EF4520" w:rsidRDefault="6E223598" w:rsidP="006124A6">
      <w:pPr>
        <w:pStyle w:val="NormalText"/>
        <w:rPr>
          <w:lang w:eastAsia="en-GB"/>
        </w:rPr>
      </w:pPr>
      <w:r w:rsidRPr="1AFF332C">
        <w:rPr>
          <w:lang w:eastAsia="en-GB"/>
        </w:rPr>
        <w:t>No</w:t>
      </w:r>
      <w:r w:rsidR="006124A6" w:rsidRPr="00EF4520">
        <w:rPr>
          <w:lang w:eastAsia="en-GB"/>
        </w:rPr>
        <w:t xml:space="preserve">. Generic products typically require </w:t>
      </w:r>
      <w:r w:rsidR="005E6581" w:rsidRPr="00EF4520">
        <w:rPr>
          <w:lang w:eastAsia="en-GB"/>
        </w:rPr>
        <w:t>fewer</w:t>
      </w:r>
      <w:r w:rsidR="006124A6" w:rsidRPr="00EF4520">
        <w:rPr>
          <w:lang w:eastAsia="en-GB"/>
        </w:rPr>
        <w:t xml:space="preserve"> </w:t>
      </w:r>
      <w:r w:rsidR="0F4757D8" w:rsidRPr="1AFF332C">
        <w:rPr>
          <w:lang w:eastAsia="en-GB"/>
        </w:rPr>
        <w:t>complex</w:t>
      </w:r>
      <w:r w:rsidR="285E199E" w:rsidRPr="1AFF332C">
        <w:rPr>
          <w:lang w:eastAsia="en-GB"/>
        </w:rPr>
        <w:t xml:space="preserve"> assessment</w:t>
      </w:r>
      <w:r w:rsidR="610FD8DA" w:rsidRPr="1AFF332C">
        <w:rPr>
          <w:lang w:eastAsia="en-GB"/>
        </w:rPr>
        <w:t>s</w:t>
      </w:r>
      <w:r w:rsidR="006124A6" w:rsidRPr="00EF4520">
        <w:rPr>
          <w:lang w:eastAsia="en-GB"/>
        </w:rPr>
        <w:t xml:space="preserve"> and attract much lower fees than </w:t>
      </w:r>
      <w:r w:rsidR="4A86C30F" w:rsidRPr="1AFF332C">
        <w:rPr>
          <w:lang w:eastAsia="en-GB"/>
        </w:rPr>
        <w:t>registering</w:t>
      </w:r>
      <w:r w:rsidR="006124A6" w:rsidRPr="00EF4520">
        <w:rPr>
          <w:lang w:eastAsia="en-GB"/>
        </w:rPr>
        <w:t xml:space="preserve"> innovative products. As a result, moving to full cost recovery </w:t>
      </w:r>
      <w:r w:rsidR="2E8ECC0D" w:rsidRPr="1AFF332C">
        <w:rPr>
          <w:lang w:eastAsia="en-GB"/>
        </w:rPr>
        <w:t xml:space="preserve">will have a </w:t>
      </w:r>
      <w:r w:rsidR="006124A6" w:rsidRPr="00EF4520">
        <w:rPr>
          <w:lang w:eastAsia="en-GB"/>
        </w:rPr>
        <w:t>small impact on generic applications.</w:t>
      </w:r>
    </w:p>
    <w:p w14:paraId="19D61CE7" w14:textId="77777777" w:rsidR="006124A6" w:rsidRPr="00EF4520" w:rsidRDefault="006124A6" w:rsidP="006124A6">
      <w:pPr>
        <w:pStyle w:val="NormalText"/>
        <w:rPr>
          <w:lang w:eastAsia="en-GB"/>
        </w:rPr>
      </w:pPr>
      <w:r w:rsidRPr="00EF4520">
        <w:rPr>
          <w:lang w:eastAsia="en-GB"/>
        </w:rPr>
        <w:t>In addition, reduced sales levies will lower the ongoing cost of selling generic products in Australia, helping to maintain competition and choice in the market.</w:t>
      </w:r>
    </w:p>
    <w:p w14:paraId="461F912D" w14:textId="77777777" w:rsidR="006124A6" w:rsidRPr="00563D16" w:rsidRDefault="006124A6" w:rsidP="006124A6">
      <w:pPr>
        <w:pStyle w:val="Heading4"/>
        <w:rPr>
          <w:lang w:eastAsia="en-GB"/>
        </w:rPr>
      </w:pPr>
      <w:r w:rsidRPr="00563D16">
        <w:rPr>
          <w:lang w:eastAsia="en-GB"/>
        </w:rPr>
        <w:t>Will small businesses be disadvantaged by these changes?</w:t>
      </w:r>
    </w:p>
    <w:p w14:paraId="44113B39" w14:textId="37E9AF99" w:rsidR="006124A6" w:rsidRPr="00EF4520" w:rsidRDefault="00DB34F1" w:rsidP="006124A6">
      <w:pPr>
        <w:pStyle w:val="NormalText"/>
        <w:rPr>
          <w:lang w:eastAsia="en-GB"/>
        </w:rPr>
      </w:pPr>
      <w:r>
        <w:rPr>
          <w:lang w:eastAsia="en-GB"/>
        </w:rPr>
        <w:t>E</w:t>
      </w:r>
      <w:r w:rsidR="006124A6" w:rsidRPr="00EF4520">
        <w:rPr>
          <w:lang w:eastAsia="en-GB"/>
        </w:rPr>
        <w:t>vidence suggests that application fees are not the main barrier for small businesses. Market size and development costs are far more significant. Smaller businesses also tend to apply for generic products, which</w:t>
      </w:r>
      <w:r>
        <w:rPr>
          <w:lang w:eastAsia="en-GB"/>
        </w:rPr>
        <w:t xml:space="preserve"> have</w:t>
      </w:r>
      <w:r w:rsidR="006124A6" w:rsidRPr="00EF4520">
        <w:rPr>
          <w:lang w:eastAsia="en-GB"/>
        </w:rPr>
        <w:t xml:space="preserve"> lower fees.</w:t>
      </w:r>
    </w:p>
    <w:p w14:paraId="4BB34C1A" w14:textId="68C61043" w:rsidR="006124A6" w:rsidRDefault="006124A6" w:rsidP="005635A9">
      <w:pPr>
        <w:pStyle w:val="NormalText"/>
        <w:rPr>
          <w:b/>
          <w:bCs/>
          <w:lang w:eastAsia="en-GB"/>
        </w:rPr>
      </w:pPr>
      <w:r w:rsidRPr="00EF4520">
        <w:rPr>
          <w:lang w:eastAsia="en-GB"/>
        </w:rPr>
        <w:t xml:space="preserve">The new model removes cross-subsidies that currently require businesses selling in Australia to </w:t>
      </w:r>
      <w:r w:rsidR="639EF28E" w:rsidRPr="00A5181C">
        <w:rPr>
          <w:lang w:eastAsia="en-GB"/>
        </w:rPr>
        <w:t xml:space="preserve">cover the </w:t>
      </w:r>
      <w:r w:rsidR="00DB34F1">
        <w:rPr>
          <w:lang w:eastAsia="en-GB"/>
        </w:rPr>
        <w:t xml:space="preserve">some of the </w:t>
      </w:r>
      <w:r w:rsidR="639EF28E" w:rsidRPr="72F54F7C">
        <w:rPr>
          <w:lang w:eastAsia="en-GB"/>
        </w:rPr>
        <w:t>cost</w:t>
      </w:r>
      <w:r w:rsidR="00DB34F1">
        <w:rPr>
          <w:lang w:eastAsia="en-GB"/>
        </w:rPr>
        <w:t>s</w:t>
      </w:r>
      <w:r w:rsidR="639EF28E" w:rsidRPr="72F54F7C">
        <w:rPr>
          <w:lang w:eastAsia="en-GB"/>
        </w:rPr>
        <w:t xml:space="preserve"> of </w:t>
      </w:r>
      <w:r w:rsidR="639EF28E" w:rsidRPr="7CDCEDFD">
        <w:rPr>
          <w:lang w:eastAsia="en-GB"/>
        </w:rPr>
        <w:t>assessing</w:t>
      </w:r>
      <w:r w:rsidRPr="00EF4520">
        <w:rPr>
          <w:lang w:eastAsia="en-GB"/>
        </w:rPr>
        <w:t xml:space="preserve"> products that never enter the market. Over time, lower levies will benefit </w:t>
      </w:r>
      <w:r w:rsidR="614227EE" w:rsidRPr="6C0BE39F">
        <w:rPr>
          <w:lang w:eastAsia="en-GB"/>
        </w:rPr>
        <w:t xml:space="preserve">all </w:t>
      </w:r>
      <w:r w:rsidRPr="00EF4520">
        <w:rPr>
          <w:lang w:eastAsia="en-GB"/>
        </w:rPr>
        <w:t>businesses that actively operate in Australia, including smaller ones.</w:t>
      </w:r>
      <w:r>
        <w:rPr>
          <w:b/>
          <w:bCs/>
          <w:lang w:eastAsia="en-GB"/>
        </w:rPr>
        <w:br w:type="page"/>
      </w:r>
    </w:p>
    <w:p w14:paraId="387B6A92" w14:textId="77777777" w:rsidR="006124A6" w:rsidRPr="002C02F4" w:rsidRDefault="006124A6" w:rsidP="006124A6">
      <w:pPr>
        <w:pStyle w:val="Heading4"/>
        <w:rPr>
          <w:lang w:eastAsia="en-GB"/>
        </w:rPr>
      </w:pPr>
      <w:r w:rsidRPr="002C02F4">
        <w:rPr>
          <w:lang w:eastAsia="en-GB"/>
        </w:rPr>
        <w:lastRenderedPageBreak/>
        <w:t>Why is the sales levy being reduced?</w:t>
      </w:r>
    </w:p>
    <w:p w14:paraId="71B436CE" w14:textId="2282EC8F" w:rsidR="006124A6" w:rsidRPr="002C02F4" w:rsidRDefault="006124A6" w:rsidP="006124A6">
      <w:pPr>
        <w:pStyle w:val="NormalText"/>
        <w:rPr>
          <w:lang w:eastAsia="en-GB"/>
        </w:rPr>
      </w:pPr>
      <w:r w:rsidRPr="002C02F4">
        <w:rPr>
          <w:lang w:eastAsia="en-GB"/>
        </w:rPr>
        <w:t>Under the current system, sales levies are doing too much of the work—</w:t>
      </w:r>
      <w:r w:rsidR="1504D338" w:rsidRPr="002C02F4">
        <w:rPr>
          <w:lang w:eastAsia="en-GB"/>
        </w:rPr>
        <w:t xml:space="preserve">since they </w:t>
      </w:r>
      <w:r w:rsidR="0C6BB1A8" w:rsidRPr="002C02F4">
        <w:rPr>
          <w:lang w:eastAsia="en-GB"/>
        </w:rPr>
        <w:t>don’t just</w:t>
      </w:r>
      <w:r w:rsidR="1504D338" w:rsidRPr="002C02F4">
        <w:rPr>
          <w:lang w:eastAsia="en-GB"/>
        </w:rPr>
        <w:t xml:space="preserve"> </w:t>
      </w:r>
      <w:r w:rsidRPr="002C02F4">
        <w:rPr>
          <w:lang w:eastAsia="en-GB"/>
        </w:rPr>
        <w:t>fund post-market activities but also subsidis</w:t>
      </w:r>
      <w:r w:rsidR="6CED781F" w:rsidRPr="002C02F4">
        <w:rPr>
          <w:lang w:eastAsia="en-GB"/>
        </w:rPr>
        <w:t>e</w:t>
      </w:r>
      <w:r w:rsidRPr="002C02F4">
        <w:rPr>
          <w:lang w:eastAsia="en-GB"/>
        </w:rPr>
        <w:t xml:space="preserve"> application </w:t>
      </w:r>
      <w:r w:rsidR="357CD9A3" w:rsidRPr="002C02F4">
        <w:rPr>
          <w:lang w:eastAsia="en-GB"/>
        </w:rPr>
        <w:t>costs</w:t>
      </w:r>
      <w:r w:rsidRPr="002C02F4">
        <w:rPr>
          <w:lang w:eastAsia="en-GB"/>
        </w:rPr>
        <w:t>. As more costs are recovered directly through fees, the sales levy can be reduced.</w:t>
      </w:r>
    </w:p>
    <w:p w14:paraId="29A77FE3" w14:textId="77777777" w:rsidR="006124A6" w:rsidRPr="00EF4520" w:rsidRDefault="006124A6" w:rsidP="006124A6">
      <w:pPr>
        <w:pStyle w:val="NormalText"/>
        <w:rPr>
          <w:lang w:eastAsia="en-GB"/>
        </w:rPr>
      </w:pPr>
      <w:r w:rsidRPr="002C02F4">
        <w:rPr>
          <w:lang w:eastAsia="en-GB"/>
        </w:rPr>
        <w:t>This means businesses that sell products in Australia will pay less over time, improving fairness and transparency.</w:t>
      </w:r>
    </w:p>
    <w:p w14:paraId="19E1F578" w14:textId="77777777" w:rsidR="006124A6" w:rsidRPr="00563D16" w:rsidRDefault="006124A6" w:rsidP="006124A6">
      <w:pPr>
        <w:pStyle w:val="Heading4"/>
        <w:rPr>
          <w:lang w:eastAsia="en-GB"/>
        </w:rPr>
      </w:pPr>
      <w:r w:rsidRPr="00563D16">
        <w:rPr>
          <w:lang w:eastAsia="en-GB"/>
        </w:rPr>
        <w:t>Will relying more on application fees make APVMA funding unstable?</w:t>
      </w:r>
    </w:p>
    <w:p w14:paraId="0C92B372" w14:textId="1718848B" w:rsidR="006124A6" w:rsidRPr="00EF4520" w:rsidRDefault="006124A6" w:rsidP="006124A6">
      <w:pPr>
        <w:pStyle w:val="NormalText"/>
        <w:rPr>
          <w:lang w:eastAsia="en-GB"/>
        </w:rPr>
      </w:pPr>
      <w:r w:rsidRPr="00EF4520">
        <w:rPr>
          <w:lang w:eastAsia="en-GB"/>
        </w:rPr>
        <w:t xml:space="preserve">There may be some year-to-year variation in fee revenue, depending on application volumes. However, this is no more </w:t>
      </w:r>
      <w:r w:rsidR="6BE03A19" w:rsidRPr="2D5067C0">
        <w:rPr>
          <w:lang w:eastAsia="en-GB"/>
        </w:rPr>
        <w:t>unstable</w:t>
      </w:r>
      <w:r w:rsidRPr="00EF4520">
        <w:rPr>
          <w:lang w:eastAsia="en-GB"/>
        </w:rPr>
        <w:t xml:space="preserve"> than relying on sales levies, which fluctuate with seasonal conditions and market performance.</w:t>
      </w:r>
    </w:p>
    <w:p w14:paraId="534E8F7D" w14:textId="77777777" w:rsidR="00463804" w:rsidRDefault="006124A6" w:rsidP="00D207FF">
      <w:pPr>
        <w:pStyle w:val="NormalText"/>
        <w:rPr>
          <w:lang w:eastAsia="en-GB"/>
        </w:rPr>
        <w:sectPr w:rsidR="00463804" w:rsidSect="002F4E44">
          <w:headerReference w:type="default" r:id="rId49"/>
          <w:pgSz w:w="11906" w:h="16838" w:code="9"/>
          <w:pgMar w:top="2835" w:right="1134" w:bottom="1134" w:left="1134" w:header="1701" w:footer="680" w:gutter="0"/>
          <w:cols w:space="708"/>
          <w:docGrid w:linePitch="360"/>
        </w:sectPr>
      </w:pPr>
      <w:r w:rsidRPr="00EF4520">
        <w:rPr>
          <w:lang w:eastAsia="en-GB"/>
        </w:rPr>
        <w:t>To manage this risk</w:t>
      </w:r>
      <w:r w:rsidR="003A0BBB">
        <w:rPr>
          <w:lang w:eastAsia="en-GB"/>
        </w:rPr>
        <w:t>,</w:t>
      </w:r>
      <w:r w:rsidRPr="00EF4520">
        <w:rPr>
          <w:lang w:eastAsia="en-GB"/>
        </w:rPr>
        <w:t xml:space="preserve"> the APVMA will continue to maintain reserves to smooth revenue over time.</w:t>
      </w:r>
      <w:bookmarkEnd w:id="68"/>
    </w:p>
    <w:p w14:paraId="5EBA900E" w14:textId="07E38747" w:rsidR="00E3186F" w:rsidRDefault="00E3186F" w:rsidP="007C31BB">
      <w:pPr>
        <w:pStyle w:val="Heading1"/>
      </w:pPr>
      <w:bookmarkStart w:id="69" w:name="_Toc234585923"/>
      <w:r w:rsidRPr="006A5C0A">
        <w:lastRenderedPageBreak/>
        <w:t>I</w:t>
      </w:r>
      <w:r>
        <w:t>nvitation to comment</w:t>
      </w:r>
      <w:bookmarkEnd w:id="69"/>
    </w:p>
    <w:p w14:paraId="7F0921BE" w14:textId="029323D4" w:rsidR="00995D0A" w:rsidRDefault="0091777B" w:rsidP="0091777B">
      <w:pPr>
        <w:pStyle w:val="NormalText"/>
      </w:pPr>
      <w:r w:rsidRPr="0091777B">
        <w:t>The APVMA invites submissions on this consultation paper and the Draft 202</w:t>
      </w:r>
      <w:r w:rsidR="0091088C">
        <w:t>7</w:t>
      </w:r>
      <w:r>
        <w:t xml:space="preserve"> </w:t>
      </w:r>
      <w:r w:rsidRPr="0091777B">
        <w:t>CRIS.</w:t>
      </w:r>
    </w:p>
    <w:p w14:paraId="73502B40" w14:textId="20BE143E" w:rsidR="009F60B2" w:rsidRDefault="009F60B2" w:rsidP="0091777B">
      <w:pPr>
        <w:pStyle w:val="NormalText"/>
      </w:pPr>
      <w:r w:rsidRPr="009F60B2">
        <w:t xml:space="preserve">To obtain broader feedback from the industry, the </w:t>
      </w:r>
      <w:r>
        <w:t>APVMA</w:t>
      </w:r>
      <w:r w:rsidRPr="009F60B2">
        <w:t xml:space="preserve"> encourages all stakeholders to provide their comments on the proposed fees and charges, preferably through their relevant peak </w:t>
      </w:r>
      <w:r w:rsidR="00A17C90" w:rsidRPr="009F60B2">
        <w:t>body.</w:t>
      </w:r>
    </w:p>
    <w:p w14:paraId="22941E1F" w14:textId="3520E7E8" w:rsidR="00995D0A" w:rsidRDefault="009F60B2" w:rsidP="0091777B">
      <w:pPr>
        <w:pStyle w:val="NormalText"/>
      </w:pPr>
      <w:r>
        <w:t>The APVMA</w:t>
      </w:r>
      <w:r w:rsidR="00995D0A" w:rsidRPr="00995D0A">
        <w:t xml:space="preserve"> will consider any feedback before seeking approval of the proposed fees and charges for 202</w:t>
      </w:r>
      <w:r w:rsidR="0091088C">
        <w:t>7</w:t>
      </w:r>
      <w:r w:rsidR="00575EC5" w:rsidRPr="00C27EC4">
        <w:rPr>
          <w:bCs/>
        </w:rPr>
        <w:t>–</w:t>
      </w:r>
      <w:r w:rsidR="00995D0A" w:rsidRPr="00995D0A">
        <w:t>2</w:t>
      </w:r>
      <w:r w:rsidR="0091088C">
        <w:t>8</w:t>
      </w:r>
      <w:r w:rsidR="00995D0A" w:rsidRPr="00995D0A">
        <w:t xml:space="preserve"> from the Minister for </w:t>
      </w:r>
      <w:r w:rsidR="00995D0A">
        <w:t>Agriculture, Fisheries and Forestry</w:t>
      </w:r>
      <w:r w:rsidR="00995D0A" w:rsidRPr="00995D0A">
        <w:t>.</w:t>
      </w:r>
    </w:p>
    <w:p w14:paraId="028342EC" w14:textId="459E54CA" w:rsidR="00593DB1" w:rsidRPr="0091777B" w:rsidRDefault="00593DB1" w:rsidP="0091777B">
      <w:pPr>
        <w:pStyle w:val="NormalText"/>
      </w:pPr>
      <w:r w:rsidRPr="00593DB1">
        <w:t xml:space="preserve">The CRIS </w:t>
      </w:r>
      <w:r>
        <w:t>202</w:t>
      </w:r>
      <w:r w:rsidR="0091088C">
        <w:t>7</w:t>
      </w:r>
      <w:r>
        <w:t>-2</w:t>
      </w:r>
      <w:r w:rsidR="0091088C">
        <w:t>8</w:t>
      </w:r>
      <w:r>
        <w:t xml:space="preserve"> </w:t>
      </w:r>
      <w:r w:rsidRPr="00593DB1">
        <w:t xml:space="preserve">will be published on the </w:t>
      </w:r>
      <w:r>
        <w:t xml:space="preserve">APVMA </w:t>
      </w:r>
      <w:r w:rsidRPr="00593DB1">
        <w:t>website before the revised fees and charges take effect.</w:t>
      </w:r>
    </w:p>
    <w:p w14:paraId="51519CF4" w14:textId="78E51CCB" w:rsidR="00E3186F" w:rsidRDefault="00E3186F" w:rsidP="00D0686C">
      <w:pPr>
        <w:pStyle w:val="Heading2"/>
      </w:pPr>
      <w:bookmarkStart w:id="70" w:name="_Toc234585924"/>
      <w:r>
        <w:t>Making a submission</w:t>
      </w:r>
      <w:bookmarkEnd w:id="70"/>
    </w:p>
    <w:p w14:paraId="561E9F53" w14:textId="66279C2D" w:rsidR="0091777B" w:rsidRDefault="0091777B" w:rsidP="00E3186F">
      <w:pPr>
        <w:pStyle w:val="NormalText"/>
        <w:rPr>
          <w:color w:val="33444A"/>
          <w:kern w:val="0"/>
          <w:sz w:val="20"/>
        </w:rPr>
      </w:pPr>
      <w:r w:rsidRPr="0091777B">
        <w:t xml:space="preserve">Please lodge your submission </w:t>
      </w:r>
      <w:r>
        <w:t xml:space="preserve">via the public consultation page on the APVMA website </w:t>
      </w:r>
      <w:r w:rsidRPr="0091777B">
        <w:t>with a </w:t>
      </w:r>
      <w:hyperlink r:id="rId50" w:history="1">
        <w:r w:rsidRPr="0091777B">
          <w:rPr>
            <w:rStyle w:val="Hyperlink"/>
          </w:rPr>
          <w:t>public submission coversheet</w:t>
        </w:r>
      </w:hyperlink>
      <w:r w:rsidRPr="0091777B">
        <w:t>, which provides options for how your submission will be published.</w:t>
      </w:r>
    </w:p>
    <w:p w14:paraId="1016897E" w14:textId="6CE2DBFE" w:rsidR="0091777B" w:rsidRDefault="0091777B" w:rsidP="00E3186F">
      <w:pPr>
        <w:pStyle w:val="NormalText"/>
      </w:pPr>
      <w:r w:rsidRPr="0091777B">
        <w:t>Electronic submissions to the APVMA are preferred.</w:t>
      </w:r>
    </w:p>
    <w:p w14:paraId="7188EBB4" w14:textId="1C64724D" w:rsidR="0091777B" w:rsidRPr="0091777B" w:rsidRDefault="0091777B" w:rsidP="0091777B">
      <w:pPr>
        <w:pStyle w:val="NormalText"/>
      </w:pPr>
      <w:r w:rsidRPr="0091777B">
        <w:t xml:space="preserve">The closing date for submissions is </w:t>
      </w:r>
      <w:r w:rsidRPr="00A17C90">
        <w:rPr>
          <w:b/>
          <w:bCs/>
        </w:rPr>
        <w:t xml:space="preserve">5 </w:t>
      </w:r>
      <w:r w:rsidR="00E702EE">
        <w:rPr>
          <w:b/>
          <w:bCs/>
        </w:rPr>
        <w:t>pm</w:t>
      </w:r>
      <w:r w:rsidRPr="00A17C90">
        <w:rPr>
          <w:b/>
          <w:bCs/>
        </w:rPr>
        <w:t xml:space="preserve">, </w:t>
      </w:r>
      <w:r w:rsidR="009535F3">
        <w:rPr>
          <w:b/>
          <w:bCs/>
        </w:rPr>
        <w:t xml:space="preserve">4 September </w:t>
      </w:r>
      <w:r w:rsidRPr="00A17C90">
        <w:rPr>
          <w:b/>
          <w:bCs/>
        </w:rPr>
        <w:t>2026</w:t>
      </w:r>
      <w:r w:rsidRPr="00A17C90">
        <w:t>.</w:t>
      </w:r>
    </w:p>
    <w:p w14:paraId="2CC750F4" w14:textId="77777777" w:rsidR="0091777B" w:rsidRDefault="0091777B" w:rsidP="0091777B">
      <w:pPr>
        <w:pStyle w:val="NormalText"/>
      </w:pPr>
      <w:r w:rsidRPr="0091777B">
        <w:t>Submissions or requests for further information can be sent to:</w:t>
      </w:r>
    </w:p>
    <w:p w14:paraId="75795E27" w14:textId="07F66312" w:rsidR="0091777B" w:rsidRPr="00E702EE" w:rsidRDefault="0091777B" w:rsidP="00E702EE">
      <w:pPr>
        <w:pStyle w:val="NormalText"/>
      </w:pPr>
      <w:r w:rsidRPr="00E702EE">
        <w:t>Chief Financial Officer</w:t>
      </w:r>
      <w:r w:rsidRPr="00E702EE">
        <w:br/>
        <w:t>Australian Pesticides and Veterinary Medicines Authority</w:t>
      </w:r>
      <w:r w:rsidR="00575EC5" w:rsidRPr="00E702EE">
        <w:br/>
      </w:r>
      <w:r w:rsidRPr="00E702EE">
        <w:t>GPO Box 574</w:t>
      </w:r>
      <w:r w:rsidR="00575EC5" w:rsidRPr="00E702EE">
        <w:br/>
      </w:r>
      <w:r w:rsidRPr="00E702EE">
        <w:t>Canberra ACT 2601</w:t>
      </w:r>
    </w:p>
    <w:p w14:paraId="7EFBBDE1" w14:textId="401D140D" w:rsidR="000A1D2F" w:rsidRPr="0091777B" w:rsidRDefault="000A1D2F" w:rsidP="0091777B">
      <w:pPr>
        <w:pStyle w:val="NormalText"/>
        <w:spacing w:before="0" w:after="0"/>
      </w:pPr>
      <w:r w:rsidRPr="00E702EE">
        <w:t>Email:</w:t>
      </w:r>
      <w:r>
        <w:t xml:space="preserve"> </w:t>
      </w:r>
      <w:hyperlink r:id="rId51" w:history="1">
        <w:r w:rsidRPr="00DD2FD7">
          <w:rPr>
            <w:rStyle w:val="Hyperlink"/>
          </w:rPr>
          <w:t>costrecovery@apvma.gov.au</w:t>
        </w:r>
      </w:hyperlink>
      <w:r w:rsidR="00575EC5">
        <w:br/>
      </w:r>
      <w:r w:rsidRPr="00E702EE">
        <w:t>Telephone: +61 2 6770 2400</w:t>
      </w:r>
    </w:p>
    <w:p w14:paraId="7110D757" w14:textId="77777777" w:rsidR="00E3186F" w:rsidRDefault="00E3186F" w:rsidP="00FB0A6B">
      <w:pPr>
        <w:pStyle w:val="Heading3"/>
      </w:pPr>
      <w:bookmarkStart w:id="71" w:name="_Toc234585925"/>
      <w:r>
        <w:t>Publication of submissions</w:t>
      </w:r>
      <w:bookmarkEnd w:id="71"/>
    </w:p>
    <w:p w14:paraId="1118E1C1" w14:textId="1DE300B5" w:rsidR="0091777B" w:rsidRDefault="0091777B" w:rsidP="0091777B">
      <w:pPr>
        <w:pStyle w:val="NormalText"/>
      </w:pPr>
      <w:r w:rsidRPr="0091777B">
        <w:t>Submissions will be published on the APVMA website unless you have asked for the submission to remain confidential (see public </w:t>
      </w:r>
      <w:hyperlink r:id="rId52" w:history="1">
        <w:r w:rsidRPr="0091777B">
          <w:rPr>
            <w:rStyle w:val="Hyperlink"/>
          </w:rPr>
          <w:t>submission coversheet</w:t>
        </w:r>
      </w:hyperlink>
      <w:r w:rsidRPr="0091777B">
        <w:t>).</w:t>
      </w:r>
    </w:p>
    <w:p w14:paraId="5A4CB63F" w14:textId="5AAF964A" w:rsidR="0091777B" w:rsidRPr="0091777B" w:rsidRDefault="0091777B" w:rsidP="0091777B">
      <w:pPr>
        <w:pStyle w:val="NormalText"/>
      </w:pPr>
      <w:r w:rsidRPr="0091777B">
        <w:t xml:space="preserve">Note that all APVMA documents are subject to the access provisions of the </w:t>
      </w:r>
      <w:r w:rsidRPr="0091777B">
        <w:rPr>
          <w:i/>
          <w:iCs/>
        </w:rPr>
        <w:t>Freedom of Information Act 1982</w:t>
      </w:r>
      <w:r w:rsidRPr="0091777B">
        <w:t xml:space="preserve"> and may be required to be released under that Act should a request for access be made.</w:t>
      </w:r>
    </w:p>
    <w:p w14:paraId="02D5E761" w14:textId="77777777" w:rsidR="0091777B" w:rsidRDefault="00E3186F" w:rsidP="0091777B">
      <w:pPr>
        <w:pStyle w:val="Heading3"/>
      </w:pPr>
      <w:bookmarkStart w:id="72" w:name="_Toc234585926"/>
      <w:r>
        <w:t>Privacy</w:t>
      </w:r>
      <w:bookmarkEnd w:id="72"/>
      <w:r>
        <w:t xml:space="preserve"> </w:t>
      </w:r>
    </w:p>
    <w:p w14:paraId="59D0BBCA" w14:textId="6DE8042B" w:rsidR="006F5F3D" w:rsidRPr="0091777B" w:rsidRDefault="0091777B" w:rsidP="0091777B">
      <w:pPr>
        <w:pStyle w:val="NormalText"/>
      </w:pPr>
      <w:r w:rsidRPr="0091777B">
        <w:t xml:space="preserve">Note that all submissions received are subject to legislative requirements, including </w:t>
      </w:r>
      <w:r w:rsidRPr="0091777B">
        <w:rPr>
          <w:i/>
          <w:iCs/>
        </w:rPr>
        <w:t>the Freedom of Information Act 1982</w:t>
      </w:r>
      <w:r w:rsidRPr="0091777B">
        <w:t xml:space="preserve">, the </w:t>
      </w:r>
      <w:r w:rsidRPr="0091777B">
        <w:rPr>
          <w:i/>
          <w:iCs/>
        </w:rPr>
        <w:t>Privacy Act 1988</w:t>
      </w:r>
      <w:r>
        <w:t>,</w:t>
      </w:r>
      <w:r w:rsidRPr="0091777B">
        <w:t xml:space="preserve"> and the </w:t>
      </w:r>
      <w:r w:rsidRPr="0091777B">
        <w:rPr>
          <w:i/>
          <w:iCs/>
        </w:rPr>
        <w:t>Agricultural and Veterinary Chemicals Code Act 1994</w:t>
      </w:r>
      <w:r>
        <w:t>.</w:t>
      </w:r>
    </w:p>
    <w:sectPr w:rsidR="006F5F3D" w:rsidRPr="0091777B" w:rsidSect="002F4E44">
      <w:headerReference w:type="default" r:id="rId5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4A50" w14:textId="77777777" w:rsidR="008816AA" w:rsidRPr="00BA6CF5" w:rsidRDefault="008816AA">
      <w:r w:rsidRPr="00BA6CF5">
        <w:separator/>
      </w:r>
    </w:p>
    <w:p w14:paraId="4B1AB7ED" w14:textId="77777777" w:rsidR="008816AA" w:rsidRPr="00BA6CF5" w:rsidRDefault="008816AA"/>
    <w:p w14:paraId="5B0EE945" w14:textId="77777777" w:rsidR="008816AA" w:rsidRPr="00BA6CF5" w:rsidRDefault="008816AA"/>
  </w:endnote>
  <w:endnote w:type="continuationSeparator" w:id="0">
    <w:p w14:paraId="3DAC3D7A" w14:textId="77777777" w:rsidR="008816AA" w:rsidRPr="00BA6CF5" w:rsidRDefault="008816AA">
      <w:r w:rsidRPr="00BA6CF5">
        <w:continuationSeparator/>
      </w:r>
    </w:p>
    <w:p w14:paraId="13BF447E" w14:textId="77777777" w:rsidR="008816AA" w:rsidRPr="00BA6CF5" w:rsidRDefault="008816AA"/>
    <w:p w14:paraId="2BB36114" w14:textId="77777777" w:rsidR="008816AA" w:rsidRPr="00BA6CF5" w:rsidRDefault="008816AA"/>
  </w:endnote>
  <w:endnote w:type="continuationNotice" w:id="1">
    <w:p w14:paraId="64E4D95A" w14:textId="77777777" w:rsidR="008816AA" w:rsidRPr="00BA6CF5" w:rsidRDefault="008816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FD29296" w:rsidRPr="00BA6CF5" w14:paraId="453CC403" w14:textId="77777777" w:rsidTr="002C1B4F">
      <w:trPr>
        <w:trHeight w:val="300"/>
      </w:trPr>
      <w:tc>
        <w:tcPr>
          <w:tcW w:w="3210" w:type="dxa"/>
        </w:tcPr>
        <w:p w14:paraId="59AED983" w14:textId="4E78D0A6" w:rsidR="3FD29296" w:rsidRPr="00BA6CF5" w:rsidRDefault="3FD29296" w:rsidP="002C1B4F">
          <w:pPr>
            <w:pStyle w:val="Header"/>
            <w:ind w:left="-115"/>
          </w:pPr>
        </w:p>
      </w:tc>
      <w:tc>
        <w:tcPr>
          <w:tcW w:w="3210" w:type="dxa"/>
        </w:tcPr>
        <w:p w14:paraId="76558303" w14:textId="7BCAE868" w:rsidR="3FD29296" w:rsidRPr="00BA6CF5" w:rsidRDefault="3FD29296" w:rsidP="002C1B4F">
          <w:pPr>
            <w:pStyle w:val="Header"/>
            <w:jc w:val="center"/>
          </w:pPr>
        </w:p>
      </w:tc>
      <w:tc>
        <w:tcPr>
          <w:tcW w:w="3210" w:type="dxa"/>
        </w:tcPr>
        <w:p w14:paraId="7315F7FD" w14:textId="1318E52D" w:rsidR="3FD29296" w:rsidRPr="00BA6CF5" w:rsidRDefault="3FD29296" w:rsidP="002C1B4F">
          <w:pPr>
            <w:pStyle w:val="Header"/>
            <w:ind w:right="-115"/>
            <w:jc w:val="right"/>
          </w:pPr>
        </w:p>
      </w:tc>
    </w:tr>
  </w:tbl>
  <w:p w14:paraId="1C742C7E" w14:textId="0CA29142" w:rsidR="006A2538" w:rsidRPr="00BA6CF5" w:rsidRDefault="006A2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4924" w14:textId="77777777" w:rsidR="00582DC0" w:rsidRPr="00BA6CF5" w:rsidRDefault="00582DC0" w:rsidP="00551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13E3" w14:textId="035D360F" w:rsidR="00582DC0" w:rsidRPr="00BA6CF5" w:rsidRDefault="00582DC0">
    <w:pPr>
      <w:pStyle w:val="Footer"/>
    </w:pPr>
    <w:r w:rsidRPr="00BA6CF5">
      <w:rPr>
        <w:rFonts w:asciiTheme="minorHAnsi" w:hAnsiTheme="minorHAnsi"/>
        <w:color w:val="969696"/>
        <w:sz w:val="16"/>
        <w:szCs w:val="16"/>
      </w:rPr>
      <w:t>FM_PAC12/04 – V</w:t>
    </w:r>
    <w:r w:rsidR="00254691" w:rsidRPr="00BA6CF5">
      <w:rPr>
        <w:rFonts w:asciiTheme="minorHAnsi" w:hAnsiTheme="minorHAnsi"/>
        <w:color w:val="969696"/>
        <w:sz w:val="16"/>
        <w:szCs w:val="16"/>
      </w:rPr>
      <w:t>5 –</w:t>
    </w:r>
    <w:r w:rsidRPr="00BA6CF5">
      <w:rPr>
        <w:rFonts w:asciiTheme="minorHAnsi" w:hAnsiTheme="minorHAnsi"/>
        <w:color w:val="969696"/>
        <w:sz w:val="16"/>
        <w:szCs w:val="16"/>
      </w:rPr>
      <w:t xml:space="preserve"> fA458731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E3DD" w14:textId="77777777" w:rsidR="00582DC0" w:rsidRPr="00BA6CF5" w:rsidRDefault="00582DC0" w:rsidP="00C26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ACE2" w14:textId="77777777" w:rsidR="008816AA" w:rsidRPr="00BA6CF5" w:rsidRDefault="008816AA">
      <w:r w:rsidRPr="00BA6CF5">
        <w:separator/>
      </w:r>
    </w:p>
  </w:footnote>
  <w:footnote w:type="continuationSeparator" w:id="0">
    <w:p w14:paraId="7D0D499E" w14:textId="77777777" w:rsidR="008816AA" w:rsidRPr="00BA6CF5" w:rsidRDefault="008816AA">
      <w:pPr>
        <w:spacing w:line="180" w:lineRule="exact"/>
        <w:rPr>
          <w:sz w:val="16"/>
        </w:rPr>
      </w:pPr>
      <w:r w:rsidRPr="00BA6CF5">
        <w:rPr>
          <w:sz w:val="16"/>
        </w:rPr>
        <w:continuationSeparator/>
      </w:r>
    </w:p>
    <w:p w14:paraId="01CE3680" w14:textId="77777777" w:rsidR="008816AA" w:rsidRPr="00BA6CF5" w:rsidRDefault="008816AA"/>
    <w:p w14:paraId="5F0D88F7" w14:textId="77777777" w:rsidR="008816AA" w:rsidRPr="00BA6CF5" w:rsidRDefault="008816AA"/>
  </w:footnote>
  <w:footnote w:type="continuationNotice" w:id="1">
    <w:p w14:paraId="7D71540B" w14:textId="77777777" w:rsidR="008816AA" w:rsidRPr="00BA6CF5" w:rsidRDefault="008816AA"/>
    <w:p w14:paraId="7FB21C1C" w14:textId="77777777" w:rsidR="008816AA" w:rsidRPr="00BA6CF5" w:rsidRDefault="008816AA"/>
    <w:p w14:paraId="6EED5096" w14:textId="77777777" w:rsidR="008816AA" w:rsidRPr="00BA6CF5" w:rsidRDefault="008816AA"/>
  </w:footnote>
  <w:footnote w:id="2">
    <w:p w14:paraId="425860BD" w14:textId="77777777" w:rsidR="006077CD" w:rsidRPr="00D15BAD" w:rsidRDefault="006077CD" w:rsidP="006077CD">
      <w:pPr>
        <w:pStyle w:val="FootnoteText"/>
      </w:pPr>
      <w:r w:rsidRPr="00BA6CF5">
        <w:rPr>
          <w:rStyle w:val="FootnoteReference"/>
        </w:rPr>
        <w:footnoteRef/>
      </w:r>
      <w:r w:rsidRPr="00BA6CF5">
        <w:rPr>
          <w:vertAlign w:val="superscript"/>
        </w:rPr>
        <w:t xml:space="preserve"> </w:t>
      </w:r>
      <w:r w:rsidRPr="00BA6CF5">
        <w:t xml:space="preserve">Section 69(B) of the </w:t>
      </w:r>
      <w:r w:rsidRPr="00BA6CF5">
        <w:rPr>
          <w:i/>
        </w:rPr>
        <w:t>Agricultural and Veterinary (Administration) Act 1992</w:t>
      </w:r>
      <w:r w:rsidRPr="00BA6CF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FD29296" w:rsidRPr="00BA6CF5" w14:paraId="5F02C99D" w14:textId="77777777" w:rsidTr="002C1B4F">
      <w:trPr>
        <w:trHeight w:val="300"/>
      </w:trPr>
      <w:tc>
        <w:tcPr>
          <w:tcW w:w="3210" w:type="dxa"/>
        </w:tcPr>
        <w:p w14:paraId="0FD63076" w14:textId="12A09285" w:rsidR="3FD29296" w:rsidRPr="00BA6CF5" w:rsidRDefault="3FD29296" w:rsidP="002C1B4F">
          <w:pPr>
            <w:pStyle w:val="Header"/>
            <w:ind w:left="-115"/>
          </w:pPr>
        </w:p>
      </w:tc>
      <w:tc>
        <w:tcPr>
          <w:tcW w:w="3210" w:type="dxa"/>
        </w:tcPr>
        <w:p w14:paraId="0E0DCEA0" w14:textId="36ACDED7" w:rsidR="3FD29296" w:rsidRPr="00BA6CF5" w:rsidRDefault="3FD29296" w:rsidP="002C1B4F">
          <w:pPr>
            <w:pStyle w:val="Header"/>
            <w:jc w:val="center"/>
          </w:pPr>
        </w:p>
      </w:tc>
      <w:tc>
        <w:tcPr>
          <w:tcW w:w="3210" w:type="dxa"/>
        </w:tcPr>
        <w:p w14:paraId="72251368" w14:textId="2C1CA25E" w:rsidR="3FD29296" w:rsidRPr="00BA6CF5" w:rsidRDefault="3FD29296" w:rsidP="002C1B4F">
          <w:pPr>
            <w:pStyle w:val="Header"/>
            <w:ind w:right="-115"/>
            <w:jc w:val="right"/>
          </w:pPr>
        </w:p>
      </w:tc>
    </w:tr>
  </w:tbl>
  <w:p w14:paraId="0E24CBF6" w14:textId="7C561E10" w:rsidR="006A2538" w:rsidRPr="00BA6CF5" w:rsidRDefault="006A25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7CE5" w14:textId="77777777" w:rsidR="00FB12F3" w:rsidRDefault="00000000">
    <w:pPr>
      <w:pStyle w:val="Header"/>
    </w:pPr>
    <w:r>
      <w:rPr>
        <w:noProof/>
      </w:rPr>
      <w:pict w14:anchorId="05592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alt="" style="position:absolute;margin-left:0;margin-top:0;width:485.3pt;height:194.1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A92B" w14:textId="70D62353" w:rsidR="005C6E89" w:rsidRDefault="005C6E89" w:rsidP="005C6E89">
    <w:pPr>
      <w:pStyle w:val="OddHeader"/>
    </w:pPr>
    <w:r>
      <w:tab/>
    </w:r>
    <w:r w:rsidRPr="005C6E89">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55AC" w14:textId="227C1182" w:rsidR="005C6E89" w:rsidRDefault="005C6E89" w:rsidP="005C6E89">
    <w:pPr>
      <w:pStyle w:val="OddHeader"/>
    </w:pPr>
    <w:r>
      <w:tab/>
    </w:r>
    <w:r w:rsidRPr="005C6E89">
      <w:t>Summary of key changes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F1B7" w14:textId="52F17A60" w:rsidR="00463804" w:rsidRPr="001D5E64" w:rsidRDefault="00463804" w:rsidP="00463804">
    <w:pPr>
      <w:pStyle w:val="APVMAOddHeader"/>
      <w:tabs>
        <w:tab w:val="clear" w:pos="9072"/>
        <w:tab w:val="right" w:pos="8789"/>
        <w:tab w:val="right" w:pos="14742"/>
      </w:tabs>
    </w:pPr>
    <w:r w:rsidRPr="00BA6CF5">
      <w:tab/>
    </w:r>
    <w:r>
      <w:t>APVMA Fees and Charges 202</w:t>
    </w:r>
    <w:r w:rsidR="003A6D2D">
      <w:t>7</w:t>
    </w:r>
    <w:r>
      <w:t>–2</w:t>
    </w:r>
    <w:r w:rsidR="003A6D2D">
      <w:t>8</w:t>
    </w:r>
    <w:r>
      <w:t xml:space="preserve"> Consultation Paper</w:t>
    </w:r>
    <w:r w:rsidRPr="001D5E64">
      <w:tab/>
    </w:r>
    <w:r w:rsidRPr="001D5E64">
      <w:rPr>
        <w:rStyle w:val="PageNumber"/>
        <w:b/>
        <w:color w:val="53284F"/>
        <w:kern w:val="20"/>
      </w:rPr>
      <w:fldChar w:fldCharType="begin"/>
    </w:r>
    <w:r w:rsidRPr="001D5E64">
      <w:rPr>
        <w:rStyle w:val="PageNumber"/>
        <w:b/>
        <w:color w:val="53284F"/>
        <w:kern w:val="20"/>
      </w:rPr>
      <w:instrText xml:space="preserve"> PAGE </w:instrText>
    </w:r>
    <w:r w:rsidRPr="001D5E64">
      <w:rPr>
        <w:rStyle w:val="PageNumber"/>
        <w:b/>
        <w:color w:val="53284F"/>
        <w:kern w:val="20"/>
      </w:rPr>
      <w:fldChar w:fldCharType="separate"/>
    </w:r>
    <w:r>
      <w:rPr>
        <w:rStyle w:val="PageNumber"/>
        <w:b/>
        <w:color w:val="53284F"/>
        <w:kern w:val="20"/>
      </w:rPr>
      <w:t>16</w:t>
    </w:r>
    <w:r w:rsidRPr="001D5E64">
      <w:rPr>
        <w:rStyle w:val="PageNumber"/>
        <w:b/>
        <w:color w:val="53284F"/>
        <w:kern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60C1" w14:textId="5F10141A" w:rsidR="005C6E89" w:rsidRDefault="005C6E89" w:rsidP="005C6E89">
    <w:pPr>
      <w:pStyle w:val="OddHeader"/>
      <w:jc w:val="right"/>
    </w:pPr>
    <w:r>
      <w:tab/>
    </w:r>
    <w:r w:rsidRPr="005C6E89">
      <w:t>Summary of key changes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FBCA" w14:textId="4B854994" w:rsidR="003911AA" w:rsidRDefault="003911A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89B5" w14:textId="77777777" w:rsidR="005C6E89" w:rsidRDefault="005C6E89" w:rsidP="005C6E8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16</w:t>
    </w:r>
    <w:r>
      <w:rPr>
        <w:rStyle w:val="PageNumber"/>
        <w:b w:val="0"/>
        <w:caps/>
        <w:szCs w:val="24"/>
      </w:rPr>
      <w:fldChar w:fldCharType="end"/>
    </w:r>
    <w:r>
      <w:tab/>
    </w:r>
    <w:r w:rsidRPr="005C6E89">
      <w:t>APVMA Fees and Charges 2027–28 Consultation Paper</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55C8" w14:textId="77777777" w:rsidR="005C6E89" w:rsidRDefault="005C6E89" w:rsidP="005C6E8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24</w:t>
    </w:r>
    <w:r>
      <w:rPr>
        <w:rStyle w:val="PageNumber"/>
        <w:b w:val="0"/>
        <w:caps/>
        <w:szCs w:val="24"/>
      </w:rPr>
      <w:fldChar w:fldCharType="end"/>
    </w:r>
    <w:r>
      <w:tab/>
    </w:r>
    <w:r w:rsidRPr="005C6E89">
      <w:t>APVMA Fees and Charges 2027–28 Consultation Paper</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6A86" w14:textId="4519B170" w:rsidR="005C6E89" w:rsidRDefault="005C6E89" w:rsidP="005C6E89">
    <w:pPr>
      <w:pStyle w:val="OddHeader"/>
      <w:jc w:val="right"/>
    </w:pPr>
    <w:r>
      <w:tab/>
    </w:r>
    <w:r w:rsidRPr="005C6E89">
      <w:t>Implementation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23</w:t>
    </w:r>
    <w:r>
      <w:rPr>
        <w:rStyle w:val="PageNumber"/>
        <w:rFonts w:cs="Times New Roman"/>
        <w:b w:val="0"/>
        <w:bCs w:val="0"/>
        <w:caps/>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F49F" w14:textId="1FD2AC12" w:rsidR="003911AA" w:rsidRDefault="00391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2B35" w14:textId="4CB1F1A9" w:rsidR="006A2538" w:rsidRPr="00D0686C" w:rsidRDefault="006A2538" w:rsidP="00D0686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065C" w14:textId="02061FEC" w:rsidR="005C6E89" w:rsidRDefault="005C6E89" w:rsidP="005C6E89">
    <w:pPr>
      <w:pStyle w:val="OddHeader"/>
      <w:jc w:val="right"/>
    </w:pPr>
    <w:r>
      <w:tab/>
    </w:r>
    <w:r w:rsidRPr="005C6E89">
      <w:t>Frequently asked questions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25</w:t>
    </w:r>
    <w:r>
      <w:rPr>
        <w:rStyle w:val="PageNumber"/>
        <w:rFonts w:cs="Times New Roman"/>
        <w:b w:val="0"/>
        <w:bCs w:val="0"/>
        <w:caps/>
        <w:szCs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F36F" w14:textId="18C22AB3" w:rsidR="005C6E89" w:rsidRDefault="005C6E89" w:rsidP="005C6E89">
    <w:pPr>
      <w:pStyle w:val="OddHeader"/>
      <w:jc w:val="right"/>
    </w:pPr>
    <w:r>
      <w:tab/>
    </w:r>
    <w:r w:rsidR="00E702EE" w:rsidRPr="00E702EE">
      <w:t>Invitation to comment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25</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FD29296" w:rsidRPr="00BA6CF5" w14:paraId="6910140B" w14:textId="77777777" w:rsidTr="002C1B4F">
      <w:trPr>
        <w:trHeight w:val="300"/>
      </w:trPr>
      <w:tc>
        <w:tcPr>
          <w:tcW w:w="3210" w:type="dxa"/>
        </w:tcPr>
        <w:p w14:paraId="29F495CE" w14:textId="14DD70A9" w:rsidR="3FD29296" w:rsidRPr="00BA6CF5" w:rsidRDefault="3FD29296" w:rsidP="002C1B4F">
          <w:pPr>
            <w:pStyle w:val="Header"/>
            <w:ind w:left="-115"/>
          </w:pPr>
        </w:p>
      </w:tc>
      <w:tc>
        <w:tcPr>
          <w:tcW w:w="3210" w:type="dxa"/>
        </w:tcPr>
        <w:p w14:paraId="7DC92703" w14:textId="588BB69B" w:rsidR="3FD29296" w:rsidRPr="00BA6CF5" w:rsidRDefault="3FD29296" w:rsidP="002C1B4F">
          <w:pPr>
            <w:pStyle w:val="Header"/>
            <w:jc w:val="center"/>
          </w:pPr>
        </w:p>
      </w:tc>
      <w:tc>
        <w:tcPr>
          <w:tcW w:w="3210" w:type="dxa"/>
        </w:tcPr>
        <w:p w14:paraId="1E296475" w14:textId="20743985" w:rsidR="3FD29296" w:rsidRPr="00BA6CF5" w:rsidRDefault="3FD29296" w:rsidP="002C1B4F">
          <w:pPr>
            <w:pStyle w:val="Header"/>
            <w:ind w:right="-115"/>
            <w:jc w:val="right"/>
          </w:pPr>
        </w:p>
      </w:tc>
    </w:tr>
  </w:tbl>
  <w:p w14:paraId="6DE50A87" w14:textId="6190C805" w:rsidR="006A2538" w:rsidRPr="00BA6CF5" w:rsidRDefault="006A25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682F" w14:textId="4D22D77F" w:rsidR="003911AA" w:rsidRDefault="003911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1A40" w14:textId="77EE4FF6" w:rsidR="00582DC0" w:rsidRPr="00BA6CF5" w:rsidRDefault="00582DC0" w:rsidP="00BC740B">
    <w:pPr>
      <w:pStyle w:val="APVMAEvenHeader"/>
    </w:pPr>
    <w:r w:rsidRPr="00BA6CF5">
      <w:rPr>
        <w:rStyle w:val="PageNumber"/>
        <w:rFonts w:cs="Times New Roman"/>
        <w:b/>
        <w:bCs w:val="0"/>
        <w:caps/>
        <w:szCs w:val="24"/>
      </w:rPr>
      <w:fldChar w:fldCharType="begin"/>
    </w:r>
    <w:r w:rsidRPr="00BA6CF5">
      <w:rPr>
        <w:rStyle w:val="PageNumber"/>
        <w:rFonts w:cs="Times New Roman"/>
        <w:b/>
        <w:bCs w:val="0"/>
        <w:szCs w:val="24"/>
      </w:rPr>
      <w:instrText xml:space="preserve"> PAGE </w:instrText>
    </w:r>
    <w:r w:rsidRPr="00BA6CF5">
      <w:rPr>
        <w:rStyle w:val="PageNumber"/>
        <w:rFonts w:cs="Times New Roman"/>
        <w:b/>
        <w:bCs w:val="0"/>
        <w:caps/>
        <w:szCs w:val="24"/>
      </w:rPr>
      <w:fldChar w:fldCharType="separate"/>
    </w:r>
    <w:r w:rsidR="008E70B2" w:rsidRPr="00BA6CF5">
      <w:rPr>
        <w:rStyle w:val="PageNumber"/>
        <w:rFonts w:cs="Times New Roman"/>
        <w:b/>
        <w:bCs w:val="0"/>
        <w:szCs w:val="24"/>
      </w:rPr>
      <w:t>iv</w:t>
    </w:r>
    <w:r w:rsidRPr="00BA6CF5">
      <w:rPr>
        <w:rStyle w:val="PageNumber"/>
        <w:rFonts w:cs="Times New Roman"/>
        <w:b/>
        <w:bCs w:val="0"/>
        <w:caps/>
        <w:szCs w:val="24"/>
      </w:rPr>
      <w:fldChar w:fldCharType="end"/>
    </w:r>
    <w:r w:rsidR="00E90E7A" w:rsidRPr="00E90E7A">
      <w:t xml:space="preserve"> </w:t>
    </w:r>
    <w:r w:rsidR="00E90E7A" w:rsidRPr="00BA6CF5">
      <w:tab/>
    </w:r>
    <w:r w:rsidR="00E90E7A">
      <w:t>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31EC" w14:textId="06F9086D" w:rsidR="00D0686C" w:rsidRPr="001D5E64" w:rsidRDefault="00D0686C" w:rsidP="00D0686C">
    <w:pPr>
      <w:pStyle w:val="APVMAOddHeader"/>
      <w:tabs>
        <w:tab w:val="clear" w:pos="9072"/>
        <w:tab w:val="right" w:pos="8789"/>
        <w:tab w:val="right" w:pos="14742"/>
      </w:tabs>
    </w:pPr>
    <w:r w:rsidRPr="00BA6CF5">
      <w:tab/>
    </w:r>
    <w:r w:rsidR="0062403A">
      <w:t>Contents</w:t>
    </w:r>
    <w:r w:rsidRPr="001D5E64">
      <w:tab/>
    </w:r>
    <w:r w:rsidRPr="001D5E64">
      <w:rPr>
        <w:rStyle w:val="PageNumber"/>
        <w:b/>
        <w:color w:val="53284F"/>
        <w:kern w:val="20"/>
      </w:rPr>
      <w:fldChar w:fldCharType="begin"/>
    </w:r>
    <w:r w:rsidRPr="001D5E64">
      <w:rPr>
        <w:rStyle w:val="PageNumber"/>
        <w:b/>
        <w:color w:val="53284F"/>
        <w:kern w:val="20"/>
      </w:rPr>
      <w:instrText xml:space="preserve"> PAGE </w:instrText>
    </w:r>
    <w:r w:rsidRPr="001D5E64">
      <w:rPr>
        <w:rStyle w:val="PageNumber"/>
        <w:b/>
        <w:color w:val="53284F"/>
        <w:kern w:val="20"/>
      </w:rPr>
      <w:fldChar w:fldCharType="separate"/>
    </w:r>
    <w:r>
      <w:rPr>
        <w:rStyle w:val="PageNumber"/>
        <w:b/>
        <w:color w:val="53284F"/>
        <w:kern w:val="20"/>
      </w:rPr>
      <w:t>ii</w:t>
    </w:r>
    <w:proofErr w:type="spellStart"/>
    <w:r>
      <w:rPr>
        <w:rStyle w:val="PageNumber"/>
        <w:b/>
        <w:color w:val="53284F"/>
        <w:kern w:val="20"/>
      </w:rPr>
      <w:t>i</w:t>
    </w:r>
    <w:proofErr w:type="spellEnd"/>
    <w:r w:rsidRPr="001D5E64">
      <w:rPr>
        <w:rStyle w:val="PageNumber"/>
        <w:b/>
        <w:color w:val="53284F"/>
        <w:kern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60F9" w14:textId="0A5649AD" w:rsidR="003911AA" w:rsidRDefault="003911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C9DB" w14:textId="1B6AA503" w:rsidR="0062403A" w:rsidRDefault="0062403A" w:rsidP="0062403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3</w:t>
    </w:r>
    <w:r>
      <w:rPr>
        <w:rStyle w:val="PageNumber"/>
        <w:b w:val="0"/>
        <w:caps/>
        <w:szCs w:val="24"/>
      </w:rPr>
      <w:fldChar w:fldCharType="end"/>
    </w:r>
    <w:r>
      <w:tab/>
    </w:r>
    <w:r w:rsidR="005C6E89" w:rsidRPr="005C6E89">
      <w:t>APVMA Fees and Charges 2027–28 Consultation Paper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69AA" w14:textId="05BEFF5D" w:rsidR="00D0686C" w:rsidRPr="0062403A" w:rsidRDefault="0062403A" w:rsidP="0062403A">
    <w:pPr>
      <w:pStyle w:val="APVMAOddHeader"/>
      <w:tabs>
        <w:tab w:val="clear" w:pos="9072"/>
        <w:tab w:val="right" w:pos="8789"/>
        <w:tab w:val="right" w:pos="14742"/>
      </w:tabs>
    </w:pPr>
    <w:r w:rsidRPr="00BA6CF5">
      <w:tab/>
    </w:r>
    <w:r w:rsidRPr="0062403A">
      <w:t>Executive Summary</w:t>
    </w:r>
    <w:r w:rsidRPr="001D5E64">
      <w:tab/>
    </w:r>
    <w:r w:rsidRPr="001D5E64">
      <w:rPr>
        <w:rStyle w:val="PageNumber"/>
        <w:b/>
        <w:color w:val="53284F"/>
        <w:kern w:val="20"/>
      </w:rPr>
      <w:fldChar w:fldCharType="begin"/>
    </w:r>
    <w:r w:rsidRPr="001D5E64">
      <w:rPr>
        <w:rStyle w:val="PageNumber"/>
        <w:b/>
        <w:color w:val="53284F"/>
        <w:kern w:val="20"/>
      </w:rPr>
      <w:instrText xml:space="preserve"> PAGE </w:instrText>
    </w:r>
    <w:r w:rsidRPr="001D5E64">
      <w:rPr>
        <w:rStyle w:val="PageNumber"/>
        <w:b/>
        <w:color w:val="53284F"/>
        <w:kern w:val="20"/>
      </w:rPr>
      <w:fldChar w:fldCharType="separate"/>
    </w:r>
    <w:r>
      <w:rPr>
        <w:rStyle w:val="PageNumber"/>
        <w:b/>
        <w:color w:val="53284F"/>
        <w:kern w:val="20"/>
      </w:rPr>
      <w:t>2</w:t>
    </w:r>
    <w:r w:rsidRPr="001D5E64">
      <w:rPr>
        <w:rStyle w:val="PageNumber"/>
        <w:b/>
        <w:color w:val="53284F"/>
        <w:kern w:val="20"/>
      </w:rPr>
      <w:fldChar w:fldCharType="end"/>
    </w:r>
  </w:p>
</w:hdr>
</file>

<file path=word/intelligence2.xml><?xml version="1.0" encoding="utf-8"?>
<int2:intelligence xmlns:int2="http://schemas.microsoft.com/office/intelligence/2020/intelligence" xmlns:oel="http://schemas.microsoft.com/office/2019/extlst">
  <int2:observations>
    <int2:textHash int2:hashCode="09ULxyioazC1Fp" int2:id="3GPALGRI">
      <int2:state int2:value="Rejected" int2:type="spell"/>
    </int2:textHash>
    <int2:textHash int2:hashCode="QdB7Knmr0Ia6Df" int2:id="i5wuhUT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355E76"/>
    <w:multiLevelType w:val="hybridMultilevel"/>
    <w:tmpl w:val="12664E6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853F0D"/>
    <w:multiLevelType w:val="hybridMultilevel"/>
    <w:tmpl w:val="20827B9E"/>
    <w:lvl w:ilvl="0" w:tplc="DE76F1DE">
      <w:start w:val="1"/>
      <w:numFmt w:val="bullet"/>
      <w:lvlText w:val=""/>
      <w:lvlJc w:val="left"/>
      <w:pPr>
        <w:ind w:left="1020" w:hanging="360"/>
      </w:pPr>
      <w:rPr>
        <w:rFonts w:ascii="Symbol" w:hAnsi="Symbol"/>
      </w:rPr>
    </w:lvl>
    <w:lvl w:ilvl="1" w:tplc="6D0E4812">
      <w:start w:val="1"/>
      <w:numFmt w:val="bullet"/>
      <w:lvlText w:val=""/>
      <w:lvlJc w:val="left"/>
      <w:pPr>
        <w:ind w:left="1020" w:hanging="360"/>
      </w:pPr>
      <w:rPr>
        <w:rFonts w:ascii="Symbol" w:hAnsi="Symbol"/>
      </w:rPr>
    </w:lvl>
    <w:lvl w:ilvl="2" w:tplc="5B6EFDA6">
      <w:start w:val="1"/>
      <w:numFmt w:val="bullet"/>
      <w:lvlText w:val=""/>
      <w:lvlJc w:val="left"/>
      <w:pPr>
        <w:ind w:left="1020" w:hanging="360"/>
      </w:pPr>
      <w:rPr>
        <w:rFonts w:ascii="Symbol" w:hAnsi="Symbol"/>
      </w:rPr>
    </w:lvl>
    <w:lvl w:ilvl="3" w:tplc="92D44E36">
      <w:start w:val="1"/>
      <w:numFmt w:val="bullet"/>
      <w:lvlText w:val=""/>
      <w:lvlJc w:val="left"/>
      <w:pPr>
        <w:ind w:left="1020" w:hanging="360"/>
      </w:pPr>
      <w:rPr>
        <w:rFonts w:ascii="Symbol" w:hAnsi="Symbol"/>
      </w:rPr>
    </w:lvl>
    <w:lvl w:ilvl="4" w:tplc="E200B3CC">
      <w:start w:val="1"/>
      <w:numFmt w:val="bullet"/>
      <w:lvlText w:val=""/>
      <w:lvlJc w:val="left"/>
      <w:pPr>
        <w:ind w:left="1020" w:hanging="360"/>
      </w:pPr>
      <w:rPr>
        <w:rFonts w:ascii="Symbol" w:hAnsi="Symbol"/>
      </w:rPr>
    </w:lvl>
    <w:lvl w:ilvl="5" w:tplc="1138107A">
      <w:start w:val="1"/>
      <w:numFmt w:val="bullet"/>
      <w:lvlText w:val=""/>
      <w:lvlJc w:val="left"/>
      <w:pPr>
        <w:ind w:left="1020" w:hanging="360"/>
      </w:pPr>
      <w:rPr>
        <w:rFonts w:ascii="Symbol" w:hAnsi="Symbol"/>
      </w:rPr>
    </w:lvl>
    <w:lvl w:ilvl="6" w:tplc="8AAEBA2E">
      <w:start w:val="1"/>
      <w:numFmt w:val="bullet"/>
      <w:lvlText w:val=""/>
      <w:lvlJc w:val="left"/>
      <w:pPr>
        <w:ind w:left="1020" w:hanging="360"/>
      </w:pPr>
      <w:rPr>
        <w:rFonts w:ascii="Symbol" w:hAnsi="Symbol"/>
      </w:rPr>
    </w:lvl>
    <w:lvl w:ilvl="7" w:tplc="E554740A">
      <w:start w:val="1"/>
      <w:numFmt w:val="bullet"/>
      <w:lvlText w:val=""/>
      <w:lvlJc w:val="left"/>
      <w:pPr>
        <w:ind w:left="1020" w:hanging="360"/>
      </w:pPr>
      <w:rPr>
        <w:rFonts w:ascii="Symbol" w:hAnsi="Symbol"/>
      </w:rPr>
    </w:lvl>
    <w:lvl w:ilvl="8" w:tplc="4134C620">
      <w:start w:val="1"/>
      <w:numFmt w:val="bullet"/>
      <w:lvlText w:val=""/>
      <w:lvlJc w:val="left"/>
      <w:pPr>
        <w:ind w:left="1020" w:hanging="360"/>
      </w:pPr>
      <w:rPr>
        <w:rFonts w:ascii="Symbol" w:hAnsi="Symbol"/>
      </w:rPr>
    </w:lvl>
  </w:abstractNum>
  <w:abstractNum w:abstractNumId="5" w15:restartNumberingAfterBreak="0">
    <w:nsid w:val="1A8827B9"/>
    <w:multiLevelType w:val="hybridMultilevel"/>
    <w:tmpl w:val="69486DB0"/>
    <w:lvl w:ilvl="0" w:tplc="9B9063BE">
      <w:start w:val="1"/>
      <w:numFmt w:val="bullet"/>
      <w:lvlText w:val=""/>
      <w:lvlJc w:val="left"/>
      <w:pPr>
        <w:ind w:left="720" w:hanging="360"/>
      </w:pPr>
      <w:rPr>
        <w:rFonts w:ascii="Symbol" w:hAnsi="Symbol" w:hint="default"/>
      </w:rPr>
    </w:lvl>
    <w:lvl w:ilvl="1" w:tplc="0728EAA2">
      <w:start w:val="1"/>
      <w:numFmt w:val="bullet"/>
      <w:lvlText w:val="o"/>
      <w:lvlJc w:val="left"/>
      <w:pPr>
        <w:ind w:left="1440" w:hanging="360"/>
      </w:pPr>
      <w:rPr>
        <w:rFonts w:ascii="Courier New" w:hAnsi="Courier New" w:hint="default"/>
      </w:rPr>
    </w:lvl>
    <w:lvl w:ilvl="2" w:tplc="FE303D2E">
      <w:start w:val="1"/>
      <w:numFmt w:val="bullet"/>
      <w:lvlText w:val=""/>
      <w:lvlJc w:val="left"/>
      <w:pPr>
        <w:ind w:left="2160" w:hanging="360"/>
      </w:pPr>
      <w:rPr>
        <w:rFonts w:ascii="Wingdings" w:hAnsi="Wingdings" w:hint="default"/>
      </w:rPr>
    </w:lvl>
    <w:lvl w:ilvl="3" w:tplc="6622B7D4">
      <w:start w:val="1"/>
      <w:numFmt w:val="bullet"/>
      <w:lvlText w:val=""/>
      <w:lvlJc w:val="left"/>
      <w:pPr>
        <w:ind w:left="2880" w:hanging="360"/>
      </w:pPr>
      <w:rPr>
        <w:rFonts w:ascii="Symbol" w:hAnsi="Symbol" w:hint="default"/>
      </w:rPr>
    </w:lvl>
    <w:lvl w:ilvl="4" w:tplc="D6C29266">
      <w:start w:val="1"/>
      <w:numFmt w:val="bullet"/>
      <w:lvlText w:val="o"/>
      <w:lvlJc w:val="left"/>
      <w:pPr>
        <w:ind w:left="3600" w:hanging="360"/>
      </w:pPr>
      <w:rPr>
        <w:rFonts w:ascii="Courier New" w:hAnsi="Courier New" w:hint="default"/>
      </w:rPr>
    </w:lvl>
    <w:lvl w:ilvl="5" w:tplc="BB6E24EA">
      <w:start w:val="1"/>
      <w:numFmt w:val="bullet"/>
      <w:lvlText w:val=""/>
      <w:lvlJc w:val="left"/>
      <w:pPr>
        <w:ind w:left="4320" w:hanging="360"/>
      </w:pPr>
      <w:rPr>
        <w:rFonts w:ascii="Wingdings" w:hAnsi="Wingdings" w:hint="default"/>
      </w:rPr>
    </w:lvl>
    <w:lvl w:ilvl="6" w:tplc="77427A06">
      <w:start w:val="1"/>
      <w:numFmt w:val="bullet"/>
      <w:lvlText w:val=""/>
      <w:lvlJc w:val="left"/>
      <w:pPr>
        <w:ind w:left="5040" w:hanging="360"/>
      </w:pPr>
      <w:rPr>
        <w:rFonts w:ascii="Symbol" w:hAnsi="Symbol" w:hint="default"/>
      </w:rPr>
    </w:lvl>
    <w:lvl w:ilvl="7" w:tplc="CFC0806C">
      <w:start w:val="1"/>
      <w:numFmt w:val="bullet"/>
      <w:lvlText w:val="o"/>
      <w:lvlJc w:val="left"/>
      <w:pPr>
        <w:ind w:left="5760" w:hanging="360"/>
      </w:pPr>
      <w:rPr>
        <w:rFonts w:ascii="Courier New" w:hAnsi="Courier New" w:hint="default"/>
      </w:rPr>
    </w:lvl>
    <w:lvl w:ilvl="8" w:tplc="4604861E">
      <w:start w:val="1"/>
      <w:numFmt w:val="bullet"/>
      <w:lvlText w:val=""/>
      <w:lvlJc w:val="left"/>
      <w:pPr>
        <w:ind w:left="6480" w:hanging="360"/>
      </w:pPr>
      <w:rPr>
        <w:rFonts w:ascii="Wingdings" w:hAnsi="Wingdings" w:hint="default"/>
      </w:rPr>
    </w:lvl>
  </w:abstractNum>
  <w:abstractNum w:abstractNumId="6" w15:restartNumberingAfterBreak="0">
    <w:nsid w:val="22C81218"/>
    <w:multiLevelType w:val="multilevel"/>
    <w:tmpl w:val="A588F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D7671"/>
    <w:multiLevelType w:val="hybridMultilevel"/>
    <w:tmpl w:val="83C0C7AE"/>
    <w:lvl w:ilvl="0" w:tplc="F7065106">
      <w:start w:val="1"/>
      <w:numFmt w:val="bullet"/>
      <w:lvlText w:val=""/>
      <w:lvlJc w:val="left"/>
      <w:pPr>
        <w:ind w:left="720" w:hanging="360"/>
      </w:pPr>
      <w:rPr>
        <w:rFonts w:ascii="Symbol" w:hAnsi="Symbol" w:hint="default"/>
      </w:rPr>
    </w:lvl>
    <w:lvl w:ilvl="1" w:tplc="A9C2ECB2">
      <w:start w:val="1"/>
      <w:numFmt w:val="bullet"/>
      <w:lvlText w:val="o"/>
      <w:lvlJc w:val="left"/>
      <w:pPr>
        <w:ind w:left="1440" w:hanging="360"/>
      </w:pPr>
      <w:rPr>
        <w:rFonts w:ascii="Courier New" w:hAnsi="Courier New" w:hint="default"/>
      </w:rPr>
    </w:lvl>
    <w:lvl w:ilvl="2" w:tplc="FD265AE0">
      <w:start w:val="1"/>
      <w:numFmt w:val="bullet"/>
      <w:lvlText w:val=""/>
      <w:lvlJc w:val="left"/>
      <w:pPr>
        <w:ind w:left="2160" w:hanging="360"/>
      </w:pPr>
      <w:rPr>
        <w:rFonts w:ascii="Wingdings" w:hAnsi="Wingdings" w:hint="default"/>
      </w:rPr>
    </w:lvl>
    <w:lvl w:ilvl="3" w:tplc="A09AAF86">
      <w:start w:val="1"/>
      <w:numFmt w:val="bullet"/>
      <w:lvlText w:val=""/>
      <w:lvlJc w:val="left"/>
      <w:pPr>
        <w:ind w:left="2880" w:hanging="360"/>
      </w:pPr>
      <w:rPr>
        <w:rFonts w:ascii="Symbol" w:hAnsi="Symbol" w:hint="default"/>
      </w:rPr>
    </w:lvl>
    <w:lvl w:ilvl="4" w:tplc="2BACE52C">
      <w:start w:val="1"/>
      <w:numFmt w:val="bullet"/>
      <w:lvlText w:val="o"/>
      <w:lvlJc w:val="left"/>
      <w:pPr>
        <w:ind w:left="3600" w:hanging="360"/>
      </w:pPr>
      <w:rPr>
        <w:rFonts w:ascii="Courier New" w:hAnsi="Courier New" w:hint="default"/>
      </w:rPr>
    </w:lvl>
    <w:lvl w:ilvl="5" w:tplc="6198A390">
      <w:start w:val="1"/>
      <w:numFmt w:val="bullet"/>
      <w:lvlText w:val=""/>
      <w:lvlJc w:val="left"/>
      <w:pPr>
        <w:ind w:left="4320" w:hanging="360"/>
      </w:pPr>
      <w:rPr>
        <w:rFonts w:ascii="Wingdings" w:hAnsi="Wingdings" w:hint="default"/>
      </w:rPr>
    </w:lvl>
    <w:lvl w:ilvl="6" w:tplc="6E66C408">
      <w:start w:val="1"/>
      <w:numFmt w:val="bullet"/>
      <w:lvlText w:val=""/>
      <w:lvlJc w:val="left"/>
      <w:pPr>
        <w:ind w:left="5040" w:hanging="360"/>
      </w:pPr>
      <w:rPr>
        <w:rFonts w:ascii="Symbol" w:hAnsi="Symbol" w:hint="default"/>
      </w:rPr>
    </w:lvl>
    <w:lvl w:ilvl="7" w:tplc="16203876">
      <w:start w:val="1"/>
      <w:numFmt w:val="bullet"/>
      <w:lvlText w:val="o"/>
      <w:lvlJc w:val="left"/>
      <w:pPr>
        <w:ind w:left="5760" w:hanging="360"/>
      </w:pPr>
      <w:rPr>
        <w:rFonts w:ascii="Courier New" w:hAnsi="Courier New" w:hint="default"/>
      </w:rPr>
    </w:lvl>
    <w:lvl w:ilvl="8" w:tplc="584A9716">
      <w:start w:val="1"/>
      <w:numFmt w:val="bullet"/>
      <w:lvlText w:val=""/>
      <w:lvlJc w:val="left"/>
      <w:pPr>
        <w:ind w:left="6480" w:hanging="360"/>
      </w:pPr>
      <w:rPr>
        <w:rFonts w:ascii="Wingdings" w:hAnsi="Wingdings" w:hint="default"/>
      </w:rPr>
    </w:lvl>
  </w:abstractNum>
  <w:abstractNum w:abstractNumId="8" w15:restartNumberingAfterBreak="0">
    <w:nsid w:val="25C958EB"/>
    <w:multiLevelType w:val="hybridMultilevel"/>
    <w:tmpl w:val="C278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F61AC"/>
    <w:multiLevelType w:val="hybridMultilevel"/>
    <w:tmpl w:val="AD4230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0802E2"/>
    <w:multiLevelType w:val="hybridMultilevel"/>
    <w:tmpl w:val="7B2481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E150C71"/>
    <w:multiLevelType w:val="hybridMultilevel"/>
    <w:tmpl w:val="FDA4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473BC"/>
    <w:multiLevelType w:val="multilevel"/>
    <w:tmpl w:val="A55A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A62B5"/>
    <w:multiLevelType w:val="hybridMultilevel"/>
    <w:tmpl w:val="00FE4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5617B0"/>
    <w:multiLevelType w:val="hybridMultilevel"/>
    <w:tmpl w:val="BFA25A26"/>
    <w:lvl w:ilvl="0" w:tplc="BD02AAD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53284F"/>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95D59"/>
    <w:multiLevelType w:val="hybridMultilevel"/>
    <w:tmpl w:val="F2622256"/>
    <w:lvl w:ilvl="0" w:tplc="84A05D80">
      <w:start w:val="1"/>
      <w:numFmt w:val="upperLetter"/>
      <w:lvlText w:val="%1)"/>
      <w:lvlJc w:val="left"/>
      <w:pPr>
        <w:ind w:left="1020" w:hanging="360"/>
      </w:pPr>
    </w:lvl>
    <w:lvl w:ilvl="1" w:tplc="74649974">
      <w:start w:val="1"/>
      <w:numFmt w:val="upperLetter"/>
      <w:lvlText w:val="%2)"/>
      <w:lvlJc w:val="left"/>
      <w:pPr>
        <w:ind w:left="1020" w:hanging="360"/>
      </w:pPr>
    </w:lvl>
    <w:lvl w:ilvl="2" w:tplc="82824BAC">
      <w:start w:val="1"/>
      <w:numFmt w:val="upperLetter"/>
      <w:lvlText w:val="%3)"/>
      <w:lvlJc w:val="left"/>
      <w:pPr>
        <w:ind w:left="1020" w:hanging="360"/>
      </w:pPr>
    </w:lvl>
    <w:lvl w:ilvl="3" w:tplc="832217A2">
      <w:start w:val="1"/>
      <w:numFmt w:val="upperLetter"/>
      <w:lvlText w:val="%4)"/>
      <w:lvlJc w:val="left"/>
      <w:pPr>
        <w:ind w:left="1020" w:hanging="360"/>
      </w:pPr>
    </w:lvl>
    <w:lvl w:ilvl="4" w:tplc="03985C4A">
      <w:start w:val="1"/>
      <w:numFmt w:val="upperLetter"/>
      <w:lvlText w:val="%5)"/>
      <w:lvlJc w:val="left"/>
      <w:pPr>
        <w:ind w:left="1020" w:hanging="360"/>
      </w:pPr>
    </w:lvl>
    <w:lvl w:ilvl="5" w:tplc="0C2443C4">
      <w:start w:val="1"/>
      <w:numFmt w:val="upperLetter"/>
      <w:lvlText w:val="%6)"/>
      <w:lvlJc w:val="left"/>
      <w:pPr>
        <w:ind w:left="1020" w:hanging="360"/>
      </w:pPr>
    </w:lvl>
    <w:lvl w:ilvl="6" w:tplc="24BE0906">
      <w:start w:val="1"/>
      <w:numFmt w:val="upperLetter"/>
      <w:lvlText w:val="%7)"/>
      <w:lvlJc w:val="left"/>
      <w:pPr>
        <w:ind w:left="1020" w:hanging="360"/>
      </w:pPr>
    </w:lvl>
    <w:lvl w:ilvl="7" w:tplc="8D686F86">
      <w:start w:val="1"/>
      <w:numFmt w:val="upperLetter"/>
      <w:lvlText w:val="%8)"/>
      <w:lvlJc w:val="left"/>
      <w:pPr>
        <w:ind w:left="1020" w:hanging="360"/>
      </w:pPr>
    </w:lvl>
    <w:lvl w:ilvl="8" w:tplc="D0F86CE0">
      <w:start w:val="1"/>
      <w:numFmt w:val="upperLetter"/>
      <w:lvlText w:val="%9)"/>
      <w:lvlJc w:val="left"/>
      <w:pPr>
        <w:ind w:left="1020" w:hanging="360"/>
      </w:pPr>
    </w:lvl>
  </w:abstractNum>
  <w:abstractNum w:abstractNumId="18" w15:restartNumberingAfterBreak="0">
    <w:nsid w:val="434F6DDB"/>
    <w:multiLevelType w:val="multilevel"/>
    <w:tmpl w:val="6726A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0E60F3"/>
    <w:multiLevelType w:val="hybridMultilevel"/>
    <w:tmpl w:val="16286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95C9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B12141E"/>
    <w:multiLevelType w:val="multilevel"/>
    <w:tmpl w:val="3D20600E"/>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6209"/>
        </w:tabs>
        <w:ind w:left="6209"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5F6F7FC5"/>
    <w:multiLevelType w:val="hybridMultilevel"/>
    <w:tmpl w:val="DFC4E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AE36E6"/>
    <w:multiLevelType w:val="hybridMultilevel"/>
    <w:tmpl w:val="A1C0E2D0"/>
    <w:lvl w:ilvl="0" w:tplc="957AD088">
      <w:start w:val="3"/>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AB563EF"/>
    <w:multiLevelType w:val="multilevel"/>
    <w:tmpl w:val="38D6D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7410B4"/>
    <w:multiLevelType w:val="hybridMultilevel"/>
    <w:tmpl w:val="6F4C24EC"/>
    <w:lvl w:ilvl="0" w:tplc="D598DE98">
      <w:start w:val="1"/>
      <w:numFmt w:val="bullet"/>
      <w:lvlText w:val=""/>
      <w:lvlJc w:val="left"/>
      <w:pPr>
        <w:ind w:left="1020" w:hanging="360"/>
      </w:pPr>
      <w:rPr>
        <w:rFonts w:ascii="Symbol" w:hAnsi="Symbol"/>
      </w:rPr>
    </w:lvl>
    <w:lvl w:ilvl="1" w:tplc="08CA909A">
      <w:start w:val="1"/>
      <w:numFmt w:val="bullet"/>
      <w:lvlText w:val=""/>
      <w:lvlJc w:val="left"/>
      <w:pPr>
        <w:ind w:left="1020" w:hanging="360"/>
      </w:pPr>
      <w:rPr>
        <w:rFonts w:ascii="Symbol" w:hAnsi="Symbol"/>
      </w:rPr>
    </w:lvl>
    <w:lvl w:ilvl="2" w:tplc="DCDC8C16">
      <w:start w:val="1"/>
      <w:numFmt w:val="bullet"/>
      <w:lvlText w:val=""/>
      <w:lvlJc w:val="left"/>
      <w:pPr>
        <w:ind w:left="1020" w:hanging="360"/>
      </w:pPr>
      <w:rPr>
        <w:rFonts w:ascii="Symbol" w:hAnsi="Symbol"/>
      </w:rPr>
    </w:lvl>
    <w:lvl w:ilvl="3" w:tplc="A7BC6788">
      <w:start w:val="1"/>
      <w:numFmt w:val="bullet"/>
      <w:lvlText w:val=""/>
      <w:lvlJc w:val="left"/>
      <w:pPr>
        <w:ind w:left="1020" w:hanging="360"/>
      </w:pPr>
      <w:rPr>
        <w:rFonts w:ascii="Symbol" w:hAnsi="Symbol"/>
      </w:rPr>
    </w:lvl>
    <w:lvl w:ilvl="4" w:tplc="30CC6932">
      <w:start w:val="1"/>
      <w:numFmt w:val="bullet"/>
      <w:lvlText w:val=""/>
      <w:lvlJc w:val="left"/>
      <w:pPr>
        <w:ind w:left="1020" w:hanging="360"/>
      </w:pPr>
      <w:rPr>
        <w:rFonts w:ascii="Symbol" w:hAnsi="Symbol"/>
      </w:rPr>
    </w:lvl>
    <w:lvl w:ilvl="5" w:tplc="251C02C8">
      <w:start w:val="1"/>
      <w:numFmt w:val="bullet"/>
      <w:lvlText w:val=""/>
      <w:lvlJc w:val="left"/>
      <w:pPr>
        <w:ind w:left="1020" w:hanging="360"/>
      </w:pPr>
      <w:rPr>
        <w:rFonts w:ascii="Symbol" w:hAnsi="Symbol"/>
      </w:rPr>
    </w:lvl>
    <w:lvl w:ilvl="6" w:tplc="0C8CD756">
      <w:start w:val="1"/>
      <w:numFmt w:val="bullet"/>
      <w:lvlText w:val=""/>
      <w:lvlJc w:val="left"/>
      <w:pPr>
        <w:ind w:left="1020" w:hanging="360"/>
      </w:pPr>
      <w:rPr>
        <w:rFonts w:ascii="Symbol" w:hAnsi="Symbol"/>
      </w:rPr>
    </w:lvl>
    <w:lvl w:ilvl="7" w:tplc="B350A97A">
      <w:start w:val="1"/>
      <w:numFmt w:val="bullet"/>
      <w:lvlText w:val=""/>
      <w:lvlJc w:val="left"/>
      <w:pPr>
        <w:ind w:left="1020" w:hanging="360"/>
      </w:pPr>
      <w:rPr>
        <w:rFonts w:ascii="Symbol" w:hAnsi="Symbol"/>
      </w:rPr>
    </w:lvl>
    <w:lvl w:ilvl="8" w:tplc="5F6642CC">
      <w:start w:val="1"/>
      <w:numFmt w:val="bullet"/>
      <w:lvlText w:val=""/>
      <w:lvlJc w:val="left"/>
      <w:pPr>
        <w:ind w:left="1020" w:hanging="360"/>
      </w:pPr>
      <w:rPr>
        <w:rFonts w:ascii="Symbol" w:hAnsi="Symbol"/>
      </w:rPr>
    </w:lvl>
  </w:abstractNum>
  <w:abstractNum w:abstractNumId="26" w15:restartNumberingAfterBreak="0">
    <w:nsid w:val="74CD1F31"/>
    <w:multiLevelType w:val="hybridMultilevel"/>
    <w:tmpl w:val="A45CC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81579848">
    <w:abstractNumId w:val="2"/>
  </w:num>
  <w:num w:numId="2" w16cid:durableId="372193953">
    <w:abstractNumId w:val="13"/>
  </w:num>
  <w:num w:numId="3" w16cid:durableId="781145861">
    <w:abstractNumId w:val="15"/>
  </w:num>
  <w:num w:numId="4" w16cid:durableId="245726523">
    <w:abstractNumId w:val="0"/>
  </w:num>
  <w:num w:numId="5" w16cid:durableId="1665009045">
    <w:abstractNumId w:val="3"/>
  </w:num>
  <w:num w:numId="6" w16cid:durableId="607354666">
    <w:abstractNumId w:val="16"/>
  </w:num>
  <w:num w:numId="7" w16cid:durableId="1329019335">
    <w:abstractNumId w:val="21"/>
  </w:num>
  <w:num w:numId="8" w16cid:durableId="378481175">
    <w:abstractNumId w:val="21"/>
  </w:num>
  <w:num w:numId="9" w16cid:durableId="2107383444">
    <w:abstractNumId w:val="23"/>
  </w:num>
  <w:num w:numId="10" w16cid:durableId="249855869">
    <w:abstractNumId w:val="8"/>
  </w:num>
  <w:num w:numId="11" w16cid:durableId="140344335">
    <w:abstractNumId w:val="11"/>
  </w:num>
  <w:num w:numId="12" w16cid:durableId="1960256046">
    <w:abstractNumId w:val="26"/>
  </w:num>
  <w:num w:numId="13" w16cid:durableId="1237282900">
    <w:abstractNumId w:val="9"/>
  </w:num>
  <w:num w:numId="14" w16cid:durableId="559249246">
    <w:abstractNumId w:val="10"/>
  </w:num>
  <w:num w:numId="15" w16cid:durableId="1936938111">
    <w:abstractNumId w:val="22"/>
  </w:num>
  <w:num w:numId="16" w16cid:durableId="550505479">
    <w:abstractNumId w:val="1"/>
  </w:num>
  <w:num w:numId="17" w16cid:durableId="911160765">
    <w:abstractNumId w:val="4"/>
  </w:num>
  <w:num w:numId="18" w16cid:durableId="338578028">
    <w:abstractNumId w:val="7"/>
  </w:num>
  <w:num w:numId="19" w16cid:durableId="897518471">
    <w:abstractNumId w:val="5"/>
  </w:num>
  <w:num w:numId="20" w16cid:durableId="102043111">
    <w:abstractNumId w:val="25"/>
  </w:num>
  <w:num w:numId="21" w16cid:durableId="2100328944">
    <w:abstractNumId w:val="6"/>
  </w:num>
  <w:num w:numId="22" w16cid:durableId="1034501534">
    <w:abstractNumId w:val="6"/>
    <w:lvlOverride w:ilvl="1">
      <w:lvl w:ilvl="1">
        <w:numFmt w:val="bullet"/>
        <w:lvlText w:val=""/>
        <w:lvlJc w:val="left"/>
        <w:pPr>
          <w:tabs>
            <w:tab w:val="num" w:pos="1440"/>
          </w:tabs>
          <w:ind w:left="1440" w:hanging="360"/>
        </w:pPr>
        <w:rPr>
          <w:rFonts w:ascii="Symbol" w:hAnsi="Symbol" w:hint="default"/>
          <w:sz w:val="20"/>
        </w:rPr>
      </w:lvl>
    </w:lvlOverride>
  </w:num>
  <w:num w:numId="23" w16cid:durableId="282811010">
    <w:abstractNumId w:val="13"/>
  </w:num>
  <w:num w:numId="24" w16cid:durableId="1121919319">
    <w:abstractNumId w:val="20"/>
  </w:num>
  <w:num w:numId="25" w16cid:durableId="57441584">
    <w:abstractNumId w:val="18"/>
  </w:num>
  <w:num w:numId="26" w16cid:durableId="1192840372">
    <w:abstractNumId w:val="24"/>
  </w:num>
  <w:num w:numId="27" w16cid:durableId="1661732292">
    <w:abstractNumId w:val="19"/>
  </w:num>
  <w:num w:numId="28" w16cid:durableId="1373925170">
    <w:abstractNumId w:val="14"/>
  </w:num>
  <w:num w:numId="29" w16cid:durableId="487213335">
    <w:abstractNumId w:val="17"/>
  </w:num>
  <w:num w:numId="30" w16cid:durableId="154062899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0991"/>
    <w:rsid w:val="00000BA3"/>
    <w:rsid w:val="00000F20"/>
    <w:rsid w:val="000010EA"/>
    <w:rsid w:val="00001472"/>
    <w:rsid w:val="000018AA"/>
    <w:rsid w:val="00001DB8"/>
    <w:rsid w:val="00001FBB"/>
    <w:rsid w:val="00002FC0"/>
    <w:rsid w:val="000031E4"/>
    <w:rsid w:val="000040F0"/>
    <w:rsid w:val="0000435F"/>
    <w:rsid w:val="00004D90"/>
    <w:rsid w:val="00004F9C"/>
    <w:rsid w:val="0000508B"/>
    <w:rsid w:val="000052C5"/>
    <w:rsid w:val="00005785"/>
    <w:rsid w:val="0000592B"/>
    <w:rsid w:val="00006197"/>
    <w:rsid w:val="00006881"/>
    <w:rsid w:val="00006931"/>
    <w:rsid w:val="00006B5B"/>
    <w:rsid w:val="00006CF4"/>
    <w:rsid w:val="00007046"/>
    <w:rsid w:val="00007404"/>
    <w:rsid w:val="00007943"/>
    <w:rsid w:val="00007B83"/>
    <w:rsid w:val="00007FD2"/>
    <w:rsid w:val="00010028"/>
    <w:rsid w:val="000100DB"/>
    <w:rsid w:val="000107A6"/>
    <w:rsid w:val="00010BB5"/>
    <w:rsid w:val="00010FB9"/>
    <w:rsid w:val="000110C4"/>
    <w:rsid w:val="000116D3"/>
    <w:rsid w:val="00011C87"/>
    <w:rsid w:val="00011D19"/>
    <w:rsid w:val="00011D8B"/>
    <w:rsid w:val="00012F2D"/>
    <w:rsid w:val="00013381"/>
    <w:rsid w:val="0001392C"/>
    <w:rsid w:val="0001398C"/>
    <w:rsid w:val="000139E7"/>
    <w:rsid w:val="000139E9"/>
    <w:rsid w:val="00013AB3"/>
    <w:rsid w:val="00013C7D"/>
    <w:rsid w:val="00013DF2"/>
    <w:rsid w:val="00013E01"/>
    <w:rsid w:val="00013F06"/>
    <w:rsid w:val="00013FB3"/>
    <w:rsid w:val="000140E2"/>
    <w:rsid w:val="00014363"/>
    <w:rsid w:val="0001479B"/>
    <w:rsid w:val="00014C7C"/>
    <w:rsid w:val="00014D75"/>
    <w:rsid w:val="00014EAD"/>
    <w:rsid w:val="00014F66"/>
    <w:rsid w:val="00015231"/>
    <w:rsid w:val="000158DA"/>
    <w:rsid w:val="00015F7B"/>
    <w:rsid w:val="00016162"/>
    <w:rsid w:val="000164F1"/>
    <w:rsid w:val="00016781"/>
    <w:rsid w:val="00016E26"/>
    <w:rsid w:val="000170E9"/>
    <w:rsid w:val="000171EA"/>
    <w:rsid w:val="00017203"/>
    <w:rsid w:val="000175BF"/>
    <w:rsid w:val="00017AFE"/>
    <w:rsid w:val="00020AEB"/>
    <w:rsid w:val="00020CB1"/>
    <w:rsid w:val="00020FD4"/>
    <w:rsid w:val="000211EF"/>
    <w:rsid w:val="00021670"/>
    <w:rsid w:val="00021D11"/>
    <w:rsid w:val="00021D73"/>
    <w:rsid w:val="00022228"/>
    <w:rsid w:val="000227D4"/>
    <w:rsid w:val="000229B4"/>
    <w:rsid w:val="00022CAE"/>
    <w:rsid w:val="0002304B"/>
    <w:rsid w:val="000237ED"/>
    <w:rsid w:val="00023910"/>
    <w:rsid w:val="00023BA6"/>
    <w:rsid w:val="00023FB9"/>
    <w:rsid w:val="00024521"/>
    <w:rsid w:val="0002457D"/>
    <w:rsid w:val="000247FF"/>
    <w:rsid w:val="00024A88"/>
    <w:rsid w:val="00024C53"/>
    <w:rsid w:val="00024CC3"/>
    <w:rsid w:val="00024FB4"/>
    <w:rsid w:val="00025222"/>
    <w:rsid w:val="000253A4"/>
    <w:rsid w:val="000254DD"/>
    <w:rsid w:val="00025CE7"/>
    <w:rsid w:val="0002616B"/>
    <w:rsid w:val="0002648B"/>
    <w:rsid w:val="00027097"/>
    <w:rsid w:val="00027852"/>
    <w:rsid w:val="00027B7A"/>
    <w:rsid w:val="00030190"/>
    <w:rsid w:val="00030391"/>
    <w:rsid w:val="00030471"/>
    <w:rsid w:val="00030CE7"/>
    <w:rsid w:val="00031911"/>
    <w:rsid w:val="00032257"/>
    <w:rsid w:val="000328E1"/>
    <w:rsid w:val="00033050"/>
    <w:rsid w:val="000331CB"/>
    <w:rsid w:val="000336F4"/>
    <w:rsid w:val="000339CA"/>
    <w:rsid w:val="00033F72"/>
    <w:rsid w:val="000341CB"/>
    <w:rsid w:val="00034567"/>
    <w:rsid w:val="000347D9"/>
    <w:rsid w:val="00034D18"/>
    <w:rsid w:val="000352E3"/>
    <w:rsid w:val="00035D71"/>
    <w:rsid w:val="00035D77"/>
    <w:rsid w:val="00036147"/>
    <w:rsid w:val="000361FF"/>
    <w:rsid w:val="00037132"/>
    <w:rsid w:val="00037679"/>
    <w:rsid w:val="00037750"/>
    <w:rsid w:val="00037963"/>
    <w:rsid w:val="00040741"/>
    <w:rsid w:val="00040A9C"/>
    <w:rsid w:val="00040F16"/>
    <w:rsid w:val="00041853"/>
    <w:rsid w:val="00041940"/>
    <w:rsid w:val="000419BE"/>
    <w:rsid w:val="00042133"/>
    <w:rsid w:val="00042564"/>
    <w:rsid w:val="000428C3"/>
    <w:rsid w:val="00042D40"/>
    <w:rsid w:val="000430FF"/>
    <w:rsid w:val="00043446"/>
    <w:rsid w:val="00043E48"/>
    <w:rsid w:val="00043F75"/>
    <w:rsid w:val="000443F1"/>
    <w:rsid w:val="00044562"/>
    <w:rsid w:val="00045109"/>
    <w:rsid w:val="000456E2"/>
    <w:rsid w:val="00045799"/>
    <w:rsid w:val="00045AC5"/>
    <w:rsid w:val="00045C7E"/>
    <w:rsid w:val="000462FC"/>
    <w:rsid w:val="0004669C"/>
    <w:rsid w:val="0004678E"/>
    <w:rsid w:val="00046BDA"/>
    <w:rsid w:val="00046EE2"/>
    <w:rsid w:val="00047197"/>
    <w:rsid w:val="000473B2"/>
    <w:rsid w:val="000475A7"/>
    <w:rsid w:val="0004776D"/>
    <w:rsid w:val="00047861"/>
    <w:rsid w:val="00047B5A"/>
    <w:rsid w:val="00047B65"/>
    <w:rsid w:val="00047F78"/>
    <w:rsid w:val="00050663"/>
    <w:rsid w:val="00050D01"/>
    <w:rsid w:val="00050DC4"/>
    <w:rsid w:val="00050E22"/>
    <w:rsid w:val="00051544"/>
    <w:rsid w:val="00051B31"/>
    <w:rsid w:val="00051BC2"/>
    <w:rsid w:val="00051BC5"/>
    <w:rsid w:val="00051E81"/>
    <w:rsid w:val="00051F79"/>
    <w:rsid w:val="0005259D"/>
    <w:rsid w:val="000529FB"/>
    <w:rsid w:val="00052AC0"/>
    <w:rsid w:val="00052B4E"/>
    <w:rsid w:val="00052B6C"/>
    <w:rsid w:val="00052F84"/>
    <w:rsid w:val="00053031"/>
    <w:rsid w:val="00053435"/>
    <w:rsid w:val="00053440"/>
    <w:rsid w:val="0005344D"/>
    <w:rsid w:val="000535F8"/>
    <w:rsid w:val="000537D3"/>
    <w:rsid w:val="00053A8E"/>
    <w:rsid w:val="00053FF9"/>
    <w:rsid w:val="00054382"/>
    <w:rsid w:val="000544D0"/>
    <w:rsid w:val="000545F0"/>
    <w:rsid w:val="00054996"/>
    <w:rsid w:val="00054A3F"/>
    <w:rsid w:val="00054D72"/>
    <w:rsid w:val="000550B4"/>
    <w:rsid w:val="00055360"/>
    <w:rsid w:val="000553DF"/>
    <w:rsid w:val="0005545E"/>
    <w:rsid w:val="00055603"/>
    <w:rsid w:val="000560E5"/>
    <w:rsid w:val="00056189"/>
    <w:rsid w:val="0005677D"/>
    <w:rsid w:val="0005692D"/>
    <w:rsid w:val="0005698D"/>
    <w:rsid w:val="000570C0"/>
    <w:rsid w:val="000573A0"/>
    <w:rsid w:val="000578CD"/>
    <w:rsid w:val="00057907"/>
    <w:rsid w:val="0005794B"/>
    <w:rsid w:val="00057A88"/>
    <w:rsid w:val="00057FC0"/>
    <w:rsid w:val="00060229"/>
    <w:rsid w:val="0006050C"/>
    <w:rsid w:val="00060542"/>
    <w:rsid w:val="00060863"/>
    <w:rsid w:val="00060A8B"/>
    <w:rsid w:val="00060C20"/>
    <w:rsid w:val="0006122F"/>
    <w:rsid w:val="00061610"/>
    <w:rsid w:val="00061FE6"/>
    <w:rsid w:val="00062239"/>
    <w:rsid w:val="000627C5"/>
    <w:rsid w:val="00062ACA"/>
    <w:rsid w:val="00062AD9"/>
    <w:rsid w:val="00062B2C"/>
    <w:rsid w:val="00062EC9"/>
    <w:rsid w:val="0006306F"/>
    <w:rsid w:val="0006373C"/>
    <w:rsid w:val="000637E3"/>
    <w:rsid w:val="00063815"/>
    <w:rsid w:val="0006391D"/>
    <w:rsid w:val="00063CE7"/>
    <w:rsid w:val="00064006"/>
    <w:rsid w:val="00064113"/>
    <w:rsid w:val="000641CA"/>
    <w:rsid w:val="00064BB0"/>
    <w:rsid w:val="00065125"/>
    <w:rsid w:val="00065178"/>
    <w:rsid w:val="00065231"/>
    <w:rsid w:val="00065341"/>
    <w:rsid w:val="0006535A"/>
    <w:rsid w:val="00065386"/>
    <w:rsid w:val="00065392"/>
    <w:rsid w:val="00066294"/>
    <w:rsid w:val="000665C2"/>
    <w:rsid w:val="000666B3"/>
    <w:rsid w:val="000666CF"/>
    <w:rsid w:val="0006699B"/>
    <w:rsid w:val="00066C25"/>
    <w:rsid w:val="0006753B"/>
    <w:rsid w:val="00067730"/>
    <w:rsid w:val="00067828"/>
    <w:rsid w:val="00067ADD"/>
    <w:rsid w:val="00067F8B"/>
    <w:rsid w:val="000700B9"/>
    <w:rsid w:val="000704BB"/>
    <w:rsid w:val="0007134B"/>
    <w:rsid w:val="00071A9A"/>
    <w:rsid w:val="00071B96"/>
    <w:rsid w:val="00071F5E"/>
    <w:rsid w:val="00072060"/>
    <w:rsid w:val="000726E1"/>
    <w:rsid w:val="00072CB1"/>
    <w:rsid w:val="00073197"/>
    <w:rsid w:val="00073516"/>
    <w:rsid w:val="00074228"/>
    <w:rsid w:val="0007433B"/>
    <w:rsid w:val="000745B0"/>
    <w:rsid w:val="00074797"/>
    <w:rsid w:val="00074E57"/>
    <w:rsid w:val="00075191"/>
    <w:rsid w:val="000752C0"/>
    <w:rsid w:val="000756DB"/>
    <w:rsid w:val="00075955"/>
    <w:rsid w:val="000764A8"/>
    <w:rsid w:val="000765C1"/>
    <w:rsid w:val="00076636"/>
    <w:rsid w:val="00076F54"/>
    <w:rsid w:val="000772E7"/>
    <w:rsid w:val="00077784"/>
    <w:rsid w:val="000779F0"/>
    <w:rsid w:val="00077B1A"/>
    <w:rsid w:val="00077CE1"/>
    <w:rsid w:val="00077DCE"/>
    <w:rsid w:val="00077F74"/>
    <w:rsid w:val="00080496"/>
    <w:rsid w:val="0008074B"/>
    <w:rsid w:val="00080846"/>
    <w:rsid w:val="0008125E"/>
    <w:rsid w:val="00081327"/>
    <w:rsid w:val="00081B11"/>
    <w:rsid w:val="00081BC5"/>
    <w:rsid w:val="00081C87"/>
    <w:rsid w:val="00081ECD"/>
    <w:rsid w:val="00081F5A"/>
    <w:rsid w:val="000823C4"/>
    <w:rsid w:val="00082667"/>
    <w:rsid w:val="0008302F"/>
    <w:rsid w:val="0008350E"/>
    <w:rsid w:val="00083650"/>
    <w:rsid w:val="000837B1"/>
    <w:rsid w:val="000839FE"/>
    <w:rsid w:val="00083CD7"/>
    <w:rsid w:val="00083E83"/>
    <w:rsid w:val="000847C5"/>
    <w:rsid w:val="000848BD"/>
    <w:rsid w:val="000849AB"/>
    <w:rsid w:val="00084A64"/>
    <w:rsid w:val="00084CBD"/>
    <w:rsid w:val="000851CC"/>
    <w:rsid w:val="00085406"/>
    <w:rsid w:val="00085891"/>
    <w:rsid w:val="00085D42"/>
    <w:rsid w:val="00086642"/>
    <w:rsid w:val="00086810"/>
    <w:rsid w:val="0008688C"/>
    <w:rsid w:val="00086A1B"/>
    <w:rsid w:val="00086D2A"/>
    <w:rsid w:val="00087069"/>
    <w:rsid w:val="0008714A"/>
    <w:rsid w:val="00087165"/>
    <w:rsid w:val="0008758D"/>
    <w:rsid w:val="00087600"/>
    <w:rsid w:val="0008798B"/>
    <w:rsid w:val="00087E8D"/>
    <w:rsid w:val="000903D3"/>
    <w:rsid w:val="0009087C"/>
    <w:rsid w:val="0009092E"/>
    <w:rsid w:val="00090DC9"/>
    <w:rsid w:val="00090FCE"/>
    <w:rsid w:val="00090FF4"/>
    <w:rsid w:val="00091182"/>
    <w:rsid w:val="0009157A"/>
    <w:rsid w:val="000916EA"/>
    <w:rsid w:val="00091A0A"/>
    <w:rsid w:val="00091B1A"/>
    <w:rsid w:val="00091C5D"/>
    <w:rsid w:val="00091CE8"/>
    <w:rsid w:val="00092068"/>
    <w:rsid w:val="0009260F"/>
    <w:rsid w:val="00092651"/>
    <w:rsid w:val="000926B1"/>
    <w:rsid w:val="000928B7"/>
    <w:rsid w:val="00092E2C"/>
    <w:rsid w:val="00093046"/>
    <w:rsid w:val="000931A8"/>
    <w:rsid w:val="00093950"/>
    <w:rsid w:val="0009398A"/>
    <w:rsid w:val="0009413A"/>
    <w:rsid w:val="00094221"/>
    <w:rsid w:val="0009481A"/>
    <w:rsid w:val="00094AA8"/>
    <w:rsid w:val="00094B71"/>
    <w:rsid w:val="00094E9C"/>
    <w:rsid w:val="00094FEF"/>
    <w:rsid w:val="00095865"/>
    <w:rsid w:val="00095B52"/>
    <w:rsid w:val="00095DF0"/>
    <w:rsid w:val="00095E64"/>
    <w:rsid w:val="00096163"/>
    <w:rsid w:val="000961BB"/>
    <w:rsid w:val="000966C8"/>
    <w:rsid w:val="0009692F"/>
    <w:rsid w:val="00096CF4"/>
    <w:rsid w:val="00097BFC"/>
    <w:rsid w:val="000A0426"/>
    <w:rsid w:val="000A0BAA"/>
    <w:rsid w:val="000A1807"/>
    <w:rsid w:val="000A1910"/>
    <w:rsid w:val="000A1BC6"/>
    <w:rsid w:val="000A1D2F"/>
    <w:rsid w:val="000A2678"/>
    <w:rsid w:val="000A2779"/>
    <w:rsid w:val="000A2ADF"/>
    <w:rsid w:val="000A3236"/>
    <w:rsid w:val="000A33F5"/>
    <w:rsid w:val="000A356D"/>
    <w:rsid w:val="000A3FD5"/>
    <w:rsid w:val="000A4036"/>
    <w:rsid w:val="000A4366"/>
    <w:rsid w:val="000A4420"/>
    <w:rsid w:val="000A4CFF"/>
    <w:rsid w:val="000A5146"/>
    <w:rsid w:val="000A6644"/>
    <w:rsid w:val="000A689A"/>
    <w:rsid w:val="000A76A1"/>
    <w:rsid w:val="000A7BB0"/>
    <w:rsid w:val="000A7C23"/>
    <w:rsid w:val="000A7C8C"/>
    <w:rsid w:val="000A7EF6"/>
    <w:rsid w:val="000B003E"/>
    <w:rsid w:val="000B0292"/>
    <w:rsid w:val="000B036A"/>
    <w:rsid w:val="000B03EA"/>
    <w:rsid w:val="000B053A"/>
    <w:rsid w:val="000B057D"/>
    <w:rsid w:val="000B07CE"/>
    <w:rsid w:val="000B0D7C"/>
    <w:rsid w:val="000B1812"/>
    <w:rsid w:val="000B1AFB"/>
    <w:rsid w:val="000B1E80"/>
    <w:rsid w:val="000B1E90"/>
    <w:rsid w:val="000B204F"/>
    <w:rsid w:val="000B23B4"/>
    <w:rsid w:val="000B24B6"/>
    <w:rsid w:val="000B2AF1"/>
    <w:rsid w:val="000B2E62"/>
    <w:rsid w:val="000B308C"/>
    <w:rsid w:val="000B321A"/>
    <w:rsid w:val="000B3260"/>
    <w:rsid w:val="000B32E8"/>
    <w:rsid w:val="000B3461"/>
    <w:rsid w:val="000B3F53"/>
    <w:rsid w:val="000B42AA"/>
    <w:rsid w:val="000B4717"/>
    <w:rsid w:val="000B4AF8"/>
    <w:rsid w:val="000B5099"/>
    <w:rsid w:val="000B53DF"/>
    <w:rsid w:val="000B646B"/>
    <w:rsid w:val="000B64E5"/>
    <w:rsid w:val="000B745D"/>
    <w:rsid w:val="000B7520"/>
    <w:rsid w:val="000B7858"/>
    <w:rsid w:val="000B79E8"/>
    <w:rsid w:val="000B7A6A"/>
    <w:rsid w:val="000B7C1D"/>
    <w:rsid w:val="000B7D9F"/>
    <w:rsid w:val="000C0BA9"/>
    <w:rsid w:val="000C0D1F"/>
    <w:rsid w:val="000C0FDB"/>
    <w:rsid w:val="000C1367"/>
    <w:rsid w:val="000C140E"/>
    <w:rsid w:val="000C16E0"/>
    <w:rsid w:val="000C1800"/>
    <w:rsid w:val="000C1B27"/>
    <w:rsid w:val="000C1B46"/>
    <w:rsid w:val="000C1B8A"/>
    <w:rsid w:val="000C1B98"/>
    <w:rsid w:val="000C2039"/>
    <w:rsid w:val="000C25A5"/>
    <w:rsid w:val="000C2736"/>
    <w:rsid w:val="000C2A47"/>
    <w:rsid w:val="000C2C1B"/>
    <w:rsid w:val="000C2C89"/>
    <w:rsid w:val="000C2CCA"/>
    <w:rsid w:val="000C3613"/>
    <w:rsid w:val="000C3F81"/>
    <w:rsid w:val="000C410E"/>
    <w:rsid w:val="000C413A"/>
    <w:rsid w:val="000C4264"/>
    <w:rsid w:val="000C462F"/>
    <w:rsid w:val="000C4D9F"/>
    <w:rsid w:val="000C4F5A"/>
    <w:rsid w:val="000C518D"/>
    <w:rsid w:val="000C56E2"/>
    <w:rsid w:val="000C588C"/>
    <w:rsid w:val="000C59AF"/>
    <w:rsid w:val="000C5AEA"/>
    <w:rsid w:val="000C5CAA"/>
    <w:rsid w:val="000C6C0E"/>
    <w:rsid w:val="000C6D19"/>
    <w:rsid w:val="000C71EB"/>
    <w:rsid w:val="000C7A4A"/>
    <w:rsid w:val="000C7A9A"/>
    <w:rsid w:val="000C7D14"/>
    <w:rsid w:val="000C7E7E"/>
    <w:rsid w:val="000D0296"/>
    <w:rsid w:val="000D045A"/>
    <w:rsid w:val="000D088D"/>
    <w:rsid w:val="000D0893"/>
    <w:rsid w:val="000D08AB"/>
    <w:rsid w:val="000D0AF5"/>
    <w:rsid w:val="000D0E41"/>
    <w:rsid w:val="000D10D9"/>
    <w:rsid w:val="000D129D"/>
    <w:rsid w:val="000D1608"/>
    <w:rsid w:val="000D1939"/>
    <w:rsid w:val="000D1B67"/>
    <w:rsid w:val="000D1EDE"/>
    <w:rsid w:val="000D2010"/>
    <w:rsid w:val="000D2769"/>
    <w:rsid w:val="000D360E"/>
    <w:rsid w:val="000D3933"/>
    <w:rsid w:val="000D3A13"/>
    <w:rsid w:val="000D3A82"/>
    <w:rsid w:val="000D3B87"/>
    <w:rsid w:val="000D400E"/>
    <w:rsid w:val="000D4043"/>
    <w:rsid w:val="000D41EB"/>
    <w:rsid w:val="000D49ED"/>
    <w:rsid w:val="000D50D0"/>
    <w:rsid w:val="000D54C0"/>
    <w:rsid w:val="000D5EF5"/>
    <w:rsid w:val="000D6375"/>
    <w:rsid w:val="000D66D5"/>
    <w:rsid w:val="000D6E3B"/>
    <w:rsid w:val="000D7132"/>
    <w:rsid w:val="000D718E"/>
    <w:rsid w:val="000D7238"/>
    <w:rsid w:val="000D72C8"/>
    <w:rsid w:val="000D7921"/>
    <w:rsid w:val="000D793B"/>
    <w:rsid w:val="000D7D51"/>
    <w:rsid w:val="000D7E32"/>
    <w:rsid w:val="000E00BB"/>
    <w:rsid w:val="000E075C"/>
    <w:rsid w:val="000E0D29"/>
    <w:rsid w:val="000E0E8E"/>
    <w:rsid w:val="000E0EA7"/>
    <w:rsid w:val="000E0EC1"/>
    <w:rsid w:val="000E15F6"/>
    <w:rsid w:val="000E1674"/>
    <w:rsid w:val="000E179F"/>
    <w:rsid w:val="000E18D1"/>
    <w:rsid w:val="000E1940"/>
    <w:rsid w:val="000E1D21"/>
    <w:rsid w:val="000E290B"/>
    <w:rsid w:val="000E2B36"/>
    <w:rsid w:val="000E2EEF"/>
    <w:rsid w:val="000E35AB"/>
    <w:rsid w:val="000E3616"/>
    <w:rsid w:val="000E372E"/>
    <w:rsid w:val="000E3EE8"/>
    <w:rsid w:val="000E42CF"/>
    <w:rsid w:val="000E4BC8"/>
    <w:rsid w:val="000E5767"/>
    <w:rsid w:val="000E5EBF"/>
    <w:rsid w:val="000E6811"/>
    <w:rsid w:val="000E69DD"/>
    <w:rsid w:val="000E6AD0"/>
    <w:rsid w:val="000E7237"/>
    <w:rsid w:val="000E76C1"/>
    <w:rsid w:val="000ED1C9"/>
    <w:rsid w:val="000F00AA"/>
    <w:rsid w:val="000F053C"/>
    <w:rsid w:val="000F060E"/>
    <w:rsid w:val="000F06C6"/>
    <w:rsid w:val="000F06F3"/>
    <w:rsid w:val="000F0761"/>
    <w:rsid w:val="000F07A7"/>
    <w:rsid w:val="000F104B"/>
    <w:rsid w:val="000F135F"/>
    <w:rsid w:val="000F172D"/>
    <w:rsid w:val="000F17B0"/>
    <w:rsid w:val="000F17B1"/>
    <w:rsid w:val="000F19D9"/>
    <w:rsid w:val="000F2050"/>
    <w:rsid w:val="000F2064"/>
    <w:rsid w:val="000F229B"/>
    <w:rsid w:val="000F25AE"/>
    <w:rsid w:val="000F2860"/>
    <w:rsid w:val="000F2C4B"/>
    <w:rsid w:val="000F30F8"/>
    <w:rsid w:val="000F31D2"/>
    <w:rsid w:val="000F3927"/>
    <w:rsid w:val="000F421B"/>
    <w:rsid w:val="000F42CC"/>
    <w:rsid w:val="000F486A"/>
    <w:rsid w:val="000F4963"/>
    <w:rsid w:val="000F4C69"/>
    <w:rsid w:val="000F4D8F"/>
    <w:rsid w:val="000F50C1"/>
    <w:rsid w:val="000F56D2"/>
    <w:rsid w:val="000F5EFF"/>
    <w:rsid w:val="000F5F2E"/>
    <w:rsid w:val="000F66E7"/>
    <w:rsid w:val="000F6BCC"/>
    <w:rsid w:val="000F7271"/>
    <w:rsid w:val="000F770A"/>
    <w:rsid w:val="000F7858"/>
    <w:rsid w:val="000F789F"/>
    <w:rsid w:val="000F7D5B"/>
    <w:rsid w:val="000F7E0E"/>
    <w:rsid w:val="00100312"/>
    <w:rsid w:val="00100317"/>
    <w:rsid w:val="00100378"/>
    <w:rsid w:val="001004AA"/>
    <w:rsid w:val="001008F7"/>
    <w:rsid w:val="00100C7B"/>
    <w:rsid w:val="00100FC4"/>
    <w:rsid w:val="001016C4"/>
    <w:rsid w:val="0010194E"/>
    <w:rsid w:val="00101E9D"/>
    <w:rsid w:val="00101F92"/>
    <w:rsid w:val="00101FA1"/>
    <w:rsid w:val="00102065"/>
    <w:rsid w:val="00102519"/>
    <w:rsid w:val="001025B7"/>
    <w:rsid w:val="0010261C"/>
    <w:rsid w:val="00102FB3"/>
    <w:rsid w:val="001032C0"/>
    <w:rsid w:val="00103A3A"/>
    <w:rsid w:val="0010406B"/>
    <w:rsid w:val="0010469F"/>
    <w:rsid w:val="00104FEF"/>
    <w:rsid w:val="001053DF"/>
    <w:rsid w:val="001056CB"/>
    <w:rsid w:val="0010574F"/>
    <w:rsid w:val="00105BB2"/>
    <w:rsid w:val="00105EDC"/>
    <w:rsid w:val="00106071"/>
    <w:rsid w:val="001061F8"/>
    <w:rsid w:val="001065DB"/>
    <w:rsid w:val="0010674D"/>
    <w:rsid w:val="00106971"/>
    <w:rsid w:val="00106BA2"/>
    <w:rsid w:val="00106E25"/>
    <w:rsid w:val="00107414"/>
    <w:rsid w:val="0010788B"/>
    <w:rsid w:val="001079D6"/>
    <w:rsid w:val="00107CA9"/>
    <w:rsid w:val="00110182"/>
    <w:rsid w:val="0011058E"/>
    <w:rsid w:val="001107ED"/>
    <w:rsid w:val="001108C0"/>
    <w:rsid w:val="00110C7A"/>
    <w:rsid w:val="00110F5B"/>
    <w:rsid w:val="00111059"/>
    <w:rsid w:val="00111453"/>
    <w:rsid w:val="00111512"/>
    <w:rsid w:val="001116CA"/>
    <w:rsid w:val="001117B8"/>
    <w:rsid w:val="00112198"/>
    <w:rsid w:val="001124EC"/>
    <w:rsid w:val="001128B3"/>
    <w:rsid w:val="00112FAF"/>
    <w:rsid w:val="001130EE"/>
    <w:rsid w:val="0011381F"/>
    <w:rsid w:val="00113936"/>
    <w:rsid w:val="00113E14"/>
    <w:rsid w:val="001147D2"/>
    <w:rsid w:val="001147E1"/>
    <w:rsid w:val="00114A49"/>
    <w:rsid w:val="00114D93"/>
    <w:rsid w:val="00115D9B"/>
    <w:rsid w:val="00115F75"/>
    <w:rsid w:val="001165AA"/>
    <w:rsid w:val="00116D01"/>
    <w:rsid w:val="00116E95"/>
    <w:rsid w:val="0011738B"/>
    <w:rsid w:val="001178D3"/>
    <w:rsid w:val="001179B5"/>
    <w:rsid w:val="00117ADF"/>
    <w:rsid w:val="00117C9F"/>
    <w:rsid w:val="00117CE9"/>
    <w:rsid w:val="00120071"/>
    <w:rsid w:val="00120213"/>
    <w:rsid w:val="001202AC"/>
    <w:rsid w:val="00120606"/>
    <w:rsid w:val="0012070E"/>
    <w:rsid w:val="00120E00"/>
    <w:rsid w:val="00120E8D"/>
    <w:rsid w:val="00120F52"/>
    <w:rsid w:val="001214F0"/>
    <w:rsid w:val="001217BA"/>
    <w:rsid w:val="00121B0D"/>
    <w:rsid w:val="00122356"/>
    <w:rsid w:val="001223EA"/>
    <w:rsid w:val="00122810"/>
    <w:rsid w:val="00122D0C"/>
    <w:rsid w:val="00122DB4"/>
    <w:rsid w:val="001234BA"/>
    <w:rsid w:val="001238D1"/>
    <w:rsid w:val="00124326"/>
    <w:rsid w:val="0012442A"/>
    <w:rsid w:val="00124A70"/>
    <w:rsid w:val="00124DAF"/>
    <w:rsid w:val="00124F29"/>
    <w:rsid w:val="00125171"/>
    <w:rsid w:val="00125281"/>
    <w:rsid w:val="0012567B"/>
    <w:rsid w:val="00125684"/>
    <w:rsid w:val="0012600E"/>
    <w:rsid w:val="00126080"/>
    <w:rsid w:val="0012689C"/>
    <w:rsid w:val="001269E2"/>
    <w:rsid w:val="00126C36"/>
    <w:rsid w:val="00126E05"/>
    <w:rsid w:val="00126F34"/>
    <w:rsid w:val="001270C2"/>
    <w:rsid w:val="00127289"/>
    <w:rsid w:val="001273E3"/>
    <w:rsid w:val="0012778E"/>
    <w:rsid w:val="001278C0"/>
    <w:rsid w:val="00127A56"/>
    <w:rsid w:val="00127A70"/>
    <w:rsid w:val="00127B89"/>
    <w:rsid w:val="00127BF8"/>
    <w:rsid w:val="001301CF"/>
    <w:rsid w:val="0013036D"/>
    <w:rsid w:val="001306B0"/>
    <w:rsid w:val="00130DA8"/>
    <w:rsid w:val="00131379"/>
    <w:rsid w:val="001313CA"/>
    <w:rsid w:val="00131492"/>
    <w:rsid w:val="00131572"/>
    <w:rsid w:val="001315B0"/>
    <w:rsid w:val="00131B98"/>
    <w:rsid w:val="00131EEC"/>
    <w:rsid w:val="001323DA"/>
    <w:rsid w:val="0013245C"/>
    <w:rsid w:val="00132675"/>
    <w:rsid w:val="001329EC"/>
    <w:rsid w:val="00132BDF"/>
    <w:rsid w:val="0013318F"/>
    <w:rsid w:val="001338D5"/>
    <w:rsid w:val="00133939"/>
    <w:rsid w:val="00133A8A"/>
    <w:rsid w:val="00133A9B"/>
    <w:rsid w:val="00133C8C"/>
    <w:rsid w:val="00133DB3"/>
    <w:rsid w:val="00134175"/>
    <w:rsid w:val="001345C2"/>
    <w:rsid w:val="001345FB"/>
    <w:rsid w:val="00134771"/>
    <w:rsid w:val="00134A2F"/>
    <w:rsid w:val="00134A6F"/>
    <w:rsid w:val="00134D43"/>
    <w:rsid w:val="001357F2"/>
    <w:rsid w:val="001358F2"/>
    <w:rsid w:val="0013594D"/>
    <w:rsid w:val="00135A18"/>
    <w:rsid w:val="00135C1F"/>
    <w:rsid w:val="00135C9D"/>
    <w:rsid w:val="00135E74"/>
    <w:rsid w:val="00136258"/>
    <w:rsid w:val="00136676"/>
    <w:rsid w:val="0013737A"/>
    <w:rsid w:val="00137721"/>
    <w:rsid w:val="001379D9"/>
    <w:rsid w:val="00137DE3"/>
    <w:rsid w:val="0014094B"/>
    <w:rsid w:val="00141414"/>
    <w:rsid w:val="00141814"/>
    <w:rsid w:val="00141B6C"/>
    <w:rsid w:val="00142280"/>
    <w:rsid w:val="001422EB"/>
    <w:rsid w:val="00142994"/>
    <w:rsid w:val="00142A82"/>
    <w:rsid w:val="00142F16"/>
    <w:rsid w:val="001436F9"/>
    <w:rsid w:val="001438FF"/>
    <w:rsid w:val="00143EF3"/>
    <w:rsid w:val="001441B2"/>
    <w:rsid w:val="001447AB"/>
    <w:rsid w:val="00144A2A"/>
    <w:rsid w:val="00144A62"/>
    <w:rsid w:val="0014523D"/>
    <w:rsid w:val="0014526B"/>
    <w:rsid w:val="001455F3"/>
    <w:rsid w:val="00145713"/>
    <w:rsid w:val="001458C5"/>
    <w:rsid w:val="001458C7"/>
    <w:rsid w:val="001459B1"/>
    <w:rsid w:val="00145A08"/>
    <w:rsid w:val="00146356"/>
    <w:rsid w:val="00146483"/>
    <w:rsid w:val="001466BD"/>
    <w:rsid w:val="00146916"/>
    <w:rsid w:val="00146A05"/>
    <w:rsid w:val="00146CD0"/>
    <w:rsid w:val="001478F1"/>
    <w:rsid w:val="00147B86"/>
    <w:rsid w:val="001503DD"/>
    <w:rsid w:val="00150F48"/>
    <w:rsid w:val="0015149C"/>
    <w:rsid w:val="00151ACB"/>
    <w:rsid w:val="00151AF9"/>
    <w:rsid w:val="00151CD3"/>
    <w:rsid w:val="00151E66"/>
    <w:rsid w:val="00152352"/>
    <w:rsid w:val="0015240D"/>
    <w:rsid w:val="00152417"/>
    <w:rsid w:val="0015272F"/>
    <w:rsid w:val="001534D8"/>
    <w:rsid w:val="001536C0"/>
    <w:rsid w:val="0015385C"/>
    <w:rsid w:val="00153AE6"/>
    <w:rsid w:val="001542D1"/>
    <w:rsid w:val="0015474D"/>
    <w:rsid w:val="00154997"/>
    <w:rsid w:val="00154BA4"/>
    <w:rsid w:val="00154E5C"/>
    <w:rsid w:val="0015501B"/>
    <w:rsid w:val="001552D1"/>
    <w:rsid w:val="00155811"/>
    <w:rsid w:val="00155987"/>
    <w:rsid w:val="00155FF9"/>
    <w:rsid w:val="00156445"/>
    <w:rsid w:val="001573F7"/>
    <w:rsid w:val="0015767E"/>
    <w:rsid w:val="00157DDA"/>
    <w:rsid w:val="00157DEF"/>
    <w:rsid w:val="001604D1"/>
    <w:rsid w:val="001606B0"/>
    <w:rsid w:val="001610F6"/>
    <w:rsid w:val="0016126F"/>
    <w:rsid w:val="00161273"/>
    <w:rsid w:val="00161728"/>
    <w:rsid w:val="00161A1E"/>
    <w:rsid w:val="0016331D"/>
    <w:rsid w:val="00163A5D"/>
    <w:rsid w:val="00164499"/>
    <w:rsid w:val="001644D2"/>
    <w:rsid w:val="00164537"/>
    <w:rsid w:val="0016493F"/>
    <w:rsid w:val="00164A56"/>
    <w:rsid w:val="00164A8A"/>
    <w:rsid w:val="00164AAA"/>
    <w:rsid w:val="00164EC4"/>
    <w:rsid w:val="0016527A"/>
    <w:rsid w:val="00165427"/>
    <w:rsid w:val="001657F8"/>
    <w:rsid w:val="00165EA2"/>
    <w:rsid w:val="00165FDB"/>
    <w:rsid w:val="001663BD"/>
    <w:rsid w:val="00166E32"/>
    <w:rsid w:val="00167075"/>
    <w:rsid w:val="00167425"/>
    <w:rsid w:val="00167763"/>
    <w:rsid w:val="001677FB"/>
    <w:rsid w:val="00167BB3"/>
    <w:rsid w:val="00167C78"/>
    <w:rsid w:val="00167C9C"/>
    <w:rsid w:val="00167D24"/>
    <w:rsid w:val="00167E25"/>
    <w:rsid w:val="00167FEA"/>
    <w:rsid w:val="0017053D"/>
    <w:rsid w:val="0017090A"/>
    <w:rsid w:val="00170D9F"/>
    <w:rsid w:val="00170E75"/>
    <w:rsid w:val="0017166F"/>
    <w:rsid w:val="001716FA"/>
    <w:rsid w:val="00171DC1"/>
    <w:rsid w:val="00172663"/>
    <w:rsid w:val="001726CB"/>
    <w:rsid w:val="00172F69"/>
    <w:rsid w:val="00172F94"/>
    <w:rsid w:val="00173D01"/>
    <w:rsid w:val="00174129"/>
    <w:rsid w:val="001741F6"/>
    <w:rsid w:val="00174D05"/>
    <w:rsid w:val="00174D17"/>
    <w:rsid w:val="00174E15"/>
    <w:rsid w:val="00175268"/>
    <w:rsid w:val="00175389"/>
    <w:rsid w:val="00175503"/>
    <w:rsid w:val="00175B73"/>
    <w:rsid w:val="00176709"/>
    <w:rsid w:val="00176B0D"/>
    <w:rsid w:val="00176B3D"/>
    <w:rsid w:val="0017716F"/>
    <w:rsid w:val="0017791E"/>
    <w:rsid w:val="00177A83"/>
    <w:rsid w:val="00177F3E"/>
    <w:rsid w:val="00180050"/>
    <w:rsid w:val="00180150"/>
    <w:rsid w:val="00180624"/>
    <w:rsid w:val="00180724"/>
    <w:rsid w:val="0018072C"/>
    <w:rsid w:val="00180D0D"/>
    <w:rsid w:val="00181172"/>
    <w:rsid w:val="00181ADF"/>
    <w:rsid w:val="00181B15"/>
    <w:rsid w:val="00181E24"/>
    <w:rsid w:val="001826E0"/>
    <w:rsid w:val="00182814"/>
    <w:rsid w:val="00182890"/>
    <w:rsid w:val="001829CC"/>
    <w:rsid w:val="00182B91"/>
    <w:rsid w:val="00182F92"/>
    <w:rsid w:val="001832DC"/>
    <w:rsid w:val="00183852"/>
    <w:rsid w:val="00184190"/>
    <w:rsid w:val="00184424"/>
    <w:rsid w:val="0018449F"/>
    <w:rsid w:val="001846BF"/>
    <w:rsid w:val="001852F1"/>
    <w:rsid w:val="0018569C"/>
    <w:rsid w:val="00185A30"/>
    <w:rsid w:val="00185CF4"/>
    <w:rsid w:val="001862B5"/>
    <w:rsid w:val="00186327"/>
    <w:rsid w:val="001864AD"/>
    <w:rsid w:val="0018672B"/>
    <w:rsid w:val="0018781F"/>
    <w:rsid w:val="00187A05"/>
    <w:rsid w:val="001900E4"/>
    <w:rsid w:val="00190360"/>
    <w:rsid w:val="0019092F"/>
    <w:rsid w:val="0019093E"/>
    <w:rsid w:val="001909AD"/>
    <w:rsid w:val="001917DF"/>
    <w:rsid w:val="00191896"/>
    <w:rsid w:val="0019194E"/>
    <w:rsid w:val="00191C02"/>
    <w:rsid w:val="001923BF"/>
    <w:rsid w:val="00192436"/>
    <w:rsid w:val="001928DF"/>
    <w:rsid w:val="00193433"/>
    <w:rsid w:val="00193533"/>
    <w:rsid w:val="0019390C"/>
    <w:rsid w:val="00193A3C"/>
    <w:rsid w:val="00193BB9"/>
    <w:rsid w:val="00193CA7"/>
    <w:rsid w:val="00194040"/>
    <w:rsid w:val="001940C4"/>
    <w:rsid w:val="001946BF"/>
    <w:rsid w:val="0019472C"/>
    <w:rsid w:val="001947AB"/>
    <w:rsid w:val="00194AD9"/>
    <w:rsid w:val="00194CE8"/>
    <w:rsid w:val="00194E35"/>
    <w:rsid w:val="0019534D"/>
    <w:rsid w:val="00195B36"/>
    <w:rsid w:val="00195F04"/>
    <w:rsid w:val="001965B3"/>
    <w:rsid w:val="00196763"/>
    <w:rsid w:val="00196CB5"/>
    <w:rsid w:val="001971FF"/>
    <w:rsid w:val="001974A9"/>
    <w:rsid w:val="001974FD"/>
    <w:rsid w:val="00197552"/>
    <w:rsid w:val="001975DF"/>
    <w:rsid w:val="00197B77"/>
    <w:rsid w:val="00197F6A"/>
    <w:rsid w:val="001A0144"/>
    <w:rsid w:val="001A02B6"/>
    <w:rsid w:val="001A04CA"/>
    <w:rsid w:val="001A10C0"/>
    <w:rsid w:val="001A143F"/>
    <w:rsid w:val="001A150A"/>
    <w:rsid w:val="001A1857"/>
    <w:rsid w:val="001A1A2D"/>
    <w:rsid w:val="001A1A5C"/>
    <w:rsid w:val="001A1B26"/>
    <w:rsid w:val="001A1E8E"/>
    <w:rsid w:val="001A24E5"/>
    <w:rsid w:val="001A2B81"/>
    <w:rsid w:val="001A3387"/>
    <w:rsid w:val="001A33ED"/>
    <w:rsid w:val="001A357A"/>
    <w:rsid w:val="001A3647"/>
    <w:rsid w:val="001A37E9"/>
    <w:rsid w:val="001A3B43"/>
    <w:rsid w:val="001A3F69"/>
    <w:rsid w:val="001A40B5"/>
    <w:rsid w:val="001A430F"/>
    <w:rsid w:val="001A4AD1"/>
    <w:rsid w:val="001A5518"/>
    <w:rsid w:val="001A5668"/>
    <w:rsid w:val="001A5AE6"/>
    <w:rsid w:val="001A5B4A"/>
    <w:rsid w:val="001A6034"/>
    <w:rsid w:val="001A6540"/>
    <w:rsid w:val="001A6560"/>
    <w:rsid w:val="001A682B"/>
    <w:rsid w:val="001A6B08"/>
    <w:rsid w:val="001A77ED"/>
    <w:rsid w:val="001A7868"/>
    <w:rsid w:val="001A7A2C"/>
    <w:rsid w:val="001B0015"/>
    <w:rsid w:val="001B0374"/>
    <w:rsid w:val="001B0640"/>
    <w:rsid w:val="001B0F10"/>
    <w:rsid w:val="001B1156"/>
    <w:rsid w:val="001B1754"/>
    <w:rsid w:val="001B1953"/>
    <w:rsid w:val="001B1AFA"/>
    <w:rsid w:val="001B1DA0"/>
    <w:rsid w:val="001B210C"/>
    <w:rsid w:val="001B2283"/>
    <w:rsid w:val="001B272C"/>
    <w:rsid w:val="001B2764"/>
    <w:rsid w:val="001B2CE5"/>
    <w:rsid w:val="001B2E8F"/>
    <w:rsid w:val="001B32CB"/>
    <w:rsid w:val="001B335C"/>
    <w:rsid w:val="001B337C"/>
    <w:rsid w:val="001B3436"/>
    <w:rsid w:val="001B34EF"/>
    <w:rsid w:val="001B3C63"/>
    <w:rsid w:val="001B4141"/>
    <w:rsid w:val="001B4171"/>
    <w:rsid w:val="001B4244"/>
    <w:rsid w:val="001B4602"/>
    <w:rsid w:val="001B4A45"/>
    <w:rsid w:val="001B4FF7"/>
    <w:rsid w:val="001B543E"/>
    <w:rsid w:val="001B54B4"/>
    <w:rsid w:val="001B5724"/>
    <w:rsid w:val="001B5E91"/>
    <w:rsid w:val="001B5F43"/>
    <w:rsid w:val="001B6134"/>
    <w:rsid w:val="001B68AF"/>
    <w:rsid w:val="001B68B7"/>
    <w:rsid w:val="001B69B1"/>
    <w:rsid w:val="001B69C5"/>
    <w:rsid w:val="001B713F"/>
    <w:rsid w:val="001B76A6"/>
    <w:rsid w:val="001B78FD"/>
    <w:rsid w:val="001B7A2F"/>
    <w:rsid w:val="001C001E"/>
    <w:rsid w:val="001C0347"/>
    <w:rsid w:val="001C03D1"/>
    <w:rsid w:val="001C050D"/>
    <w:rsid w:val="001C0A48"/>
    <w:rsid w:val="001C0B47"/>
    <w:rsid w:val="001C0CCE"/>
    <w:rsid w:val="001C0EE7"/>
    <w:rsid w:val="001C133F"/>
    <w:rsid w:val="001C14DF"/>
    <w:rsid w:val="001C1635"/>
    <w:rsid w:val="001C19F3"/>
    <w:rsid w:val="001C24DB"/>
    <w:rsid w:val="001C2AEF"/>
    <w:rsid w:val="001C2C18"/>
    <w:rsid w:val="001C3201"/>
    <w:rsid w:val="001C3B6C"/>
    <w:rsid w:val="001C42A7"/>
    <w:rsid w:val="001C445E"/>
    <w:rsid w:val="001C46A0"/>
    <w:rsid w:val="001C49AE"/>
    <w:rsid w:val="001C4C9F"/>
    <w:rsid w:val="001C4CF3"/>
    <w:rsid w:val="001C514B"/>
    <w:rsid w:val="001C536A"/>
    <w:rsid w:val="001C5A40"/>
    <w:rsid w:val="001C616D"/>
    <w:rsid w:val="001C62A1"/>
    <w:rsid w:val="001C6607"/>
    <w:rsid w:val="001C68B9"/>
    <w:rsid w:val="001C6902"/>
    <w:rsid w:val="001C6BDD"/>
    <w:rsid w:val="001C7240"/>
    <w:rsid w:val="001C7337"/>
    <w:rsid w:val="001C77C7"/>
    <w:rsid w:val="001C79D7"/>
    <w:rsid w:val="001C7CEA"/>
    <w:rsid w:val="001C7E40"/>
    <w:rsid w:val="001C7F60"/>
    <w:rsid w:val="001D03E1"/>
    <w:rsid w:val="001D0512"/>
    <w:rsid w:val="001D0535"/>
    <w:rsid w:val="001D0D48"/>
    <w:rsid w:val="001D13F8"/>
    <w:rsid w:val="001D17C0"/>
    <w:rsid w:val="001D18DD"/>
    <w:rsid w:val="001D1F11"/>
    <w:rsid w:val="001D2240"/>
    <w:rsid w:val="001D27AD"/>
    <w:rsid w:val="001D2A6C"/>
    <w:rsid w:val="001D2EB6"/>
    <w:rsid w:val="001D3257"/>
    <w:rsid w:val="001D32FF"/>
    <w:rsid w:val="001D373A"/>
    <w:rsid w:val="001D3951"/>
    <w:rsid w:val="001D3DAF"/>
    <w:rsid w:val="001D40DA"/>
    <w:rsid w:val="001D41D5"/>
    <w:rsid w:val="001D4206"/>
    <w:rsid w:val="001D444B"/>
    <w:rsid w:val="001D45C4"/>
    <w:rsid w:val="001D477F"/>
    <w:rsid w:val="001D4A25"/>
    <w:rsid w:val="001D4AC2"/>
    <w:rsid w:val="001D4CC9"/>
    <w:rsid w:val="001D4FAB"/>
    <w:rsid w:val="001D5385"/>
    <w:rsid w:val="001D54C8"/>
    <w:rsid w:val="001D5649"/>
    <w:rsid w:val="001D579C"/>
    <w:rsid w:val="001D5926"/>
    <w:rsid w:val="001D5A7B"/>
    <w:rsid w:val="001D6399"/>
    <w:rsid w:val="001D6417"/>
    <w:rsid w:val="001D64AC"/>
    <w:rsid w:val="001D6791"/>
    <w:rsid w:val="001D6B4A"/>
    <w:rsid w:val="001D70A6"/>
    <w:rsid w:val="001D797A"/>
    <w:rsid w:val="001D7BDF"/>
    <w:rsid w:val="001D7C03"/>
    <w:rsid w:val="001D7E68"/>
    <w:rsid w:val="001D7FD1"/>
    <w:rsid w:val="001E040B"/>
    <w:rsid w:val="001E04CF"/>
    <w:rsid w:val="001E04DC"/>
    <w:rsid w:val="001E066F"/>
    <w:rsid w:val="001E0834"/>
    <w:rsid w:val="001E0A31"/>
    <w:rsid w:val="001E1207"/>
    <w:rsid w:val="001E1345"/>
    <w:rsid w:val="001E13E5"/>
    <w:rsid w:val="001E1801"/>
    <w:rsid w:val="001E1802"/>
    <w:rsid w:val="001E1A22"/>
    <w:rsid w:val="001E1AEE"/>
    <w:rsid w:val="001E1DCB"/>
    <w:rsid w:val="001E1F1A"/>
    <w:rsid w:val="001E1FC3"/>
    <w:rsid w:val="001E24E4"/>
    <w:rsid w:val="001E2D23"/>
    <w:rsid w:val="001E2DAA"/>
    <w:rsid w:val="001E30F0"/>
    <w:rsid w:val="001E392E"/>
    <w:rsid w:val="001E397C"/>
    <w:rsid w:val="001E3A5F"/>
    <w:rsid w:val="001E3D00"/>
    <w:rsid w:val="001E3EB0"/>
    <w:rsid w:val="001E3F40"/>
    <w:rsid w:val="001E431E"/>
    <w:rsid w:val="001E442E"/>
    <w:rsid w:val="001E4454"/>
    <w:rsid w:val="001E4631"/>
    <w:rsid w:val="001E4830"/>
    <w:rsid w:val="001E4935"/>
    <w:rsid w:val="001E4AD3"/>
    <w:rsid w:val="001E4B11"/>
    <w:rsid w:val="001E4FF6"/>
    <w:rsid w:val="001E53AB"/>
    <w:rsid w:val="001E544F"/>
    <w:rsid w:val="001E5599"/>
    <w:rsid w:val="001E570B"/>
    <w:rsid w:val="001E5949"/>
    <w:rsid w:val="001E594B"/>
    <w:rsid w:val="001E5D18"/>
    <w:rsid w:val="001E5D7B"/>
    <w:rsid w:val="001E5DCF"/>
    <w:rsid w:val="001E5E36"/>
    <w:rsid w:val="001E609A"/>
    <w:rsid w:val="001E6D4F"/>
    <w:rsid w:val="001E7367"/>
    <w:rsid w:val="001E73EA"/>
    <w:rsid w:val="001E7501"/>
    <w:rsid w:val="001E75C6"/>
    <w:rsid w:val="001E7AFE"/>
    <w:rsid w:val="001E7F82"/>
    <w:rsid w:val="001F0188"/>
    <w:rsid w:val="001F08E5"/>
    <w:rsid w:val="001F091A"/>
    <w:rsid w:val="001F0DB3"/>
    <w:rsid w:val="001F0DFB"/>
    <w:rsid w:val="001F0E6E"/>
    <w:rsid w:val="001F11D9"/>
    <w:rsid w:val="001F128F"/>
    <w:rsid w:val="001F15B2"/>
    <w:rsid w:val="001F1769"/>
    <w:rsid w:val="001F177E"/>
    <w:rsid w:val="001F1CD2"/>
    <w:rsid w:val="001F1DBE"/>
    <w:rsid w:val="001F31BB"/>
    <w:rsid w:val="001F34F8"/>
    <w:rsid w:val="001F3C9A"/>
    <w:rsid w:val="001F3CD2"/>
    <w:rsid w:val="001F406C"/>
    <w:rsid w:val="001F4116"/>
    <w:rsid w:val="001F49C4"/>
    <w:rsid w:val="001F4C98"/>
    <w:rsid w:val="001F51AA"/>
    <w:rsid w:val="001F5BA6"/>
    <w:rsid w:val="001F5DC2"/>
    <w:rsid w:val="001F5DEB"/>
    <w:rsid w:val="001F65FB"/>
    <w:rsid w:val="001F66CD"/>
    <w:rsid w:val="001F6795"/>
    <w:rsid w:val="001F68E8"/>
    <w:rsid w:val="001F691A"/>
    <w:rsid w:val="001F6E70"/>
    <w:rsid w:val="001F74FF"/>
    <w:rsid w:val="00200AA1"/>
    <w:rsid w:val="00200C85"/>
    <w:rsid w:val="00200F19"/>
    <w:rsid w:val="00200FC4"/>
    <w:rsid w:val="00201155"/>
    <w:rsid w:val="0020164F"/>
    <w:rsid w:val="002018E1"/>
    <w:rsid w:val="00201B0C"/>
    <w:rsid w:val="00201DBB"/>
    <w:rsid w:val="00201EBE"/>
    <w:rsid w:val="00202270"/>
    <w:rsid w:val="002027AF"/>
    <w:rsid w:val="002031AC"/>
    <w:rsid w:val="00203B1E"/>
    <w:rsid w:val="00203F4B"/>
    <w:rsid w:val="002045A9"/>
    <w:rsid w:val="00204BDE"/>
    <w:rsid w:val="00204CCE"/>
    <w:rsid w:val="00204DE9"/>
    <w:rsid w:val="00204EBB"/>
    <w:rsid w:val="002051C8"/>
    <w:rsid w:val="0020555B"/>
    <w:rsid w:val="002058A2"/>
    <w:rsid w:val="0020595D"/>
    <w:rsid w:val="00206410"/>
    <w:rsid w:val="0020675A"/>
    <w:rsid w:val="00206A62"/>
    <w:rsid w:val="00206D19"/>
    <w:rsid w:val="00206F9A"/>
    <w:rsid w:val="00206FC9"/>
    <w:rsid w:val="002076E8"/>
    <w:rsid w:val="00207770"/>
    <w:rsid w:val="00207776"/>
    <w:rsid w:val="002078E7"/>
    <w:rsid w:val="00207B42"/>
    <w:rsid w:val="00207D19"/>
    <w:rsid w:val="00207F52"/>
    <w:rsid w:val="002104AC"/>
    <w:rsid w:val="00210F9E"/>
    <w:rsid w:val="00211C01"/>
    <w:rsid w:val="00212051"/>
    <w:rsid w:val="002123BF"/>
    <w:rsid w:val="0021353B"/>
    <w:rsid w:val="00213584"/>
    <w:rsid w:val="002136E4"/>
    <w:rsid w:val="00213785"/>
    <w:rsid w:val="00213825"/>
    <w:rsid w:val="00214290"/>
    <w:rsid w:val="00214618"/>
    <w:rsid w:val="00214685"/>
    <w:rsid w:val="002146CF"/>
    <w:rsid w:val="00214876"/>
    <w:rsid w:val="00214E9D"/>
    <w:rsid w:val="002150DF"/>
    <w:rsid w:val="0021566A"/>
    <w:rsid w:val="00215A6F"/>
    <w:rsid w:val="00215AD0"/>
    <w:rsid w:val="00216AAF"/>
    <w:rsid w:val="00216B05"/>
    <w:rsid w:val="00216B69"/>
    <w:rsid w:val="00216BF3"/>
    <w:rsid w:val="00216E7D"/>
    <w:rsid w:val="0021764C"/>
    <w:rsid w:val="00217766"/>
    <w:rsid w:val="00217908"/>
    <w:rsid w:val="00217ACB"/>
    <w:rsid w:val="0022026C"/>
    <w:rsid w:val="0022057F"/>
    <w:rsid w:val="00220808"/>
    <w:rsid w:val="002210D1"/>
    <w:rsid w:val="00221290"/>
    <w:rsid w:val="00221451"/>
    <w:rsid w:val="002217F6"/>
    <w:rsid w:val="00221F5E"/>
    <w:rsid w:val="00222042"/>
    <w:rsid w:val="0022219F"/>
    <w:rsid w:val="00222369"/>
    <w:rsid w:val="002226C1"/>
    <w:rsid w:val="00223093"/>
    <w:rsid w:val="002232C3"/>
    <w:rsid w:val="00223442"/>
    <w:rsid w:val="00223AE6"/>
    <w:rsid w:val="00223D86"/>
    <w:rsid w:val="00224145"/>
    <w:rsid w:val="00224554"/>
    <w:rsid w:val="00224600"/>
    <w:rsid w:val="00224CE8"/>
    <w:rsid w:val="00224D4C"/>
    <w:rsid w:val="00224FBA"/>
    <w:rsid w:val="0022523E"/>
    <w:rsid w:val="002253E8"/>
    <w:rsid w:val="002259CC"/>
    <w:rsid w:val="00225EE5"/>
    <w:rsid w:val="002260B8"/>
    <w:rsid w:val="002261CC"/>
    <w:rsid w:val="00226220"/>
    <w:rsid w:val="0022655B"/>
    <w:rsid w:val="00226A0A"/>
    <w:rsid w:val="00226BD1"/>
    <w:rsid w:val="00230565"/>
    <w:rsid w:val="00230DDF"/>
    <w:rsid w:val="00231222"/>
    <w:rsid w:val="0023152C"/>
    <w:rsid w:val="002317B0"/>
    <w:rsid w:val="00231D61"/>
    <w:rsid w:val="00231E11"/>
    <w:rsid w:val="00231EFB"/>
    <w:rsid w:val="002321DF"/>
    <w:rsid w:val="00232828"/>
    <w:rsid w:val="00232CA6"/>
    <w:rsid w:val="002338BF"/>
    <w:rsid w:val="00233C79"/>
    <w:rsid w:val="00233EB3"/>
    <w:rsid w:val="002340CE"/>
    <w:rsid w:val="00234724"/>
    <w:rsid w:val="00234BEA"/>
    <w:rsid w:val="002352B3"/>
    <w:rsid w:val="00235545"/>
    <w:rsid w:val="002355F2"/>
    <w:rsid w:val="00235963"/>
    <w:rsid w:val="00235993"/>
    <w:rsid w:val="002361A1"/>
    <w:rsid w:val="002362E1"/>
    <w:rsid w:val="00236537"/>
    <w:rsid w:val="002368A4"/>
    <w:rsid w:val="00236A6B"/>
    <w:rsid w:val="002373D2"/>
    <w:rsid w:val="00237B4C"/>
    <w:rsid w:val="002403C2"/>
    <w:rsid w:val="00240A8D"/>
    <w:rsid w:val="00241000"/>
    <w:rsid w:val="00242F16"/>
    <w:rsid w:val="002437DE"/>
    <w:rsid w:val="0024390C"/>
    <w:rsid w:val="00243964"/>
    <w:rsid w:val="00243B79"/>
    <w:rsid w:val="00243C84"/>
    <w:rsid w:val="002446D0"/>
    <w:rsid w:val="0024487A"/>
    <w:rsid w:val="00244A55"/>
    <w:rsid w:val="00244EBA"/>
    <w:rsid w:val="00244F0A"/>
    <w:rsid w:val="00245423"/>
    <w:rsid w:val="0024557D"/>
    <w:rsid w:val="002455B5"/>
    <w:rsid w:val="002456E8"/>
    <w:rsid w:val="00245700"/>
    <w:rsid w:val="00245B51"/>
    <w:rsid w:val="00246455"/>
    <w:rsid w:val="002467E7"/>
    <w:rsid w:val="00246CCA"/>
    <w:rsid w:val="00246D1A"/>
    <w:rsid w:val="0024707E"/>
    <w:rsid w:val="00247106"/>
    <w:rsid w:val="002474B7"/>
    <w:rsid w:val="00247A29"/>
    <w:rsid w:val="00247BB2"/>
    <w:rsid w:val="00247ECF"/>
    <w:rsid w:val="00250250"/>
    <w:rsid w:val="002505C2"/>
    <w:rsid w:val="00250A1D"/>
    <w:rsid w:val="00250A5C"/>
    <w:rsid w:val="00251419"/>
    <w:rsid w:val="00251B20"/>
    <w:rsid w:val="0025222C"/>
    <w:rsid w:val="00252738"/>
    <w:rsid w:val="00252E1F"/>
    <w:rsid w:val="00253247"/>
    <w:rsid w:val="00253303"/>
    <w:rsid w:val="00253ABD"/>
    <w:rsid w:val="00253E69"/>
    <w:rsid w:val="00254082"/>
    <w:rsid w:val="00254420"/>
    <w:rsid w:val="002545AE"/>
    <w:rsid w:val="00254691"/>
    <w:rsid w:val="00254A7D"/>
    <w:rsid w:val="00254F06"/>
    <w:rsid w:val="00254F8E"/>
    <w:rsid w:val="00255037"/>
    <w:rsid w:val="002552AE"/>
    <w:rsid w:val="00255442"/>
    <w:rsid w:val="00256232"/>
    <w:rsid w:val="002562E5"/>
    <w:rsid w:val="0025634C"/>
    <w:rsid w:val="00256916"/>
    <w:rsid w:val="00257231"/>
    <w:rsid w:val="0026032B"/>
    <w:rsid w:val="00260487"/>
    <w:rsid w:val="00260641"/>
    <w:rsid w:val="00260CC5"/>
    <w:rsid w:val="00261832"/>
    <w:rsid w:val="0026193C"/>
    <w:rsid w:val="00261DCB"/>
    <w:rsid w:val="002621F7"/>
    <w:rsid w:val="00262A67"/>
    <w:rsid w:val="00262AEE"/>
    <w:rsid w:val="00262B1F"/>
    <w:rsid w:val="00262DA3"/>
    <w:rsid w:val="002639D2"/>
    <w:rsid w:val="00263FF3"/>
    <w:rsid w:val="002643A4"/>
    <w:rsid w:val="0026493F"/>
    <w:rsid w:val="00264DD5"/>
    <w:rsid w:val="002655FE"/>
    <w:rsid w:val="00265833"/>
    <w:rsid w:val="00265ABC"/>
    <w:rsid w:val="00265DD2"/>
    <w:rsid w:val="00265DFC"/>
    <w:rsid w:val="00265E30"/>
    <w:rsid w:val="0026640E"/>
    <w:rsid w:val="002664CE"/>
    <w:rsid w:val="00266BF7"/>
    <w:rsid w:val="002674F4"/>
    <w:rsid w:val="00267982"/>
    <w:rsid w:val="00267A69"/>
    <w:rsid w:val="00267F98"/>
    <w:rsid w:val="0027020D"/>
    <w:rsid w:val="00270224"/>
    <w:rsid w:val="0027029D"/>
    <w:rsid w:val="00270667"/>
    <w:rsid w:val="0027093A"/>
    <w:rsid w:val="00270991"/>
    <w:rsid w:val="00270F89"/>
    <w:rsid w:val="0027106D"/>
    <w:rsid w:val="0027181A"/>
    <w:rsid w:val="00271976"/>
    <w:rsid w:val="0027214D"/>
    <w:rsid w:val="00272153"/>
    <w:rsid w:val="00272736"/>
    <w:rsid w:val="00272B4A"/>
    <w:rsid w:val="00272CDB"/>
    <w:rsid w:val="00272F2E"/>
    <w:rsid w:val="0027334B"/>
    <w:rsid w:val="0027360C"/>
    <w:rsid w:val="00273A15"/>
    <w:rsid w:val="00273F4C"/>
    <w:rsid w:val="00273FEF"/>
    <w:rsid w:val="0027423B"/>
    <w:rsid w:val="00274D61"/>
    <w:rsid w:val="00274DBC"/>
    <w:rsid w:val="00274DCD"/>
    <w:rsid w:val="0027500A"/>
    <w:rsid w:val="00275830"/>
    <w:rsid w:val="00276293"/>
    <w:rsid w:val="00276A75"/>
    <w:rsid w:val="00276CF5"/>
    <w:rsid w:val="00277767"/>
    <w:rsid w:val="00277B0B"/>
    <w:rsid w:val="00277F69"/>
    <w:rsid w:val="00277FC7"/>
    <w:rsid w:val="00280229"/>
    <w:rsid w:val="0028050E"/>
    <w:rsid w:val="0028064A"/>
    <w:rsid w:val="00280720"/>
    <w:rsid w:val="00280B9D"/>
    <w:rsid w:val="00280FDF"/>
    <w:rsid w:val="002812FA"/>
    <w:rsid w:val="002813DE"/>
    <w:rsid w:val="00281E63"/>
    <w:rsid w:val="002820E5"/>
    <w:rsid w:val="002822E3"/>
    <w:rsid w:val="00282367"/>
    <w:rsid w:val="00282A32"/>
    <w:rsid w:val="00282B9A"/>
    <w:rsid w:val="00282CB6"/>
    <w:rsid w:val="002831A5"/>
    <w:rsid w:val="0028342A"/>
    <w:rsid w:val="0028352C"/>
    <w:rsid w:val="0028363A"/>
    <w:rsid w:val="002837E3"/>
    <w:rsid w:val="00283969"/>
    <w:rsid w:val="00284106"/>
    <w:rsid w:val="002849A2"/>
    <w:rsid w:val="00284FA8"/>
    <w:rsid w:val="0028509B"/>
    <w:rsid w:val="00285166"/>
    <w:rsid w:val="002859EA"/>
    <w:rsid w:val="00285BBF"/>
    <w:rsid w:val="002860FA"/>
    <w:rsid w:val="002865D8"/>
    <w:rsid w:val="0028697B"/>
    <w:rsid w:val="00286A1B"/>
    <w:rsid w:val="00286DD7"/>
    <w:rsid w:val="00287098"/>
    <w:rsid w:val="00287313"/>
    <w:rsid w:val="00287396"/>
    <w:rsid w:val="00287762"/>
    <w:rsid w:val="00287D08"/>
    <w:rsid w:val="00287EA8"/>
    <w:rsid w:val="00287FB8"/>
    <w:rsid w:val="00290501"/>
    <w:rsid w:val="002905AF"/>
    <w:rsid w:val="00290C89"/>
    <w:rsid w:val="00290C9A"/>
    <w:rsid w:val="00290E09"/>
    <w:rsid w:val="00290E3A"/>
    <w:rsid w:val="0029152C"/>
    <w:rsid w:val="0029153B"/>
    <w:rsid w:val="00291574"/>
    <w:rsid w:val="002919FB"/>
    <w:rsid w:val="00291CC5"/>
    <w:rsid w:val="002921FC"/>
    <w:rsid w:val="00292246"/>
    <w:rsid w:val="0029257C"/>
    <w:rsid w:val="002926A6"/>
    <w:rsid w:val="00292751"/>
    <w:rsid w:val="00292E0B"/>
    <w:rsid w:val="00292F4A"/>
    <w:rsid w:val="00293003"/>
    <w:rsid w:val="00293131"/>
    <w:rsid w:val="00293324"/>
    <w:rsid w:val="002939A6"/>
    <w:rsid w:val="00293F46"/>
    <w:rsid w:val="002940DA"/>
    <w:rsid w:val="002942E7"/>
    <w:rsid w:val="0029467C"/>
    <w:rsid w:val="00294832"/>
    <w:rsid w:val="00294AB3"/>
    <w:rsid w:val="00294F58"/>
    <w:rsid w:val="002957E3"/>
    <w:rsid w:val="0029582E"/>
    <w:rsid w:val="002959C5"/>
    <w:rsid w:val="00295B25"/>
    <w:rsid w:val="00295BAD"/>
    <w:rsid w:val="00295F7E"/>
    <w:rsid w:val="00295FEB"/>
    <w:rsid w:val="002967B7"/>
    <w:rsid w:val="00296D89"/>
    <w:rsid w:val="002971D7"/>
    <w:rsid w:val="002973B0"/>
    <w:rsid w:val="002973E1"/>
    <w:rsid w:val="00297CD8"/>
    <w:rsid w:val="00297E16"/>
    <w:rsid w:val="00297F2A"/>
    <w:rsid w:val="002A0196"/>
    <w:rsid w:val="002A06C9"/>
    <w:rsid w:val="002A0EB6"/>
    <w:rsid w:val="002A1A0B"/>
    <w:rsid w:val="002A1B0A"/>
    <w:rsid w:val="002A1BD6"/>
    <w:rsid w:val="002A20FE"/>
    <w:rsid w:val="002A242C"/>
    <w:rsid w:val="002A2EDB"/>
    <w:rsid w:val="002A30E1"/>
    <w:rsid w:val="002A3174"/>
    <w:rsid w:val="002A361C"/>
    <w:rsid w:val="002A3966"/>
    <w:rsid w:val="002A3A62"/>
    <w:rsid w:val="002A3FC9"/>
    <w:rsid w:val="002A4527"/>
    <w:rsid w:val="002A4649"/>
    <w:rsid w:val="002A464A"/>
    <w:rsid w:val="002A47EF"/>
    <w:rsid w:val="002A48CC"/>
    <w:rsid w:val="002A5956"/>
    <w:rsid w:val="002A5C45"/>
    <w:rsid w:val="002A5C92"/>
    <w:rsid w:val="002A680C"/>
    <w:rsid w:val="002A69DD"/>
    <w:rsid w:val="002A6EB8"/>
    <w:rsid w:val="002A6F1C"/>
    <w:rsid w:val="002A7168"/>
    <w:rsid w:val="002B0023"/>
    <w:rsid w:val="002B0199"/>
    <w:rsid w:val="002B0DE5"/>
    <w:rsid w:val="002B0F13"/>
    <w:rsid w:val="002B0F33"/>
    <w:rsid w:val="002B1C76"/>
    <w:rsid w:val="002B1C92"/>
    <w:rsid w:val="002B2915"/>
    <w:rsid w:val="002B2CC2"/>
    <w:rsid w:val="002B30B5"/>
    <w:rsid w:val="002B30D0"/>
    <w:rsid w:val="002B33A5"/>
    <w:rsid w:val="002B34FC"/>
    <w:rsid w:val="002B36FA"/>
    <w:rsid w:val="002B4266"/>
    <w:rsid w:val="002B4BC7"/>
    <w:rsid w:val="002B5703"/>
    <w:rsid w:val="002B5B2C"/>
    <w:rsid w:val="002B5BB4"/>
    <w:rsid w:val="002B5CD8"/>
    <w:rsid w:val="002B5DE3"/>
    <w:rsid w:val="002B6268"/>
    <w:rsid w:val="002B645F"/>
    <w:rsid w:val="002B65C5"/>
    <w:rsid w:val="002B734B"/>
    <w:rsid w:val="002B7430"/>
    <w:rsid w:val="002B794B"/>
    <w:rsid w:val="002B799E"/>
    <w:rsid w:val="002B79AC"/>
    <w:rsid w:val="002B7A34"/>
    <w:rsid w:val="002B7C94"/>
    <w:rsid w:val="002B7E48"/>
    <w:rsid w:val="002C0051"/>
    <w:rsid w:val="002C02F4"/>
    <w:rsid w:val="002C0447"/>
    <w:rsid w:val="002C0588"/>
    <w:rsid w:val="002C07DF"/>
    <w:rsid w:val="002C0DBC"/>
    <w:rsid w:val="002C137E"/>
    <w:rsid w:val="002C182F"/>
    <w:rsid w:val="002C1B4F"/>
    <w:rsid w:val="002C1EE3"/>
    <w:rsid w:val="002C2563"/>
    <w:rsid w:val="002C2B52"/>
    <w:rsid w:val="002C2E60"/>
    <w:rsid w:val="002C32F4"/>
    <w:rsid w:val="002C34E0"/>
    <w:rsid w:val="002C3899"/>
    <w:rsid w:val="002C38CA"/>
    <w:rsid w:val="002C399C"/>
    <w:rsid w:val="002C3C43"/>
    <w:rsid w:val="002C4146"/>
    <w:rsid w:val="002C42B4"/>
    <w:rsid w:val="002C43ED"/>
    <w:rsid w:val="002C4842"/>
    <w:rsid w:val="002C48C9"/>
    <w:rsid w:val="002C4A46"/>
    <w:rsid w:val="002C4AB4"/>
    <w:rsid w:val="002C4B85"/>
    <w:rsid w:val="002C4C7E"/>
    <w:rsid w:val="002C4D5E"/>
    <w:rsid w:val="002C525F"/>
    <w:rsid w:val="002C53AC"/>
    <w:rsid w:val="002C596E"/>
    <w:rsid w:val="002C5A72"/>
    <w:rsid w:val="002C6F2B"/>
    <w:rsid w:val="002C7060"/>
    <w:rsid w:val="002C7133"/>
    <w:rsid w:val="002C7147"/>
    <w:rsid w:val="002C740A"/>
    <w:rsid w:val="002C7560"/>
    <w:rsid w:val="002D0237"/>
    <w:rsid w:val="002D024D"/>
    <w:rsid w:val="002D0386"/>
    <w:rsid w:val="002D03F4"/>
    <w:rsid w:val="002D064C"/>
    <w:rsid w:val="002D0BF2"/>
    <w:rsid w:val="002D0D4F"/>
    <w:rsid w:val="002D0ED9"/>
    <w:rsid w:val="002D0EFA"/>
    <w:rsid w:val="002D168E"/>
    <w:rsid w:val="002D2156"/>
    <w:rsid w:val="002D226D"/>
    <w:rsid w:val="002D22AF"/>
    <w:rsid w:val="002D2A63"/>
    <w:rsid w:val="002D2C5A"/>
    <w:rsid w:val="002D388B"/>
    <w:rsid w:val="002D3B1F"/>
    <w:rsid w:val="002D4451"/>
    <w:rsid w:val="002D453A"/>
    <w:rsid w:val="002D45CE"/>
    <w:rsid w:val="002D4778"/>
    <w:rsid w:val="002D4F02"/>
    <w:rsid w:val="002D558D"/>
    <w:rsid w:val="002D5815"/>
    <w:rsid w:val="002D5CE1"/>
    <w:rsid w:val="002D5E46"/>
    <w:rsid w:val="002D6363"/>
    <w:rsid w:val="002D68D2"/>
    <w:rsid w:val="002D68FD"/>
    <w:rsid w:val="002D6F03"/>
    <w:rsid w:val="002D7522"/>
    <w:rsid w:val="002D761D"/>
    <w:rsid w:val="002D7779"/>
    <w:rsid w:val="002D786A"/>
    <w:rsid w:val="002D7AC2"/>
    <w:rsid w:val="002D7C7C"/>
    <w:rsid w:val="002E00A3"/>
    <w:rsid w:val="002E0201"/>
    <w:rsid w:val="002E1133"/>
    <w:rsid w:val="002E1D83"/>
    <w:rsid w:val="002E20AC"/>
    <w:rsid w:val="002E20FE"/>
    <w:rsid w:val="002E280A"/>
    <w:rsid w:val="002E28BF"/>
    <w:rsid w:val="002E2EED"/>
    <w:rsid w:val="002E2F6E"/>
    <w:rsid w:val="002E3233"/>
    <w:rsid w:val="002E3F5F"/>
    <w:rsid w:val="002E3FC4"/>
    <w:rsid w:val="002E4050"/>
    <w:rsid w:val="002E43AB"/>
    <w:rsid w:val="002E44B3"/>
    <w:rsid w:val="002E4705"/>
    <w:rsid w:val="002E494F"/>
    <w:rsid w:val="002E497D"/>
    <w:rsid w:val="002E4B83"/>
    <w:rsid w:val="002E4BD6"/>
    <w:rsid w:val="002E4CA0"/>
    <w:rsid w:val="002E5501"/>
    <w:rsid w:val="002E597A"/>
    <w:rsid w:val="002E5F66"/>
    <w:rsid w:val="002E63BF"/>
    <w:rsid w:val="002E6F41"/>
    <w:rsid w:val="002E74F6"/>
    <w:rsid w:val="002E7686"/>
    <w:rsid w:val="002E76FB"/>
    <w:rsid w:val="002E7912"/>
    <w:rsid w:val="002E7E90"/>
    <w:rsid w:val="002E7E96"/>
    <w:rsid w:val="002E7EE1"/>
    <w:rsid w:val="002F004F"/>
    <w:rsid w:val="002F081C"/>
    <w:rsid w:val="002F0889"/>
    <w:rsid w:val="002F0D82"/>
    <w:rsid w:val="002F10E7"/>
    <w:rsid w:val="002F1169"/>
    <w:rsid w:val="002F15CC"/>
    <w:rsid w:val="002F188C"/>
    <w:rsid w:val="002F1C51"/>
    <w:rsid w:val="002F2096"/>
    <w:rsid w:val="002F2454"/>
    <w:rsid w:val="002F26C9"/>
    <w:rsid w:val="002F2B7C"/>
    <w:rsid w:val="002F380C"/>
    <w:rsid w:val="002F3DF0"/>
    <w:rsid w:val="002F3E2A"/>
    <w:rsid w:val="002F3F8A"/>
    <w:rsid w:val="002F3FB5"/>
    <w:rsid w:val="002F4165"/>
    <w:rsid w:val="002F4591"/>
    <w:rsid w:val="002F45B4"/>
    <w:rsid w:val="002F4AF0"/>
    <w:rsid w:val="002F4B03"/>
    <w:rsid w:val="002F4E44"/>
    <w:rsid w:val="002F4E60"/>
    <w:rsid w:val="002F4EA3"/>
    <w:rsid w:val="002F50D3"/>
    <w:rsid w:val="002F51F2"/>
    <w:rsid w:val="002F51FA"/>
    <w:rsid w:val="002F55CB"/>
    <w:rsid w:val="002F55D2"/>
    <w:rsid w:val="002F5AE2"/>
    <w:rsid w:val="002F6398"/>
    <w:rsid w:val="002F6D2D"/>
    <w:rsid w:val="002F6DB1"/>
    <w:rsid w:val="002F6DC9"/>
    <w:rsid w:val="002F6E3E"/>
    <w:rsid w:val="002F6E58"/>
    <w:rsid w:val="002F6FB1"/>
    <w:rsid w:val="002F78B3"/>
    <w:rsid w:val="002F7C52"/>
    <w:rsid w:val="0030008C"/>
    <w:rsid w:val="003006FA"/>
    <w:rsid w:val="003008EA"/>
    <w:rsid w:val="00300982"/>
    <w:rsid w:val="00301049"/>
    <w:rsid w:val="00301600"/>
    <w:rsid w:val="00301945"/>
    <w:rsid w:val="00301A2C"/>
    <w:rsid w:val="00301C6E"/>
    <w:rsid w:val="00301E59"/>
    <w:rsid w:val="0030255E"/>
    <w:rsid w:val="003029C3"/>
    <w:rsid w:val="00302C1E"/>
    <w:rsid w:val="00302C9A"/>
    <w:rsid w:val="003033EF"/>
    <w:rsid w:val="00303580"/>
    <w:rsid w:val="00303816"/>
    <w:rsid w:val="00303B60"/>
    <w:rsid w:val="00303B85"/>
    <w:rsid w:val="00303CAB"/>
    <w:rsid w:val="0030439D"/>
    <w:rsid w:val="00304518"/>
    <w:rsid w:val="00304542"/>
    <w:rsid w:val="003047C1"/>
    <w:rsid w:val="0030497E"/>
    <w:rsid w:val="00304F5C"/>
    <w:rsid w:val="003050DB"/>
    <w:rsid w:val="00305365"/>
    <w:rsid w:val="003053A9"/>
    <w:rsid w:val="00305D68"/>
    <w:rsid w:val="00306137"/>
    <w:rsid w:val="0030613C"/>
    <w:rsid w:val="00306A57"/>
    <w:rsid w:val="00307063"/>
    <w:rsid w:val="003070B3"/>
    <w:rsid w:val="00307122"/>
    <w:rsid w:val="003074B0"/>
    <w:rsid w:val="0030770C"/>
    <w:rsid w:val="00307FD9"/>
    <w:rsid w:val="00310019"/>
    <w:rsid w:val="00310620"/>
    <w:rsid w:val="00310677"/>
    <w:rsid w:val="00310A40"/>
    <w:rsid w:val="00310AE2"/>
    <w:rsid w:val="00310C3D"/>
    <w:rsid w:val="0031104D"/>
    <w:rsid w:val="003117CC"/>
    <w:rsid w:val="00311C7E"/>
    <w:rsid w:val="003122A7"/>
    <w:rsid w:val="003123A2"/>
    <w:rsid w:val="003123B3"/>
    <w:rsid w:val="00312446"/>
    <w:rsid w:val="00313101"/>
    <w:rsid w:val="00313235"/>
    <w:rsid w:val="00313562"/>
    <w:rsid w:val="00313BA8"/>
    <w:rsid w:val="003143AF"/>
    <w:rsid w:val="0031470C"/>
    <w:rsid w:val="0031487D"/>
    <w:rsid w:val="003148E3"/>
    <w:rsid w:val="00315268"/>
    <w:rsid w:val="00315715"/>
    <w:rsid w:val="003159A4"/>
    <w:rsid w:val="00315D7C"/>
    <w:rsid w:val="00316DB7"/>
    <w:rsid w:val="00316FEB"/>
    <w:rsid w:val="0031736A"/>
    <w:rsid w:val="00317392"/>
    <w:rsid w:val="00317715"/>
    <w:rsid w:val="00317821"/>
    <w:rsid w:val="00317A38"/>
    <w:rsid w:val="00317B95"/>
    <w:rsid w:val="00317F1D"/>
    <w:rsid w:val="00317F53"/>
    <w:rsid w:val="003200A7"/>
    <w:rsid w:val="003200D3"/>
    <w:rsid w:val="003206FB"/>
    <w:rsid w:val="00320757"/>
    <w:rsid w:val="003208B6"/>
    <w:rsid w:val="003209AD"/>
    <w:rsid w:val="00320BC6"/>
    <w:rsid w:val="00321925"/>
    <w:rsid w:val="0032198E"/>
    <w:rsid w:val="00322134"/>
    <w:rsid w:val="003222EF"/>
    <w:rsid w:val="003225F6"/>
    <w:rsid w:val="0032385C"/>
    <w:rsid w:val="0032388D"/>
    <w:rsid w:val="00323897"/>
    <w:rsid w:val="00323C9B"/>
    <w:rsid w:val="00323FD8"/>
    <w:rsid w:val="003240D7"/>
    <w:rsid w:val="00324247"/>
    <w:rsid w:val="00324409"/>
    <w:rsid w:val="0032474E"/>
    <w:rsid w:val="00324A7F"/>
    <w:rsid w:val="0032513D"/>
    <w:rsid w:val="003256A3"/>
    <w:rsid w:val="00325DA2"/>
    <w:rsid w:val="00325E17"/>
    <w:rsid w:val="0032639B"/>
    <w:rsid w:val="0032644A"/>
    <w:rsid w:val="00326552"/>
    <w:rsid w:val="003265C3"/>
    <w:rsid w:val="00326D81"/>
    <w:rsid w:val="00327221"/>
    <w:rsid w:val="00327E68"/>
    <w:rsid w:val="00330037"/>
    <w:rsid w:val="003304C2"/>
    <w:rsid w:val="003304D8"/>
    <w:rsid w:val="003307E5"/>
    <w:rsid w:val="00330A9C"/>
    <w:rsid w:val="00330DA0"/>
    <w:rsid w:val="003310CA"/>
    <w:rsid w:val="00331258"/>
    <w:rsid w:val="0033142C"/>
    <w:rsid w:val="0033180A"/>
    <w:rsid w:val="003319C9"/>
    <w:rsid w:val="00331AC6"/>
    <w:rsid w:val="00332477"/>
    <w:rsid w:val="00332720"/>
    <w:rsid w:val="00333143"/>
    <w:rsid w:val="0033355A"/>
    <w:rsid w:val="0033364C"/>
    <w:rsid w:val="00333765"/>
    <w:rsid w:val="00333A4A"/>
    <w:rsid w:val="00333E0F"/>
    <w:rsid w:val="00333F1F"/>
    <w:rsid w:val="003341F5"/>
    <w:rsid w:val="00334565"/>
    <w:rsid w:val="003345F4"/>
    <w:rsid w:val="003347C6"/>
    <w:rsid w:val="0033486B"/>
    <w:rsid w:val="00334D62"/>
    <w:rsid w:val="00334D9F"/>
    <w:rsid w:val="00334DFD"/>
    <w:rsid w:val="00334F48"/>
    <w:rsid w:val="00335108"/>
    <w:rsid w:val="00335B8F"/>
    <w:rsid w:val="00335B9D"/>
    <w:rsid w:val="0033607C"/>
    <w:rsid w:val="00336358"/>
    <w:rsid w:val="003363C6"/>
    <w:rsid w:val="003365DA"/>
    <w:rsid w:val="0033665F"/>
    <w:rsid w:val="00336FC5"/>
    <w:rsid w:val="003374BA"/>
    <w:rsid w:val="003378AF"/>
    <w:rsid w:val="00340389"/>
    <w:rsid w:val="00340746"/>
    <w:rsid w:val="003408CE"/>
    <w:rsid w:val="00340A4B"/>
    <w:rsid w:val="00341138"/>
    <w:rsid w:val="003419DC"/>
    <w:rsid w:val="00341F0C"/>
    <w:rsid w:val="00342493"/>
    <w:rsid w:val="003429D4"/>
    <w:rsid w:val="00342C6B"/>
    <w:rsid w:val="00342F27"/>
    <w:rsid w:val="00342FCB"/>
    <w:rsid w:val="003434ED"/>
    <w:rsid w:val="00343538"/>
    <w:rsid w:val="0034355F"/>
    <w:rsid w:val="00344718"/>
    <w:rsid w:val="00344732"/>
    <w:rsid w:val="00344A37"/>
    <w:rsid w:val="003457E4"/>
    <w:rsid w:val="00346216"/>
    <w:rsid w:val="0034700A"/>
    <w:rsid w:val="00347883"/>
    <w:rsid w:val="0034790F"/>
    <w:rsid w:val="00350056"/>
    <w:rsid w:val="003501F9"/>
    <w:rsid w:val="003503FC"/>
    <w:rsid w:val="003506C5"/>
    <w:rsid w:val="00350701"/>
    <w:rsid w:val="00350740"/>
    <w:rsid w:val="00350A24"/>
    <w:rsid w:val="00350E86"/>
    <w:rsid w:val="00351041"/>
    <w:rsid w:val="00351842"/>
    <w:rsid w:val="00352099"/>
    <w:rsid w:val="003523A4"/>
    <w:rsid w:val="00353046"/>
    <w:rsid w:val="0035327C"/>
    <w:rsid w:val="003536E1"/>
    <w:rsid w:val="0035396E"/>
    <w:rsid w:val="00353A84"/>
    <w:rsid w:val="00353C5F"/>
    <w:rsid w:val="00353E08"/>
    <w:rsid w:val="00353E5C"/>
    <w:rsid w:val="00353F73"/>
    <w:rsid w:val="0035462E"/>
    <w:rsid w:val="0035466F"/>
    <w:rsid w:val="00354B21"/>
    <w:rsid w:val="00355220"/>
    <w:rsid w:val="0035575B"/>
    <w:rsid w:val="00355B14"/>
    <w:rsid w:val="00355DA0"/>
    <w:rsid w:val="003560C5"/>
    <w:rsid w:val="00356218"/>
    <w:rsid w:val="00356279"/>
    <w:rsid w:val="00356322"/>
    <w:rsid w:val="003570BD"/>
    <w:rsid w:val="00357206"/>
    <w:rsid w:val="0035726D"/>
    <w:rsid w:val="003578CB"/>
    <w:rsid w:val="003579EE"/>
    <w:rsid w:val="00360099"/>
    <w:rsid w:val="003601B1"/>
    <w:rsid w:val="003604BC"/>
    <w:rsid w:val="00360EB8"/>
    <w:rsid w:val="003610A4"/>
    <w:rsid w:val="00361720"/>
    <w:rsid w:val="00361BAB"/>
    <w:rsid w:val="00361C59"/>
    <w:rsid w:val="00361D4A"/>
    <w:rsid w:val="00361D8B"/>
    <w:rsid w:val="00361DA2"/>
    <w:rsid w:val="003620FF"/>
    <w:rsid w:val="00362381"/>
    <w:rsid w:val="003624F9"/>
    <w:rsid w:val="003629F2"/>
    <w:rsid w:val="00362A21"/>
    <w:rsid w:val="00362BD8"/>
    <w:rsid w:val="00362E96"/>
    <w:rsid w:val="00362F92"/>
    <w:rsid w:val="0036301D"/>
    <w:rsid w:val="00363427"/>
    <w:rsid w:val="0036362B"/>
    <w:rsid w:val="00363815"/>
    <w:rsid w:val="00363A92"/>
    <w:rsid w:val="00363D04"/>
    <w:rsid w:val="00363D49"/>
    <w:rsid w:val="0036411B"/>
    <w:rsid w:val="003642B5"/>
    <w:rsid w:val="003643C3"/>
    <w:rsid w:val="003643F6"/>
    <w:rsid w:val="003644EC"/>
    <w:rsid w:val="003651A6"/>
    <w:rsid w:val="00365275"/>
    <w:rsid w:val="00365668"/>
    <w:rsid w:val="0036613D"/>
    <w:rsid w:val="00366539"/>
    <w:rsid w:val="00366791"/>
    <w:rsid w:val="00366855"/>
    <w:rsid w:val="00366A04"/>
    <w:rsid w:val="00366B74"/>
    <w:rsid w:val="00366CDE"/>
    <w:rsid w:val="00366CFE"/>
    <w:rsid w:val="003702E7"/>
    <w:rsid w:val="003703CC"/>
    <w:rsid w:val="00370AC2"/>
    <w:rsid w:val="00370C60"/>
    <w:rsid w:val="00371061"/>
    <w:rsid w:val="00371095"/>
    <w:rsid w:val="00371319"/>
    <w:rsid w:val="00371CAC"/>
    <w:rsid w:val="00371CF2"/>
    <w:rsid w:val="00371D35"/>
    <w:rsid w:val="00371EB3"/>
    <w:rsid w:val="003721CE"/>
    <w:rsid w:val="003726D9"/>
    <w:rsid w:val="00372752"/>
    <w:rsid w:val="00373038"/>
    <w:rsid w:val="0037328C"/>
    <w:rsid w:val="00373797"/>
    <w:rsid w:val="00373799"/>
    <w:rsid w:val="00373AF6"/>
    <w:rsid w:val="0037465D"/>
    <w:rsid w:val="003748D2"/>
    <w:rsid w:val="00374A27"/>
    <w:rsid w:val="003750D7"/>
    <w:rsid w:val="00375439"/>
    <w:rsid w:val="003758A6"/>
    <w:rsid w:val="00375CD4"/>
    <w:rsid w:val="00375E7D"/>
    <w:rsid w:val="00376102"/>
    <w:rsid w:val="00376357"/>
    <w:rsid w:val="00376391"/>
    <w:rsid w:val="00376430"/>
    <w:rsid w:val="003765E1"/>
    <w:rsid w:val="0037697E"/>
    <w:rsid w:val="0037706D"/>
    <w:rsid w:val="003771AC"/>
    <w:rsid w:val="003772A0"/>
    <w:rsid w:val="00377635"/>
    <w:rsid w:val="003776BF"/>
    <w:rsid w:val="0037772F"/>
    <w:rsid w:val="00377D28"/>
    <w:rsid w:val="00377D36"/>
    <w:rsid w:val="00377E13"/>
    <w:rsid w:val="003802B1"/>
    <w:rsid w:val="003802FC"/>
    <w:rsid w:val="00380C22"/>
    <w:rsid w:val="003812DD"/>
    <w:rsid w:val="00381422"/>
    <w:rsid w:val="00381470"/>
    <w:rsid w:val="00381544"/>
    <w:rsid w:val="003817C4"/>
    <w:rsid w:val="00381C3A"/>
    <w:rsid w:val="00381E4F"/>
    <w:rsid w:val="00381FAC"/>
    <w:rsid w:val="00382348"/>
    <w:rsid w:val="0038239D"/>
    <w:rsid w:val="003826FB"/>
    <w:rsid w:val="00382828"/>
    <w:rsid w:val="00382B6F"/>
    <w:rsid w:val="003831D2"/>
    <w:rsid w:val="00383624"/>
    <w:rsid w:val="00383970"/>
    <w:rsid w:val="00383A1F"/>
    <w:rsid w:val="00383B51"/>
    <w:rsid w:val="00383C0A"/>
    <w:rsid w:val="00383C3C"/>
    <w:rsid w:val="00383C87"/>
    <w:rsid w:val="00383D24"/>
    <w:rsid w:val="00383D50"/>
    <w:rsid w:val="00383FB3"/>
    <w:rsid w:val="00384117"/>
    <w:rsid w:val="0038449A"/>
    <w:rsid w:val="00384C1E"/>
    <w:rsid w:val="00384DDB"/>
    <w:rsid w:val="00385010"/>
    <w:rsid w:val="003850C4"/>
    <w:rsid w:val="00385B94"/>
    <w:rsid w:val="00385D6D"/>
    <w:rsid w:val="0038652E"/>
    <w:rsid w:val="00386596"/>
    <w:rsid w:val="0038690E"/>
    <w:rsid w:val="00386AFA"/>
    <w:rsid w:val="00386BA8"/>
    <w:rsid w:val="00386BEA"/>
    <w:rsid w:val="00386C87"/>
    <w:rsid w:val="003872A4"/>
    <w:rsid w:val="003872AB"/>
    <w:rsid w:val="0038797B"/>
    <w:rsid w:val="00387FD4"/>
    <w:rsid w:val="00390195"/>
    <w:rsid w:val="00390245"/>
    <w:rsid w:val="00390280"/>
    <w:rsid w:val="00390559"/>
    <w:rsid w:val="00390702"/>
    <w:rsid w:val="00390733"/>
    <w:rsid w:val="00391103"/>
    <w:rsid w:val="003911AA"/>
    <w:rsid w:val="003913B3"/>
    <w:rsid w:val="00391739"/>
    <w:rsid w:val="00391887"/>
    <w:rsid w:val="003918FD"/>
    <w:rsid w:val="00391D49"/>
    <w:rsid w:val="003926C3"/>
    <w:rsid w:val="003932EA"/>
    <w:rsid w:val="003936F5"/>
    <w:rsid w:val="0039399A"/>
    <w:rsid w:val="00393AD9"/>
    <w:rsid w:val="00393E2F"/>
    <w:rsid w:val="00394167"/>
    <w:rsid w:val="003943A4"/>
    <w:rsid w:val="003945F8"/>
    <w:rsid w:val="003946FF"/>
    <w:rsid w:val="00394AB7"/>
    <w:rsid w:val="0039521C"/>
    <w:rsid w:val="0039522F"/>
    <w:rsid w:val="0039594D"/>
    <w:rsid w:val="00395985"/>
    <w:rsid w:val="00395C48"/>
    <w:rsid w:val="00396820"/>
    <w:rsid w:val="00396A64"/>
    <w:rsid w:val="00396A87"/>
    <w:rsid w:val="00396F81"/>
    <w:rsid w:val="00397119"/>
    <w:rsid w:val="003972AE"/>
    <w:rsid w:val="0039747A"/>
    <w:rsid w:val="00397843"/>
    <w:rsid w:val="00397FAD"/>
    <w:rsid w:val="003A0569"/>
    <w:rsid w:val="003A079A"/>
    <w:rsid w:val="003A0AF7"/>
    <w:rsid w:val="003A0BBB"/>
    <w:rsid w:val="003A0D2F"/>
    <w:rsid w:val="003A0F05"/>
    <w:rsid w:val="003A1499"/>
    <w:rsid w:val="003A17A2"/>
    <w:rsid w:val="003A189E"/>
    <w:rsid w:val="003A1D36"/>
    <w:rsid w:val="003A1E6B"/>
    <w:rsid w:val="003A1FAE"/>
    <w:rsid w:val="003A29B5"/>
    <w:rsid w:val="003A30CB"/>
    <w:rsid w:val="003A347D"/>
    <w:rsid w:val="003A3783"/>
    <w:rsid w:val="003A3998"/>
    <w:rsid w:val="003A3B2A"/>
    <w:rsid w:val="003A3CAA"/>
    <w:rsid w:val="003A419F"/>
    <w:rsid w:val="003A42C9"/>
    <w:rsid w:val="003A4403"/>
    <w:rsid w:val="003A46B8"/>
    <w:rsid w:val="003A4982"/>
    <w:rsid w:val="003A507A"/>
    <w:rsid w:val="003A5454"/>
    <w:rsid w:val="003A5489"/>
    <w:rsid w:val="003A558F"/>
    <w:rsid w:val="003A5794"/>
    <w:rsid w:val="003A5A7C"/>
    <w:rsid w:val="003A5AC9"/>
    <w:rsid w:val="003A5C63"/>
    <w:rsid w:val="003A5CAB"/>
    <w:rsid w:val="003A5E76"/>
    <w:rsid w:val="003A672E"/>
    <w:rsid w:val="003A673C"/>
    <w:rsid w:val="003A674D"/>
    <w:rsid w:val="003A6D2D"/>
    <w:rsid w:val="003A6DFA"/>
    <w:rsid w:val="003A6F49"/>
    <w:rsid w:val="003A7161"/>
    <w:rsid w:val="003A75ED"/>
    <w:rsid w:val="003A7BE6"/>
    <w:rsid w:val="003A7C64"/>
    <w:rsid w:val="003A7C86"/>
    <w:rsid w:val="003A7DF1"/>
    <w:rsid w:val="003A7DF5"/>
    <w:rsid w:val="003A7EC2"/>
    <w:rsid w:val="003A7F7B"/>
    <w:rsid w:val="003B00B7"/>
    <w:rsid w:val="003B0292"/>
    <w:rsid w:val="003B057E"/>
    <w:rsid w:val="003B0994"/>
    <w:rsid w:val="003B0B86"/>
    <w:rsid w:val="003B0DAA"/>
    <w:rsid w:val="003B1125"/>
    <w:rsid w:val="003B11D8"/>
    <w:rsid w:val="003B16AA"/>
    <w:rsid w:val="003B1812"/>
    <w:rsid w:val="003B1EDA"/>
    <w:rsid w:val="003B1EE1"/>
    <w:rsid w:val="003B1F4C"/>
    <w:rsid w:val="003B2282"/>
    <w:rsid w:val="003B2576"/>
    <w:rsid w:val="003B276A"/>
    <w:rsid w:val="003B2F1C"/>
    <w:rsid w:val="003B3899"/>
    <w:rsid w:val="003B38F3"/>
    <w:rsid w:val="003B4040"/>
    <w:rsid w:val="003B45A4"/>
    <w:rsid w:val="003B4CAA"/>
    <w:rsid w:val="003B589A"/>
    <w:rsid w:val="003B60CA"/>
    <w:rsid w:val="003B69A0"/>
    <w:rsid w:val="003B6DE3"/>
    <w:rsid w:val="003B7620"/>
    <w:rsid w:val="003B768D"/>
    <w:rsid w:val="003B7709"/>
    <w:rsid w:val="003B7822"/>
    <w:rsid w:val="003B7B3A"/>
    <w:rsid w:val="003B7C9E"/>
    <w:rsid w:val="003B7EB5"/>
    <w:rsid w:val="003C0161"/>
    <w:rsid w:val="003C0891"/>
    <w:rsid w:val="003C0D46"/>
    <w:rsid w:val="003C128A"/>
    <w:rsid w:val="003C148C"/>
    <w:rsid w:val="003C15CC"/>
    <w:rsid w:val="003C1611"/>
    <w:rsid w:val="003C1684"/>
    <w:rsid w:val="003C1AFD"/>
    <w:rsid w:val="003C1D23"/>
    <w:rsid w:val="003C1D73"/>
    <w:rsid w:val="003C1DE4"/>
    <w:rsid w:val="003C1F60"/>
    <w:rsid w:val="003C20FD"/>
    <w:rsid w:val="003C279A"/>
    <w:rsid w:val="003C2CF9"/>
    <w:rsid w:val="003C304D"/>
    <w:rsid w:val="003C34AF"/>
    <w:rsid w:val="003C3735"/>
    <w:rsid w:val="003C384F"/>
    <w:rsid w:val="003C39D2"/>
    <w:rsid w:val="003C3BB2"/>
    <w:rsid w:val="003C4132"/>
    <w:rsid w:val="003C4339"/>
    <w:rsid w:val="003C4368"/>
    <w:rsid w:val="003C4F05"/>
    <w:rsid w:val="003C5094"/>
    <w:rsid w:val="003C55F2"/>
    <w:rsid w:val="003C5E98"/>
    <w:rsid w:val="003C611B"/>
    <w:rsid w:val="003C6C30"/>
    <w:rsid w:val="003C7668"/>
    <w:rsid w:val="003C7698"/>
    <w:rsid w:val="003C79BE"/>
    <w:rsid w:val="003C79E8"/>
    <w:rsid w:val="003C7B22"/>
    <w:rsid w:val="003C7C8F"/>
    <w:rsid w:val="003D0314"/>
    <w:rsid w:val="003D0831"/>
    <w:rsid w:val="003D0E39"/>
    <w:rsid w:val="003D13F3"/>
    <w:rsid w:val="003D1444"/>
    <w:rsid w:val="003D1719"/>
    <w:rsid w:val="003D1E56"/>
    <w:rsid w:val="003D1F68"/>
    <w:rsid w:val="003D25D7"/>
    <w:rsid w:val="003D2653"/>
    <w:rsid w:val="003D2926"/>
    <w:rsid w:val="003D2C25"/>
    <w:rsid w:val="003D2CCD"/>
    <w:rsid w:val="003D2CCE"/>
    <w:rsid w:val="003D2D90"/>
    <w:rsid w:val="003D31AC"/>
    <w:rsid w:val="003D3A58"/>
    <w:rsid w:val="003D3C7A"/>
    <w:rsid w:val="003D3E61"/>
    <w:rsid w:val="003D4137"/>
    <w:rsid w:val="003D4242"/>
    <w:rsid w:val="003D430B"/>
    <w:rsid w:val="003D4494"/>
    <w:rsid w:val="003D4585"/>
    <w:rsid w:val="003D4A80"/>
    <w:rsid w:val="003D4F26"/>
    <w:rsid w:val="003D4F97"/>
    <w:rsid w:val="003D4FAF"/>
    <w:rsid w:val="003D51B6"/>
    <w:rsid w:val="003D616C"/>
    <w:rsid w:val="003D62EE"/>
    <w:rsid w:val="003D6994"/>
    <w:rsid w:val="003D6F41"/>
    <w:rsid w:val="003D713D"/>
    <w:rsid w:val="003D7193"/>
    <w:rsid w:val="003D76AA"/>
    <w:rsid w:val="003D7A0F"/>
    <w:rsid w:val="003D7F6A"/>
    <w:rsid w:val="003E05A4"/>
    <w:rsid w:val="003E0689"/>
    <w:rsid w:val="003E0B16"/>
    <w:rsid w:val="003E0B4A"/>
    <w:rsid w:val="003E11F2"/>
    <w:rsid w:val="003E126B"/>
    <w:rsid w:val="003E1357"/>
    <w:rsid w:val="003E152A"/>
    <w:rsid w:val="003E1D67"/>
    <w:rsid w:val="003E2016"/>
    <w:rsid w:val="003E2887"/>
    <w:rsid w:val="003E2ACA"/>
    <w:rsid w:val="003E2CF2"/>
    <w:rsid w:val="003E2E4F"/>
    <w:rsid w:val="003E2FAC"/>
    <w:rsid w:val="003E3068"/>
    <w:rsid w:val="003E30DC"/>
    <w:rsid w:val="003E3289"/>
    <w:rsid w:val="003E37FA"/>
    <w:rsid w:val="003E39F3"/>
    <w:rsid w:val="003E44E9"/>
    <w:rsid w:val="003E459F"/>
    <w:rsid w:val="003E54BA"/>
    <w:rsid w:val="003E5641"/>
    <w:rsid w:val="003E58AD"/>
    <w:rsid w:val="003E5D80"/>
    <w:rsid w:val="003E5F33"/>
    <w:rsid w:val="003E6040"/>
    <w:rsid w:val="003E6584"/>
    <w:rsid w:val="003E6AA9"/>
    <w:rsid w:val="003E7600"/>
    <w:rsid w:val="003E78EE"/>
    <w:rsid w:val="003E7B4B"/>
    <w:rsid w:val="003F03C3"/>
    <w:rsid w:val="003F045E"/>
    <w:rsid w:val="003F0654"/>
    <w:rsid w:val="003F0684"/>
    <w:rsid w:val="003F0D36"/>
    <w:rsid w:val="003F0F5F"/>
    <w:rsid w:val="003F112C"/>
    <w:rsid w:val="003F1445"/>
    <w:rsid w:val="003F1746"/>
    <w:rsid w:val="003F1EB3"/>
    <w:rsid w:val="003F2524"/>
    <w:rsid w:val="003F2534"/>
    <w:rsid w:val="003F271F"/>
    <w:rsid w:val="003F297E"/>
    <w:rsid w:val="003F29ED"/>
    <w:rsid w:val="003F2C55"/>
    <w:rsid w:val="003F2EA8"/>
    <w:rsid w:val="003F357A"/>
    <w:rsid w:val="003F41C5"/>
    <w:rsid w:val="003F4685"/>
    <w:rsid w:val="003F46D1"/>
    <w:rsid w:val="003F47FA"/>
    <w:rsid w:val="003F48B6"/>
    <w:rsid w:val="003F4A55"/>
    <w:rsid w:val="003F4A67"/>
    <w:rsid w:val="003F516F"/>
    <w:rsid w:val="003F5276"/>
    <w:rsid w:val="003F5527"/>
    <w:rsid w:val="003F55B3"/>
    <w:rsid w:val="003F5924"/>
    <w:rsid w:val="003F5BB1"/>
    <w:rsid w:val="003F5EAB"/>
    <w:rsid w:val="003F6145"/>
    <w:rsid w:val="003F62D1"/>
    <w:rsid w:val="003F734F"/>
    <w:rsid w:val="003F77E4"/>
    <w:rsid w:val="003F7DEB"/>
    <w:rsid w:val="003F7FCB"/>
    <w:rsid w:val="0040008F"/>
    <w:rsid w:val="00400670"/>
    <w:rsid w:val="00400B60"/>
    <w:rsid w:val="00400EE3"/>
    <w:rsid w:val="00401BFF"/>
    <w:rsid w:val="00402AF4"/>
    <w:rsid w:val="00402B65"/>
    <w:rsid w:val="0040344D"/>
    <w:rsid w:val="004035E4"/>
    <w:rsid w:val="004035F3"/>
    <w:rsid w:val="00403667"/>
    <w:rsid w:val="0040375A"/>
    <w:rsid w:val="00403DDD"/>
    <w:rsid w:val="00404756"/>
    <w:rsid w:val="004053FD"/>
    <w:rsid w:val="004054EF"/>
    <w:rsid w:val="00405814"/>
    <w:rsid w:val="00406132"/>
    <w:rsid w:val="0040685A"/>
    <w:rsid w:val="00406BD7"/>
    <w:rsid w:val="00406E62"/>
    <w:rsid w:val="00406E77"/>
    <w:rsid w:val="004070E1"/>
    <w:rsid w:val="00407158"/>
    <w:rsid w:val="0040728D"/>
    <w:rsid w:val="00407893"/>
    <w:rsid w:val="00407BE8"/>
    <w:rsid w:val="00407DC3"/>
    <w:rsid w:val="004109F8"/>
    <w:rsid w:val="00410F16"/>
    <w:rsid w:val="00411414"/>
    <w:rsid w:val="00411964"/>
    <w:rsid w:val="00411BF8"/>
    <w:rsid w:val="0041228F"/>
    <w:rsid w:val="00412299"/>
    <w:rsid w:val="004123EA"/>
    <w:rsid w:val="004126E3"/>
    <w:rsid w:val="00412797"/>
    <w:rsid w:val="00413313"/>
    <w:rsid w:val="0041339E"/>
    <w:rsid w:val="004142ED"/>
    <w:rsid w:val="00414967"/>
    <w:rsid w:val="00414CAB"/>
    <w:rsid w:val="004151A5"/>
    <w:rsid w:val="00415496"/>
    <w:rsid w:val="0041559F"/>
    <w:rsid w:val="004163AB"/>
    <w:rsid w:val="004169E8"/>
    <w:rsid w:val="00416F38"/>
    <w:rsid w:val="00416F93"/>
    <w:rsid w:val="004170AD"/>
    <w:rsid w:val="004171BB"/>
    <w:rsid w:val="0041762D"/>
    <w:rsid w:val="00417B65"/>
    <w:rsid w:val="00417DFF"/>
    <w:rsid w:val="00417F45"/>
    <w:rsid w:val="004200C1"/>
    <w:rsid w:val="004202AD"/>
    <w:rsid w:val="004203C9"/>
    <w:rsid w:val="004205BC"/>
    <w:rsid w:val="004205E7"/>
    <w:rsid w:val="00420680"/>
    <w:rsid w:val="004208AA"/>
    <w:rsid w:val="00420C6E"/>
    <w:rsid w:val="00420D6B"/>
    <w:rsid w:val="00421768"/>
    <w:rsid w:val="004217C3"/>
    <w:rsid w:val="00421874"/>
    <w:rsid w:val="0042193B"/>
    <w:rsid w:val="00421B2F"/>
    <w:rsid w:val="00421C3F"/>
    <w:rsid w:val="00421F6D"/>
    <w:rsid w:val="0042214F"/>
    <w:rsid w:val="0042220B"/>
    <w:rsid w:val="0042266F"/>
    <w:rsid w:val="004226D8"/>
    <w:rsid w:val="004237EF"/>
    <w:rsid w:val="00423A3B"/>
    <w:rsid w:val="004240CE"/>
    <w:rsid w:val="0042424D"/>
    <w:rsid w:val="00424474"/>
    <w:rsid w:val="00424ABB"/>
    <w:rsid w:val="00424AFF"/>
    <w:rsid w:val="00424DAA"/>
    <w:rsid w:val="0042500E"/>
    <w:rsid w:val="004252AB"/>
    <w:rsid w:val="004254C3"/>
    <w:rsid w:val="00425C64"/>
    <w:rsid w:val="00425F78"/>
    <w:rsid w:val="00425FBC"/>
    <w:rsid w:val="00426061"/>
    <w:rsid w:val="00426CFC"/>
    <w:rsid w:val="00426D78"/>
    <w:rsid w:val="00427011"/>
    <w:rsid w:val="0042749C"/>
    <w:rsid w:val="00427822"/>
    <w:rsid w:val="004278C1"/>
    <w:rsid w:val="00427BF9"/>
    <w:rsid w:val="00427F41"/>
    <w:rsid w:val="004300F7"/>
    <w:rsid w:val="004301C1"/>
    <w:rsid w:val="00430359"/>
    <w:rsid w:val="0043066A"/>
    <w:rsid w:val="00430ABB"/>
    <w:rsid w:val="00430B20"/>
    <w:rsid w:val="00430C0C"/>
    <w:rsid w:val="00430DBC"/>
    <w:rsid w:val="00430ECC"/>
    <w:rsid w:val="0043105E"/>
    <w:rsid w:val="00431134"/>
    <w:rsid w:val="004314C3"/>
    <w:rsid w:val="00431795"/>
    <w:rsid w:val="004318C9"/>
    <w:rsid w:val="004322EE"/>
    <w:rsid w:val="00432416"/>
    <w:rsid w:val="004328F6"/>
    <w:rsid w:val="0043294A"/>
    <w:rsid w:val="00432AE4"/>
    <w:rsid w:val="00432B3D"/>
    <w:rsid w:val="00432D87"/>
    <w:rsid w:val="00432DE9"/>
    <w:rsid w:val="004331AF"/>
    <w:rsid w:val="004333C7"/>
    <w:rsid w:val="00433CB8"/>
    <w:rsid w:val="0043409E"/>
    <w:rsid w:val="004341FD"/>
    <w:rsid w:val="00434452"/>
    <w:rsid w:val="00434ADA"/>
    <w:rsid w:val="00434AF6"/>
    <w:rsid w:val="0043528A"/>
    <w:rsid w:val="00435521"/>
    <w:rsid w:val="00435D3E"/>
    <w:rsid w:val="00435D47"/>
    <w:rsid w:val="0043646F"/>
    <w:rsid w:val="00436D67"/>
    <w:rsid w:val="00436F95"/>
    <w:rsid w:val="004370D6"/>
    <w:rsid w:val="0043715C"/>
    <w:rsid w:val="004373A1"/>
    <w:rsid w:val="004374E0"/>
    <w:rsid w:val="0043753C"/>
    <w:rsid w:val="0043755E"/>
    <w:rsid w:val="00437824"/>
    <w:rsid w:val="00437BF7"/>
    <w:rsid w:val="00437DBC"/>
    <w:rsid w:val="00437FB4"/>
    <w:rsid w:val="00440296"/>
    <w:rsid w:val="0044105A"/>
    <w:rsid w:val="00441475"/>
    <w:rsid w:val="0044169C"/>
    <w:rsid w:val="0044180D"/>
    <w:rsid w:val="00441E4E"/>
    <w:rsid w:val="00442233"/>
    <w:rsid w:val="0044288F"/>
    <w:rsid w:val="00442E61"/>
    <w:rsid w:val="00442EC8"/>
    <w:rsid w:val="00442FC5"/>
    <w:rsid w:val="004437EE"/>
    <w:rsid w:val="00443B30"/>
    <w:rsid w:val="00444045"/>
    <w:rsid w:val="00444BE0"/>
    <w:rsid w:val="0044506A"/>
    <w:rsid w:val="00445808"/>
    <w:rsid w:val="00445D3A"/>
    <w:rsid w:val="00446529"/>
    <w:rsid w:val="00446CFE"/>
    <w:rsid w:val="00446E2E"/>
    <w:rsid w:val="00446E58"/>
    <w:rsid w:val="00446F4C"/>
    <w:rsid w:val="00447486"/>
    <w:rsid w:val="004474D1"/>
    <w:rsid w:val="00447D44"/>
    <w:rsid w:val="00450B80"/>
    <w:rsid w:val="00451217"/>
    <w:rsid w:val="00451594"/>
    <w:rsid w:val="00451697"/>
    <w:rsid w:val="004516C1"/>
    <w:rsid w:val="004517BD"/>
    <w:rsid w:val="004518E4"/>
    <w:rsid w:val="004519F6"/>
    <w:rsid w:val="00451E39"/>
    <w:rsid w:val="0045216A"/>
    <w:rsid w:val="00452299"/>
    <w:rsid w:val="004523C6"/>
    <w:rsid w:val="00452A49"/>
    <w:rsid w:val="00453604"/>
    <w:rsid w:val="00453DF6"/>
    <w:rsid w:val="00453F97"/>
    <w:rsid w:val="00454218"/>
    <w:rsid w:val="00454341"/>
    <w:rsid w:val="00454402"/>
    <w:rsid w:val="0045483B"/>
    <w:rsid w:val="0045485D"/>
    <w:rsid w:val="00454AC2"/>
    <w:rsid w:val="00454B84"/>
    <w:rsid w:val="00454DCD"/>
    <w:rsid w:val="00455106"/>
    <w:rsid w:val="004551FC"/>
    <w:rsid w:val="004555CF"/>
    <w:rsid w:val="00455A1C"/>
    <w:rsid w:val="00455C28"/>
    <w:rsid w:val="0045602D"/>
    <w:rsid w:val="004562AF"/>
    <w:rsid w:val="00456B92"/>
    <w:rsid w:val="00456C1F"/>
    <w:rsid w:val="00457237"/>
    <w:rsid w:val="00457513"/>
    <w:rsid w:val="004575C7"/>
    <w:rsid w:val="00457B8A"/>
    <w:rsid w:val="00457C48"/>
    <w:rsid w:val="00457D5D"/>
    <w:rsid w:val="00460BCB"/>
    <w:rsid w:val="00460CDE"/>
    <w:rsid w:val="0046135C"/>
    <w:rsid w:val="0046162E"/>
    <w:rsid w:val="004616C8"/>
    <w:rsid w:val="00461D26"/>
    <w:rsid w:val="00461D8E"/>
    <w:rsid w:val="0046231A"/>
    <w:rsid w:val="004627CF"/>
    <w:rsid w:val="00462BB9"/>
    <w:rsid w:val="00463087"/>
    <w:rsid w:val="00463582"/>
    <w:rsid w:val="0046366C"/>
    <w:rsid w:val="00463804"/>
    <w:rsid w:val="00463867"/>
    <w:rsid w:val="00463E00"/>
    <w:rsid w:val="004641B7"/>
    <w:rsid w:val="00464817"/>
    <w:rsid w:val="004649FB"/>
    <w:rsid w:val="00464C7B"/>
    <w:rsid w:val="00465291"/>
    <w:rsid w:val="00465518"/>
    <w:rsid w:val="00465969"/>
    <w:rsid w:val="00465C55"/>
    <w:rsid w:val="00465E58"/>
    <w:rsid w:val="004662DC"/>
    <w:rsid w:val="00466600"/>
    <w:rsid w:val="00466943"/>
    <w:rsid w:val="00466AD6"/>
    <w:rsid w:val="00466F04"/>
    <w:rsid w:val="004678EE"/>
    <w:rsid w:val="00467A75"/>
    <w:rsid w:val="00467EC9"/>
    <w:rsid w:val="004702F6"/>
    <w:rsid w:val="00470304"/>
    <w:rsid w:val="00470590"/>
    <w:rsid w:val="00470651"/>
    <w:rsid w:val="00470B85"/>
    <w:rsid w:val="00470D03"/>
    <w:rsid w:val="00470E12"/>
    <w:rsid w:val="00470FCF"/>
    <w:rsid w:val="00471423"/>
    <w:rsid w:val="00471704"/>
    <w:rsid w:val="00472574"/>
    <w:rsid w:val="00472DE6"/>
    <w:rsid w:val="004730C9"/>
    <w:rsid w:val="004734B0"/>
    <w:rsid w:val="0047356E"/>
    <w:rsid w:val="00473575"/>
    <w:rsid w:val="0047371E"/>
    <w:rsid w:val="004737EA"/>
    <w:rsid w:val="00473F87"/>
    <w:rsid w:val="0047436B"/>
    <w:rsid w:val="004747F6"/>
    <w:rsid w:val="00474F9F"/>
    <w:rsid w:val="00475187"/>
    <w:rsid w:val="004751AE"/>
    <w:rsid w:val="00475839"/>
    <w:rsid w:val="004765D2"/>
    <w:rsid w:val="00476C1A"/>
    <w:rsid w:val="00477152"/>
    <w:rsid w:val="00477479"/>
    <w:rsid w:val="00477642"/>
    <w:rsid w:val="00477BF4"/>
    <w:rsid w:val="00480284"/>
    <w:rsid w:val="00480402"/>
    <w:rsid w:val="00480661"/>
    <w:rsid w:val="00480B34"/>
    <w:rsid w:val="00481486"/>
    <w:rsid w:val="00481BAB"/>
    <w:rsid w:val="00481E6B"/>
    <w:rsid w:val="00482533"/>
    <w:rsid w:val="00482767"/>
    <w:rsid w:val="00482A34"/>
    <w:rsid w:val="00482EE4"/>
    <w:rsid w:val="00483098"/>
    <w:rsid w:val="00483EDE"/>
    <w:rsid w:val="00484119"/>
    <w:rsid w:val="00484281"/>
    <w:rsid w:val="00484468"/>
    <w:rsid w:val="00485220"/>
    <w:rsid w:val="00485A15"/>
    <w:rsid w:val="00485B42"/>
    <w:rsid w:val="00485EDB"/>
    <w:rsid w:val="00486058"/>
    <w:rsid w:val="00486064"/>
    <w:rsid w:val="0048662A"/>
    <w:rsid w:val="00486C81"/>
    <w:rsid w:val="00486D40"/>
    <w:rsid w:val="00486D9B"/>
    <w:rsid w:val="004870F5"/>
    <w:rsid w:val="004874D5"/>
    <w:rsid w:val="0048759B"/>
    <w:rsid w:val="0048761B"/>
    <w:rsid w:val="0048776C"/>
    <w:rsid w:val="00487B48"/>
    <w:rsid w:val="00487B9E"/>
    <w:rsid w:val="00487BB8"/>
    <w:rsid w:val="00487CE1"/>
    <w:rsid w:val="00487D61"/>
    <w:rsid w:val="00487FFB"/>
    <w:rsid w:val="0049021D"/>
    <w:rsid w:val="004907FF"/>
    <w:rsid w:val="00490FA0"/>
    <w:rsid w:val="0049127F"/>
    <w:rsid w:val="00491488"/>
    <w:rsid w:val="004916C3"/>
    <w:rsid w:val="00491729"/>
    <w:rsid w:val="00491778"/>
    <w:rsid w:val="0049189B"/>
    <w:rsid w:val="00491B0C"/>
    <w:rsid w:val="00491CE3"/>
    <w:rsid w:val="00491E61"/>
    <w:rsid w:val="004921DF"/>
    <w:rsid w:val="00492AA9"/>
    <w:rsid w:val="00492C72"/>
    <w:rsid w:val="004931CB"/>
    <w:rsid w:val="00493360"/>
    <w:rsid w:val="00493557"/>
    <w:rsid w:val="00493CE2"/>
    <w:rsid w:val="00493D3F"/>
    <w:rsid w:val="004944FF"/>
    <w:rsid w:val="00494867"/>
    <w:rsid w:val="00494EF7"/>
    <w:rsid w:val="0049517B"/>
    <w:rsid w:val="004954F6"/>
    <w:rsid w:val="004957F8"/>
    <w:rsid w:val="0049587D"/>
    <w:rsid w:val="0049603E"/>
    <w:rsid w:val="0049643A"/>
    <w:rsid w:val="004966CC"/>
    <w:rsid w:val="00496956"/>
    <w:rsid w:val="004970D8"/>
    <w:rsid w:val="00497582"/>
    <w:rsid w:val="00497768"/>
    <w:rsid w:val="00497AA2"/>
    <w:rsid w:val="00497F9D"/>
    <w:rsid w:val="004A0166"/>
    <w:rsid w:val="004A05D5"/>
    <w:rsid w:val="004A0FA9"/>
    <w:rsid w:val="004A133C"/>
    <w:rsid w:val="004A1567"/>
    <w:rsid w:val="004A160B"/>
    <w:rsid w:val="004A184F"/>
    <w:rsid w:val="004A1B99"/>
    <w:rsid w:val="004A2196"/>
    <w:rsid w:val="004A25AD"/>
    <w:rsid w:val="004A25E8"/>
    <w:rsid w:val="004A26F7"/>
    <w:rsid w:val="004A3210"/>
    <w:rsid w:val="004A3B7A"/>
    <w:rsid w:val="004A3D43"/>
    <w:rsid w:val="004A4260"/>
    <w:rsid w:val="004A42B4"/>
    <w:rsid w:val="004A443A"/>
    <w:rsid w:val="004A447F"/>
    <w:rsid w:val="004A44F7"/>
    <w:rsid w:val="004A45DA"/>
    <w:rsid w:val="004A478B"/>
    <w:rsid w:val="004A4962"/>
    <w:rsid w:val="004A4D44"/>
    <w:rsid w:val="004A54A6"/>
    <w:rsid w:val="004A55FF"/>
    <w:rsid w:val="004A59EF"/>
    <w:rsid w:val="004A5AF8"/>
    <w:rsid w:val="004A5F3F"/>
    <w:rsid w:val="004A607E"/>
    <w:rsid w:val="004A638B"/>
    <w:rsid w:val="004A6864"/>
    <w:rsid w:val="004A6B97"/>
    <w:rsid w:val="004A6BCC"/>
    <w:rsid w:val="004A6E58"/>
    <w:rsid w:val="004A70AF"/>
    <w:rsid w:val="004A7209"/>
    <w:rsid w:val="004A7413"/>
    <w:rsid w:val="004A75DE"/>
    <w:rsid w:val="004A762F"/>
    <w:rsid w:val="004A7BE2"/>
    <w:rsid w:val="004B0A7A"/>
    <w:rsid w:val="004B0D86"/>
    <w:rsid w:val="004B0DAE"/>
    <w:rsid w:val="004B0EB5"/>
    <w:rsid w:val="004B0ED5"/>
    <w:rsid w:val="004B140C"/>
    <w:rsid w:val="004B1447"/>
    <w:rsid w:val="004B17DD"/>
    <w:rsid w:val="004B1A8B"/>
    <w:rsid w:val="004B1E01"/>
    <w:rsid w:val="004B1E99"/>
    <w:rsid w:val="004B1F49"/>
    <w:rsid w:val="004B20F8"/>
    <w:rsid w:val="004B2184"/>
    <w:rsid w:val="004B2514"/>
    <w:rsid w:val="004B2792"/>
    <w:rsid w:val="004B2F12"/>
    <w:rsid w:val="004B3042"/>
    <w:rsid w:val="004B30CD"/>
    <w:rsid w:val="004B3A26"/>
    <w:rsid w:val="004B4535"/>
    <w:rsid w:val="004B49B4"/>
    <w:rsid w:val="004B4E30"/>
    <w:rsid w:val="004B5155"/>
    <w:rsid w:val="004B5775"/>
    <w:rsid w:val="004B57F5"/>
    <w:rsid w:val="004B604D"/>
    <w:rsid w:val="004B6404"/>
    <w:rsid w:val="004B6676"/>
    <w:rsid w:val="004B6766"/>
    <w:rsid w:val="004B6C28"/>
    <w:rsid w:val="004B6E77"/>
    <w:rsid w:val="004B6F12"/>
    <w:rsid w:val="004B744F"/>
    <w:rsid w:val="004C0078"/>
    <w:rsid w:val="004C0D56"/>
    <w:rsid w:val="004C0F67"/>
    <w:rsid w:val="004C1011"/>
    <w:rsid w:val="004C109B"/>
    <w:rsid w:val="004C1360"/>
    <w:rsid w:val="004C1BC1"/>
    <w:rsid w:val="004C2231"/>
    <w:rsid w:val="004C2674"/>
    <w:rsid w:val="004C279C"/>
    <w:rsid w:val="004C28F0"/>
    <w:rsid w:val="004C2B41"/>
    <w:rsid w:val="004C2C6D"/>
    <w:rsid w:val="004C2D8A"/>
    <w:rsid w:val="004C3549"/>
    <w:rsid w:val="004C358F"/>
    <w:rsid w:val="004C385E"/>
    <w:rsid w:val="004C38B3"/>
    <w:rsid w:val="004C4481"/>
    <w:rsid w:val="004C4F51"/>
    <w:rsid w:val="004C51D5"/>
    <w:rsid w:val="004C64D4"/>
    <w:rsid w:val="004C66FF"/>
    <w:rsid w:val="004C726D"/>
    <w:rsid w:val="004C72A4"/>
    <w:rsid w:val="004C7A5A"/>
    <w:rsid w:val="004C7B7C"/>
    <w:rsid w:val="004D03DB"/>
    <w:rsid w:val="004D044D"/>
    <w:rsid w:val="004D0A50"/>
    <w:rsid w:val="004D0BEC"/>
    <w:rsid w:val="004D111E"/>
    <w:rsid w:val="004D13E7"/>
    <w:rsid w:val="004D156D"/>
    <w:rsid w:val="004D1815"/>
    <w:rsid w:val="004D208D"/>
    <w:rsid w:val="004D2737"/>
    <w:rsid w:val="004D2C2D"/>
    <w:rsid w:val="004D2C4F"/>
    <w:rsid w:val="004D2CF7"/>
    <w:rsid w:val="004D2F1D"/>
    <w:rsid w:val="004D3646"/>
    <w:rsid w:val="004D38A1"/>
    <w:rsid w:val="004D3983"/>
    <w:rsid w:val="004D3BF5"/>
    <w:rsid w:val="004D3F40"/>
    <w:rsid w:val="004D3FC5"/>
    <w:rsid w:val="004D41B5"/>
    <w:rsid w:val="004D432B"/>
    <w:rsid w:val="004D4466"/>
    <w:rsid w:val="004D4A8C"/>
    <w:rsid w:val="004D4AD5"/>
    <w:rsid w:val="004D534D"/>
    <w:rsid w:val="004D5D14"/>
    <w:rsid w:val="004D5E10"/>
    <w:rsid w:val="004D5FC5"/>
    <w:rsid w:val="004D6113"/>
    <w:rsid w:val="004D6232"/>
    <w:rsid w:val="004D6CBD"/>
    <w:rsid w:val="004D6DEE"/>
    <w:rsid w:val="004D720A"/>
    <w:rsid w:val="004D7A14"/>
    <w:rsid w:val="004D7B23"/>
    <w:rsid w:val="004D7F10"/>
    <w:rsid w:val="004E0034"/>
    <w:rsid w:val="004E062E"/>
    <w:rsid w:val="004E06DC"/>
    <w:rsid w:val="004E0EA7"/>
    <w:rsid w:val="004E1D17"/>
    <w:rsid w:val="004E23B5"/>
    <w:rsid w:val="004E286F"/>
    <w:rsid w:val="004E2896"/>
    <w:rsid w:val="004E2D67"/>
    <w:rsid w:val="004E33E5"/>
    <w:rsid w:val="004E3968"/>
    <w:rsid w:val="004E3EC7"/>
    <w:rsid w:val="004E3F52"/>
    <w:rsid w:val="004E40A8"/>
    <w:rsid w:val="004E44B6"/>
    <w:rsid w:val="004E4DCF"/>
    <w:rsid w:val="004E5074"/>
    <w:rsid w:val="004E528C"/>
    <w:rsid w:val="004E541D"/>
    <w:rsid w:val="004E5507"/>
    <w:rsid w:val="004E5F17"/>
    <w:rsid w:val="004E64C1"/>
    <w:rsid w:val="004E6668"/>
    <w:rsid w:val="004E6905"/>
    <w:rsid w:val="004E6AEE"/>
    <w:rsid w:val="004E6CCA"/>
    <w:rsid w:val="004E6EAD"/>
    <w:rsid w:val="004E7305"/>
    <w:rsid w:val="004E7878"/>
    <w:rsid w:val="004F05AD"/>
    <w:rsid w:val="004F0697"/>
    <w:rsid w:val="004F0751"/>
    <w:rsid w:val="004F0757"/>
    <w:rsid w:val="004F116B"/>
    <w:rsid w:val="004F1269"/>
    <w:rsid w:val="004F1A96"/>
    <w:rsid w:val="004F284E"/>
    <w:rsid w:val="004F2961"/>
    <w:rsid w:val="004F2DC6"/>
    <w:rsid w:val="004F2E2C"/>
    <w:rsid w:val="004F3334"/>
    <w:rsid w:val="004F33A0"/>
    <w:rsid w:val="004F383F"/>
    <w:rsid w:val="004F3A61"/>
    <w:rsid w:val="004F3D3E"/>
    <w:rsid w:val="004F3EB1"/>
    <w:rsid w:val="004F4041"/>
    <w:rsid w:val="004F4540"/>
    <w:rsid w:val="004F4643"/>
    <w:rsid w:val="004F4785"/>
    <w:rsid w:val="004F4B5D"/>
    <w:rsid w:val="004F5204"/>
    <w:rsid w:val="004F5367"/>
    <w:rsid w:val="004F5B0F"/>
    <w:rsid w:val="004F683A"/>
    <w:rsid w:val="004F6C87"/>
    <w:rsid w:val="004F711E"/>
    <w:rsid w:val="004F7747"/>
    <w:rsid w:val="004F79F9"/>
    <w:rsid w:val="004F7D37"/>
    <w:rsid w:val="005002F8"/>
    <w:rsid w:val="00500412"/>
    <w:rsid w:val="0050079D"/>
    <w:rsid w:val="00500BCC"/>
    <w:rsid w:val="00500D59"/>
    <w:rsid w:val="00500F58"/>
    <w:rsid w:val="00501564"/>
    <w:rsid w:val="005015A2"/>
    <w:rsid w:val="00501684"/>
    <w:rsid w:val="00501729"/>
    <w:rsid w:val="00501A07"/>
    <w:rsid w:val="00501DE9"/>
    <w:rsid w:val="00502156"/>
    <w:rsid w:val="005023F4"/>
    <w:rsid w:val="00502511"/>
    <w:rsid w:val="0050258E"/>
    <w:rsid w:val="005028B6"/>
    <w:rsid w:val="0050327E"/>
    <w:rsid w:val="0050347C"/>
    <w:rsid w:val="00503B9C"/>
    <w:rsid w:val="00503F82"/>
    <w:rsid w:val="00504394"/>
    <w:rsid w:val="005048E1"/>
    <w:rsid w:val="005049C7"/>
    <w:rsid w:val="00504A49"/>
    <w:rsid w:val="00504CC3"/>
    <w:rsid w:val="00504F66"/>
    <w:rsid w:val="00505680"/>
    <w:rsid w:val="00505809"/>
    <w:rsid w:val="00505868"/>
    <w:rsid w:val="005058A1"/>
    <w:rsid w:val="00505ACB"/>
    <w:rsid w:val="00505C57"/>
    <w:rsid w:val="00505F19"/>
    <w:rsid w:val="00505FB6"/>
    <w:rsid w:val="005064D5"/>
    <w:rsid w:val="00506736"/>
    <w:rsid w:val="0050677F"/>
    <w:rsid w:val="00506970"/>
    <w:rsid w:val="00506A22"/>
    <w:rsid w:val="00506AAB"/>
    <w:rsid w:val="00507310"/>
    <w:rsid w:val="005077F7"/>
    <w:rsid w:val="005079EE"/>
    <w:rsid w:val="005108A4"/>
    <w:rsid w:val="00510A5A"/>
    <w:rsid w:val="00510B11"/>
    <w:rsid w:val="00510BF1"/>
    <w:rsid w:val="00510C32"/>
    <w:rsid w:val="00510F62"/>
    <w:rsid w:val="00510F77"/>
    <w:rsid w:val="00510FA6"/>
    <w:rsid w:val="005113D9"/>
    <w:rsid w:val="00511536"/>
    <w:rsid w:val="00511A01"/>
    <w:rsid w:val="00511C18"/>
    <w:rsid w:val="00512307"/>
    <w:rsid w:val="00512963"/>
    <w:rsid w:val="005129D7"/>
    <w:rsid w:val="00512AEF"/>
    <w:rsid w:val="00513069"/>
    <w:rsid w:val="00513773"/>
    <w:rsid w:val="005137A5"/>
    <w:rsid w:val="00513B15"/>
    <w:rsid w:val="00513B6C"/>
    <w:rsid w:val="00513E0E"/>
    <w:rsid w:val="00514034"/>
    <w:rsid w:val="0051449F"/>
    <w:rsid w:val="005148E4"/>
    <w:rsid w:val="00514AED"/>
    <w:rsid w:val="00514E5C"/>
    <w:rsid w:val="00514EC0"/>
    <w:rsid w:val="00514F12"/>
    <w:rsid w:val="00515495"/>
    <w:rsid w:val="005155CB"/>
    <w:rsid w:val="005157C5"/>
    <w:rsid w:val="005158A8"/>
    <w:rsid w:val="00515A1B"/>
    <w:rsid w:val="00515C4A"/>
    <w:rsid w:val="00516962"/>
    <w:rsid w:val="00516CA1"/>
    <w:rsid w:val="00516CAD"/>
    <w:rsid w:val="0051703B"/>
    <w:rsid w:val="00517358"/>
    <w:rsid w:val="005175A7"/>
    <w:rsid w:val="00517800"/>
    <w:rsid w:val="00517EEE"/>
    <w:rsid w:val="005205F4"/>
    <w:rsid w:val="0052060D"/>
    <w:rsid w:val="00520786"/>
    <w:rsid w:val="00520963"/>
    <w:rsid w:val="00520F4F"/>
    <w:rsid w:val="005212FF"/>
    <w:rsid w:val="00521D7F"/>
    <w:rsid w:val="00521E52"/>
    <w:rsid w:val="00522044"/>
    <w:rsid w:val="005222EA"/>
    <w:rsid w:val="00522377"/>
    <w:rsid w:val="0052252D"/>
    <w:rsid w:val="00522E27"/>
    <w:rsid w:val="00522EF9"/>
    <w:rsid w:val="00522F7B"/>
    <w:rsid w:val="00523504"/>
    <w:rsid w:val="00523549"/>
    <w:rsid w:val="00524074"/>
    <w:rsid w:val="00524430"/>
    <w:rsid w:val="005244D0"/>
    <w:rsid w:val="00524742"/>
    <w:rsid w:val="0052479E"/>
    <w:rsid w:val="00524F9E"/>
    <w:rsid w:val="00525026"/>
    <w:rsid w:val="0052508B"/>
    <w:rsid w:val="00525486"/>
    <w:rsid w:val="005259A1"/>
    <w:rsid w:val="00525B1A"/>
    <w:rsid w:val="00525DEA"/>
    <w:rsid w:val="00525E73"/>
    <w:rsid w:val="00526A41"/>
    <w:rsid w:val="00526BBF"/>
    <w:rsid w:val="00526F06"/>
    <w:rsid w:val="005273C3"/>
    <w:rsid w:val="005273DB"/>
    <w:rsid w:val="0052766F"/>
    <w:rsid w:val="005278E0"/>
    <w:rsid w:val="005278FA"/>
    <w:rsid w:val="005279F4"/>
    <w:rsid w:val="00527B74"/>
    <w:rsid w:val="00527BCE"/>
    <w:rsid w:val="00530278"/>
    <w:rsid w:val="00530602"/>
    <w:rsid w:val="0053063E"/>
    <w:rsid w:val="005307C9"/>
    <w:rsid w:val="0053091C"/>
    <w:rsid w:val="00530A1B"/>
    <w:rsid w:val="00530E41"/>
    <w:rsid w:val="00530F38"/>
    <w:rsid w:val="00531476"/>
    <w:rsid w:val="0053170E"/>
    <w:rsid w:val="005317C8"/>
    <w:rsid w:val="0053188D"/>
    <w:rsid w:val="00531AF6"/>
    <w:rsid w:val="00531EC9"/>
    <w:rsid w:val="0053258C"/>
    <w:rsid w:val="00532A14"/>
    <w:rsid w:val="005331E2"/>
    <w:rsid w:val="00534CAD"/>
    <w:rsid w:val="00534D3C"/>
    <w:rsid w:val="00534EF2"/>
    <w:rsid w:val="00535283"/>
    <w:rsid w:val="0053542F"/>
    <w:rsid w:val="00535470"/>
    <w:rsid w:val="005354B5"/>
    <w:rsid w:val="00535601"/>
    <w:rsid w:val="005357E7"/>
    <w:rsid w:val="00536092"/>
    <w:rsid w:val="00536667"/>
    <w:rsid w:val="005366DB"/>
    <w:rsid w:val="005368CD"/>
    <w:rsid w:val="00537459"/>
    <w:rsid w:val="005377B0"/>
    <w:rsid w:val="005377C0"/>
    <w:rsid w:val="0053794C"/>
    <w:rsid w:val="00537A3D"/>
    <w:rsid w:val="00537BD6"/>
    <w:rsid w:val="00537F61"/>
    <w:rsid w:val="00537FFA"/>
    <w:rsid w:val="00540A6B"/>
    <w:rsid w:val="00540B17"/>
    <w:rsid w:val="005415B3"/>
    <w:rsid w:val="005418F4"/>
    <w:rsid w:val="00541C21"/>
    <w:rsid w:val="00541CBC"/>
    <w:rsid w:val="00541D1E"/>
    <w:rsid w:val="005421A2"/>
    <w:rsid w:val="005426F4"/>
    <w:rsid w:val="00542714"/>
    <w:rsid w:val="0054271E"/>
    <w:rsid w:val="0054275F"/>
    <w:rsid w:val="0054301A"/>
    <w:rsid w:val="005430EC"/>
    <w:rsid w:val="00543233"/>
    <w:rsid w:val="00543384"/>
    <w:rsid w:val="0054352E"/>
    <w:rsid w:val="00543651"/>
    <w:rsid w:val="005438D4"/>
    <w:rsid w:val="00543E66"/>
    <w:rsid w:val="0054423E"/>
    <w:rsid w:val="00544B40"/>
    <w:rsid w:val="00544E47"/>
    <w:rsid w:val="00546118"/>
    <w:rsid w:val="00546416"/>
    <w:rsid w:val="00546558"/>
    <w:rsid w:val="005469A3"/>
    <w:rsid w:val="00546C0A"/>
    <w:rsid w:val="00546FAD"/>
    <w:rsid w:val="00547113"/>
    <w:rsid w:val="0054722B"/>
    <w:rsid w:val="00547B8A"/>
    <w:rsid w:val="00550508"/>
    <w:rsid w:val="0055053C"/>
    <w:rsid w:val="00550878"/>
    <w:rsid w:val="00550899"/>
    <w:rsid w:val="00550CAB"/>
    <w:rsid w:val="00550EEF"/>
    <w:rsid w:val="00550FA0"/>
    <w:rsid w:val="005510CD"/>
    <w:rsid w:val="00551483"/>
    <w:rsid w:val="00551875"/>
    <w:rsid w:val="00551C61"/>
    <w:rsid w:val="00551D5B"/>
    <w:rsid w:val="00552247"/>
    <w:rsid w:val="00552776"/>
    <w:rsid w:val="005527B9"/>
    <w:rsid w:val="005530D9"/>
    <w:rsid w:val="005534EC"/>
    <w:rsid w:val="00553585"/>
    <w:rsid w:val="005536C6"/>
    <w:rsid w:val="00553F07"/>
    <w:rsid w:val="0055401A"/>
    <w:rsid w:val="0055426E"/>
    <w:rsid w:val="005543D1"/>
    <w:rsid w:val="00554474"/>
    <w:rsid w:val="00554652"/>
    <w:rsid w:val="0055484A"/>
    <w:rsid w:val="00554B71"/>
    <w:rsid w:val="00554DB3"/>
    <w:rsid w:val="005551F2"/>
    <w:rsid w:val="0055521B"/>
    <w:rsid w:val="00555566"/>
    <w:rsid w:val="005555AC"/>
    <w:rsid w:val="00555830"/>
    <w:rsid w:val="005558FC"/>
    <w:rsid w:val="00555A52"/>
    <w:rsid w:val="00555ACF"/>
    <w:rsid w:val="005560CE"/>
    <w:rsid w:val="00556302"/>
    <w:rsid w:val="00556775"/>
    <w:rsid w:val="00556804"/>
    <w:rsid w:val="00556CF8"/>
    <w:rsid w:val="00556DA6"/>
    <w:rsid w:val="00557231"/>
    <w:rsid w:val="005577ED"/>
    <w:rsid w:val="00557A2B"/>
    <w:rsid w:val="00557D38"/>
    <w:rsid w:val="00560731"/>
    <w:rsid w:val="00560792"/>
    <w:rsid w:val="00560A0E"/>
    <w:rsid w:val="00560BF6"/>
    <w:rsid w:val="00560CF3"/>
    <w:rsid w:val="00560E83"/>
    <w:rsid w:val="00560EB2"/>
    <w:rsid w:val="00560F95"/>
    <w:rsid w:val="0056125C"/>
    <w:rsid w:val="00561700"/>
    <w:rsid w:val="00561A06"/>
    <w:rsid w:val="0056202C"/>
    <w:rsid w:val="0056227E"/>
    <w:rsid w:val="0056231E"/>
    <w:rsid w:val="005623EF"/>
    <w:rsid w:val="00562474"/>
    <w:rsid w:val="00562594"/>
    <w:rsid w:val="00562719"/>
    <w:rsid w:val="00562D0C"/>
    <w:rsid w:val="00563297"/>
    <w:rsid w:val="005635A9"/>
    <w:rsid w:val="005636DA"/>
    <w:rsid w:val="005638EB"/>
    <w:rsid w:val="00563D16"/>
    <w:rsid w:val="00563EA7"/>
    <w:rsid w:val="0056493F"/>
    <w:rsid w:val="00564A68"/>
    <w:rsid w:val="00564B3C"/>
    <w:rsid w:val="00565006"/>
    <w:rsid w:val="00565962"/>
    <w:rsid w:val="005659F5"/>
    <w:rsid w:val="00565A6C"/>
    <w:rsid w:val="00565D43"/>
    <w:rsid w:val="00565DC5"/>
    <w:rsid w:val="00565F82"/>
    <w:rsid w:val="00566160"/>
    <w:rsid w:val="005663C7"/>
    <w:rsid w:val="00566590"/>
    <w:rsid w:val="005667CA"/>
    <w:rsid w:val="00566BAB"/>
    <w:rsid w:val="00566E92"/>
    <w:rsid w:val="00567B24"/>
    <w:rsid w:val="00567DD6"/>
    <w:rsid w:val="00567E62"/>
    <w:rsid w:val="005701CF"/>
    <w:rsid w:val="0057044F"/>
    <w:rsid w:val="0057125F"/>
    <w:rsid w:val="00571483"/>
    <w:rsid w:val="00571600"/>
    <w:rsid w:val="0057164D"/>
    <w:rsid w:val="00571E7E"/>
    <w:rsid w:val="00572131"/>
    <w:rsid w:val="00572495"/>
    <w:rsid w:val="00572848"/>
    <w:rsid w:val="00573219"/>
    <w:rsid w:val="00573947"/>
    <w:rsid w:val="00573A94"/>
    <w:rsid w:val="00573C78"/>
    <w:rsid w:val="00573CDA"/>
    <w:rsid w:val="00574C57"/>
    <w:rsid w:val="00574C77"/>
    <w:rsid w:val="00575234"/>
    <w:rsid w:val="00575375"/>
    <w:rsid w:val="00575542"/>
    <w:rsid w:val="005758D9"/>
    <w:rsid w:val="00575CF2"/>
    <w:rsid w:val="00575DFE"/>
    <w:rsid w:val="00575EC5"/>
    <w:rsid w:val="00576008"/>
    <w:rsid w:val="00576D26"/>
    <w:rsid w:val="00577E37"/>
    <w:rsid w:val="00577EFA"/>
    <w:rsid w:val="005805F5"/>
    <w:rsid w:val="005808DE"/>
    <w:rsid w:val="0058093A"/>
    <w:rsid w:val="005809FE"/>
    <w:rsid w:val="00580B9C"/>
    <w:rsid w:val="00580D50"/>
    <w:rsid w:val="00580DF6"/>
    <w:rsid w:val="00580F68"/>
    <w:rsid w:val="00580FE8"/>
    <w:rsid w:val="00581109"/>
    <w:rsid w:val="00581216"/>
    <w:rsid w:val="00581251"/>
    <w:rsid w:val="0058145B"/>
    <w:rsid w:val="00581845"/>
    <w:rsid w:val="0058187B"/>
    <w:rsid w:val="00581C0E"/>
    <w:rsid w:val="00581C3C"/>
    <w:rsid w:val="00581F87"/>
    <w:rsid w:val="00581FF6"/>
    <w:rsid w:val="00582265"/>
    <w:rsid w:val="005822BA"/>
    <w:rsid w:val="005822FE"/>
    <w:rsid w:val="0058241C"/>
    <w:rsid w:val="005828BB"/>
    <w:rsid w:val="00582DC0"/>
    <w:rsid w:val="0058340F"/>
    <w:rsid w:val="00583535"/>
    <w:rsid w:val="005837F6"/>
    <w:rsid w:val="005839F0"/>
    <w:rsid w:val="00583C84"/>
    <w:rsid w:val="00583CBF"/>
    <w:rsid w:val="00583DBF"/>
    <w:rsid w:val="005841E9"/>
    <w:rsid w:val="00584768"/>
    <w:rsid w:val="005847D8"/>
    <w:rsid w:val="00584CD2"/>
    <w:rsid w:val="00584CE5"/>
    <w:rsid w:val="005851EE"/>
    <w:rsid w:val="00585290"/>
    <w:rsid w:val="0058547F"/>
    <w:rsid w:val="00585F6D"/>
    <w:rsid w:val="005865F3"/>
    <w:rsid w:val="00586604"/>
    <w:rsid w:val="00586C03"/>
    <w:rsid w:val="00586CF5"/>
    <w:rsid w:val="00586EC8"/>
    <w:rsid w:val="0058725B"/>
    <w:rsid w:val="005874C9"/>
    <w:rsid w:val="00587BDB"/>
    <w:rsid w:val="005900E7"/>
    <w:rsid w:val="00590184"/>
    <w:rsid w:val="005904DF"/>
    <w:rsid w:val="00590506"/>
    <w:rsid w:val="005906A9"/>
    <w:rsid w:val="005906D4"/>
    <w:rsid w:val="005908E3"/>
    <w:rsid w:val="00590C80"/>
    <w:rsid w:val="00590CEA"/>
    <w:rsid w:val="005912CA"/>
    <w:rsid w:val="0059195E"/>
    <w:rsid w:val="00591CB4"/>
    <w:rsid w:val="00591CBE"/>
    <w:rsid w:val="00591E74"/>
    <w:rsid w:val="00591EB7"/>
    <w:rsid w:val="00592074"/>
    <w:rsid w:val="00592436"/>
    <w:rsid w:val="0059259B"/>
    <w:rsid w:val="005925C9"/>
    <w:rsid w:val="005929C6"/>
    <w:rsid w:val="00593537"/>
    <w:rsid w:val="005935C7"/>
    <w:rsid w:val="0059361F"/>
    <w:rsid w:val="005936A0"/>
    <w:rsid w:val="005936EF"/>
    <w:rsid w:val="00593842"/>
    <w:rsid w:val="00593DB1"/>
    <w:rsid w:val="005940BA"/>
    <w:rsid w:val="00594F12"/>
    <w:rsid w:val="005952BF"/>
    <w:rsid w:val="005959B4"/>
    <w:rsid w:val="00595CC4"/>
    <w:rsid w:val="00595E68"/>
    <w:rsid w:val="00595F1F"/>
    <w:rsid w:val="00596293"/>
    <w:rsid w:val="00596438"/>
    <w:rsid w:val="005966A4"/>
    <w:rsid w:val="005966F2"/>
    <w:rsid w:val="0059689E"/>
    <w:rsid w:val="00596A07"/>
    <w:rsid w:val="00597254"/>
    <w:rsid w:val="00597291"/>
    <w:rsid w:val="005975FC"/>
    <w:rsid w:val="00597AE6"/>
    <w:rsid w:val="00597C06"/>
    <w:rsid w:val="005A003A"/>
    <w:rsid w:val="005A037E"/>
    <w:rsid w:val="005A0828"/>
    <w:rsid w:val="005A0A27"/>
    <w:rsid w:val="005A0A50"/>
    <w:rsid w:val="005A0F66"/>
    <w:rsid w:val="005A1187"/>
    <w:rsid w:val="005A16A7"/>
    <w:rsid w:val="005A1AED"/>
    <w:rsid w:val="005A1BFF"/>
    <w:rsid w:val="005A1E9F"/>
    <w:rsid w:val="005A23B5"/>
    <w:rsid w:val="005A3A96"/>
    <w:rsid w:val="005A40FD"/>
    <w:rsid w:val="005A440D"/>
    <w:rsid w:val="005A4767"/>
    <w:rsid w:val="005A4B18"/>
    <w:rsid w:val="005A5386"/>
    <w:rsid w:val="005A587F"/>
    <w:rsid w:val="005A6402"/>
    <w:rsid w:val="005A64E7"/>
    <w:rsid w:val="005A662A"/>
    <w:rsid w:val="005A670A"/>
    <w:rsid w:val="005A6996"/>
    <w:rsid w:val="005A71BF"/>
    <w:rsid w:val="005A7309"/>
    <w:rsid w:val="005A7786"/>
    <w:rsid w:val="005B023C"/>
    <w:rsid w:val="005B0335"/>
    <w:rsid w:val="005B09E0"/>
    <w:rsid w:val="005B0A81"/>
    <w:rsid w:val="005B0B8F"/>
    <w:rsid w:val="005B15AD"/>
    <w:rsid w:val="005B17B0"/>
    <w:rsid w:val="005B187A"/>
    <w:rsid w:val="005B1B93"/>
    <w:rsid w:val="005B2B6F"/>
    <w:rsid w:val="005B319E"/>
    <w:rsid w:val="005B31B9"/>
    <w:rsid w:val="005B32BF"/>
    <w:rsid w:val="005B3378"/>
    <w:rsid w:val="005B34E3"/>
    <w:rsid w:val="005B376D"/>
    <w:rsid w:val="005B3928"/>
    <w:rsid w:val="005B39BB"/>
    <w:rsid w:val="005B3B8C"/>
    <w:rsid w:val="005B4079"/>
    <w:rsid w:val="005B45FD"/>
    <w:rsid w:val="005B48FD"/>
    <w:rsid w:val="005B4E44"/>
    <w:rsid w:val="005B506B"/>
    <w:rsid w:val="005B5549"/>
    <w:rsid w:val="005B5837"/>
    <w:rsid w:val="005B58D6"/>
    <w:rsid w:val="005B5A25"/>
    <w:rsid w:val="005B63D9"/>
    <w:rsid w:val="005B6661"/>
    <w:rsid w:val="005B6CA2"/>
    <w:rsid w:val="005B6CAA"/>
    <w:rsid w:val="005B6FDB"/>
    <w:rsid w:val="005B7187"/>
    <w:rsid w:val="005B7245"/>
    <w:rsid w:val="005B73C9"/>
    <w:rsid w:val="005B7548"/>
    <w:rsid w:val="005B76D4"/>
    <w:rsid w:val="005B77D0"/>
    <w:rsid w:val="005B7D70"/>
    <w:rsid w:val="005C051F"/>
    <w:rsid w:val="005C054D"/>
    <w:rsid w:val="005C0927"/>
    <w:rsid w:val="005C09F1"/>
    <w:rsid w:val="005C1026"/>
    <w:rsid w:val="005C10B3"/>
    <w:rsid w:val="005C1155"/>
    <w:rsid w:val="005C202B"/>
    <w:rsid w:val="005C24D5"/>
    <w:rsid w:val="005C25AC"/>
    <w:rsid w:val="005C2852"/>
    <w:rsid w:val="005C2D60"/>
    <w:rsid w:val="005C2EF8"/>
    <w:rsid w:val="005C2F51"/>
    <w:rsid w:val="005C32CA"/>
    <w:rsid w:val="005C3393"/>
    <w:rsid w:val="005C35A3"/>
    <w:rsid w:val="005C3DAD"/>
    <w:rsid w:val="005C43C4"/>
    <w:rsid w:val="005C4997"/>
    <w:rsid w:val="005C4EDF"/>
    <w:rsid w:val="005C54EA"/>
    <w:rsid w:val="005C56CC"/>
    <w:rsid w:val="005C5724"/>
    <w:rsid w:val="005C60BA"/>
    <w:rsid w:val="005C6188"/>
    <w:rsid w:val="005C688A"/>
    <w:rsid w:val="005C69B1"/>
    <w:rsid w:val="005C6C70"/>
    <w:rsid w:val="005C6E1A"/>
    <w:rsid w:val="005C6E89"/>
    <w:rsid w:val="005C75CF"/>
    <w:rsid w:val="005C79BE"/>
    <w:rsid w:val="005C7ABF"/>
    <w:rsid w:val="005D0A09"/>
    <w:rsid w:val="005D0DE7"/>
    <w:rsid w:val="005D147D"/>
    <w:rsid w:val="005D1756"/>
    <w:rsid w:val="005D1A47"/>
    <w:rsid w:val="005D1A99"/>
    <w:rsid w:val="005D1C6C"/>
    <w:rsid w:val="005D24E2"/>
    <w:rsid w:val="005D2644"/>
    <w:rsid w:val="005D2A1B"/>
    <w:rsid w:val="005D2C0F"/>
    <w:rsid w:val="005D2D17"/>
    <w:rsid w:val="005D3301"/>
    <w:rsid w:val="005D3400"/>
    <w:rsid w:val="005D36BE"/>
    <w:rsid w:val="005D3A8F"/>
    <w:rsid w:val="005D4598"/>
    <w:rsid w:val="005D4630"/>
    <w:rsid w:val="005D4740"/>
    <w:rsid w:val="005D4F05"/>
    <w:rsid w:val="005D4F8A"/>
    <w:rsid w:val="005D50C0"/>
    <w:rsid w:val="005D5306"/>
    <w:rsid w:val="005D5313"/>
    <w:rsid w:val="005D5427"/>
    <w:rsid w:val="005D5592"/>
    <w:rsid w:val="005D55FB"/>
    <w:rsid w:val="005D57A7"/>
    <w:rsid w:val="005D5B5E"/>
    <w:rsid w:val="005D5E77"/>
    <w:rsid w:val="005D6137"/>
    <w:rsid w:val="005D639C"/>
    <w:rsid w:val="005D67ED"/>
    <w:rsid w:val="005D6AA6"/>
    <w:rsid w:val="005D6C29"/>
    <w:rsid w:val="005D6C57"/>
    <w:rsid w:val="005D73C6"/>
    <w:rsid w:val="005D76F8"/>
    <w:rsid w:val="005D7A5D"/>
    <w:rsid w:val="005D7B39"/>
    <w:rsid w:val="005D7D9F"/>
    <w:rsid w:val="005D7FA0"/>
    <w:rsid w:val="005E0368"/>
    <w:rsid w:val="005E07F0"/>
    <w:rsid w:val="005E0892"/>
    <w:rsid w:val="005E0B0E"/>
    <w:rsid w:val="005E1060"/>
    <w:rsid w:val="005E10DC"/>
    <w:rsid w:val="005E1341"/>
    <w:rsid w:val="005E1351"/>
    <w:rsid w:val="005E16AD"/>
    <w:rsid w:val="005E17E5"/>
    <w:rsid w:val="005E181A"/>
    <w:rsid w:val="005E1962"/>
    <w:rsid w:val="005E1A21"/>
    <w:rsid w:val="005E1CBE"/>
    <w:rsid w:val="005E1EA6"/>
    <w:rsid w:val="005E1FCB"/>
    <w:rsid w:val="005E2BF0"/>
    <w:rsid w:val="005E2E57"/>
    <w:rsid w:val="005E3301"/>
    <w:rsid w:val="005E3793"/>
    <w:rsid w:val="005E3C3A"/>
    <w:rsid w:val="005E4037"/>
    <w:rsid w:val="005E42B8"/>
    <w:rsid w:val="005E453C"/>
    <w:rsid w:val="005E45F3"/>
    <w:rsid w:val="005E4FFE"/>
    <w:rsid w:val="005E52CA"/>
    <w:rsid w:val="005E5312"/>
    <w:rsid w:val="005E531E"/>
    <w:rsid w:val="005E5357"/>
    <w:rsid w:val="005E5425"/>
    <w:rsid w:val="005E55A2"/>
    <w:rsid w:val="005E5A5D"/>
    <w:rsid w:val="005E610B"/>
    <w:rsid w:val="005E615F"/>
    <w:rsid w:val="005E6581"/>
    <w:rsid w:val="005E67CB"/>
    <w:rsid w:val="005E690E"/>
    <w:rsid w:val="005E6AA1"/>
    <w:rsid w:val="005E6BFB"/>
    <w:rsid w:val="005E6CB8"/>
    <w:rsid w:val="005E7145"/>
    <w:rsid w:val="005E725D"/>
    <w:rsid w:val="005E7262"/>
    <w:rsid w:val="005E750B"/>
    <w:rsid w:val="005E75AF"/>
    <w:rsid w:val="005E7C04"/>
    <w:rsid w:val="005E7C54"/>
    <w:rsid w:val="005F009D"/>
    <w:rsid w:val="005F016D"/>
    <w:rsid w:val="005F0380"/>
    <w:rsid w:val="005F0CBD"/>
    <w:rsid w:val="005F0DFC"/>
    <w:rsid w:val="005F0ED6"/>
    <w:rsid w:val="005F12C0"/>
    <w:rsid w:val="005F161B"/>
    <w:rsid w:val="005F195F"/>
    <w:rsid w:val="005F1B34"/>
    <w:rsid w:val="005F1D4A"/>
    <w:rsid w:val="005F1D96"/>
    <w:rsid w:val="005F1F2E"/>
    <w:rsid w:val="005F2EE6"/>
    <w:rsid w:val="005F30AB"/>
    <w:rsid w:val="005F3D90"/>
    <w:rsid w:val="005F4196"/>
    <w:rsid w:val="005F42C1"/>
    <w:rsid w:val="005F460C"/>
    <w:rsid w:val="005F46AE"/>
    <w:rsid w:val="005F47CD"/>
    <w:rsid w:val="005F4B02"/>
    <w:rsid w:val="005F5286"/>
    <w:rsid w:val="005F5570"/>
    <w:rsid w:val="005F56AB"/>
    <w:rsid w:val="005F57DD"/>
    <w:rsid w:val="005F5C2E"/>
    <w:rsid w:val="005F5CBD"/>
    <w:rsid w:val="005F5D30"/>
    <w:rsid w:val="005F60FD"/>
    <w:rsid w:val="005F6641"/>
    <w:rsid w:val="005F6790"/>
    <w:rsid w:val="005F67FA"/>
    <w:rsid w:val="005F6A2F"/>
    <w:rsid w:val="005F6BF7"/>
    <w:rsid w:val="005F7057"/>
    <w:rsid w:val="005F7142"/>
    <w:rsid w:val="005F7C8E"/>
    <w:rsid w:val="005F7CDB"/>
    <w:rsid w:val="005F7D25"/>
    <w:rsid w:val="006001FE"/>
    <w:rsid w:val="00600347"/>
    <w:rsid w:val="00600366"/>
    <w:rsid w:val="006007D3"/>
    <w:rsid w:val="00600986"/>
    <w:rsid w:val="00600C70"/>
    <w:rsid w:val="00600DB7"/>
    <w:rsid w:val="00600EDE"/>
    <w:rsid w:val="006011D7"/>
    <w:rsid w:val="00601433"/>
    <w:rsid w:val="0060150A"/>
    <w:rsid w:val="00601554"/>
    <w:rsid w:val="006015A9"/>
    <w:rsid w:val="006017A3"/>
    <w:rsid w:val="00601EB3"/>
    <w:rsid w:val="006020B0"/>
    <w:rsid w:val="00602211"/>
    <w:rsid w:val="00602747"/>
    <w:rsid w:val="00602C39"/>
    <w:rsid w:val="00603390"/>
    <w:rsid w:val="00603493"/>
    <w:rsid w:val="006034C6"/>
    <w:rsid w:val="006039BA"/>
    <w:rsid w:val="00603C90"/>
    <w:rsid w:val="00604347"/>
    <w:rsid w:val="0060469D"/>
    <w:rsid w:val="006049FF"/>
    <w:rsid w:val="00604FD7"/>
    <w:rsid w:val="0060515A"/>
    <w:rsid w:val="006052F1"/>
    <w:rsid w:val="006055C1"/>
    <w:rsid w:val="00605C1A"/>
    <w:rsid w:val="00605C7E"/>
    <w:rsid w:val="00605D47"/>
    <w:rsid w:val="0060603F"/>
    <w:rsid w:val="00606093"/>
    <w:rsid w:val="006062F9"/>
    <w:rsid w:val="0060645D"/>
    <w:rsid w:val="0060678D"/>
    <w:rsid w:val="0060681E"/>
    <w:rsid w:val="0060715F"/>
    <w:rsid w:val="006071F9"/>
    <w:rsid w:val="006077CD"/>
    <w:rsid w:val="006077D4"/>
    <w:rsid w:val="0060794A"/>
    <w:rsid w:val="00607A87"/>
    <w:rsid w:val="00610060"/>
    <w:rsid w:val="00610275"/>
    <w:rsid w:val="00610648"/>
    <w:rsid w:val="00610927"/>
    <w:rsid w:val="00610F9F"/>
    <w:rsid w:val="006110AE"/>
    <w:rsid w:val="006111FD"/>
    <w:rsid w:val="00611359"/>
    <w:rsid w:val="00611505"/>
    <w:rsid w:val="006116AE"/>
    <w:rsid w:val="006116E1"/>
    <w:rsid w:val="00611761"/>
    <w:rsid w:val="00611B01"/>
    <w:rsid w:val="00611FED"/>
    <w:rsid w:val="0061243D"/>
    <w:rsid w:val="006124A6"/>
    <w:rsid w:val="00612954"/>
    <w:rsid w:val="00612981"/>
    <w:rsid w:val="00612C03"/>
    <w:rsid w:val="00612FEE"/>
    <w:rsid w:val="006130C0"/>
    <w:rsid w:val="00613107"/>
    <w:rsid w:val="00613A11"/>
    <w:rsid w:val="00613BFC"/>
    <w:rsid w:val="00613F90"/>
    <w:rsid w:val="00614370"/>
    <w:rsid w:val="006147E5"/>
    <w:rsid w:val="006149E1"/>
    <w:rsid w:val="00614A8D"/>
    <w:rsid w:val="00614B1F"/>
    <w:rsid w:val="00614CB5"/>
    <w:rsid w:val="00614F11"/>
    <w:rsid w:val="00614F28"/>
    <w:rsid w:val="006152A7"/>
    <w:rsid w:val="00615472"/>
    <w:rsid w:val="006156EC"/>
    <w:rsid w:val="00615974"/>
    <w:rsid w:val="00615BC0"/>
    <w:rsid w:val="00615C3C"/>
    <w:rsid w:val="00615DEC"/>
    <w:rsid w:val="006166DE"/>
    <w:rsid w:val="00616B6F"/>
    <w:rsid w:val="00616D8B"/>
    <w:rsid w:val="00616D97"/>
    <w:rsid w:val="00617059"/>
    <w:rsid w:val="0061752F"/>
    <w:rsid w:val="006175EA"/>
    <w:rsid w:val="0061796E"/>
    <w:rsid w:val="00617A20"/>
    <w:rsid w:val="00617FB3"/>
    <w:rsid w:val="00620091"/>
    <w:rsid w:val="006204B0"/>
    <w:rsid w:val="00620A2C"/>
    <w:rsid w:val="00620C37"/>
    <w:rsid w:val="00620F74"/>
    <w:rsid w:val="00621021"/>
    <w:rsid w:val="00621B1D"/>
    <w:rsid w:val="00621D2E"/>
    <w:rsid w:val="00621EA1"/>
    <w:rsid w:val="00622327"/>
    <w:rsid w:val="0062263C"/>
    <w:rsid w:val="00622B86"/>
    <w:rsid w:val="00623026"/>
    <w:rsid w:val="006232F6"/>
    <w:rsid w:val="00623456"/>
    <w:rsid w:val="006234AB"/>
    <w:rsid w:val="0062367F"/>
    <w:rsid w:val="00623A86"/>
    <w:rsid w:val="00623ACC"/>
    <w:rsid w:val="00623BE9"/>
    <w:rsid w:val="0062403A"/>
    <w:rsid w:val="00624197"/>
    <w:rsid w:val="006244A6"/>
    <w:rsid w:val="0062466B"/>
    <w:rsid w:val="006248E7"/>
    <w:rsid w:val="00624A6A"/>
    <w:rsid w:val="00624D2F"/>
    <w:rsid w:val="00624F18"/>
    <w:rsid w:val="0062574D"/>
    <w:rsid w:val="00625A37"/>
    <w:rsid w:val="00625EA4"/>
    <w:rsid w:val="00626054"/>
    <w:rsid w:val="006260CA"/>
    <w:rsid w:val="006261F5"/>
    <w:rsid w:val="0062635E"/>
    <w:rsid w:val="0062656A"/>
    <w:rsid w:val="00626589"/>
    <w:rsid w:val="006265CE"/>
    <w:rsid w:val="00626C27"/>
    <w:rsid w:val="006274A3"/>
    <w:rsid w:val="00627ACA"/>
    <w:rsid w:val="00627CA4"/>
    <w:rsid w:val="00627E83"/>
    <w:rsid w:val="006303CF"/>
    <w:rsid w:val="006304BE"/>
    <w:rsid w:val="00630623"/>
    <w:rsid w:val="00630659"/>
    <w:rsid w:val="00630988"/>
    <w:rsid w:val="006309C3"/>
    <w:rsid w:val="006313E8"/>
    <w:rsid w:val="0063151C"/>
    <w:rsid w:val="0063164D"/>
    <w:rsid w:val="0063197E"/>
    <w:rsid w:val="0063221E"/>
    <w:rsid w:val="00632401"/>
    <w:rsid w:val="0063278E"/>
    <w:rsid w:val="00632A94"/>
    <w:rsid w:val="00632C7D"/>
    <w:rsid w:val="00632FD6"/>
    <w:rsid w:val="0063303C"/>
    <w:rsid w:val="00633247"/>
    <w:rsid w:val="0063340B"/>
    <w:rsid w:val="00633840"/>
    <w:rsid w:val="00633866"/>
    <w:rsid w:val="00633D0D"/>
    <w:rsid w:val="00633EFC"/>
    <w:rsid w:val="006340D0"/>
    <w:rsid w:val="006344B5"/>
    <w:rsid w:val="006347DB"/>
    <w:rsid w:val="00634A2D"/>
    <w:rsid w:val="00634BC0"/>
    <w:rsid w:val="00634BF6"/>
    <w:rsid w:val="00634DC2"/>
    <w:rsid w:val="00634E19"/>
    <w:rsid w:val="00635226"/>
    <w:rsid w:val="0063561C"/>
    <w:rsid w:val="0063587E"/>
    <w:rsid w:val="00635A83"/>
    <w:rsid w:val="00636305"/>
    <w:rsid w:val="006368A3"/>
    <w:rsid w:val="006368BE"/>
    <w:rsid w:val="0063692F"/>
    <w:rsid w:val="00636EDA"/>
    <w:rsid w:val="00636FA4"/>
    <w:rsid w:val="006371A0"/>
    <w:rsid w:val="00637279"/>
    <w:rsid w:val="00637544"/>
    <w:rsid w:val="00637BB6"/>
    <w:rsid w:val="00637EEA"/>
    <w:rsid w:val="00640198"/>
    <w:rsid w:val="00640270"/>
    <w:rsid w:val="006404BD"/>
    <w:rsid w:val="00641266"/>
    <w:rsid w:val="006412ED"/>
    <w:rsid w:val="00641C96"/>
    <w:rsid w:val="00641E41"/>
    <w:rsid w:val="00642D25"/>
    <w:rsid w:val="00642D55"/>
    <w:rsid w:val="00642ECF"/>
    <w:rsid w:val="00643052"/>
    <w:rsid w:val="006430DE"/>
    <w:rsid w:val="006430EA"/>
    <w:rsid w:val="006431CE"/>
    <w:rsid w:val="0064341D"/>
    <w:rsid w:val="006438BB"/>
    <w:rsid w:val="00643D1F"/>
    <w:rsid w:val="00644017"/>
    <w:rsid w:val="006440CC"/>
    <w:rsid w:val="0064463C"/>
    <w:rsid w:val="006448A9"/>
    <w:rsid w:val="00645174"/>
    <w:rsid w:val="00645353"/>
    <w:rsid w:val="00645510"/>
    <w:rsid w:val="006455A0"/>
    <w:rsid w:val="0064640C"/>
    <w:rsid w:val="00646798"/>
    <w:rsid w:val="006468BF"/>
    <w:rsid w:val="00646C32"/>
    <w:rsid w:val="00646EDE"/>
    <w:rsid w:val="00647155"/>
    <w:rsid w:val="006471C4"/>
    <w:rsid w:val="0064765A"/>
    <w:rsid w:val="0064775D"/>
    <w:rsid w:val="00647881"/>
    <w:rsid w:val="00650421"/>
    <w:rsid w:val="00650BD1"/>
    <w:rsid w:val="00650FC0"/>
    <w:rsid w:val="00651247"/>
    <w:rsid w:val="00651397"/>
    <w:rsid w:val="00652108"/>
    <w:rsid w:val="0065222A"/>
    <w:rsid w:val="0065272E"/>
    <w:rsid w:val="00652770"/>
    <w:rsid w:val="00652966"/>
    <w:rsid w:val="00652F00"/>
    <w:rsid w:val="00652F9F"/>
    <w:rsid w:val="006537A0"/>
    <w:rsid w:val="00653CD8"/>
    <w:rsid w:val="00654318"/>
    <w:rsid w:val="006545BC"/>
    <w:rsid w:val="006547CA"/>
    <w:rsid w:val="006549DE"/>
    <w:rsid w:val="00654B48"/>
    <w:rsid w:val="00655ABB"/>
    <w:rsid w:val="00655C25"/>
    <w:rsid w:val="00655DE3"/>
    <w:rsid w:val="0065612C"/>
    <w:rsid w:val="00656135"/>
    <w:rsid w:val="006563F6"/>
    <w:rsid w:val="00656730"/>
    <w:rsid w:val="0065683B"/>
    <w:rsid w:val="00656B82"/>
    <w:rsid w:val="00656ED8"/>
    <w:rsid w:val="006575A0"/>
    <w:rsid w:val="0065777B"/>
    <w:rsid w:val="00657997"/>
    <w:rsid w:val="006579F5"/>
    <w:rsid w:val="00657A28"/>
    <w:rsid w:val="0066063E"/>
    <w:rsid w:val="00660927"/>
    <w:rsid w:val="00661085"/>
    <w:rsid w:val="00661384"/>
    <w:rsid w:val="00661839"/>
    <w:rsid w:val="00661D04"/>
    <w:rsid w:val="00661DB8"/>
    <w:rsid w:val="00661E42"/>
    <w:rsid w:val="006620ED"/>
    <w:rsid w:val="00662360"/>
    <w:rsid w:val="006625AE"/>
    <w:rsid w:val="00662631"/>
    <w:rsid w:val="00662B14"/>
    <w:rsid w:val="00662C15"/>
    <w:rsid w:val="00663086"/>
    <w:rsid w:val="0066392E"/>
    <w:rsid w:val="006646AC"/>
    <w:rsid w:val="0066488D"/>
    <w:rsid w:val="006648D7"/>
    <w:rsid w:val="00664AEA"/>
    <w:rsid w:val="00664B22"/>
    <w:rsid w:val="00665B29"/>
    <w:rsid w:val="006660F4"/>
    <w:rsid w:val="00666107"/>
    <w:rsid w:val="0066673F"/>
    <w:rsid w:val="00666DC7"/>
    <w:rsid w:val="00666E28"/>
    <w:rsid w:val="00666F2A"/>
    <w:rsid w:val="00667014"/>
    <w:rsid w:val="0066717D"/>
    <w:rsid w:val="006676EF"/>
    <w:rsid w:val="00667BA7"/>
    <w:rsid w:val="00670320"/>
    <w:rsid w:val="006704CE"/>
    <w:rsid w:val="00670601"/>
    <w:rsid w:val="00670D66"/>
    <w:rsid w:val="00670FC2"/>
    <w:rsid w:val="00671084"/>
    <w:rsid w:val="006712E6"/>
    <w:rsid w:val="00671348"/>
    <w:rsid w:val="00671D07"/>
    <w:rsid w:val="00671E96"/>
    <w:rsid w:val="006720AE"/>
    <w:rsid w:val="00672273"/>
    <w:rsid w:val="00673B1F"/>
    <w:rsid w:val="00673BEA"/>
    <w:rsid w:val="00673DF6"/>
    <w:rsid w:val="006742F3"/>
    <w:rsid w:val="00674722"/>
    <w:rsid w:val="00674AE2"/>
    <w:rsid w:val="006750E9"/>
    <w:rsid w:val="006750F0"/>
    <w:rsid w:val="00675262"/>
    <w:rsid w:val="006754D3"/>
    <w:rsid w:val="00675555"/>
    <w:rsid w:val="00675729"/>
    <w:rsid w:val="0067580C"/>
    <w:rsid w:val="00675EE9"/>
    <w:rsid w:val="00675FDA"/>
    <w:rsid w:val="006767EC"/>
    <w:rsid w:val="00676C27"/>
    <w:rsid w:val="00676CEB"/>
    <w:rsid w:val="00676D04"/>
    <w:rsid w:val="0067762B"/>
    <w:rsid w:val="00677EE5"/>
    <w:rsid w:val="00680091"/>
    <w:rsid w:val="00680206"/>
    <w:rsid w:val="006806A3"/>
    <w:rsid w:val="00680895"/>
    <w:rsid w:val="00680D49"/>
    <w:rsid w:val="00680EAC"/>
    <w:rsid w:val="0068146B"/>
    <w:rsid w:val="00681497"/>
    <w:rsid w:val="00682798"/>
    <w:rsid w:val="00682CBE"/>
    <w:rsid w:val="00682F6A"/>
    <w:rsid w:val="0068302D"/>
    <w:rsid w:val="0068327F"/>
    <w:rsid w:val="00683B1B"/>
    <w:rsid w:val="00683ED3"/>
    <w:rsid w:val="006849B9"/>
    <w:rsid w:val="006875ED"/>
    <w:rsid w:val="006877CF"/>
    <w:rsid w:val="00687853"/>
    <w:rsid w:val="00687C58"/>
    <w:rsid w:val="00687D19"/>
    <w:rsid w:val="00687F5B"/>
    <w:rsid w:val="006901EF"/>
    <w:rsid w:val="0069056B"/>
    <w:rsid w:val="006910B2"/>
    <w:rsid w:val="00691B0A"/>
    <w:rsid w:val="00691C8A"/>
    <w:rsid w:val="00691D2A"/>
    <w:rsid w:val="006920C8"/>
    <w:rsid w:val="006920FC"/>
    <w:rsid w:val="00692279"/>
    <w:rsid w:val="006929F0"/>
    <w:rsid w:val="00692E66"/>
    <w:rsid w:val="00693457"/>
    <w:rsid w:val="006936BD"/>
    <w:rsid w:val="00693D10"/>
    <w:rsid w:val="00693D96"/>
    <w:rsid w:val="00693E7A"/>
    <w:rsid w:val="00694180"/>
    <w:rsid w:val="00694285"/>
    <w:rsid w:val="00694331"/>
    <w:rsid w:val="006943BA"/>
    <w:rsid w:val="006944DA"/>
    <w:rsid w:val="00694580"/>
    <w:rsid w:val="00694885"/>
    <w:rsid w:val="0069541A"/>
    <w:rsid w:val="00695904"/>
    <w:rsid w:val="00695EA3"/>
    <w:rsid w:val="00696173"/>
    <w:rsid w:val="0069684E"/>
    <w:rsid w:val="0069685B"/>
    <w:rsid w:val="00696908"/>
    <w:rsid w:val="00696A6F"/>
    <w:rsid w:val="00697141"/>
    <w:rsid w:val="00697684"/>
    <w:rsid w:val="006978B7"/>
    <w:rsid w:val="00697D93"/>
    <w:rsid w:val="006A008D"/>
    <w:rsid w:val="006A014E"/>
    <w:rsid w:val="006A0355"/>
    <w:rsid w:val="006A0D10"/>
    <w:rsid w:val="006A0DD2"/>
    <w:rsid w:val="006A1576"/>
    <w:rsid w:val="006A17BF"/>
    <w:rsid w:val="006A19D8"/>
    <w:rsid w:val="006A1EB3"/>
    <w:rsid w:val="006A231A"/>
    <w:rsid w:val="006A23A6"/>
    <w:rsid w:val="006A2538"/>
    <w:rsid w:val="006A2AE1"/>
    <w:rsid w:val="006A2F39"/>
    <w:rsid w:val="006A3594"/>
    <w:rsid w:val="006A3E03"/>
    <w:rsid w:val="006A3F55"/>
    <w:rsid w:val="006A4018"/>
    <w:rsid w:val="006A4147"/>
    <w:rsid w:val="006A4322"/>
    <w:rsid w:val="006A4608"/>
    <w:rsid w:val="006A482C"/>
    <w:rsid w:val="006A4FC4"/>
    <w:rsid w:val="006A5624"/>
    <w:rsid w:val="006A5C0A"/>
    <w:rsid w:val="006A6050"/>
    <w:rsid w:val="006A673D"/>
    <w:rsid w:val="006A702E"/>
    <w:rsid w:val="006A706D"/>
    <w:rsid w:val="006A74CA"/>
    <w:rsid w:val="006A7B71"/>
    <w:rsid w:val="006A7C7B"/>
    <w:rsid w:val="006A7F84"/>
    <w:rsid w:val="006B0037"/>
    <w:rsid w:val="006B0C85"/>
    <w:rsid w:val="006B10CD"/>
    <w:rsid w:val="006B111B"/>
    <w:rsid w:val="006B135E"/>
    <w:rsid w:val="006B14AB"/>
    <w:rsid w:val="006B185C"/>
    <w:rsid w:val="006B1BC3"/>
    <w:rsid w:val="006B2659"/>
    <w:rsid w:val="006B2757"/>
    <w:rsid w:val="006B2764"/>
    <w:rsid w:val="006B293C"/>
    <w:rsid w:val="006B2B24"/>
    <w:rsid w:val="006B2FD8"/>
    <w:rsid w:val="006B308B"/>
    <w:rsid w:val="006B33E5"/>
    <w:rsid w:val="006B3707"/>
    <w:rsid w:val="006B467A"/>
    <w:rsid w:val="006B4EA1"/>
    <w:rsid w:val="006B51CC"/>
    <w:rsid w:val="006B5275"/>
    <w:rsid w:val="006B53CE"/>
    <w:rsid w:val="006B5483"/>
    <w:rsid w:val="006B562F"/>
    <w:rsid w:val="006B563A"/>
    <w:rsid w:val="006B5771"/>
    <w:rsid w:val="006B5B48"/>
    <w:rsid w:val="006B5C2C"/>
    <w:rsid w:val="006B618F"/>
    <w:rsid w:val="006B64D3"/>
    <w:rsid w:val="006B6575"/>
    <w:rsid w:val="006B69BD"/>
    <w:rsid w:val="006B6BAA"/>
    <w:rsid w:val="006B6F12"/>
    <w:rsid w:val="006B6FDD"/>
    <w:rsid w:val="006B7C99"/>
    <w:rsid w:val="006B7D74"/>
    <w:rsid w:val="006C0650"/>
    <w:rsid w:val="006C08BC"/>
    <w:rsid w:val="006C0A76"/>
    <w:rsid w:val="006C0B52"/>
    <w:rsid w:val="006C0ED1"/>
    <w:rsid w:val="006C10BD"/>
    <w:rsid w:val="006C12A3"/>
    <w:rsid w:val="006C18FB"/>
    <w:rsid w:val="006C1E63"/>
    <w:rsid w:val="006C1FEE"/>
    <w:rsid w:val="006C1FFF"/>
    <w:rsid w:val="006C208C"/>
    <w:rsid w:val="006C2B5D"/>
    <w:rsid w:val="006C3596"/>
    <w:rsid w:val="006C35C9"/>
    <w:rsid w:val="006C363C"/>
    <w:rsid w:val="006C3CE5"/>
    <w:rsid w:val="006C3D3D"/>
    <w:rsid w:val="006C3D76"/>
    <w:rsid w:val="006C4701"/>
    <w:rsid w:val="006C4E68"/>
    <w:rsid w:val="006C5272"/>
    <w:rsid w:val="006C52FB"/>
    <w:rsid w:val="006C565E"/>
    <w:rsid w:val="006C5DA2"/>
    <w:rsid w:val="006C6A07"/>
    <w:rsid w:val="006C6D38"/>
    <w:rsid w:val="006C77AF"/>
    <w:rsid w:val="006C78BB"/>
    <w:rsid w:val="006D045D"/>
    <w:rsid w:val="006D0546"/>
    <w:rsid w:val="006D0AB9"/>
    <w:rsid w:val="006D0D7D"/>
    <w:rsid w:val="006D0D81"/>
    <w:rsid w:val="006D0D94"/>
    <w:rsid w:val="006D1021"/>
    <w:rsid w:val="006D106D"/>
    <w:rsid w:val="006D138C"/>
    <w:rsid w:val="006D19CC"/>
    <w:rsid w:val="006D3135"/>
    <w:rsid w:val="006D316B"/>
    <w:rsid w:val="006D33FC"/>
    <w:rsid w:val="006D3749"/>
    <w:rsid w:val="006D388A"/>
    <w:rsid w:val="006D4267"/>
    <w:rsid w:val="006D458E"/>
    <w:rsid w:val="006D4808"/>
    <w:rsid w:val="006D4E0E"/>
    <w:rsid w:val="006D5840"/>
    <w:rsid w:val="006D5C51"/>
    <w:rsid w:val="006D5CFA"/>
    <w:rsid w:val="006D6029"/>
    <w:rsid w:val="006D6460"/>
    <w:rsid w:val="006D6AFD"/>
    <w:rsid w:val="006D71B1"/>
    <w:rsid w:val="006D795F"/>
    <w:rsid w:val="006D7979"/>
    <w:rsid w:val="006D7C97"/>
    <w:rsid w:val="006D7CA1"/>
    <w:rsid w:val="006D7DDC"/>
    <w:rsid w:val="006E0285"/>
    <w:rsid w:val="006E02BF"/>
    <w:rsid w:val="006E0498"/>
    <w:rsid w:val="006E0824"/>
    <w:rsid w:val="006E08DA"/>
    <w:rsid w:val="006E0ABE"/>
    <w:rsid w:val="006E0B4D"/>
    <w:rsid w:val="006E0B8D"/>
    <w:rsid w:val="006E0BBE"/>
    <w:rsid w:val="006E0C9E"/>
    <w:rsid w:val="006E0F67"/>
    <w:rsid w:val="006E14E4"/>
    <w:rsid w:val="006E15C1"/>
    <w:rsid w:val="006E21A1"/>
    <w:rsid w:val="006E22DE"/>
    <w:rsid w:val="006E2563"/>
    <w:rsid w:val="006E2753"/>
    <w:rsid w:val="006E28C0"/>
    <w:rsid w:val="006E2D8B"/>
    <w:rsid w:val="006E3168"/>
    <w:rsid w:val="006E33F7"/>
    <w:rsid w:val="006E3467"/>
    <w:rsid w:val="006E35EB"/>
    <w:rsid w:val="006E3D36"/>
    <w:rsid w:val="006E3E47"/>
    <w:rsid w:val="006E3E48"/>
    <w:rsid w:val="006E427A"/>
    <w:rsid w:val="006E4B2D"/>
    <w:rsid w:val="006E4D3B"/>
    <w:rsid w:val="006E4DBA"/>
    <w:rsid w:val="006E51E8"/>
    <w:rsid w:val="006E5669"/>
    <w:rsid w:val="006E5671"/>
    <w:rsid w:val="006E61ED"/>
    <w:rsid w:val="006E646C"/>
    <w:rsid w:val="006E6612"/>
    <w:rsid w:val="006E6F1B"/>
    <w:rsid w:val="006E709C"/>
    <w:rsid w:val="006E7265"/>
    <w:rsid w:val="006E7272"/>
    <w:rsid w:val="006E75A7"/>
    <w:rsid w:val="006E7BB5"/>
    <w:rsid w:val="006E7EE8"/>
    <w:rsid w:val="006E7F17"/>
    <w:rsid w:val="006E7F49"/>
    <w:rsid w:val="006F0067"/>
    <w:rsid w:val="006F00D4"/>
    <w:rsid w:val="006F0141"/>
    <w:rsid w:val="006F032B"/>
    <w:rsid w:val="006F0D55"/>
    <w:rsid w:val="006F0DE3"/>
    <w:rsid w:val="006F12B1"/>
    <w:rsid w:val="006F12FD"/>
    <w:rsid w:val="006F139F"/>
    <w:rsid w:val="006F16BC"/>
    <w:rsid w:val="006F1766"/>
    <w:rsid w:val="006F1EF7"/>
    <w:rsid w:val="006F2086"/>
    <w:rsid w:val="006F20E7"/>
    <w:rsid w:val="006F242F"/>
    <w:rsid w:val="006F2444"/>
    <w:rsid w:val="006F2B43"/>
    <w:rsid w:val="006F2FBB"/>
    <w:rsid w:val="006F303D"/>
    <w:rsid w:val="006F3698"/>
    <w:rsid w:val="006F372D"/>
    <w:rsid w:val="006F3D0D"/>
    <w:rsid w:val="006F4036"/>
    <w:rsid w:val="006F4256"/>
    <w:rsid w:val="006F4698"/>
    <w:rsid w:val="006F470A"/>
    <w:rsid w:val="006F48BC"/>
    <w:rsid w:val="006F48E5"/>
    <w:rsid w:val="006F48FA"/>
    <w:rsid w:val="006F4D02"/>
    <w:rsid w:val="006F4E21"/>
    <w:rsid w:val="006F4ECD"/>
    <w:rsid w:val="006F53BB"/>
    <w:rsid w:val="006F565B"/>
    <w:rsid w:val="006F5F29"/>
    <w:rsid w:val="006F5F3D"/>
    <w:rsid w:val="006F62F4"/>
    <w:rsid w:val="006F642D"/>
    <w:rsid w:val="006F67EB"/>
    <w:rsid w:val="006F6990"/>
    <w:rsid w:val="006F6C39"/>
    <w:rsid w:val="006F6CB4"/>
    <w:rsid w:val="006F6EF0"/>
    <w:rsid w:val="006F7250"/>
    <w:rsid w:val="006F741D"/>
    <w:rsid w:val="006F7742"/>
    <w:rsid w:val="006F7A2E"/>
    <w:rsid w:val="006F7C47"/>
    <w:rsid w:val="007005D7"/>
    <w:rsid w:val="007005DF"/>
    <w:rsid w:val="0070085B"/>
    <w:rsid w:val="00700A06"/>
    <w:rsid w:val="00700C27"/>
    <w:rsid w:val="00700D23"/>
    <w:rsid w:val="007010FC"/>
    <w:rsid w:val="007013AE"/>
    <w:rsid w:val="00701BA4"/>
    <w:rsid w:val="00702B5C"/>
    <w:rsid w:val="00702B7D"/>
    <w:rsid w:val="0070383D"/>
    <w:rsid w:val="00703E7E"/>
    <w:rsid w:val="00703FBE"/>
    <w:rsid w:val="007042CB"/>
    <w:rsid w:val="00704373"/>
    <w:rsid w:val="007048A4"/>
    <w:rsid w:val="00704A6A"/>
    <w:rsid w:val="00704BCA"/>
    <w:rsid w:val="00705030"/>
    <w:rsid w:val="0070568B"/>
    <w:rsid w:val="0070571F"/>
    <w:rsid w:val="00706E2D"/>
    <w:rsid w:val="00706E9B"/>
    <w:rsid w:val="007072D4"/>
    <w:rsid w:val="00707605"/>
    <w:rsid w:val="007078A3"/>
    <w:rsid w:val="00707B27"/>
    <w:rsid w:val="00707B93"/>
    <w:rsid w:val="007100A8"/>
    <w:rsid w:val="0071021C"/>
    <w:rsid w:val="00710278"/>
    <w:rsid w:val="007102CB"/>
    <w:rsid w:val="00710844"/>
    <w:rsid w:val="00710B0A"/>
    <w:rsid w:val="007113F6"/>
    <w:rsid w:val="00711644"/>
    <w:rsid w:val="0071167C"/>
    <w:rsid w:val="00711833"/>
    <w:rsid w:val="00711856"/>
    <w:rsid w:val="00711F8D"/>
    <w:rsid w:val="00712659"/>
    <w:rsid w:val="00713272"/>
    <w:rsid w:val="00713330"/>
    <w:rsid w:val="00713345"/>
    <w:rsid w:val="007133F7"/>
    <w:rsid w:val="00713581"/>
    <w:rsid w:val="00713BF5"/>
    <w:rsid w:val="00713CF5"/>
    <w:rsid w:val="00714588"/>
    <w:rsid w:val="007148FA"/>
    <w:rsid w:val="00715DB2"/>
    <w:rsid w:val="00716187"/>
    <w:rsid w:val="00716F69"/>
    <w:rsid w:val="007174F4"/>
    <w:rsid w:val="0071776A"/>
    <w:rsid w:val="00717884"/>
    <w:rsid w:val="00717929"/>
    <w:rsid w:val="00717CF9"/>
    <w:rsid w:val="00717D5C"/>
    <w:rsid w:val="007203F0"/>
    <w:rsid w:val="007207D0"/>
    <w:rsid w:val="007207E4"/>
    <w:rsid w:val="007208C5"/>
    <w:rsid w:val="00720979"/>
    <w:rsid w:val="00720A4A"/>
    <w:rsid w:val="00720AB1"/>
    <w:rsid w:val="0072125D"/>
    <w:rsid w:val="00721A01"/>
    <w:rsid w:val="00721A32"/>
    <w:rsid w:val="00721C88"/>
    <w:rsid w:val="00721EDB"/>
    <w:rsid w:val="0072212B"/>
    <w:rsid w:val="0072227A"/>
    <w:rsid w:val="00722454"/>
    <w:rsid w:val="00722535"/>
    <w:rsid w:val="00722641"/>
    <w:rsid w:val="00722B7F"/>
    <w:rsid w:val="00722C4F"/>
    <w:rsid w:val="00722E4D"/>
    <w:rsid w:val="00723131"/>
    <w:rsid w:val="00723416"/>
    <w:rsid w:val="00723649"/>
    <w:rsid w:val="007236E5"/>
    <w:rsid w:val="00723D47"/>
    <w:rsid w:val="00724131"/>
    <w:rsid w:val="0072417F"/>
    <w:rsid w:val="0072490B"/>
    <w:rsid w:val="0072497B"/>
    <w:rsid w:val="00724E44"/>
    <w:rsid w:val="00724FB0"/>
    <w:rsid w:val="007256E1"/>
    <w:rsid w:val="00725D31"/>
    <w:rsid w:val="00725E2F"/>
    <w:rsid w:val="00726288"/>
    <w:rsid w:val="00726572"/>
    <w:rsid w:val="00726DC5"/>
    <w:rsid w:val="00726E45"/>
    <w:rsid w:val="00727406"/>
    <w:rsid w:val="007275CF"/>
    <w:rsid w:val="007277AA"/>
    <w:rsid w:val="00727A64"/>
    <w:rsid w:val="00727A9C"/>
    <w:rsid w:val="00727B99"/>
    <w:rsid w:val="00727DDF"/>
    <w:rsid w:val="0073010B"/>
    <w:rsid w:val="0073079C"/>
    <w:rsid w:val="00730C18"/>
    <w:rsid w:val="00730C85"/>
    <w:rsid w:val="00731386"/>
    <w:rsid w:val="0073270D"/>
    <w:rsid w:val="00732766"/>
    <w:rsid w:val="0073286C"/>
    <w:rsid w:val="00732A89"/>
    <w:rsid w:val="00732F4F"/>
    <w:rsid w:val="00733195"/>
    <w:rsid w:val="0073335C"/>
    <w:rsid w:val="00733405"/>
    <w:rsid w:val="00733E3B"/>
    <w:rsid w:val="00733E6A"/>
    <w:rsid w:val="00733EB6"/>
    <w:rsid w:val="00734103"/>
    <w:rsid w:val="007343DF"/>
    <w:rsid w:val="00734571"/>
    <w:rsid w:val="0073495F"/>
    <w:rsid w:val="00735330"/>
    <w:rsid w:val="00735690"/>
    <w:rsid w:val="00735C1B"/>
    <w:rsid w:val="00735F9C"/>
    <w:rsid w:val="0073617A"/>
    <w:rsid w:val="00736181"/>
    <w:rsid w:val="0073766B"/>
    <w:rsid w:val="0073767E"/>
    <w:rsid w:val="0073781A"/>
    <w:rsid w:val="00737F38"/>
    <w:rsid w:val="007401C5"/>
    <w:rsid w:val="00740769"/>
    <w:rsid w:val="00740A2A"/>
    <w:rsid w:val="00740B0A"/>
    <w:rsid w:val="00740EC6"/>
    <w:rsid w:val="00741157"/>
    <w:rsid w:val="00741245"/>
    <w:rsid w:val="0074150B"/>
    <w:rsid w:val="00741690"/>
    <w:rsid w:val="007418CA"/>
    <w:rsid w:val="00741957"/>
    <w:rsid w:val="00741C30"/>
    <w:rsid w:val="00741E59"/>
    <w:rsid w:val="00741E77"/>
    <w:rsid w:val="00741F92"/>
    <w:rsid w:val="00742195"/>
    <w:rsid w:val="00742458"/>
    <w:rsid w:val="00742808"/>
    <w:rsid w:val="00742909"/>
    <w:rsid w:val="00742E83"/>
    <w:rsid w:val="00742ED0"/>
    <w:rsid w:val="00743B09"/>
    <w:rsid w:val="0074419A"/>
    <w:rsid w:val="007443D3"/>
    <w:rsid w:val="00744577"/>
    <w:rsid w:val="007447EE"/>
    <w:rsid w:val="00745250"/>
    <w:rsid w:val="00745308"/>
    <w:rsid w:val="00745664"/>
    <w:rsid w:val="0074584F"/>
    <w:rsid w:val="00745850"/>
    <w:rsid w:val="00745DCE"/>
    <w:rsid w:val="00745FF4"/>
    <w:rsid w:val="0074602A"/>
    <w:rsid w:val="00746072"/>
    <w:rsid w:val="0074645C"/>
    <w:rsid w:val="007471C2"/>
    <w:rsid w:val="0074742C"/>
    <w:rsid w:val="0074774E"/>
    <w:rsid w:val="00750443"/>
    <w:rsid w:val="0075078E"/>
    <w:rsid w:val="00750865"/>
    <w:rsid w:val="00750BD5"/>
    <w:rsid w:val="00750F1D"/>
    <w:rsid w:val="00750FFC"/>
    <w:rsid w:val="00751462"/>
    <w:rsid w:val="007516C6"/>
    <w:rsid w:val="00751921"/>
    <w:rsid w:val="007519D8"/>
    <w:rsid w:val="00751B67"/>
    <w:rsid w:val="00751ED8"/>
    <w:rsid w:val="00751FB2"/>
    <w:rsid w:val="007520B6"/>
    <w:rsid w:val="0075234E"/>
    <w:rsid w:val="00752A79"/>
    <w:rsid w:val="00752B58"/>
    <w:rsid w:val="00752E0F"/>
    <w:rsid w:val="00752F67"/>
    <w:rsid w:val="007530CE"/>
    <w:rsid w:val="00753A6A"/>
    <w:rsid w:val="00754169"/>
    <w:rsid w:val="007543C9"/>
    <w:rsid w:val="00755F6D"/>
    <w:rsid w:val="00756125"/>
    <w:rsid w:val="007562DC"/>
    <w:rsid w:val="00756427"/>
    <w:rsid w:val="007566CD"/>
    <w:rsid w:val="007568BB"/>
    <w:rsid w:val="00756A15"/>
    <w:rsid w:val="00756C0A"/>
    <w:rsid w:val="00756CBA"/>
    <w:rsid w:val="00757443"/>
    <w:rsid w:val="00757DB3"/>
    <w:rsid w:val="00760283"/>
    <w:rsid w:val="007607FA"/>
    <w:rsid w:val="00760983"/>
    <w:rsid w:val="00760B12"/>
    <w:rsid w:val="00760C02"/>
    <w:rsid w:val="00760CFC"/>
    <w:rsid w:val="00760F34"/>
    <w:rsid w:val="0076135B"/>
    <w:rsid w:val="00761628"/>
    <w:rsid w:val="007616C4"/>
    <w:rsid w:val="00761BAD"/>
    <w:rsid w:val="00761C04"/>
    <w:rsid w:val="00762238"/>
    <w:rsid w:val="00762294"/>
    <w:rsid w:val="007622CA"/>
    <w:rsid w:val="00762347"/>
    <w:rsid w:val="007625BF"/>
    <w:rsid w:val="007625C6"/>
    <w:rsid w:val="00762984"/>
    <w:rsid w:val="00763214"/>
    <w:rsid w:val="00763626"/>
    <w:rsid w:val="007636A6"/>
    <w:rsid w:val="00763E5D"/>
    <w:rsid w:val="00764168"/>
    <w:rsid w:val="00764560"/>
    <w:rsid w:val="00764A77"/>
    <w:rsid w:val="007654C4"/>
    <w:rsid w:val="00765D71"/>
    <w:rsid w:val="007668B7"/>
    <w:rsid w:val="007668E4"/>
    <w:rsid w:val="00766C9F"/>
    <w:rsid w:val="007670AB"/>
    <w:rsid w:val="0076765D"/>
    <w:rsid w:val="00767CD8"/>
    <w:rsid w:val="0077021C"/>
    <w:rsid w:val="0077083D"/>
    <w:rsid w:val="00770B96"/>
    <w:rsid w:val="00770E7B"/>
    <w:rsid w:val="007710D3"/>
    <w:rsid w:val="00771127"/>
    <w:rsid w:val="007712D4"/>
    <w:rsid w:val="0077141B"/>
    <w:rsid w:val="00771F9E"/>
    <w:rsid w:val="00772118"/>
    <w:rsid w:val="00772185"/>
    <w:rsid w:val="007736D6"/>
    <w:rsid w:val="007737D6"/>
    <w:rsid w:val="00773DBF"/>
    <w:rsid w:val="00773FE2"/>
    <w:rsid w:val="00774161"/>
    <w:rsid w:val="007746A5"/>
    <w:rsid w:val="00774C48"/>
    <w:rsid w:val="00774EDA"/>
    <w:rsid w:val="00775014"/>
    <w:rsid w:val="007759B7"/>
    <w:rsid w:val="00775A53"/>
    <w:rsid w:val="00775B8E"/>
    <w:rsid w:val="00775D72"/>
    <w:rsid w:val="00775EEB"/>
    <w:rsid w:val="00776387"/>
    <w:rsid w:val="007768C9"/>
    <w:rsid w:val="007768CA"/>
    <w:rsid w:val="00776A1A"/>
    <w:rsid w:val="00776D80"/>
    <w:rsid w:val="00776E05"/>
    <w:rsid w:val="00776E9C"/>
    <w:rsid w:val="00777562"/>
    <w:rsid w:val="00777646"/>
    <w:rsid w:val="00777907"/>
    <w:rsid w:val="007779A8"/>
    <w:rsid w:val="00777B96"/>
    <w:rsid w:val="007804B5"/>
    <w:rsid w:val="00780BB0"/>
    <w:rsid w:val="007810DB"/>
    <w:rsid w:val="007815FC"/>
    <w:rsid w:val="00781AC7"/>
    <w:rsid w:val="00781B51"/>
    <w:rsid w:val="00781BC5"/>
    <w:rsid w:val="00781C7E"/>
    <w:rsid w:val="00781F09"/>
    <w:rsid w:val="0078209C"/>
    <w:rsid w:val="00782572"/>
    <w:rsid w:val="007825BF"/>
    <w:rsid w:val="00782BA2"/>
    <w:rsid w:val="00782D38"/>
    <w:rsid w:val="00783685"/>
    <w:rsid w:val="00783A6D"/>
    <w:rsid w:val="00783C9B"/>
    <w:rsid w:val="00783EA6"/>
    <w:rsid w:val="00784008"/>
    <w:rsid w:val="0078414A"/>
    <w:rsid w:val="007841E0"/>
    <w:rsid w:val="00784744"/>
    <w:rsid w:val="00784BB2"/>
    <w:rsid w:val="00785192"/>
    <w:rsid w:val="007853FA"/>
    <w:rsid w:val="00785492"/>
    <w:rsid w:val="00785508"/>
    <w:rsid w:val="0078558B"/>
    <w:rsid w:val="0078564C"/>
    <w:rsid w:val="00785A2C"/>
    <w:rsid w:val="00785C55"/>
    <w:rsid w:val="0078627D"/>
    <w:rsid w:val="00786588"/>
    <w:rsid w:val="00786803"/>
    <w:rsid w:val="007868AD"/>
    <w:rsid w:val="00786A72"/>
    <w:rsid w:val="007870FA"/>
    <w:rsid w:val="00787493"/>
    <w:rsid w:val="007875A5"/>
    <w:rsid w:val="00787868"/>
    <w:rsid w:val="00787EAE"/>
    <w:rsid w:val="00790A9E"/>
    <w:rsid w:val="00790E9F"/>
    <w:rsid w:val="007915FB"/>
    <w:rsid w:val="00791759"/>
    <w:rsid w:val="0079178F"/>
    <w:rsid w:val="00791819"/>
    <w:rsid w:val="00791913"/>
    <w:rsid w:val="00791A7B"/>
    <w:rsid w:val="00791B5F"/>
    <w:rsid w:val="00791B8A"/>
    <w:rsid w:val="00792A8B"/>
    <w:rsid w:val="00792AAE"/>
    <w:rsid w:val="007935C9"/>
    <w:rsid w:val="0079372B"/>
    <w:rsid w:val="0079374C"/>
    <w:rsid w:val="00793BC0"/>
    <w:rsid w:val="00793D68"/>
    <w:rsid w:val="00793DEB"/>
    <w:rsid w:val="00793E36"/>
    <w:rsid w:val="007940A3"/>
    <w:rsid w:val="007940FC"/>
    <w:rsid w:val="0079435D"/>
    <w:rsid w:val="00794611"/>
    <w:rsid w:val="007947EB"/>
    <w:rsid w:val="007948C7"/>
    <w:rsid w:val="00794AF6"/>
    <w:rsid w:val="00794B71"/>
    <w:rsid w:val="00795080"/>
    <w:rsid w:val="007952DB"/>
    <w:rsid w:val="007955DD"/>
    <w:rsid w:val="00795A53"/>
    <w:rsid w:val="00795AF6"/>
    <w:rsid w:val="00795D14"/>
    <w:rsid w:val="00795F29"/>
    <w:rsid w:val="007960BC"/>
    <w:rsid w:val="007963F2"/>
    <w:rsid w:val="007964ED"/>
    <w:rsid w:val="00796662"/>
    <w:rsid w:val="00796BA1"/>
    <w:rsid w:val="00796C7C"/>
    <w:rsid w:val="0079772A"/>
    <w:rsid w:val="00797C0E"/>
    <w:rsid w:val="00797EE3"/>
    <w:rsid w:val="007A00F6"/>
    <w:rsid w:val="007A00FD"/>
    <w:rsid w:val="007A0258"/>
    <w:rsid w:val="007A0533"/>
    <w:rsid w:val="007A11B1"/>
    <w:rsid w:val="007A12B2"/>
    <w:rsid w:val="007A280A"/>
    <w:rsid w:val="007A2934"/>
    <w:rsid w:val="007A2C38"/>
    <w:rsid w:val="007A328B"/>
    <w:rsid w:val="007A333D"/>
    <w:rsid w:val="007A3582"/>
    <w:rsid w:val="007A37FB"/>
    <w:rsid w:val="007A3964"/>
    <w:rsid w:val="007A3EE8"/>
    <w:rsid w:val="007A3F94"/>
    <w:rsid w:val="007A41C3"/>
    <w:rsid w:val="007A4326"/>
    <w:rsid w:val="007A455E"/>
    <w:rsid w:val="007A4AC9"/>
    <w:rsid w:val="007A4AE0"/>
    <w:rsid w:val="007A4B30"/>
    <w:rsid w:val="007A4B46"/>
    <w:rsid w:val="007A53E8"/>
    <w:rsid w:val="007A5A3B"/>
    <w:rsid w:val="007A5CC8"/>
    <w:rsid w:val="007A6383"/>
    <w:rsid w:val="007A64B4"/>
    <w:rsid w:val="007A6594"/>
    <w:rsid w:val="007A72ED"/>
    <w:rsid w:val="007A76AD"/>
    <w:rsid w:val="007A7C1F"/>
    <w:rsid w:val="007A7EEF"/>
    <w:rsid w:val="007B02A0"/>
    <w:rsid w:val="007B03A2"/>
    <w:rsid w:val="007B093A"/>
    <w:rsid w:val="007B0B8C"/>
    <w:rsid w:val="007B12BE"/>
    <w:rsid w:val="007B18C2"/>
    <w:rsid w:val="007B20BD"/>
    <w:rsid w:val="007B24C8"/>
    <w:rsid w:val="007B2713"/>
    <w:rsid w:val="007B2781"/>
    <w:rsid w:val="007B279D"/>
    <w:rsid w:val="007B2AEE"/>
    <w:rsid w:val="007B2F95"/>
    <w:rsid w:val="007B35A1"/>
    <w:rsid w:val="007B360D"/>
    <w:rsid w:val="007B3782"/>
    <w:rsid w:val="007B39EF"/>
    <w:rsid w:val="007B4197"/>
    <w:rsid w:val="007B4352"/>
    <w:rsid w:val="007B456E"/>
    <w:rsid w:val="007B4A59"/>
    <w:rsid w:val="007B5C26"/>
    <w:rsid w:val="007B62B8"/>
    <w:rsid w:val="007B657A"/>
    <w:rsid w:val="007B69D0"/>
    <w:rsid w:val="007B7224"/>
    <w:rsid w:val="007B75EF"/>
    <w:rsid w:val="007B762C"/>
    <w:rsid w:val="007B78F7"/>
    <w:rsid w:val="007B7D7F"/>
    <w:rsid w:val="007BB247"/>
    <w:rsid w:val="007C020F"/>
    <w:rsid w:val="007C05CD"/>
    <w:rsid w:val="007C08C1"/>
    <w:rsid w:val="007C0B50"/>
    <w:rsid w:val="007C0B61"/>
    <w:rsid w:val="007C0F29"/>
    <w:rsid w:val="007C10B9"/>
    <w:rsid w:val="007C1747"/>
    <w:rsid w:val="007C176C"/>
    <w:rsid w:val="007C1C75"/>
    <w:rsid w:val="007C21FF"/>
    <w:rsid w:val="007C233C"/>
    <w:rsid w:val="007C2540"/>
    <w:rsid w:val="007C2577"/>
    <w:rsid w:val="007C25F3"/>
    <w:rsid w:val="007C2622"/>
    <w:rsid w:val="007C2EA5"/>
    <w:rsid w:val="007C31BB"/>
    <w:rsid w:val="007C3570"/>
    <w:rsid w:val="007C425F"/>
    <w:rsid w:val="007C42F9"/>
    <w:rsid w:val="007C450A"/>
    <w:rsid w:val="007C4678"/>
    <w:rsid w:val="007C4883"/>
    <w:rsid w:val="007C4ABA"/>
    <w:rsid w:val="007C4B20"/>
    <w:rsid w:val="007C4D80"/>
    <w:rsid w:val="007C605D"/>
    <w:rsid w:val="007C622B"/>
    <w:rsid w:val="007C67D8"/>
    <w:rsid w:val="007C6BBD"/>
    <w:rsid w:val="007C6BF4"/>
    <w:rsid w:val="007C6D20"/>
    <w:rsid w:val="007C71FB"/>
    <w:rsid w:val="007C7220"/>
    <w:rsid w:val="007C751D"/>
    <w:rsid w:val="007C7523"/>
    <w:rsid w:val="007C7B7C"/>
    <w:rsid w:val="007C7E49"/>
    <w:rsid w:val="007C7EAA"/>
    <w:rsid w:val="007C7F78"/>
    <w:rsid w:val="007C7FB0"/>
    <w:rsid w:val="007D0DFC"/>
    <w:rsid w:val="007D1464"/>
    <w:rsid w:val="007D1835"/>
    <w:rsid w:val="007D1D11"/>
    <w:rsid w:val="007D1E0F"/>
    <w:rsid w:val="007D1E42"/>
    <w:rsid w:val="007D1FCC"/>
    <w:rsid w:val="007D227E"/>
    <w:rsid w:val="007D29F3"/>
    <w:rsid w:val="007D2A10"/>
    <w:rsid w:val="007D2A2B"/>
    <w:rsid w:val="007D2C8A"/>
    <w:rsid w:val="007D3392"/>
    <w:rsid w:val="007D3B42"/>
    <w:rsid w:val="007D3E82"/>
    <w:rsid w:val="007D3EB7"/>
    <w:rsid w:val="007D416D"/>
    <w:rsid w:val="007D42A7"/>
    <w:rsid w:val="007D4760"/>
    <w:rsid w:val="007D4808"/>
    <w:rsid w:val="007D487F"/>
    <w:rsid w:val="007D4E2C"/>
    <w:rsid w:val="007D4F27"/>
    <w:rsid w:val="007D54B2"/>
    <w:rsid w:val="007D54B8"/>
    <w:rsid w:val="007D577B"/>
    <w:rsid w:val="007D57AD"/>
    <w:rsid w:val="007D5AEC"/>
    <w:rsid w:val="007D63C8"/>
    <w:rsid w:val="007D6477"/>
    <w:rsid w:val="007D6E33"/>
    <w:rsid w:val="007D7228"/>
    <w:rsid w:val="007D7947"/>
    <w:rsid w:val="007D7BA2"/>
    <w:rsid w:val="007D7EBF"/>
    <w:rsid w:val="007E01EB"/>
    <w:rsid w:val="007E060F"/>
    <w:rsid w:val="007E08E6"/>
    <w:rsid w:val="007E0B35"/>
    <w:rsid w:val="007E13F3"/>
    <w:rsid w:val="007E158E"/>
    <w:rsid w:val="007E18BA"/>
    <w:rsid w:val="007E24C8"/>
    <w:rsid w:val="007E2BFC"/>
    <w:rsid w:val="007E2D96"/>
    <w:rsid w:val="007E2EBF"/>
    <w:rsid w:val="007E350C"/>
    <w:rsid w:val="007E39DA"/>
    <w:rsid w:val="007E3B33"/>
    <w:rsid w:val="007E3DDE"/>
    <w:rsid w:val="007E468D"/>
    <w:rsid w:val="007E51FB"/>
    <w:rsid w:val="007E52E2"/>
    <w:rsid w:val="007E5353"/>
    <w:rsid w:val="007E53DB"/>
    <w:rsid w:val="007E5663"/>
    <w:rsid w:val="007E5758"/>
    <w:rsid w:val="007E5AF6"/>
    <w:rsid w:val="007E5D1A"/>
    <w:rsid w:val="007E66A2"/>
    <w:rsid w:val="007E6A76"/>
    <w:rsid w:val="007E6FD2"/>
    <w:rsid w:val="007F00D3"/>
    <w:rsid w:val="007F0146"/>
    <w:rsid w:val="007F01F5"/>
    <w:rsid w:val="007F02F1"/>
    <w:rsid w:val="007F0627"/>
    <w:rsid w:val="007F0816"/>
    <w:rsid w:val="007F0A02"/>
    <w:rsid w:val="007F0CA4"/>
    <w:rsid w:val="007F10DE"/>
    <w:rsid w:val="007F156D"/>
    <w:rsid w:val="007F1927"/>
    <w:rsid w:val="007F1ADF"/>
    <w:rsid w:val="007F203A"/>
    <w:rsid w:val="007F205C"/>
    <w:rsid w:val="007F2130"/>
    <w:rsid w:val="007F254A"/>
    <w:rsid w:val="007F2D41"/>
    <w:rsid w:val="007F3251"/>
    <w:rsid w:val="007F357C"/>
    <w:rsid w:val="007F378E"/>
    <w:rsid w:val="007F37BD"/>
    <w:rsid w:val="007F3A17"/>
    <w:rsid w:val="007F3AA6"/>
    <w:rsid w:val="007F3E93"/>
    <w:rsid w:val="007F4580"/>
    <w:rsid w:val="007F47E5"/>
    <w:rsid w:val="007F499C"/>
    <w:rsid w:val="007F4A19"/>
    <w:rsid w:val="007F4A3F"/>
    <w:rsid w:val="007F4D58"/>
    <w:rsid w:val="007F4E87"/>
    <w:rsid w:val="007F52D1"/>
    <w:rsid w:val="007F54A7"/>
    <w:rsid w:val="007F5556"/>
    <w:rsid w:val="007F5C77"/>
    <w:rsid w:val="007F5D82"/>
    <w:rsid w:val="007F6C23"/>
    <w:rsid w:val="007F6C90"/>
    <w:rsid w:val="007F6F67"/>
    <w:rsid w:val="007F75BE"/>
    <w:rsid w:val="007F7C22"/>
    <w:rsid w:val="007F7D23"/>
    <w:rsid w:val="00800999"/>
    <w:rsid w:val="008009BF"/>
    <w:rsid w:val="00800A06"/>
    <w:rsid w:val="00800B7E"/>
    <w:rsid w:val="00801103"/>
    <w:rsid w:val="008013E0"/>
    <w:rsid w:val="00801414"/>
    <w:rsid w:val="0080200A"/>
    <w:rsid w:val="00802246"/>
    <w:rsid w:val="008023C5"/>
    <w:rsid w:val="00802816"/>
    <w:rsid w:val="00802AA0"/>
    <w:rsid w:val="00802BA9"/>
    <w:rsid w:val="00802EFF"/>
    <w:rsid w:val="008031E9"/>
    <w:rsid w:val="008036FD"/>
    <w:rsid w:val="008037E9"/>
    <w:rsid w:val="00803A5B"/>
    <w:rsid w:val="00803B9A"/>
    <w:rsid w:val="00803D37"/>
    <w:rsid w:val="00804B75"/>
    <w:rsid w:val="00805404"/>
    <w:rsid w:val="00805772"/>
    <w:rsid w:val="008058FC"/>
    <w:rsid w:val="00805AC1"/>
    <w:rsid w:val="00805AC7"/>
    <w:rsid w:val="00805C61"/>
    <w:rsid w:val="00805F37"/>
    <w:rsid w:val="0080657D"/>
    <w:rsid w:val="00806900"/>
    <w:rsid w:val="00806B50"/>
    <w:rsid w:val="00806CFD"/>
    <w:rsid w:val="00807220"/>
    <w:rsid w:val="0080749C"/>
    <w:rsid w:val="00807CF5"/>
    <w:rsid w:val="00807D4C"/>
    <w:rsid w:val="008103A3"/>
    <w:rsid w:val="008104AD"/>
    <w:rsid w:val="008105E0"/>
    <w:rsid w:val="008111D5"/>
    <w:rsid w:val="008117DD"/>
    <w:rsid w:val="00811963"/>
    <w:rsid w:val="008122BE"/>
    <w:rsid w:val="008122CC"/>
    <w:rsid w:val="008123E6"/>
    <w:rsid w:val="008128E3"/>
    <w:rsid w:val="00812A52"/>
    <w:rsid w:val="00812CCC"/>
    <w:rsid w:val="00812D89"/>
    <w:rsid w:val="00813009"/>
    <w:rsid w:val="0081311C"/>
    <w:rsid w:val="00813121"/>
    <w:rsid w:val="00813241"/>
    <w:rsid w:val="00813290"/>
    <w:rsid w:val="0081379C"/>
    <w:rsid w:val="00813CE6"/>
    <w:rsid w:val="00813EAA"/>
    <w:rsid w:val="008140B6"/>
    <w:rsid w:val="008142D6"/>
    <w:rsid w:val="008144E1"/>
    <w:rsid w:val="008145A9"/>
    <w:rsid w:val="0081476B"/>
    <w:rsid w:val="00815223"/>
    <w:rsid w:val="008154D2"/>
    <w:rsid w:val="008154EF"/>
    <w:rsid w:val="008157CE"/>
    <w:rsid w:val="00815B50"/>
    <w:rsid w:val="00816004"/>
    <w:rsid w:val="0081612A"/>
    <w:rsid w:val="00816222"/>
    <w:rsid w:val="0081636B"/>
    <w:rsid w:val="00816545"/>
    <w:rsid w:val="00816715"/>
    <w:rsid w:val="00816838"/>
    <w:rsid w:val="00816A3C"/>
    <w:rsid w:val="00816B0F"/>
    <w:rsid w:val="008176DD"/>
    <w:rsid w:val="00817C5B"/>
    <w:rsid w:val="00817D60"/>
    <w:rsid w:val="00820432"/>
    <w:rsid w:val="008207CC"/>
    <w:rsid w:val="00820970"/>
    <w:rsid w:val="00820C92"/>
    <w:rsid w:val="00820DBA"/>
    <w:rsid w:val="0082111C"/>
    <w:rsid w:val="00821158"/>
    <w:rsid w:val="008217DD"/>
    <w:rsid w:val="00821ADE"/>
    <w:rsid w:val="0082201F"/>
    <w:rsid w:val="0082241D"/>
    <w:rsid w:val="00822634"/>
    <w:rsid w:val="008227D7"/>
    <w:rsid w:val="0082289E"/>
    <w:rsid w:val="008233F5"/>
    <w:rsid w:val="00823559"/>
    <w:rsid w:val="00823A51"/>
    <w:rsid w:val="00823B87"/>
    <w:rsid w:val="00823D67"/>
    <w:rsid w:val="008243F0"/>
    <w:rsid w:val="00824795"/>
    <w:rsid w:val="008247AF"/>
    <w:rsid w:val="00824B01"/>
    <w:rsid w:val="00824B3E"/>
    <w:rsid w:val="00824E52"/>
    <w:rsid w:val="00825023"/>
    <w:rsid w:val="0082536A"/>
    <w:rsid w:val="00825550"/>
    <w:rsid w:val="00825776"/>
    <w:rsid w:val="008257D9"/>
    <w:rsid w:val="00825AED"/>
    <w:rsid w:val="00825E02"/>
    <w:rsid w:val="00825EB6"/>
    <w:rsid w:val="00825F65"/>
    <w:rsid w:val="00825F83"/>
    <w:rsid w:val="00826820"/>
    <w:rsid w:val="00826824"/>
    <w:rsid w:val="00826B8C"/>
    <w:rsid w:val="00826C0D"/>
    <w:rsid w:val="00826CA0"/>
    <w:rsid w:val="00827032"/>
    <w:rsid w:val="008274D5"/>
    <w:rsid w:val="008308DB"/>
    <w:rsid w:val="008312A0"/>
    <w:rsid w:val="00831348"/>
    <w:rsid w:val="00831679"/>
    <w:rsid w:val="00831F7C"/>
    <w:rsid w:val="0083211A"/>
    <w:rsid w:val="0083219B"/>
    <w:rsid w:val="00832313"/>
    <w:rsid w:val="00832654"/>
    <w:rsid w:val="008327DD"/>
    <w:rsid w:val="00832CD8"/>
    <w:rsid w:val="00832D38"/>
    <w:rsid w:val="00832FB0"/>
    <w:rsid w:val="0083303E"/>
    <w:rsid w:val="008337D3"/>
    <w:rsid w:val="00833F66"/>
    <w:rsid w:val="00834820"/>
    <w:rsid w:val="00834F4F"/>
    <w:rsid w:val="00834FE1"/>
    <w:rsid w:val="00835039"/>
    <w:rsid w:val="008350F1"/>
    <w:rsid w:val="00835637"/>
    <w:rsid w:val="00835707"/>
    <w:rsid w:val="0083575D"/>
    <w:rsid w:val="00835875"/>
    <w:rsid w:val="00835B02"/>
    <w:rsid w:val="00835BE4"/>
    <w:rsid w:val="00835DE6"/>
    <w:rsid w:val="008362F6"/>
    <w:rsid w:val="008366A3"/>
    <w:rsid w:val="008366EB"/>
    <w:rsid w:val="008371F2"/>
    <w:rsid w:val="0083779E"/>
    <w:rsid w:val="00837B11"/>
    <w:rsid w:val="00837F1F"/>
    <w:rsid w:val="0084002D"/>
    <w:rsid w:val="008408DB"/>
    <w:rsid w:val="0084094F"/>
    <w:rsid w:val="00840DA3"/>
    <w:rsid w:val="00840EDB"/>
    <w:rsid w:val="008411E2"/>
    <w:rsid w:val="00841828"/>
    <w:rsid w:val="00841C52"/>
    <w:rsid w:val="00841ED3"/>
    <w:rsid w:val="00842101"/>
    <w:rsid w:val="00842627"/>
    <w:rsid w:val="0084282D"/>
    <w:rsid w:val="008428F9"/>
    <w:rsid w:val="00842F4B"/>
    <w:rsid w:val="00843586"/>
    <w:rsid w:val="008445F4"/>
    <w:rsid w:val="00844841"/>
    <w:rsid w:val="0084544B"/>
    <w:rsid w:val="00845BE7"/>
    <w:rsid w:val="00845E18"/>
    <w:rsid w:val="0084614A"/>
    <w:rsid w:val="0084685A"/>
    <w:rsid w:val="008468DD"/>
    <w:rsid w:val="00846A08"/>
    <w:rsid w:val="00846C3C"/>
    <w:rsid w:val="00846E48"/>
    <w:rsid w:val="00847050"/>
    <w:rsid w:val="008479D5"/>
    <w:rsid w:val="00847D2D"/>
    <w:rsid w:val="00847E16"/>
    <w:rsid w:val="00850627"/>
    <w:rsid w:val="008508BD"/>
    <w:rsid w:val="00850BED"/>
    <w:rsid w:val="00850E89"/>
    <w:rsid w:val="00850F16"/>
    <w:rsid w:val="00851342"/>
    <w:rsid w:val="00851616"/>
    <w:rsid w:val="008516A5"/>
    <w:rsid w:val="00851705"/>
    <w:rsid w:val="008518CE"/>
    <w:rsid w:val="00851F6B"/>
    <w:rsid w:val="0085242B"/>
    <w:rsid w:val="00852BA8"/>
    <w:rsid w:val="00852D72"/>
    <w:rsid w:val="00853C44"/>
    <w:rsid w:val="00853DCD"/>
    <w:rsid w:val="00853ED7"/>
    <w:rsid w:val="00853F6F"/>
    <w:rsid w:val="00854293"/>
    <w:rsid w:val="008545E1"/>
    <w:rsid w:val="00855318"/>
    <w:rsid w:val="00855687"/>
    <w:rsid w:val="00855707"/>
    <w:rsid w:val="00855E51"/>
    <w:rsid w:val="008561B1"/>
    <w:rsid w:val="00856562"/>
    <w:rsid w:val="008568E7"/>
    <w:rsid w:val="00856991"/>
    <w:rsid w:val="00856A4A"/>
    <w:rsid w:val="00856B8B"/>
    <w:rsid w:val="00857097"/>
    <w:rsid w:val="0085739C"/>
    <w:rsid w:val="0085748F"/>
    <w:rsid w:val="00857786"/>
    <w:rsid w:val="008579E5"/>
    <w:rsid w:val="00857A2F"/>
    <w:rsid w:val="00857C42"/>
    <w:rsid w:val="00857EB9"/>
    <w:rsid w:val="00857EDB"/>
    <w:rsid w:val="008607D8"/>
    <w:rsid w:val="00860B66"/>
    <w:rsid w:val="00860CB3"/>
    <w:rsid w:val="00860E0E"/>
    <w:rsid w:val="00860FBF"/>
    <w:rsid w:val="008616A4"/>
    <w:rsid w:val="00861986"/>
    <w:rsid w:val="008620DD"/>
    <w:rsid w:val="0086226B"/>
    <w:rsid w:val="00862609"/>
    <w:rsid w:val="00862870"/>
    <w:rsid w:val="00862A3E"/>
    <w:rsid w:val="00862BFA"/>
    <w:rsid w:val="00862DA6"/>
    <w:rsid w:val="00862E2B"/>
    <w:rsid w:val="00862E63"/>
    <w:rsid w:val="008630F8"/>
    <w:rsid w:val="008632E2"/>
    <w:rsid w:val="00863548"/>
    <w:rsid w:val="008636D8"/>
    <w:rsid w:val="00863AE9"/>
    <w:rsid w:val="00863EEE"/>
    <w:rsid w:val="008640A4"/>
    <w:rsid w:val="00864173"/>
    <w:rsid w:val="008645A1"/>
    <w:rsid w:val="008647AE"/>
    <w:rsid w:val="008647F5"/>
    <w:rsid w:val="00864E57"/>
    <w:rsid w:val="00864F2E"/>
    <w:rsid w:val="0086553F"/>
    <w:rsid w:val="0086570F"/>
    <w:rsid w:val="00865B39"/>
    <w:rsid w:val="00865C4F"/>
    <w:rsid w:val="00865FA9"/>
    <w:rsid w:val="00866277"/>
    <w:rsid w:val="008664C8"/>
    <w:rsid w:val="008665D1"/>
    <w:rsid w:val="0086667B"/>
    <w:rsid w:val="008666F7"/>
    <w:rsid w:val="00866EC2"/>
    <w:rsid w:val="008670D0"/>
    <w:rsid w:val="0086746B"/>
    <w:rsid w:val="00867780"/>
    <w:rsid w:val="008678A3"/>
    <w:rsid w:val="00867EF9"/>
    <w:rsid w:val="008701C1"/>
    <w:rsid w:val="008706AB"/>
    <w:rsid w:val="00870DAD"/>
    <w:rsid w:val="00871166"/>
    <w:rsid w:val="00871748"/>
    <w:rsid w:val="00871960"/>
    <w:rsid w:val="0087236C"/>
    <w:rsid w:val="00872415"/>
    <w:rsid w:val="00872844"/>
    <w:rsid w:val="00872D9B"/>
    <w:rsid w:val="00873251"/>
    <w:rsid w:val="0087347A"/>
    <w:rsid w:val="00873660"/>
    <w:rsid w:val="0087421F"/>
    <w:rsid w:val="008744BB"/>
    <w:rsid w:val="008745C0"/>
    <w:rsid w:val="008748EC"/>
    <w:rsid w:val="00874936"/>
    <w:rsid w:val="00874D5F"/>
    <w:rsid w:val="00874D75"/>
    <w:rsid w:val="00874EC1"/>
    <w:rsid w:val="00875330"/>
    <w:rsid w:val="0087582B"/>
    <w:rsid w:val="00875A32"/>
    <w:rsid w:val="00875B72"/>
    <w:rsid w:val="0087665F"/>
    <w:rsid w:val="008779A2"/>
    <w:rsid w:val="00877C4E"/>
    <w:rsid w:val="00877C7D"/>
    <w:rsid w:val="00877D87"/>
    <w:rsid w:val="00877FC4"/>
    <w:rsid w:val="0087E06F"/>
    <w:rsid w:val="00880486"/>
    <w:rsid w:val="008805F2"/>
    <w:rsid w:val="00880717"/>
    <w:rsid w:val="00880845"/>
    <w:rsid w:val="00880929"/>
    <w:rsid w:val="0088094F"/>
    <w:rsid w:val="008809B0"/>
    <w:rsid w:val="00880B0A"/>
    <w:rsid w:val="00880C46"/>
    <w:rsid w:val="00880CE5"/>
    <w:rsid w:val="00880D2B"/>
    <w:rsid w:val="00880EC9"/>
    <w:rsid w:val="00881207"/>
    <w:rsid w:val="00881443"/>
    <w:rsid w:val="00881491"/>
    <w:rsid w:val="008815E1"/>
    <w:rsid w:val="008815ED"/>
    <w:rsid w:val="008816AA"/>
    <w:rsid w:val="00881C74"/>
    <w:rsid w:val="00882A9E"/>
    <w:rsid w:val="00882BCC"/>
    <w:rsid w:val="008834A4"/>
    <w:rsid w:val="00883646"/>
    <w:rsid w:val="00883701"/>
    <w:rsid w:val="008837D1"/>
    <w:rsid w:val="00883B5B"/>
    <w:rsid w:val="00884E69"/>
    <w:rsid w:val="0088506E"/>
    <w:rsid w:val="008852DD"/>
    <w:rsid w:val="00885801"/>
    <w:rsid w:val="0088592C"/>
    <w:rsid w:val="00885F39"/>
    <w:rsid w:val="00886370"/>
    <w:rsid w:val="008866C5"/>
    <w:rsid w:val="00886E4B"/>
    <w:rsid w:val="008873C5"/>
    <w:rsid w:val="00887A6D"/>
    <w:rsid w:val="00887BE6"/>
    <w:rsid w:val="00887CD5"/>
    <w:rsid w:val="00887DF3"/>
    <w:rsid w:val="008900A0"/>
    <w:rsid w:val="008902AD"/>
    <w:rsid w:val="008907B3"/>
    <w:rsid w:val="00890965"/>
    <w:rsid w:val="00890BB5"/>
    <w:rsid w:val="00890CC9"/>
    <w:rsid w:val="00890F6C"/>
    <w:rsid w:val="00890FF5"/>
    <w:rsid w:val="00891236"/>
    <w:rsid w:val="008913B5"/>
    <w:rsid w:val="0089203F"/>
    <w:rsid w:val="008920B5"/>
    <w:rsid w:val="00892292"/>
    <w:rsid w:val="0089305A"/>
    <w:rsid w:val="00893311"/>
    <w:rsid w:val="008935D9"/>
    <w:rsid w:val="00893863"/>
    <w:rsid w:val="008942BC"/>
    <w:rsid w:val="008944F8"/>
    <w:rsid w:val="00894719"/>
    <w:rsid w:val="00894A02"/>
    <w:rsid w:val="00894D58"/>
    <w:rsid w:val="00894D76"/>
    <w:rsid w:val="00895393"/>
    <w:rsid w:val="00895EB5"/>
    <w:rsid w:val="0089613E"/>
    <w:rsid w:val="00896368"/>
    <w:rsid w:val="00896759"/>
    <w:rsid w:val="00896B47"/>
    <w:rsid w:val="00896C5E"/>
    <w:rsid w:val="00896DD1"/>
    <w:rsid w:val="00896FA4"/>
    <w:rsid w:val="00897524"/>
    <w:rsid w:val="00897654"/>
    <w:rsid w:val="00897877"/>
    <w:rsid w:val="00897C46"/>
    <w:rsid w:val="008A08A4"/>
    <w:rsid w:val="008A0D15"/>
    <w:rsid w:val="008A0E60"/>
    <w:rsid w:val="008A0FA1"/>
    <w:rsid w:val="008A12B8"/>
    <w:rsid w:val="008A131F"/>
    <w:rsid w:val="008A1386"/>
    <w:rsid w:val="008A13A4"/>
    <w:rsid w:val="008A1589"/>
    <w:rsid w:val="008A184F"/>
    <w:rsid w:val="008A185B"/>
    <w:rsid w:val="008A1998"/>
    <w:rsid w:val="008A25C8"/>
    <w:rsid w:val="008A28E0"/>
    <w:rsid w:val="008A2A18"/>
    <w:rsid w:val="008A2BE3"/>
    <w:rsid w:val="008A2F98"/>
    <w:rsid w:val="008A3207"/>
    <w:rsid w:val="008A3A1F"/>
    <w:rsid w:val="008A3D09"/>
    <w:rsid w:val="008A3E01"/>
    <w:rsid w:val="008A4066"/>
    <w:rsid w:val="008A42D2"/>
    <w:rsid w:val="008A44C8"/>
    <w:rsid w:val="008A4564"/>
    <w:rsid w:val="008A4ACA"/>
    <w:rsid w:val="008A4EB5"/>
    <w:rsid w:val="008A4F1F"/>
    <w:rsid w:val="008A51BE"/>
    <w:rsid w:val="008A5813"/>
    <w:rsid w:val="008A5871"/>
    <w:rsid w:val="008A5D28"/>
    <w:rsid w:val="008A5D33"/>
    <w:rsid w:val="008A5E1E"/>
    <w:rsid w:val="008A6024"/>
    <w:rsid w:val="008A691F"/>
    <w:rsid w:val="008A6DC8"/>
    <w:rsid w:val="008A75A1"/>
    <w:rsid w:val="008A77FD"/>
    <w:rsid w:val="008B0252"/>
    <w:rsid w:val="008B0B7B"/>
    <w:rsid w:val="008B0C98"/>
    <w:rsid w:val="008B0F2C"/>
    <w:rsid w:val="008B2073"/>
    <w:rsid w:val="008B21BD"/>
    <w:rsid w:val="008B26A3"/>
    <w:rsid w:val="008B34A8"/>
    <w:rsid w:val="008B34F6"/>
    <w:rsid w:val="008B3781"/>
    <w:rsid w:val="008B384E"/>
    <w:rsid w:val="008B43EE"/>
    <w:rsid w:val="008B44CE"/>
    <w:rsid w:val="008B4807"/>
    <w:rsid w:val="008B4B37"/>
    <w:rsid w:val="008B51CF"/>
    <w:rsid w:val="008B51E1"/>
    <w:rsid w:val="008B5560"/>
    <w:rsid w:val="008B55D0"/>
    <w:rsid w:val="008B56FA"/>
    <w:rsid w:val="008B588F"/>
    <w:rsid w:val="008B5F44"/>
    <w:rsid w:val="008B6017"/>
    <w:rsid w:val="008B6204"/>
    <w:rsid w:val="008B63AC"/>
    <w:rsid w:val="008B675D"/>
    <w:rsid w:val="008B6C07"/>
    <w:rsid w:val="008B7032"/>
    <w:rsid w:val="008C009D"/>
    <w:rsid w:val="008C00C9"/>
    <w:rsid w:val="008C0160"/>
    <w:rsid w:val="008C0173"/>
    <w:rsid w:val="008C0445"/>
    <w:rsid w:val="008C0B48"/>
    <w:rsid w:val="008C0F1B"/>
    <w:rsid w:val="008C1169"/>
    <w:rsid w:val="008C2705"/>
    <w:rsid w:val="008C2916"/>
    <w:rsid w:val="008C2DDC"/>
    <w:rsid w:val="008C337C"/>
    <w:rsid w:val="008C3409"/>
    <w:rsid w:val="008C3AFC"/>
    <w:rsid w:val="008C3CE5"/>
    <w:rsid w:val="008C3D35"/>
    <w:rsid w:val="008C4E16"/>
    <w:rsid w:val="008C5193"/>
    <w:rsid w:val="008C5C0D"/>
    <w:rsid w:val="008C5C65"/>
    <w:rsid w:val="008C5E65"/>
    <w:rsid w:val="008C6651"/>
    <w:rsid w:val="008C6B9D"/>
    <w:rsid w:val="008C6E02"/>
    <w:rsid w:val="008C72CC"/>
    <w:rsid w:val="008C74D1"/>
    <w:rsid w:val="008C7DB9"/>
    <w:rsid w:val="008D0252"/>
    <w:rsid w:val="008D115C"/>
    <w:rsid w:val="008D1199"/>
    <w:rsid w:val="008D123B"/>
    <w:rsid w:val="008D160B"/>
    <w:rsid w:val="008D16CB"/>
    <w:rsid w:val="008D18D5"/>
    <w:rsid w:val="008D19B4"/>
    <w:rsid w:val="008D1BA5"/>
    <w:rsid w:val="008D22F0"/>
    <w:rsid w:val="008D28B6"/>
    <w:rsid w:val="008D295F"/>
    <w:rsid w:val="008D2C8C"/>
    <w:rsid w:val="008D2CD9"/>
    <w:rsid w:val="008D2E54"/>
    <w:rsid w:val="008D33B0"/>
    <w:rsid w:val="008D38F2"/>
    <w:rsid w:val="008D3F99"/>
    <w:rsid w:val="008D4092"/>
    <w:rsid w:val="008D41A6"/>
    <w:rsid w:val="008D421F"/>
    <w:rsid w:val="008D458C"/>
    <w:rsid w:val="008D46A0"/>
    <w:rsid w:val="008D4B8A"/>
    <w:rsid w:val="008D4E76"/>
    <w:rsid w:val="008D5040"/>
    <w:rsid w:val="008D561C"/>
    <w:rsid w:val="008D5750"/>
    <w:rsid w:val="008D5A23"/>
    <w:rsid w:val="008D5D54"/>
    <w:rsid w:val="008D5E72"/>
    <w:rsid w:val="008D66F4"/>
    <w:rsid w:val="008D6E1C"/>
    <w:rsid w:val="008D73DE"/>
    <w:rsid w:val="008D75A6"/>
    <w:rsid w:val="008D7876"/>
    <w:rsid w:val="008D7B23"/>
    <w:rsid w:val="008D7BE5"/>
    <w:rsid w:val="008D7FE7"/>
    <w:rsid w:val="008E00A7"/>
    <w:rsid w:val="008E0BB0"/>
    <w:rsid w:val="008E1894"/>
    <w:rsid w:val="008E1F60"/>
    <w:rsid w:val="008E20C0"/>
    <w:rsid w:val="008E2350"/>
    <w:rsid w:val="008E253C"/>
    <w:rsid w:val="008E29FF"/>
    <w:rsid w:val="008E2B71"/>
    <w:rsid w:val="008E2C01"/>
    <w:rsid w:val="008E2EA8"/>
    <w:rsid w:val="008E2F9B"/>
    <w:rsid w:val="008E3512"/>
    <w:rsid w:val="008E359D"/>
    <w:rsid w:val="008E3859"/>
    <w:rsid w:val="008E3B9D"/>
    <w:rsid w:val="008E4A27"/>
    <w:rsid w:val="008E4B75"/>
    <w:rsid w:val="008E4D41"/>
    <w:rsid w:val="008E4DC6"/>
    <w:rsid w:val="008E4E55"/>
    <w:rsid w:val="008E58F5"/>
    <w:rsid w:val="008E5F50"/>
    <w:rsid w:val="008E66B7"/>
    <w:rsid w:val="008E66BD"/>
    <w:rsid w:val="008E67CA"/>
    <w:rsid w:val="008E6A91"/>
    <w:rsid w:val="008E70B2"/>
    <w:rsid w:val="008E7560"/>
    <w:rsid w:val="008E7BB2"/>
    <w:rsid w:val="008E7C18"/>
    <w:rsid w:val="008E7E4E"/>
    <w:rsid w:val="008F03F7"/>
    <w:rsid w:val="008F0887"/>
    <w:rsid w:val="008F099B"/>
    <w:rsid w:val="008F09F2"/>
    <w:rsid w:val="008F0C05"/>
    <w:rsid w:val="008F1203"/>
    <w:rsid w:val="008F14C4"/>
    <w:rsid w:val="008F14F5"/>
    <w:rsid w:val="008F18A9"/>
    <w:rsid w:val="008F1E1B"/>
    <w:rsid w:val="008F2D19"/>
    <w:rsid w:val="008F30C6"/>
    <w:rsid w:val="008F34A2"/>
    <w:rsid w:val="008F473E"/>
    <w:rsid w:val="008F480B"/>
    <w:rsid w:val="008F49BE"/>
    <w:rsid w:val="008F4C51"/>
    <w:rsid w:val="008F50B4"/>
    <w:rsid w:val="008F50DA"/>
    <w:rsid w:val="008F5212"/>
    <w:rsid w:val="008F5AAE"/>
    <w:rsid w:val="008F5B07"/>
    <w:rsid w:val="008F5F75"/>
    <w:rsid w:val="008F6694"/>
    <w:rsid w:val="008F6B48"/>
    <w:rsid w:val="008F6EF6"/>
    <w:rsid w:val="008F706F"/>
    <w:rsid w:val="008F7199"/>
    <w:rsid w:val="008F7211"/>
    <w:rsid w:val="008F7499"/>
    <w:rsid w:val="008F770D"/>
    <w:rsid w:val="008F78E1"/>
    <w:rsid w:val="008F79DF"/>
    <w:rsid w:val="009000F8"/>
    <w:rsid w:val="00900221"/>
    <w:rsid w:val="009004D4"/>
    <w:rsid w:val="009008CE"/>
    <w:rsid w:val="00900D77"/>
    <w:rsid w:val="00901655"/>
    <w:rsid w:val="0090170B"/>
    <w:rsid w:val="00901D14"/>
    <w:rsid w:val="00902C39"/>
    <w:rsid w:val="0090330E"/>
    <w:rsid w:val="00903D3B"/>
    <w:rsid w:val="00903E36"/>
    <w:rsid w:val="00904490"/>
    <w:rsid w:val="009046CD"/>
    <w:rsid w:val="00904945"/>
    <w:rsid w:val="009049DB"/>
    <w:rsid w:val="00904B9C"/>
    <w:rsid w:val="00904D55"/>
    <w:rsid w:val="00904E3B"/>
    <w:rsid w:val="00905092"/>
    <w:rsid w:val="009052A6"/>
    <w:rsid w:val="00905ABC"/>
    <w:rsid w:val="00905D0F"/>
    <w:rsid w:val="00906544"/>
    <w:rsid w:val="009067A0"/>
    <w:rsid w:val="00907292"/>
    <w:rsid w:val="009073CD"/>
    <w:rsid w:val="009077D3"/>
    <w:rsid w:val="009077F5"/>
    <w:rsid w:val="00907FC7"/>
    <w:rsid w:val="00910872"/>
    <w:rsid w:val="0091088C"/>
    <w:rsid w:val="00910BA1"/>
    <w:rsid w:val="00910C97"/>
    <w:rsid w:val="00910F83"/>
    <w:rsid w:val="0091125F"/>
    <w:rsid w:val="009112F1"/>
    <w:rsid w:val="00911A28"/>
    <w:rsid w:val="00912214"/>
    <w:rsid w:val="00912468"/>
    <w:rsid w:val="00912E8C"/>
    <w:rsid w:val="00913440"/>
    <w:rsid w:val="00913D97"/>
    <w:rsid w:val="00914C54"/>
    <w:rsid w:val="00914DD1"/>
    <w:rsid w:val="00915129"/>
    <w:rsid w:val="00915637"/>
    <w:rsid w:val="00915AD4"/>
    <w:rsid w:val="00916270"/>
    <w:rsid w:val="009165F2"/>
    <w:rsid w:val="00916D04"/>
    <w:rsid w:val="00916E8F"/>
    <w:rsid w:val="00917132"/>
    <w:rsid w:val="0091714D"/>
    <w:rsid w:val="00917151"/>
    <w:rsid w:val="00917272"/>
    <w:rsid w:val="009174C4"/>
    <w:rsid w:val="0091777B"/>
    <w:rsid w:val="00917CC9"/>
    <w:rsid w:val="00920657"/>
    <w:rsid w:val="009206C9"/>
    <w:rsid w:val="00920EDF"/>
    <w:rsid w:val="00921302"/>
    <w:rsid w:val="009219BF"/>
    <w:rsid w:val="009219CC"/>
    <w:rsid w:val="00921AF7"/>
    <w:rsid w:val="00921D09"/>
    <w:rsid w:val="00921D3C"/>
    <w:rsid w:val="009221FA"/>
    <w:rsid w:val="0092245A"/>
    <w:rsid w:val="009224EF"/>
    <w:rsid w:val="00922ECA"/>
    <w:rsid w:val="009231A1"/>
    <w:rsid w:val="00923608"/>
    <w:rsid w:val="0092362D"/>
    <w:rsid w:val="009236D0"/>
    <w:rsid w:val="00923AC7"/>
    <w:rsid w:val="00924102"/>
    <w:rsid w:val="009243D7"/>
    <w:rsid w:val="00924435"/>
    <w:rsid w:val="00924BFC"/>
    <w:rsid w:val="00924DE2"/>
    <w:rsid w:val="00924DF4"/>
    <w:rsid w:val="00925331"/>
    <w:rsid w:val="0092543E"/>
    <w:rsid w:val="009258AF"/>
    <w:rsid w:val="00925C9F"/>
    <w:rsid w:val="00925FF6"/>
    <w:rsid w:val="0092654B"/>
    <w:rsid w:val="00926759"/>
    <w:rsid w:val="00926E1B"/>
    <w:rsid w:val="009276FD"/>
    <w:rsid w:val="0092799C"/>
    <w:rsid w:val="00927F0C"/>
    <w:rsid w:val="009304AD"/>
    <w:rsid w:val="00930514"/>
    <w:rsid w:val="00930898"/>
    <w:rsid w:val="00930B67"/>
    <w:rsid w:val="00930C23"/>
    <w:rsid w:val="00931218"/>
    <w:rsid w:val="00931538"/>
    <w:rsid w:val="0093157D"/>
    <w:rsid w:val="00931640"/>
    <w:rsid w:val="0093168A"/>
    <w:rsid w:val="0093204B"/>
    <w:rsid w:val="0093243D"/>
    <w:rsid w:val="00932ADC"/>
    <w:rsid w:val="00932BD7"/>
    <w:rsid w:val="00932C16"/>
    <w:rsid w:val="009339EF"/>
    <w:rsid w:val="00933B10"/>
    <w:rsid w:val="00933C91"/>
    <w:rsid w:val="009340D0"/>
    <w:rsid w:val="00934319"/>
    <w:rsid w:val="0093436E"/>
    <w:rsid w:val="00934651"/>
    <w:rsid w:val="00934FAB"/>
    <w:rsid w:val="0093509B"/>
    <w:rsid w:val="0093522F"/>
    <w:rsid w:val="009352F3"/>
    <w:rsid w:val="0093543C"/>
    <w:rsid w:val="00935586"/>
    <w:rsid w:val="009355E5"/>
    <w:rsid w:val="00935AA8"/>
    <w:rsid w:val="00935CB0"/>
    <w:rsid w:val="00936FA4"/>
    <w:rsid w:val="009370B0"/>
    <w:rsid w:val="0093759F"/>
    <w:rsid w:val="00937A54"/>
    <w:rsid w:val="00937C5F"/>
    <w:rsid w:val="00937EB5"/>
    <w:rsid w:val="009407C6"/>
    <w:rsid w:val="00940914"/>
    <w:rsid w:val="00940AFA"/>
    <w:rsid w:val="009410FC"/>
    <w:rsid w:val="009411A3"/>
    <w:rsid w:val="0094157C"/>
    <w:rsid w:val="009419AC"/>
    <w:rsid w:val="009419FA"/>
    <w:rsid w:val="00941B78"/>
    <w:rsid w:val="00941BF7"/>
    <w:rsid w:val="00941D4F"/>
    <w:rsid w:val="00941FA2"/>
    <w:rsid w:val="00942085"/>
    <w:rsid w:val="009420C7"/>
    <w:rsid w:val="0094229A"/>
    <w:rsid w:val="0094254C"/>
    <w:rsid w:val="009427DA"/>
    <w:rsid w:val="00942B5F"/>
    <w:rsid w:val="00942CAA"/>
    <w:rsid w:val="00943936"/>
    <w:rsid w:val="00943D77"/>
    <w:rsid w:val="00943E8C"/>
    <w:rsid w:val="00943FE4"/>
    <w:rsid w:val="009440ED"/>
    <w:rsid w:val="009441B5"/>
    <w:rsid w:val="0094462D"/>
    <w:rsid w:val="0094488D"/>
    <w:rsid w:val="00944D9B"/>
    <w:rsid w:val="009451BA"/>
    <w:rsid w:val="00945353"/>
    <w:rsid w:val="0094546B"/>
    <w:rsid w:val="009454EA"/>
    <w:rsid w:val="009455D5"/>
    <w:rsid w:val="00945890"/>
    <w:rsid w:val="00945F8A"/>
    <w:rsid w:val="00946469"/>
    <w:rsid w:val="009466F4"/>
    <w:rsid w:val="00946874"/>
    <w:rsid w:val="009470E6"/>
    <w:rsid w:val="009476B3"/>
    <w:rsid w:val="0094792E"/>
    <w:rsid w:val="00947F0B"/>
    <w:rsid w:val="009502CF"/>
    <w:rsid w:val="009505B6"/>
    <w:rsid w:val="00950835"/>
    <w:rsid w:val="00950EC2"/>
    <w:rsid w:val="009510BF"/>
    <w:rsid w:val="0095125D"/>
    <w:rsid w:val="00951852"/>
    <w:rsid w:val="00951AD4"/>
    <w:rsid w:val="00951FC3"/>
    <w:rsid w:val="00952587"/>
    <w:rsid w:val="00952855"/>
    <w:rsid w:val="00952957"/>
    <w:rsid w:val="00952EC6"/>
    <w:rsid w:val="00953136"/>
    <w:rsid w:val="0095338E"/>
    <w:rsid w:val="009535F3"/>
    <w:rsid w:val="00953A0B"/>
    <w:rsid w:val="00953CCC"/>
    <w:rsid w:val="00954548"/>
    <w:rsid w:val="009547C1"/>
    <w:rsid w:val="00954DA3"/>
    <w:rsid w:val="00954F0B"/>
    <w:rsid w:val="00955400"/>
    <w:rsid w:val="00955963"/>
    <w:rsid w:val="009559B1"/>
    <w:rsid w:val="00955A4F"/>
    <w:rsid w:val="00955F52"/>
    <w:rsid w:val="00955F94"/>
    <w:rsid w:val="009562B3"/>
    <w:rsid w:val="0095647E"/>
    <w:rsid w:val="009568B3"/>
    <w:rsid w:val="00956CDB"/>
    <w:rsid w:val="00956F73"/>
    <w:rsid w:val="00957610"/>
    <w:rsid w:val="0095764C"/>
    <w:rsid w:val="00957B18"/>
    <w:rsid w:val="00957BDB"/>
    <w:rsid w:val="00957CCE"/>
    <w:rsid w:val="009604A5"/>
    <w:rsid w:val="00960561"/>
    <w:rsid w:val="0096058A"/>
    <w:rsid w:val="00960A38"/>
    <w:rsid w:val="00960B01"/>
    <w:rsid w:val="00960D59"/>
    <w:rsid w:val="00961101"/>
    <w:rsid w:val="00961310"/>
    <w:rsid w:val="00961499"/>
    <w:rsid w:val="00961FA1"/>
    <w:rsid w:val="0096204B"/>
    <w:rsid w:val="00962201"/>
    <w:rsid w:val="009624B1"/>
    <w:rsid w:val="0096268F"/>
    <w:rsid w:val="0096283C"/>
    <w:rsid w:val="0096283F"/>
    <w:rsid w:val="00962EA7"/>
    <w:rsid w:val="00963371"/>
    <w:rsid w:val="00963479"/>
    <w:rsid w:val="009637A2"/>
    <w:rsid w:val="0096420C"/>
    <w:rsid w:val="0096447C"/>
    <w:rsid w:val="00964595"/>
    <w:rsid w:val="009648FA"/>
    <w:rsid w:val="009654F8"/>
    <w:rsid w:val="00965906"/>
    <w:rsid w:val="009659C4"/>
    <w:rsid w:val="009668F7"/>
    <w:rsid w:val="00966BC4"/>
    <w:rsid w:val="00967424"/>
    <w:rsid w:val="009675BD"/>
    <w:rsid w:val="0096763E"/>
    <w:rsid w:val="00967664"/>
    <w:rsid w:val="0096785E"/>
    <w:rsid w:val="009679EF"/>
    <w:rsid w:val="00967FE1"/>
    <w:rsid w:val="009701EE"/>
    <w:rsid w:val="009706DD"/>
    <w:rsid w:val="00970DD3"/>
    <w:rsid w:val="00970E69"/>
    <w:rsid w:val="00971098"/>
    <w:rsid w:val="0097137A"/>
    <w:rsid w:val="00971CE2"/>
    <w:rsid w:val="0097223D"/>
    <w:rsid w:val="00972247"/>
    <w:rsid w:val="009722CB"/>
    <w:rsid w:val="0097289F"/>
    <w:rsid w:val="00972A59"/>
    <w:rsid w:val="00972B5D"/>
    <w:rsid w:val="009733EF"/>
    <w:rsid w:val="009734F5"/>
    <w:rsid w:val="009735EA"/>
    <w:rsid w:val="00973954"/>
    <w:rsid w:val="00973B59"/>
    <w:rsid w:val="00973D16"/>
    <w:rsid w:val="00974253"/>
    <w:rsid w:val="009748BA"/>
    <w:rsid w:val="009749A0"/>
    <w:rsid w:val="00974BC8"/>
    <w:rsid w:val="00974C17"/>
    <w:rsid w:val="00974EDF"/>
    <w:rsid w:val="00975228"/>
    <w:rsid w:val="009752FC"/>
    <w:rsid w:val="00975428"/>
    <w:rsid w:val="00975F0F"/>
    <w:rsid w:val="00975F19"/>
    <w:rsid w:val="009769E5"/>
    <w:rsid w:val="0097767F"/>
    <w:rsid w:val="00977891"/>
    <w:rsid w:val="0098000C"/>
    <w:rsid w:val="009800D4"/>
    <w:rsid w:val="00980132"/>
    <w:rsid w:val="009803B4"/>
    <w:rsid w:val="00980991"/>
    <w:rsid w:val="00980A02"/>
    <w:rsid w:val="009813AD"/>
    <w:rsid w:val="00981A9B"/>
    <w:rsid w:val="00981EC9"/>
    <w:rsid w:val="00982504"/>
    <w:rsid w:val="00982AAE"/>
    <w:rsid w:val="00982AC8"/>
    <w:rsid w:val="00983148"/>
    <w:rsid w:val="009831F4"/>
    <w:rsid w:val="00983970"/>
    <w:rsid w:val="00983D6A"/>
    <w:rsid w:val="00983DC8"/>
    <w:rsid w:val="0098417D"/>
    <w:rsid w:val="0098433F"/>
    <w:rsid w:val="0098435A"/>
    <w:rsid w:val="0098439A"/>
    <w:rsid w:val="00984516"/>
    <w:rsid w:val="0098453A"/>
    <w:rsid w:val="009847B4"/>
    <w:rsid w:val="0098480C"/>
    <w:rsid w:val="00985283"/>
    <w:rsid w:val="00985407"/>
    <w:rsid w:val="00985421"/>
    <w:rsid w:val="00985710"/>
    <w:rsid w:val="0098595E"/>
    <w:rsid w:val="00985E3B"/>
    <w:rsid w:val="00985EB4"/>
    <w:rsid w:val="00986824"/>
    <w:rsid w:val="00986B48"/>
    <w:rsid w:val="00987006"/>
    <w:rsid w:val="0098795D"/>
    <w:rsid w:val="00987F8C"/>
    <w:rsid w:val="0099038E"/>
    <w:rsid w:val="009903C5"/>
    <w:rsid w:val="00990688"/>
    <w:rsid w:val="00990752"/>
    <w:rsid w:val="009909E3"/>
    <w:rsid w:val="00990B0C"/>
    <w:rsid w:val="00990CF0"/>
    <w:rsid w:val="00991134"/>
    <w:rsid w:val="009912EE"/>
    <w:rsid w:val="00991FC2"/>
    <w:rsid w:val="00992A6D"/>
    <w:rsid w:val="00992C79"/>
    <w:rsid w:val="009933C1"/>
    <w:rsid w:val="00993C1A"/>
    <w:rsid w:val="00993EB6"/>
    <w:rsid w:val="00994027"/>
    <w:rsid w:val="00994071"/>
    <w:rsid w:val="00994851"/>
    <w:rsid w:val="00994A1B"/>
    <w:rsid w:val="009953CB"/>
    <w:rsid w:val="009954FF"/>
    <w:rsid w:val="00995860"/>
    <w:rsid w:val="00995B5B"/>
    <w:rsid w:val="00995D0A"/>
    <w:rsid w:val="00995E73"/>
    <w:rsid w:val="009962E2"/>
    <w:rsid w:val="0099635D"/>
    <w:rsid w:val="00996596"/>
    <w:rsid w:val="00996668"/>
    <w:rsid w:val="009969C4"/>
    <w:rsid w:val="00996C08"/>
    <w:rsid w:val="00996DF4"/>
    <w:rsid w:val="009970F4"/>
    <w:rsid w:val="009979DA"/>
    <w:rsid w:val="009A03BC"/>
    <w:rsid w:val="009A04F8"/>
    <w:rsid w:val="009A0628"/>
    <w:rsid w:val="009A0AE5"/>
    <w:rsid w:val="009A0EDB"/>
    <w:rsid w:val="009A124F"/>
    <w:rsid w:val="009A12E8"/>
    <w:rsid w:val="009A1C32"/>
    <w:rsid w:val="009A223E"/>
    <w:rsid w:val="009A2992"/>
    <w:rsid w:val="009A3022"/>
    <w:rsid w:val="009A3051"/>
    <w:rsid w:val="009A3058"/>
    <w:rsid w:val="009A309E"/>
    <w:rsid w:val="009A350F"/>
    <w:rsid w:val="009A3DC0"/>
    <w:rsid w:val="009A4448"/>
    <w:rsid w:val="009A4AD0"/>
    <w:rsid w:val="009A4F9A"/>
    <w:rsid w:val="009A53DE"/>
    <w:rsid w:val="009A5865"/>
    <w:rsid w:val="009A5B9C"/>
    <w:rsid w:val="009A6B50"/>
    <w:rsid w:val="009A6CAD"/>
    <w:rsid w:val="009A7068"/>
    <w:rsid w:val="009A737A"/>
    <w:rsid w:val="009A74DC"/>
    <w:rsid w:val="009A7614"/>
    <w:rsid w:val="009A764A"/>
    <w:rsid w:val="009A7A10"/>
    <w:rsid w:val="009A7CCB"/>
    <w:rsid w:val="009A7FE6"/>
    <w:rsid w:val="009B00AD"/>
    <w:rsid w:val="009B02FC"/>
    <w:rsid w:val="009B0373"/>
    <w:rsid w:val="009B0594"/>
    <w:rsid w:val="009B0639"/>
    <w:rsid w:val="009B0ACB"/>
    <w:rsid w:val="009B0BEB"/>
    <w:rsid w:val="009B0C3A"/>
    <w:rsid w:val="009B15B2"/>
    <w:rsid w:val="009B170E"/>
    <w:rsid w:val="009B1901"/>
    <w:rsid w:val="009B204D"/>
    <w:rsid w:val="009B2710"/>
    <w:rsid w:val="009B28F1"/>
    <w:rsid w:val="009B2C59"/>
    <w:rsid w:val="009B2D24"/>
    <w:rsid w:val="009B3288"/>
    <w:rsid w:val="009B33BC"/>
    <w:rsid w:val="009B3400"/>
    <w:rsid w:val="009B3884"/>
    <w:rsid w:val="009B3EA8"/>
    <w:rsid w:val="009B41EF"/>
    <w:rsid w:val="009B49BA"/>
    <w:rsid w:val="009B4B53"/>
    <w:rsid w:val="009B5419"/>
    <w:rsid w:val="009B5666"/>
    <w:rsid w:val="009B585D"/>
    <w:rsid w:val="009B5BD5"/>
    <w:rsid w:val="009B6ABA"/>
    <w:rsid w:val="009B6ACE"/>
    <w:rsid w:val="009B6DCF"/>
    <w:rsid w:val="009B77B6"/>
    <w:rsid w:val="009B7819"/>
    <w:rsid w:val="009B7C3A"/>
    <w:rsid w:val="009C03F6"/>
    <w:rsid w:val="009C072A"/>
    <w:rsid w:val="009C07F9"/>
    <w:rsid w:val="009C09A7"/>
    <w:rsid w:val="009C1207"/>
    <w:rsid w:val="009C18B4"/>
    <w:rsid w:val="009C198D"/>
    <w:rsid w:val="009C2EAD"/>
    <w:rsid w:val="009C3058"/>
    <w:rsid w:val="009C33E6"/>
    <w:rsid w:val="009C3A63"/>
    <w:rsid w:val="009C3AB6"/>
    <w:rsid w:val="009C3D2E"/>
    <w:rsid w:val="009C4228"/>
    <w:rsid w:val="009C46B2"/>
    <w:rsid w:val="009C4A59"/>
    <w:rsid w:val="009C4D72"/>
    <w:rsid w:val="009C4DC6"/>
    <w:rsid w:val="009C5172"/>
    <w:rsid w:val="009C54E0"/>
    <w:rsid w:val="009C56B3"/>
    <w:rsid w:val="009C5771"/>
    <w:rsid w:val="009C59DB"/>
    <w:rsid w:val="009C5A75"/>
    <w:rsid w:val="009C5C5A"/>
    <w:rsid w:val="009C5CD5"/>
    <w:rsid w:val="009C5D01"/>
    <w:rsid w:val="009C5F6F"/>
    <w:rsid w:val="009C6227"/>
    <w:rsid w:val="009C6C1C"/>
    <w:rsid w:val="009C71FA"/>
    <w:rsid w:val="009C7378"/>
    <w:rsid w:val="009C7488"/>
    <w:rsid w:val="009C74F2"/>
    <w:rsid w:val="009C77D3"/>
    <w:rsid w:val="009D010D"/>
    <w:rsid w:val="009D029D"/>
    <w:rsid w:val="009D0AA0"/>
    <w:rsid w:val="009D0E59"/>
    <w:rsid w:val="009D0F4A"/>
    <w:rsid w:val="009D154D"/>
    <w:rsid w:val="009D1EAC"/>
    <w:rsid w:val="009D240E"/>
    <w:rsid w:val="009D279D"/>
    <w:rsid w:val="009D28F7"/>
    <w:rsid w:val="009D3510"/>
    <w:rsid w:val="009D3754"/>
    <w:rsid w:val="009D39AB"/>
    <w:rsid w:val="009D4309"/>
    <w:rsid w:val="009D44F0"/>
    <w:rsid w:val="009D452E"/>
    <w:rsid w:val="009D4813"/>
    <w:rsid w:val="009D4C2B"/>
    <w:rsid w:val="009D5420"/>
    <w:rsid w:val="009D604D"/>
    <w:rsid w:val="009D62ED"/>
    <w:rsid w:val="009D6503"/>
    <w:rsid w:val="009D6507"/>
    <w:rsid w:val="009D658C"/>
    <w:rsid w:val="009D664F"/>
    <w:rsid w:val="009D672C"/>
    <w:rsid w:val="009D691F"/>
    <w:rsid w:val="009D6A05"/>
    <w:rsid w:val="009D7162"/>
    <w:rsid w:val="009D764D"/>
    <w:rsid w:val="009D779D"/>
    <w:rsid w:val="009D785E"/>
    <w:rsid w:val="009D7A29"/>
    <w:rsid w:val="009D7AA5"/>
    <w:rsid w:val="009D7F98"/>
    <w:rsid w:val="009E0A8C"/>
    <w:rsid w:val="009E0B20"/>
    <w:rsid w:val="009E0B75"/>
    <w:rsid w:val="009E0CA4"/>
    <w:rsid w:val="009E0D8D"/>
    <w:rsid w:val="009E16B2"/>
    <w:rsid w:val="009E1777"/>
    <w:rsid w:val="009E19A7"/>
    <w:rsid w:val="009E1BDB"/>
    <w:rsid w:val="009E1C5D"/>
    <w:rsid w:val="009E1CF7"/>
    <w:rsid w:val="009E227F"/>
    <w:rsid w:val="009E22D9"/>
    <w:rsid w:val="009E26A1"/>
    <w:rsid w:val="009E2A12"/>
    <w:rsid w:val="009E2BA7"/>
    <w:rsid w:val="009E2F09"/>
    <w:rsid w:val="009E3369"/>
    <w:rsid w:val="009E3564"/>
    <w:rsid w:val="009E3FD2"/>
    <w:rsid w:val="009E40EA"/>
    <w:rsid w:val="009E41B2"/>
    <w:rsid w:val="009E4590"/>
    <w:rsid w:val="009E4973"/>
    <w:rsid w:val="009E587F"/>
    <w:rsid w:val="009E5DB8"/>
    <w:rsid w:val="009E639F"/>
    <w:rsid w:val="009E72EB"/>
    <w:rsid w:val="009E7791"/>
    <w:rsid w:val="009E796A"/>
    <w:rsid w:val="009E7A09"/>
    <w:rsid w:val="009E7D22"/>
    <w:rsid w:val="009E7DF3"/>
    <w:rsid w:val="009F025B"/>
    <w:rsid w:val="009F053F"/>
    <w:rsid w:val="009F07DD"/>
    <w:rsid w:val="009F0AB6"/>
    <w:rsid w:val="009F0F31"/>
    <w:rsid w:val="009F1364"/>
    <w:rsid w:val="009F1579"/>
    <w:rsid w:val="009F16FF"/>
    <w:rsid w:val="009F1C26"/>
    <w:rsid w:val="009F1E26"/>
    <w:rsid w:val="009F1FB0"/>
    <w:rsid w:val="009F216B"/>
    <w:rsid w:val="009F293C"/>
    <w:rsid w:val="009F2984"/>
    <w:rsid w:val="009F2FE1"/>
    <w:rsid w:val="009F31DD"/>
    <w:rsid w:val="009F33D7"/>
    <w:rsid w:val="009F3BCE"/>
    <w:rsid w:val="009F3D5C"/>
    <w:rsid w:val="009F3EF9"/>
    <w:rsid w:val="009F43DA"/>
    <w:rsid w:val="009F43FB"/>
    <w:rsid w:val="009F4411"/>
    <w:rsid w:val="009F4B4C"/>
    <w:rsid w:val="009F52A1"/>
    <w:rsid w:val="009F53E7"/>
    <w:rsid w:val="009F5E1D"/>
    <w:rsid w:val="009F5E59"/>
    <w:rsid w:val="009F60B2"/>
    <w:rsid w:val="009F669E"/>
    <w:rsid w:val="009F6776"/>
    <w:rsid w:val="009F680D"/>
    <w:rsid w:val="009F78FB"/>
    <w:rsid w:val="009F7A46"/>
    <w:rsid w:val="009F7E33"/>
    <w:rsid w:val="00A00115"/>
    <w:rsid w:val="00A0032A"/>
    <w:rsid w:val="00A00484"/>
    <w:rsid w:val="00A004F5"/>
    <w:rsid w:val="00A0062C"/>
    <w:rsid w:val="00A00833"/>
    <w:rsid w:val="00A00898"/>
    <w:rsid w:val="00A00B67"/>
    <w:rsid w:val="00A00F40"/>
    <w:rsid w:val="00A01380"/>
    <w:rsid w:val="00A01EC3"/>
    <w:rsid w:val="00A02630"/>
    <w:rsid w:val="00A02A30"/>
    <w:rsid w:val="00A02CA2"/>
    <w:rsid w:val="00A03113"/>
    <w:rsid w:val="00A033F3"/>
    <w:rsid w:val="00A03EC5"/>
    <w:rsid w:val="00A03F30"/>
    <w:rsid w:val="00A040CC"/>
    <w:rsid w:val="00A04151"/>
    <w:rsid w:val="00A0416F"/>
    <w:rsid w:val="00A0502B"/>
    <w:rsid w:val="00A050EE"/>
    <w:rsid w:val="00A05530"/>
    <w:rsid w:val="00A0596B"/>
    <w:rsid w:val="00A063DA"/>
    <w:rsid w:val="00A0686C"/>
    <w:rsid w:val="00A06B14"/>
    <w:rsid w:val="00A06D8D"/>
    <w:rsid w:val="00A070A0"/>
    <w:rsid w:val="00A07553"/>
    <w:rsid w:val="00A07907"/>
    <w:rsid w:val="00A07F2D"/>
    <w:rsid w:val="00A07F86"/>
    <w:rsid w:val="00A10C79"/>
    <w:rsid w:val="00A111DF"/>
    <w:rsid w:val="00A11B33"/>
    <w:rsid w:val="00A11B48"/>
    <w:rsid w:val="00A11FCC"/>
    <w:rsid w:val="00A12049"/>
    <w:rsid w:val="00A122CD"/>
    <w:rsid w:val="00A12703"/>
    <w:rsid w:val="00A12811"/>
    <w:rsid w:val="00A128B9"/>
    <w:rsid w:val="00A12B7C"/>
    <w:rsid w:val="00A12F9E"/>
    <w:rsid w:val="00A130C5"/>
    <w:rsid w:val="00A13365"/>
    <w:rsid w:val="00A1341E"/>
    <w:rsid w:val="00A1360A"/>
    <w:rsid w:val="00A13C27"/>
    <w:rsid w:val="00A14CA9"/>
    <w:rsid w:val="00A14E9E"/>
    <w:rsid w:val="00A16706"/>
    <w:rsid w:val="00A16A85"/>
    <w:rsid w:val="00A170E8"/>
    <w:rsid w:val="00A1734F"/>
    <w:rsid w:val="00A175EC"/>
    <w:rsid w:val="00A17638"/>
    <w:rsid w:val="00A17A5E"/>
    <w:rsid w:val="00A17C90"/>
    <w:rsid w:val="00A17F19"/>
    <w:rsid w:val="00A201FE"/>
    <w:rsid w:val="00A204F4"/>
    <w:rsid w:val="00A20564"/>
    <w:rsid w:val="00A205B3"/>
    <w:rsid w:val="00A20A71"/>
    <w:rsid w:val="00A20C9B"/>
    <w:rsid w:val="00A21380"/>
    <w:rsid w:val="00A214BF"/>
    <w:rsid w:val="00A21FAD"/>
    <w:rsid w:val="00A22725"/>
    <w:rsid w:val="00A2297C"/>
    <w:rsid w:val="00A22D60"/>
    <w:rsid w:val="00A22D85"/>
    <w:rsid w:val="00A23280"/>
    <w:rsid w:val="00A234E4"/>
    <w:rsid w:val="00A23729"/>
    <w:rsid w:val="00A23753"/>
    <w:rsid w:val="00A23A45"/>
    <w:rsid w:val="00A24359"/>
    <w:rsid w:val="00A2448D"/>
    <w:rsid w:val="00A245B4"/>
    <w:rsid w:val="00A24892"/>
    <w:rsid w:val="00A24DB4"/>
    <w:rsid w:val="00A253C7"/>
    <w:rsid w:val="00A25513"/>
    <w:rsid w:val="00A25551"/>
    <w:rsid w:val="00A255D2"/>
    <w:rsid w:val="00A256FE"/>
    <w:rsid w:val="00A2590D"/>
    <w:rsid w:val="00A2592E"/>
    <w:rsid w:val="00A2647F"/>
    <w:rsid w:val="00A27085"/>
    <w:rsid w:val="00A271D3"/>
    <w:rsid w:val="00A27457"/>
    <w:rsid w:val="00A277D4"/>
    <w:rsid w:val="00A27845"/>
    <w:rsid w:val="00A308FB"/>
    <w:rsid w:val="00A30E37"/>
    <w:rsid w:val="00A310F6"/>
    <w:rsid w:val="00A31382"/>
    <w:rsid w:val="00A3183F"/>
    <w:rsid w:val="00A31AF5"/>
    <w:rsid w:val="00A31F4D"/>
    <w:rsid w:val="00A32266"/>
    <w:rsid w:val="00A32593"/>
    <w:rsid w:val="00A326B8"/>
    <w:rsid w:val="00A32C4D"/>
    <w:rsid w:val="00A32D7B"/>
    <w:rsid w:val="00A33AF0"/>
    <w:rsid w:val="00A3433B"/>
    <w:rsid w:val="00A34602"/>
    <w:rsid w:val="00A34D6F"/>
    <w:rsid w:val="00A34F50"/>
    <w:rsid w:val="00A352F2"/>
    <w:rsid w:val="00A3530F"/>
    <w:rsid w:val="00A3585A"/>
    <w:rsid w:val="00A35FBB"/>
    <w:rsid w:val="00A365E5"/>
    <w:rsid w:val="00A367A3"/>
    <w:rsid w:val="00A36D72"/>
    <w:rsid w:val="00A37036"/>
    <w:rsid w:val="00A3774D"/>
    <w:rsid w:val="00A3780D"/>
    <w:rsid w:val="00A37DDB"/>
    <w:rsid w:val="00A37ED4"/>
    <w:rsid w:val="00A402A7"/>
    <w:rsid w:val="00A40BAC"/>
    <w:rsid w:val="00A40F54"/>
    <w:rsid w:val="00A410FE"/>
    <w:rsid w:val="00A41207"/>
    <w:rsid w:val="00A41693"/>
    <w:rsid w:val="00A418BB"/>
    <w:rsid w:val="00A421D4"/>
    <w:rsid w:val="00A4267A"/>
    <w:rsid w:val="00A426B5"/>
    <w:rsid w:val="00A42770"/>
    <w:rsid w:val="00A42DCD"/>
    <w:rsid w:val="00A42E89"/>
    <w:rsid w:val="00A4300B"/>
    <w:rsid w:val="00A430B5"/>
    <w:rsid w:val="00A436FC"/>
    <w:rsid w:val="00A43CFD"/>
    <w:rsid w:val="00A43D73"/>
    <w:rsid w:val="00A43FAF"/>
    <w:rsid w:val="00A4421A"/>
    <w:rsid w:val="00A442E0"/>
    <w:rsid w:val="00A44B5B"/>
    <w:rsid w:val="00A44DB3"/>
    <w:rsid w:val="00A44DF1"/>
    <w:rsid w:val="00A451C2"/>
    <w:rsid w:val="00A452DC"/>
    <w:rsid w:val="00A459D3"/>
    <w:rsid w:val="00A45E5F"/>
    <w:rsid w:val="00A463DC"/>
    <w:rsid w:val="00A4640D"/>
    <w:rsid w:val="00A4687E"/>
    <w:rsid w:val="00A470CC"/>
    <w:rsid w:val="00A4729B"/>
    <w:rsid w:val="00A4737A"/>
    <w:rsid w:val="00A47C9D"/>
    <w:rsid w:val="00A5010A"/>
    <w:rsid w:val="00A503BB"/>
    <w:rsid w:val="00A50DAB"/>
    <w:rsid w:val="00A50E09"/>
    <w:rsid w:val="00A513E9"/>
    <w:rsid w:val="00A51779"/>
    <w:rsid w:val="00A517E6"/>
    <w:rsid w:val="00A5181C"/>
    <w:rsid w:val="00A51AC3"/>
    <w:rsid w:val="00A51DA5"/>
    <w:rsid w:val="00A51E8C"/>
    <w:rsid w:val="00A520CA"/>
    <w:rsid w:val="00A521B6"/>
    <w:rsid w:val="00A5230F"/>
    <w:rsid w:val="00A524D3"/>
    <w:rsid w:val="00A534B9"/>
    <w:rsid w:val="00A53749"/>
    <w:rsid w:val="00A540DC"/>
    <w:rsid w:val="00A5448C"/>
    <w:rsid w:val="00A54501"/>
    <w:rsid w:val="00A54523"/>
    <w:rsid w:val="00A548F2"/>
    <w:rsid w:val="00A54BC5"/>
    <w:rsid w:val="00A55200"/>
    <w:rsid w:val="00A55510"/>
    <w:rsid w:val="00A55A7F"/>
    <w:rsid w:val="00A55C19"/>
    <w:rsid w:val="00A55D99"/>
    <w:rsid w:val="00A55FC8"/>
    <w:rsid w:val="00A56260"/>
    <w:rsid w:val="00A5690D"/>
    <w:rsid w:val="00A56D94"/>
    <w:rsid w:val="00A57112"/>
    <w:rsid w:val="00A57334"/>
    <w:rsid w:val="00A576E2"/>
    <w:rsid w:val="00A577A4"/>
    <w:rsid w:val="00A57FB9"/>
    <w:rsid w:val="00A60224"/>
    <w:rsid w:val="00A60235"/>
    <w:rsid w:val="00A6030E"/>
    <w:rsid w:val="00A6078A"/>
    <w:rsid w:val="00A60C17"/>
    <w:rsid w:val="00A60CF8"/>
    <w:rsid w:val="00A60F92"/>
    <w:rsid w:val="00A61119"/>
    <w:rsid w:val="00A612C5"/>
    <w:rsid w:val="00A61387"/>
    <w:rsid w:val="00A6178B"/>
    <w:rsid w:val="00A61862"/>
    <w:rsid w:val="00A618C1"/>
    <w:rsid w:val="00A61CF2"/>
    <w:rsid w:val="00A621FF"/>
    <w:rsid w:val="00A6248A"/>
    <w:rsid w:val="00A6283D"/>
    <w:rsid w:val="00A62998"/>
    <w:rsid w:val="00A62CAB"/>
    <w:rsid w:val="00A62F7B"/>
    <w:rsid w:val="00A6330F"/>
    <w:rsid w:val="00A63A45"/>
    <w:rsid w:val="00A63BAD"/>
    <w:rsid w:val="00A64360"/>
    <w:rsid w:val="00A64400"/>
    <w:rsid w:val="00A648ED"/>
    <w:rsid w:val="00A64A93"/>
    <w:rsid w:val="00A651D5"/>
    <w:rsid w:val="00A655F6"/>
    <w:rsid w:val="00A6628D"/>
    <w:rsid w:val="00A664F7"/>
    <w:rsid w:val="00A67247"/>
    <w:rsid w:val="00A67450"/>
    <w:rsid w:val="00A67638"/>
    <w:rsid w:val="00A67F01"/>
    <w:rsid w:val="00A704DE"/>
    <w:rsid w:val="00A70F78"/>
    <w:rsid w:val="00A714DB"/>
    <w:rsid w:val="00A718CA"/>
    <w:rsid w:val="00A720BC"/>
    <w:rsid w:val="00A72162"/>
    <w:rsid w:val="00A722A5"/>
    <w:rsid w:val="00A7312C"/>
    <w:rsid w:val="00A7325C"/>
    <w:rsid w:val="00A73427"/>
    <w:rsid w:val="00A736BC"/>
    <w:rsid w:val="00A73D34"/>
    <w:rsid w:val="00A74950"/>
    <w:rsid w:val="00A74993"/>
    <w:rsid w:val="00A74B53"/>
    <w:rsid w:val="00A74B99"/>
    <w:rsid w:val="00A757C0"/>
    <w:rsid w:val="00A75B49"/>
    <w:rsid w:val="00A765FC"/>
    <w:rsid w:val="00A76B2B"/>
    <w:rsid w:val="00A76F6F"/>
    <w:rsid w:val="00A77037"/>
    <w:rsid w:val="00A774BB"/>
    <w:rsid w:val="00A77794"/>
    <w:rsid w:val="00A77941"/>
    <w:rsid w:val="00A77CE7"/>
    <w:rsid w:val="00A80060"/>
    <w:rsid w:val="00A8016D"/>
    <w:rsid w:val="00A80DF6"/>
    <w:rsid w:val="00A81114"/>
    <w:rsid w:val="00A819B3"/>
    <w:rsid w:val="00A81AC8"/>
    <w:rsid w:val="00A81B0F"/>
    <w:rsid w:val="00A81E2A"/>
    <w:rsid w:val="00A81E9B"/>
    <w:rsid w:val="00A824D5"/>
    <w:rsid w:val="00A82CAB"/>
    <w:rsid w:val="00A83FA2"/>
    <w:rsid w:val="00A840E5"/>
    <w:rsid w:val="00A84435"/>
    <w:rsid w:val="00A84DE1"/>
    <w:rsid w:val="00A853C8"/>
    <w:rsid w:val="00A85780"/>
    <w:rsid w:val="00A8600F"/>
    <w:rsid w:val="00A86B81"/>
    <w:rsid w:val="00A86CC7"/>
    <w:rsid w:val="00A86D75"/>
    <w:rsid w:val="00A87101"/>
    <w:rsid w:val="00A879E0"/>
    <w:rsid w:val="00A90554"/>
    <w:rsid w:val="00A90F30"/>
    <w:rsid w:val="00A91155"/>
    <w:rsid w:val="00A91158"/>
    <w:rsid w:val="00A9124F"/>
    <w:rsid w:val="00A91322"/>
    <w:rsid w:val="00A91E06"/>
    <w:rsid w:val="00A923C8"/>
    <w:rsid w:val="00A9246E"/>
    <w:rsid w:val="00A92AC7"/>
    <w:rsid w:val="00A92E21"/>
    <w:rsid w:val="00A93423"/>
    <w:rsid w:val="00A941BD"/>
    <w:rsid w:val="00A9427F"/>
    <w:rsid w:val="00A9463E"/>
    <w:rsid w:val="00A94C8A"/>
    <w:rsid w:val="00A94CBE"/>
    <w:rsid w:val="00A95399"/>
    <w:rsid w:val="00A954F1"/>
    <w:rsid w:val="00A95E50"/>
    <w:rsid w:val="00A96016"/>
    <w:rsid w:val="00A961F4"/>
    <w:rsid w:val="00A9646F"/>
    <w:rsid w:val="00A9662C"/>
    <w:rsid w:val="00A969E6"/>
    <w:rsid w:val="00A96C60"/>
    <w:rsid w:val="00A970AF"/>
    <w:rsid w:val="00A97163"/>
    <w:rsid w:val="00A97306"/>
    <w:rsid w:val="00A97330"/>
    <w:rsid w:val="00A9739E"/>
    <w:rsid w:val="00A976BE"/>
    <w:rsid w:val="00A97E55"/>
    <w:rsid w:val="00AA0174"/>
    <w:rsid w:val="00AA12AC"/>
    <w:rsid w:val="00AA1322"/>
    <w:rsid w:val="00AA142C"/>
    <w:rsid w:val="00AA15B2"/>
    <w:rsid w:val="00AA1721"/>
    <w:rsid w:val="00AA1BFB"/>
    <w:rsid w:val="00AA26ED"/>
    <w:rsid w:val="00AA27DC"/>
    <w:rsid w:val="00AA2A97"/>
    <w:rsid w:val="00AA2C55"/>
    <w:rsid w:val="00AA2FC8"/>
    <w:rsid w:val="00AA31ED"/>
    <w:rsid w:val="00AA384D"/>
    <w:rsid w:val="00AA3913"/>
    <w:rsid w:val="00AA41B6"/>
    <w:rsid w:val="00AA43FD"/>
    <w:rsid w:val="00AA459B"/>
    <w:rsid w:val="00AA47F1"/>
    <w:rsid w:val="00AA4859"/>
    <w:rsid w:val="00AA4AA6"/>
    <w:rsid w:val="00AA4CF6"/>
    <w:rsid w:val="00AA51D9"/>
    <w:rsid w:val="00AA566F"/>
    <w:rsid w:val="00AA58E4"/>
    <w:rsid w:val="00AA58E6"/>
    <w:rsid w:val="00AA5EF9"/>
    <w:rsid w:val="00AA5F7A"/>
    <w:rsid w:val="00AA659F"/>
    <w:rsid w:val="00AA65EE"/>
    <w:rsid w:val="00AA66D4"/>
    <w:rsid w:val="00AA6791"/>
    <w:rsid w:val="00AA683F"/>
    <w:rsid w:val="00AA6918"/>
    <w:rsid w:val="00AA69E9"/>
    <w:rsid w:val="00AA6C89"/>
    <w:rsid w:val="00AA726E"/>
    <w:rsid w:val="00AA7504"/>
    <w:rsid w:val="00AA759F"/>
    <w:rsid w:val="00AA79A2"/>
    <w:rsid w:val="00AA7A0A"/>
    <w:rsid w:val="00AB04C1"/>
    <w:rsid w:val="00AB098D"/>
    <w:rsid w:val="00AB0D66"/>
    <w:rsid w:val="00AB1143"/>
    <w:rsid w:val="00AB13B2"/>
    <w:rsid w:val="00AB13D3"/>
    <w:rsid w:val="00AB18BA"/>
    <w:rsid w:val="00AB1BBC"/>
    <w:rsid w:val="00AB21BA"/>
    <w:rsid w:val="00AB21F1"/>
    <w:rsid w:val="00AB2750"/>
    <w:rsid w:val="00AB27C4"/>
    <w:rsid w:val="00AB299F"/>
    <w:rsid w:val="00AB2A14"/>
    <w:rsid w:val="00AB2C27"/>
    <w:rsid w:val="00AB3024"/>
    <w:rsid w:val="00AB360A"/>
    <w:rsid w:val="00AB3820"/>
    <w:rsid w:val="00AB38E2"/>
    <w:rsid w:val="00AB3C02"/>
    <w:rsid w:val="00AB3E85"/>
    <w:rsid w:val="00AB4136"/>
    <w:rsid w:val="00AB4519"/>
    <w:rsid w:val="00AB4586"/>
    <w:rsid w:val="00AB4667"/>
    <w:rsid w:val="00AB4995"/>
    <w:rsid w:val="00AB4ED6"/>
    <w:rsid w:val="00AB50A4"/>
    <w:rsid w:val="00AB5467"/>
    <w:rsid w:val="00AB5615"/>
    <w:rsid w:val="00AB5624"/>
    <w:rsid w:val="00AB596E"/>
    <w:rsid w:val="00AB5ABF"/>
    <w:rsid w:val="00AB5C38"/>
    <w:rsid w:val="00AB5DAF"/>
    <w:rsid w:val="00AB61FE"/>
    <w:rsid w:val="00AB659C"/>
    <w:rsid w:val="00AB6924"/>
    <w:rsid w:val="00AB6B7B"/>
    <w:rsid w:val="00AB7830"/>
    <w:rsid w:val="00AC05F1"/>
    <w:rsid w:val="00AC0684"/>
    <w:rsid w:val="00AC07E0"/>
    <w:rsid w:val="00AC0A0D"/>
    <w:rsid w:val="00AC0C6A"/>
    <w:rsid w:val="00AC0D6A"/>
    <w:rsid w:val="00AC1649"/>
    <w:rsid w:val="00AC18C0"/>
    <w:rsid w:val="00AC209C"/>
    <w:rsid w:val="00AC2DDF"/>
    <w:rsid w:val="00AC3061"/>
    <w:rsid w:val="00AC3151"/>
    <w:rsid w:val="00AC3154"/>
    <w:rsid w:val="00AC4235"/>
    <w:rsid w:val="00AC436C"/>
    <w:rsid w:val="00AC45CB"/>
    <w:rsid w:val="00AC47E1"/>
    <w:rsid w:val="00AC4DF4"/>
    <w:rsid w:val="00AC4F60"/>
    <w:rsid w:val="00AC5362"/>
    <w:rsid w:val="00AC5441"/>
    <w:rsid w:val="00AC5773"/>
    <w:rsid w:val="00AC5835"/>
    <w:rsid w:val="00AC5887"/>
    <w:rsid w:val="00AC5A03"/>
    <w:rsid w:val="00AC5C33"/>
    <w:rsid w:val="00AC5C45"/>
    <w:rsid w:val="00AC669C"/>
    <w:rsid w:val="00AC67A0"/>
    <w:rsid w:val="00AC6938"/>
    <w:rsid w:val="00AC6BA1"/>
    <w:rsid w:val="00AC6C4D"/>
    <w:rsid w:val="00AC6DB4"/>
    <w:rsid w:val="00AC6F75"/>
    <w:rsid w:val="00AC7227"/>
    <w:rsid w:val="00AC7900"/>
    <w:rsid w:val="00AC7956"/>
    <w:rsid w:val="00AD0B19"/>
    <w:rsid w:val="00AD0FC0"/>
    <w:rsid w:val="00AD11A7"/>
    <w:rsid w:val="00AD11B3"/>
    <w:rsid w:val="00AD130E"/>
    <w:rsid w:val="00AD158A"/>
    <w:rsid w:val="00AD1722"/>
    <w:rsid w:val="00AD180C"/>
    <w:rsid w:val="00AD1F40"/>
    <w:rsid w:val="00AD2161"/>
    <w:rsid w:val="00AD22B4"/>
    <w:rsid w:val="00AD24B5"/>
    <w:rsid w:val="00AD3413"/>
    <w:rsid w:val="00AD39CF"/>
    <w:rsid w:val="00AD3A04"/>
    <w:rsid w:val="00AD3A5A"/>
    <w:rsid w:val="00AD3C3A"/>
    <w:rsid w:val="00AD3CF4"/>
    <w:rsid w:val="00AD3FEB"/>
    <w:rsid w:val="00AD43A4"/>
    <w:rsid w:val="00AD4418"/>
    <w:rsid w:val="00AD449B"/>
    <w:rsid w:val="00AD4E41"/>
    <w:rsid w:val="00AD4E80"/>
    <w:rsid w:val="00AD51C8"/>
    <w:rsid w:val="00AD57CF"/>
    <w:rsid w:val="00AD58D8"/>
    <w:rsid w:val="00AD5AB5"/>
    <w:rsid w:val="00AD5DBB"/>
    <w:rsid w:val="00AD5EEB"/>
    <w:rsid w:val="00AD5F4F"/>
    <w:rsid w:val="00AD623A"/>
    <w:rsid w:val="00AD629A"/>
    <w:rsid w:val="00AD65F5"/>
    <w:rsid w:val="00AD67C4"/>
    <w:rsid w:val="00AD73A0"/>
    <w:rsid w:val="00AD7415"/>
    <w:rsid w:val="00AD7464"/>
    <w:rsid w:val="00AD74F0"/>
    <w:rsid w:val="00AD77A6"/>
    <w:rsid w:val="00AD7C10"/>
    <w:rsid w:val="00AE076C"/>
    <w:rsid w:val="00AE0A0C"/>
    <w:rsid w:val="00AE0BD8"/>
    <w:rsid w:val="00AE0DD5"/>
    <w:rsid w:val="00AE0E68"/>
    <w:rsid w:val="00AE0F80"/>
    <w:rsid w:val="00AE13B1"/>
    <w:rsid w:val="00AE13B5"/>
    <w:rsid w:val="00AE1A16"/>
    <w:rsid w:val="00AE1B34"/>
    <w:rsid w:val="00AE1C9D"/>
    <w:rsid w:val="00AE2201"/>
    <w:rsid w:val="00AE2264"/>
    <w:rsid w:val="00AE27A9"/>
    <w:rsid w:val="00AE2D4C"/>
    <w:rsid w:val="00AE36B8"/>
    <w:rsid w:val="00AE3724"/>
    <w:rsid w:val="00AE3FED"/>
    <w:rsid w:val="00AE437A"/>
    <w:rsid w:val="00AE44E7"/>
    <w:rsid w:val="00AE4C8D"/>
    <w:rsid w:val="00AE4E1E"/>
    <w:rsid w:val="00AE4E80"/>
    <w:rsid w:val="00AE52A5"/>
    <w:rsid w:val="00AE5308"/>
    <w:rsid w:val="00AE55FD"/>
    <w:rsid w:val="00AE5863"/>
    <w:rsid w:val="00AE5AC7"/>
    <w:rsid w:val="00AE5EA3"/>
    <w:rsid w:val="00AE5FEB"/>
    <w:rsid w:val="00AE6130"/>
    <w:rsid w:val="00AE65D2"/>
    <w:rsid w:val="00AE6ACD"/>
    <w:rsid w:val="00AE6B0F"/>
    <w:rsid w:val="00AE764D"/>
    <w:rsid w:val="00AE7EC8"/>
    <w:rsid w:val="00AF00FD"/>
    <w:rsid w:val="00AF024D"/>
    <w:rsid w:val="00AF0681"/>
    <w:rsid w:val="00AF072C"/>
    <w:rsid w:val="00AF0D6F"/>
    <w:rsid w:val="00AF0E8A"/>
    <w:rsid w:val="00AF11F6"/>
    <w:rsid w:val="00AF122A"/>
    <w:rsid w:val="00AF1427"/>
    <w:rsid w:val="00AF15D5"/>
    <w:rsid w:val="00AF18A5"/>
    <w:rsid w:val="00AF1C0E"/>
    <w:rsid w:val="00AF1D6A"/>
    <w:rsid w:val="00AF1E2A"/>
    <w:rsid w:val="00AF232A"/>
    <w:rsid w:val="00AF238C"/>
    <w:rsid w:val="00AF25A1"/>
    <w:rsid w:val="00AF2AA1"/>
    <w:rsid w:val="00AF2AE7"/>
    <w:rsid w:val="00AF2EFE"/>
    <w:rsid w:val="00AF33AD"/>
    <w:rsid w:val="00AF33D7"/>
    <w:rsid w:val="00AF35AB"/>
    <w:rsid w:val="00AF389A"/>
    <w:rsid w:val="00AF3E65"/>
    <w:rsid w:val="00AF3EC2"/>
    <w:rsid w:val="00AF40AC"/>
    <w:rsid w:val="00AF432D"/>
    <w:rsid w:val="00AF46D6"/>
    <w:rsid w:val="00AF489B"/>
    <w:rsid w:val="00AF4E12"/>
    <w:rsid w:val="00AF4F49"/>
    <w:rsid w:val="00AF543E"/>
    <w:rsid w:val="00AF5895"/>
    <w:rsid w:val="00AF5C25"/>
    <w:rsid w:val="00AF605E"/>
    <w:rsid w:val="00AF6094"/>
    <w:rsid w:val="00AF6B7A"/>
    <w:rsid w:val="00AF730D"/>
    <w:rsid w:val="00AF78F2"/>
    <w:rsid w:val="00AF79D6"/>
    <w:rsid w:val="00B0023B"/>
    <w:rsid w:val="00B00A76"/>
    <w:rsid w:val="00B00D94"/>
    <w:rsid w:val="00B00E7E"/>
    <w:rsid w:val="00B00EE1"/>
    <w:rsid w:val="00B0109B"/>
    <w:rsid w:val="00B015C6"/>
    <w:rsid w:val="00B0191D"/>
    <w:rsid w:val="00B01DAC"/>
    <w:rsid w:val="00B02538"/>
    <w:rsid w:val="00B02570"/>
    <w:rsid w:val="00B0287C"/>
    <w:rsid w:val="00B02DE8"/>
    <w:rsid w:val="00B03B4D"/>
    <w:rsid w:val="00B041CF"/>
    <w:rsid w:val="00B0454A"/>
    <w:rsid w:val="00B045A9"/>
    <w:rsid w:val="00B04C8C"/>
    <w:rsid w:val="00B050C6"/>
    <w:rsid w:val="00B05479"/>
    <w:rsid w:val="00B05624"/>
    <w:rsid w:val="00B057A7"/>
    <w:rsid w:val="00B059BC"/>
    <w:rsid w:val="00B05D80"/>
    <w:rsid w:val="00B065C3"/>
    <w:rsid w:val="00B07C05"/>
    <w:rsid w:val="00B07C53"/>
    <w:rsid w:val="00B07DCC"/>
    <w:rsid w:val="00B10239"/>
    <w:rsid w:val="00B103A8"/>
    <w:rsid w:val="00B10835"/>
    <w:rsid w:val="00B1088D"/>
    <w:rsid w:val="00B10DF1"/>
    <w:rsid w:val="00B10EAA"/>
    <w:rsid w:val="00B10F7E"/>
    <w:rsid w:val="00B11069"/>
    <w:rsid w:val="00B111EA"/>
    <w:rsid w:val="00B1136F"/>
    <w:rsid w:val="00B115EC"/>
    <w:rsid w:val="00B11D40"/>
    <w:rsid w:val="00B11DFF"/>
    <w:rsid w:val="00B11E08"/>
    <w:rsid w:val="00B12745"/>
    <w:rsid w:val="00B12E8C"/>
    <w:rsid w:val="00B1309F"/>
    <w:rsid w:val="00B1321C"/>
    <w:rsid w:val="00B137B1"/>
    <w:rsid w:val="00B13EA9"/>
    <w:rsid w:val="00B14681"/>
    <w:rsid w:val="00B146E9"/>
    <w:rsid w:val="00B14EC9"/>
    <w:rsid w:val="00B14FDE"/>
    <w:rsid w:val="00B15016"/>
    <w:rsid w:val="00B1502E"/>
    <w:rsid w:val="00B150BF"/>
    <w:rsid w:val="00B153DE"/>
    <w:rsid w:val="00B15647"/>
    <w:rsid w:val="00B16006"/>
    <w:rsid w:val="00B161C5"/>
    <w:rsid w:val="00B163F7"/>
    <w:rsid w:val="00B1641C"/>
    <w:rsid w:val="00B165F2"/>
    <w:rsid w:val="00B166F0"/>
    <w:rsid w:val="00B16928"/>
    <w:rsid w:val="00B16B47"/>
    <w:rsid w:val="00B17379"/>
    <w:rsid w:val="00B176BB"/>
    <w:rsid w:val="00B17845"/>
    <w:rsid w:val="00B17FB3"/>
    <w:rsid w:val="00B200C7"/>
    <w:rsid w:val="00B201CB"/>
    <w:rsid w:val="00B2091C"/>
    <w:rsid w:val="00B20D9F"/>
    <w:rsid w:val="00B221C7"/>
    <w:rsid w:val="00B22688"/>
    <w:rsid w:val="00B22894"/>
    <w:rsid w:val="00B22C90"/>
    <w:rsid w:val="00B22D05"/>
    <w:rsid w:val="00B22EAA"/>
    <w:rsid w:val="00B22F90"/>
    <w:rsid w:val="00B23092"/>
    <w:rsid w:val="00B233B8"/>
    <w:rsid w:val="00B236DC"/>
    <w:rsid w:val="00B24069"/>
    <w:rsid w:val="00B2407B"/>
    <w:rsid w:val="00B24734"/>
    <w:rsid w:val="00B24A4F"/>
    <w:rsid w:val="00B25166"/>
    <w:rsid w:val="00B25C54"/>
    <w:rsid w:val="00B25FB8"/>
    <w:rsid w:val="00B2607F"/>
    <w:rsid w:val="00B262F0"/>
    <w:rsid w:val="00B265EC"/>
    <w:rsid w:val="00B2671C"/>
    <w:rsid w:val="00B26923"/>
    <w:rsid w:val="00B26B29"/>
    <w:rsid w:val="00B27675"/>
    <w:rsid w:val="00B27AD5"/>
    <w:rsid w:val="00B27F6F"/>
    <w:rsid w:val="00B27FC3"/>
    <w:rsid w:val="00B301AE"/>
    <w:rsid w:val="00B305B3"/>
    <w:rsid w:val="00B306C9"/>
    <w:rsid w:val="00B30ABC"/>
    <w:rsid w:val="00B30C4C"/>
    <w:rsid w:val="00B30D97"/>
    <w:rsid w:val="00B30E55"/>
    <w:rsid w:val="00B30FDA"/>
    <w:rsid w:val="00B319CA"/>
    <w:rsid w:val="00B31B2A"/>
    <w:rsid w:val="00B31EC4"/>
    <w:rsid w:val="00B3216E"/>
    <w:rsid w:val="00B32659"/>
    <w:rsid w:val="00B32671"/>
    <w:rsid w:val="00B32959"/>
    <w:rsid w:val="00B333AF"/>
    <w:rsid w:val="00B336DE"/>
    <w:rsid w:val="00B3386E"/>
    <w:rsid w:val="00B33D02"/>
    <w:rsid w:val="00B33E54"/>
    <w:rsid w:val="00B33FA2"/>
    <w:rsid w:val="00B343D7"/>
    <w:rsid w:val="00B34830"/>
    <w:rsid w:val="00B34BC8"/>
    <w:rsid w:val="00B353F4"/>
    <w:rsid w:val="00B355C0"/>
    <w:rsid w:val="00B3580C"/>
    <w:rsid w:val="00B36231"/>
    <w:rsid w:val="00B36D58"/>
    <w:rsid w:val="00B36D5D"/>
    <w:rsid w:val="00B36F2C"/>
    <w:rsid w:val="00B40013"/>
    <w:rsid w:val="00B4037E"/>
    <w:rsid w:val="00B404FA"/>
    <w:rsid w:val="00B40538"/>
    <w:rsid w:val="00B407D0"/>
    <w:rsid w:val="00B409AA"/>
    <w:rsid w:val="00B413B6"/>
    <w:rsid w:val="00B41F31"/>
    <w:rsid w:val="00B41FAC"/>
    <w:rsid w:val="00B42134"/>
    <w:rsid w:val="00B421CF"/>
    <w:rsid w:val="00B42467"/>
    <w:rsid w:val="00B431DF"/>
    <w:rsid w:val="00B44034"/>
    <w:rsid w:val="00B44517"/>
    <w:rsid w:val="00B44567"/>
    <w:rsid w:val="00B44ECE"/>
    <w:rsid w:val="00B4535A"/>
    <w:rsid w:val="00B459BD"/>
    <w:rsid w:val="00B46443"/>
    <w:rsid w:val="00B46AD2"/>
    <w:rsid w:val="00B470D1"/>
    <w:rsid w:val="00B47290"/>
    <w:rsid w:val="00B479D3"/>
    <w:rsid w:val="00B47BD7"/>
    <w:rsid w:val="00B47C50"/>
    <w:rsid w:val="00B50074"/>
    <w:rsid w:val="00B50933"/>
    <w:rsid w:val="00B50E29"/>
    <w:rsid w:val="00B50FEB"/>
    <w:rsid w:val="00B51089"/>
    <w:rsid w:val="00B51163"/>
    <w:rsid w:val="00B513E4"/>
    <w:rsid w:val="00B514E4"/>
    <w:rsid w:val="00B51591"/>
    <w:rsid w:val="00B51C3A"/>
    <w:rsid w:val="00B51EF2"/>
    <w:rsid w:val="00B521D9"/>
    <w:rsid w:val="00B52662"/>
    <w:rsid w:val="00B52874"/>
    <w:rsid w:val="00B52B73"/>
    <w:rsid w:val="00B52D02"/>
    <w:rsid w:val="00B52FE1"/>
    <w:rsid w:val="00B53B64"/>
    <w:rsid w:val="00B53F0B"/>
    <w:rsid w:val="00B53FEF"/>
    <w:rsid w:val="00B54179"/>
    <w:rsid w:val="00B54ADD"/>
    <w:rsid w:val="00B54B68"/>
    <w:rsid w:val="00B54C5D"/>
    <w:rsid w:val="00B54CC9"/>
    <w:rsid w:val="00B554A8"/>
    <w:rsid w:val="00B55714"/>
    <w:rsid w:val="00B55877"/>
    <w:rsid w:val="00B558D6"/>
    <w:rsid w:val="00B55C6B"/>
    <w:rsid w:val="00B55EE8"/>
    <w:rsid w:val="00B5663D"/>
    <w:rsid w:val="00B56771"/>
    <w:rsid w:val="00B56868"/>
    <w:rsid w:val="00B56872"/>
    <w:rsid w:val="00B56C1B"/>
    <w:rsid w:val="00B56CAA"/>
    <w:rsid w:val="00B570C3"/>
    <w:rsid w:val="00B57259"/>
    <w:rsid w:val="00B57B34"/>
    <w:rsid w:val="00B57E2A"/>
    <w:rsid w:val="00B601E1"/>
    <w:rsid w:val="00B601F8"/>
    <w:rsid w:val="00B60488"/>
    <w:rsid w:val="00B60C46"/>
    <w:rsid w:val="00B6167D"/>
    <w:rsid w:val="00B616D0"/>
    <w:rsid w:val="00B61912"/>
    <w:rsid w:val="00B61C34"/>
    <w:rsid w:val="00B61CFB"/>
    <w:rsid w:val="00B61E13"/>
    <w:rsid w:val="00B62133"/>
    <w:rsid w:val="00B621CB"/>
    <w:rsid w:val="00B62296"/>
    <w:rsid w:val="00B62372"/>
    <w:rsid w:val="00B626DC"/>
    <w:rsid w:val="00B62732"/>
    <w:rsid w:val="00B629FD"/>
    <w:rsid w:val="00B62E4F"/>
    <w:rsid w:val="00B62E77"/>
    <w:rsid w:val="00B6300B"/>
    <w:rsid w:val="00B63137"/>
    <w:rsid w:val="00B6322D"/>
    <w:rsid w:val="00B63BC2"/>
    <w:rsid w:val="00B63C69"/>
    <w:rsid w:val="00B63FE6"/>
    <w:rsid w:val="00B64293"/>
    <w:rsid w:val="00B65047"/>
    <w:rsid w:val="00B65377"/>
    <w:rsid w:val="00B66181"/>
    <w:rsid w:val="00B66807"/>
    <w:rsid w:val="00B668A6"/>
    <w:rsid w:val="00B66DFC"/>
    <w:rsid w:val="00B673BA"/>
    <w:rsid w:val="00B679B6"/>
    <w:rsid w:val="00B67E2F"/>
    <w:rsid w:val="00B7044B"/>
    <w:rsid w:val="00B70848"/>
    <w:rsid w:val="00B70B83"/>
    <w:rsid w:val="00B70B9A"/>
    <w:rsid w:val="00B70D74"/>
    <w:rsid w:val="00B7113F"/>
    <w:rsid w:val="00B71286"/>
    <w:rsid w:val="00B71C0A"/>
    <w:rsid w:val="00B72CD5"/>
    <w:rsid w:val="00B7332C"/>
    <w:rsid w:val="00B7353C"/>
    <w:rsid w:val="00B73853"/>
    <w:rsid w:val="00B74000"/>
    <w:rsid w:val="00B746B7"/>
    <w:rsid w:val="00B7489B"/>
    <w:rsid w:val="00B74E63"/>
    <w:rsid w:val="00B75038"/>
    <w:rsid w:val="00B75315"/>
    <w:rsid w:val="00B753B7"/>
    <w:rsid w:val="00B75C8D"/>
    <w:rsid w:val="00B75F7C"/>
    <w:rsid w:val="00B76240"/>
    <w:rsid w:val="00B762A4"/>
    <w:rsid w:val="00B7679C"/>
    <w:rsid w:val="00B76F91"/>
    <w:rsid w:val="00B770EA"/>
    <w:rsid w:val="00B770F8"/>
    <w:rsid w:val="00B7712D"/>
    <w:rsid w:val="00B8029F"/>
    <w:rsid w:val="00B8088D"/>
    <w:rsid w:val="00B80923"/>
    <w:rsid w:val="00B80B70"/>
    <w:rsid w:val="00B80C91"/>
    <w:rsid w:val="00B80DF2"/>
    <w:rsid w:val="00B80EAD"/>
    <w:rsid w:val="00B812E5"/>
    <w:rsid w:val="00B81778"/>
    <w:rsid w:val="00B82F6A"/>
    <w:rsid w:val="00B8351D"/>
    <w:rsid w:val="00B83591"/>
    <w:rsid w:val="00B835DF"/>
    <w:rsid w:val="00B83628"/>
    <w:rsid w:val="00B83AC4"/>
    <w:rsid w:val="00B84168"/>
    <w:rsid w:val="00B8496D"/>
    <w:rsid w:val="00B861C4"/>
    <w:rsid w:val="00B863D6"/>
    <w:rsid w:val="00B865A5"/>
    <w:rsid w:val="00B8662C"/>
    <w:rsid w:val="00B868B0"/>
    <w:rsid w:val="00B9019C"/>
    <w:rsid w:val="00B904E3"/>
    <w:rsid w:val="00B9086E"/>
    <w:rsid w:val="00B90BC1"/>
    <w:rsid w:val="00B90DA8"/>
    <w:rsid w:val="00B910EB"/>
    <w:rsid w:val="00B912DC"/>
    <w:rsid w:val="00B9149A"/>
    <w:rsid w:val="00B91872"/>
    <w:rsid w:val="00B920E4"/>
    <w:rsid w:val="00B92916"/>
    <w:rsid w:val="00B935EC"/>
    <w:rsid w:val="00B93852"/>
    <w:rsid w:val="00B93D79"/>
    <w:rsid w:val="00B94008"/>
    <w:rsid w:val="00B941D7"/>
    <w:rsid w:val="00B94AED"/>
    <w:rsid w:val="00B94C75"/>
    <w:rsid w:val="00B95353"/>
    <w:rsid w:val="00B954D9"/>
    <w:rsid w:val="00B956B6"/>
    <w:rsid w:val="00B95AE7"/>
    <w:rsid w:val="00B960BC"/>
    <w:rsid w:val="00B9628A"/>
    <w:rsid w:val="00B964A5"/>
    <w:rsid w:val="00B96863"/>
    <w:rsid w:val="00B9739E"/>
    <w:rsid w:val="00B973DB"/>
    <w:rsid w:val="00B97437"/>
    <w:rsid w:val="00B978CF"/>
    <w:rsid w:val="00B97D13"/>
    <w:rsid w:val="00B97EA5"/>
    <w:rsid w:val="00B97F58"/>
    <w:rsid w:val="00B97FD9"/>
    <w:rsid w:val="00BA0162"/>
    <w:rsid w:val="00BA029B"/>
    <w:rsid w:val="00BA046A"/>
    <w:rsid w:val="00BA10BB"/>
    <w:rsid w:val="00BA1357"/>
    <w:rsid w:val="00BA2176"/>
    <w:rsid w:val="00BA21C8"/>
    <w:rsid w:val="00BA27B3"/>
    <w:rsid w:val="00BA29D2"/>
    <w:rsid w:val="00BA2D2F"/>
    <w:rsid w:val="00BA2D91"/>
    <w:rsid w:val="00BA3203"/>
    <w:rsid w:val="00BA3ACD"/>
    <w:rsid w:val="00BA3B26"/>
    <w:rsid w:val="00BA3DC4"/>
    <w:rsid w:val="00BA4738"/>
    <w:rsid w:val="00BA4DED"/>
    <w:rsid w:val="00BA4F01"/>
    <w:rsid w:val="00BA566B"/>
    <w:rsid w:val="00BA5947"/>
    <w:rsid w:val="00BA5E35"/>
    <w:rsid w:val="00BA5FD0"/>
    <w:rsid w:val="00BA6417"/>
    <w:rsid w:val="00BA68BE"/>
    <w:rsid w:val="00BA6CF5"/>
    <w:rsid w:val="00BA7BFA"/>
    <w:rsid w:val="00BA7D63"/>
    <w:rsid w:val="00BA7E0F"/>
    <w:rsid w:val="00BB027C"/>
    <w:rsid w:val="00BB03C8"/>
    <w:rsid w:val="00BB0493"/>
    <w:rsid w:val="00BB08BE"/>
    <w:rsid w:val="00BB08F2"/>
    <w:rsid w:val="00BB09E9"/>
    <w:rsid w:val="00BB0B1F"/>
    <w:rsid w:val="00BB1C0E"/>
    <w:rsid w:val="00BB1CA9"/>
    <w:rsid w:val="00BB1DA9"/>
    <w:rsid w:val="00BB2035"/>
    <w:rsid w:val="00BB2183"/>
    <w:rsid w:val="00BB22EE"/>
    <w:rsid w:val="00BB2326"/>
    <w:rsid w:val="00BB2B5C"/>
    <w:rsid w:val="00BB339D"/>
    <w:rsid w:val="00BB4B13"/>
    <w:rsid w:val="00BB5007"/>
    <w:rsid w:val="00BB503C"/>
    <w:rsid w:val="00BB50DE"/>
    <w:rsid w:val="00BB565D"/>
    <w:rsid w:val="00BB5730"/>
    <w:rsid w:val="00BB57AF"/>
    <w:rsid w:val="00BB57DD"/>
    <w:rsid w:val="00BB6769"/>
    <w:rsid w:val="00BC0190"/>
    <w:rsid w:val="00BC062C"/>
    <w:rsid w:val="00BC071F"/>
    <w:rsid w:val="00BC08C0"/>
    <w:rsid w:val="00BC0A0A"/>
    <w:rsid w:val="00BC1660"/>
    <w:rsid w:val="00BC1856"/>
    <w:rsid w:val="00BC195B"/>
    <w:rsid w:val="00BC1B9B"/>
    <w:rsid w:val="00BC1EEC"/>
    <w:rsid w:val="00BC20B5"/>
    <w:rsid w:val="00BC21B5"/>
    <w:rsid w:val="00BC226B"/>
    <w:rsid w:val="00BC23FB"/>
    <w:rsid w:val="00BC2696"/>
    <w:rsid w:val="00BC3080"/>
    <w:rsid w:val="00BC3191"/>
    <w:rsid w:val="00BC34C4"/>
    <w:rsid w:val="00BC37E3"/>
    <w:rsid w:val="00BC38B8"/>
    <w:rsid w:val="00BC4A87"/>
    <w:rsid w:val="00BC4ABF"/>
    <w:rsid w:val="00BC525B"/>
    <w:rsid w:val="00BC53D4"/>
    <w:rsid w:val="00BC5423"/>
    <w:rsid w:val="00BC5436"/>
    <w:rsid w:val="00BC5761"/>
    <w:rsid w:val="00BC5E28"/>
    <w:rsid w:val="00BC6191"/>
    <w:rsid w:val="00BC66C7"/>
    <w:rsid w:val="00BC70F2"/>
    <w:rsid w:val="00BC740B"/>
    <w:rsid w:val="00BC7446"/>
    <w:rsid w:val="00BC7760"/>
    <w:rsid w:val="00BC7FB1"/>
    <w:rsid w:val="00BD021C"/>
    <w:rsid w:val="00BD02A4"/>
    <w:rsid w:val="00BD04B8"/>
    <w:rsid w:val="00BD077B"/>
    <w:rsid w:val="00BD0973"/>
    <w:rsid w:val="00BD0D2E"/>
    <w:rsid w:val="00BD1031"/>
    <w:rsid w:val="00BD1118"/>
    <w:rsid w:val="00BD170D"/>
    <w:rsid w:val="00BD1840"/>
    <w:rsid w:val="00BD1929"/>
    <w:rsid w:val="00BD1F5B"/>
    <w:rsid w:val="00BD1F91"/>
    <w:rsid w:val="00BD2289"/>
    <w:rsid w:val="00BD3826"/>
    <w:rsid w:val="00BD411D"/>
    <w:rsid w:val="00BD4797"/>
    <w:rsid w:val="00BD4FA0"/>
    <w:rsid w:val="00BD51E5"/>
    <w:rsid w:val="00BD541E"/>
    <w:rsid w:val="00BD55DB"/>
    <w:rsid w:val="00BD5730"/>
    <w:rsid w:val="00BD5D26"/>
    <w:rsid w:val="00BD5F6A"/>
    <w:rsid w:val="00BD656D"/>
    <w:rsid w:val="00BD6614"/>
    <w:rsid w:val="00BD6653"/>
    <w:rsid w:val="00BD6CE6"/>
    <w:rsid w:val="00BD70E8"/>
    <w:rsid w:val="00BD7142"/>
    <w:rsid w:val="00BD72AF"/>
    <w:rsid w:val="00BD765D"/>
    <w:rsid w:val="00BD7B12"/>
    <w:rsid w:val="00BD7C29"/>
    <w:rsid w:val="00BD7D4B"/>
    <w:rsid w:val="00BD7FC4"/>
    <w:rsid w:val="00BE01E7"/>
    <w:rsid w:val="00BE06F0"/>
    <w:rsid w:val="00BE0A5C"/>
    <w:rsid w:val="00BE0AC0"/>
    <w:rsid w:val="00BE0D6C"/>
    <w:rsid w:val="00BE12B5"/>
    <w:rsid w:val="00BE18AA"/>
    <w:rsid w:val="00BE18D4"/>
    <w:rsid w:val="00BE191D"/>
    <w:rsid w:val="00BE197B"/>
    <w:rsid w:val="00BE1B24"/>
    <w:rsid w:val="00BE1D63"/>
    <w:rsid w:val="00BE1DA2"/>
    <w:rsid w:val="00BE20E1"/>
    <w:rsid w:val="00BE2131"/>
    <w:rsid w:val="00BE23ED"/>
    <w:rsid w:val="00BE26CC"/>
    <w:rsid w:val="00BE2DBC"/>
    <w:rsid w:val="00BE3074"/>
    <w:rsid w:val="00BE307F"/>
    <w:rsid w:val="00BE377D"/>
    <w:rsid w:val="00BE3EA8"/>
    <w:rsid w:val="00BE421B"/>
    <w:rsid w:val="00BE5966"/>
    <w:rsid w:val="00BE5A99"/>
    <w:rsid w:val="00BE5FC3"/>
    <w:rsid w:val="00BE66F2"/>
    <w:rsid w:val="00BE67CF"/>
    <w:rsid w:val="00BE699F"/>
    <w:rsid w:val="00BE72E4"/>
    <w:rsid w:val="00BE75E8"/>
    <w:rsid w:val="00BE77ED"/>
    <w:rsid w:val="00BE785D"/>
    <w:rsid w:val="00BE7970"/>
    <w:rsid w:val="00BE79BB"/>
    <w:rsid w:val="00BE7CDC"/>
    <w:rsid w:val="00BF00B4"/>
    <w:rsid w:val="00BF0E17"/>
    <w:rsid w:val="00BF0FBB"/>
    <w:rsid w:val="00BF11ED"/>
    <w:rsid w:val="00BF1FC8"/>
    <w:rsid w:val="00BF2B15"/>
    <w:rsid w:val="00BF2B83"/>
    <w:rsid w:val="00BF2EC6"/>
    <w:rsid w:val="00BF343E"/>
    <w:rsid w:val="00BF347C"/>
    <w:rsid w:val="00BF352F"/>
    <w:rsid w:val="00BF3734"/>
    <w:rsid w:val="00BF40EE"/>
    <w:rsid w:val="00BF40FF"/>
    <w:rsid w:val="00BF4238"/>
    <w:rsid w:val="00BF44F5"/>
    <w:rsid w:val="00BF45A8"/>
    <w:rsid w:val="00BF45D9"/>
    <w:rsid w:val="00BF469E"/>
    <w:rsid w:val="00BF47FA"/>
    <w:rsid w:val="00BF49FA"/>
    <w:rsid w:val="00BF503A"/>
    <w:rsid w:val="00BF58C0"/>
    <w:rsid w:val="00BF59AE"/>
    <w:rsid w:val="00BF5AD0"/>
    <w:rsid w:val="00BF5E69"/>
    <w:rsid w:val="00BF5F96"/>
    <w:rsid w:val="00BF6E6D"/>
    <w:rsid w:val="00BF6F9C"/>
    <w:rsid w:val="00BF70FF"/>
    <w:rsid w:val="00BF723B"/>
    <w:rsid w:val="00BF73B5"/>
    <w:rsid w:val="00BF750C"/>
    <w:rsid w:val="00BF78F7"/>
    <w:rsid w:val="00BF79AE"/>
    <w:rsid w:val="00C004A1"/>
    <w:rsid w:val="00C00512"/>
    <w:rsid w:val="00C005A7"/>
    <w:rsid w:val="00C006F4"/>
    <w:rsid w:val="00C00785"/>
    <w:rsid w:val="00C00B52"/>
    <w:rsid w:val="00C014C8"/>
    <w:rsid w:val="00C01721"/>
    <w:rsid w:val="00C01B18"/>
    <w:rsid w:val="00C01DDA"/>
    <w:rsid w:val="00C02033"/>
    <w:rsid w:val="00C0261D"/>
    <w:rsid w:val="00C02656"/>
    <w:rsid w:val="00C027AF"/>
    <w:rsid w:val="00C0290A"/>
    <w:rsid w:val="00C0311B"/>
    <w:rsid w:val="00C036C6"/>
    <w:rsid w:val="00C03760"/>
    <w:rsid w:val="00C03901"/>
    <w:rsid w:val="00C03CEB"/>
    <w:rsid w:val="00C0403A"/>
    <w:rsid w:val="00C040DD"/>
    <w:rsid w:val="00C042BA"/>
    <w:rsid w:val="00C042EE"/>
    <w:rsid w:val="00C04321"/>
    <w:rsid w:val="00C045D8"/>
    <w:rsid w:val="00C0497F"/>
    <w:rsid w:val="00C049D6"/>
    <w:rsid w:val="00C04B7F"/>
    <w:rsid w:val="00C04DEC"/>
    <w:rsid w:val="00C04FCB"/>
    <w:rsid w:val="00C04FFE"/>
    <w:rsid w:val="00C0504F"/>
    <w:rsid w:val="00C05132"/>
    <w:rsid w:val="00C05517"/>
    <w:rsid w:val="00C05791"/>
    <w:rsid w:val="00C05799"/>
    <w:rsid w:val="00C058AB"/>
    <w:rsid w:val="00C05D29"/>
    <w:rsid w:val="00C06938"/>
    <w:rsid w:val="00C06EB5"/>
    <w:rsid w:val="00C07327"/>
    <w:rsid w:val="00C077C5"/>
    <w:rsid w:val="00C07A5B"/>
    <w:rsid w:val="00C07F6E"/>
    <w:rsid w:val="00C07FFD"/>
    <w:rsid w:val="00C10070"/>
    <w:rsid w:val="00C10318"/>
    <w:rsid w:val="00C10846"/>
    <w:rsid w:val="00C10AFA"/>
    <w:rsid w:val="00C10B5F"/>
    <w:rsid w:val="00C11182"/>
    <w:rsid w:val="00C1137F"/>
    <w:rsid w:val="00C11470"/>
    <w:rsid w:val="00C127D3"/>
    <w:rsid w:val="00C12801"/>
    <w:rsid w:val="00C12B9E"/>
    <w:rsid w:val="00C12D5A"/>
    <w:rsid w:val="00C13031"/>
    <w:rsid w:val="00C13234"/>
    <w:rsid w:val="00C132A0"/>
    <w:rsid w:val="00C13501"/>
    <w:rsid w:val="00C13574"/>
    <w:rsid w:val="00C13608"/>
    <w:rsid w:val="00C138F6"/>
    <w:rsid w:val="00C1399D"/>
    <w:rsid w:val="00C13B71"/>
    <w:rsid w:val="00C13CCD"/>
    <w:rsid w:val="00C141DB"/>
    <w:rsid w:val="00C144D6"/>
    <w:rsid w:val="00C148D5"/>
    <w:rsid w:val="00C14AAB"/>
    <w:rsid w:val="00C14BD8"/>
    <w:rsid w:val="00C15D7A"/>
    <w:rsid w:val="00C162E7"/>
    <w:rsid w:val="00C164E5"/>
    <w:rsid w:val="00C1672B"/>
    <w:rsid w:val="00C16A94"/>
    <w:rsid w:val="00C16CAF"/>
    <w:rsid w:val="00C176BC"/>
    <w:rsid w:val="00C178C9"/>
    <w:rsid w:val="00C17C3C"/>
    <w:rsid w:val="00C17D0F"/>
    <w:rsid w:val="00C17F51"/>
    <w:rsid w:val="00C20029"/>
    <w:rsid w:val="00C2002D"/>
    <w:rsid w:val="00C2029C"/>
    <w:rsid w:val="00C20492"/>
    <w:rsid w:val="00C2066E"/>
    <w:rsid w:val="00C206C8"/>
    <w:rsid w:val="00C206FC"/>
    <w:rsid w:val="00C2082B"/>
    <w:rsid w:val="00C2120E"/>
    <w:rsid w:val="00C21342"/>
    <w:rsid w:val="00C21666"/>
    <w:rsid w:val="00C2166A"/>
    <w:rsid w:val="00C218D5"/>
    <w:rsid w:val="00C21A16"/>
    <w:rsid w:val="00C21DD6"/>
    <w:rsid w:val="00C22114"/>
    <w:rsid w:val="00C2273E"/>
    <w:rsid w:val="00C22964"/>
    <w:rsid w:val="00C229CF"/>
    <w:rsid w:val="00C22CA4"/>
    <w:rsid w:val="00C2312D"/>
    <w:rsid w:val="00C235BF"/>
    <w:rsid w:val="00C2367C"/>
    <w:rsid w:val="00C23B0C"/>
    <w:rsid w:val="00C24256"/>
    <w:rsid w:val="00C248A0"/>
    <w:rsid w:val="00C249B6"/>
    <w:rsid w:val="00C24B41"/>
    <w:rsid w:val="00C24BB1"/>
    <w:rsid w:val="00C24BDD"/>
    <w:rsid w:val="00C24E3C"/>
    <w:rsid w:val="00C2530E"/>
    <w:rsid w:val="00C25DBB"/>
    <w:rsid w:val="00C26705"/>
    <w:rsid w:val="00C2676C"/>
    <w:rsid w:val="00C26951"/>
    <w:rsid w:val="00C26BB9"/>
    <w:rsid w:val="00C26CBF"/>
    <w:rsid w:val="00C27015"/>
    <w:rsid w:val="00C274B2"/>
    <w:rsid w:val="00C2794C"/>
    <w:rsid w:val="00C27D5D"/>
    <w:rsid w:val="00C27D6E"/>
    <w:rsid w:val="00C27EC4"/>
    <w:rsid w:val="00C27F34"/>
    <w:rsid w:val="00C30B06"/>
    <w:rsid w:val="00C30BA3"/>
    <w:rsid w:val="00C30C81"/>
    <w:rsid w:val="00C311E8"/>
    <w:rsid w:val="00C315A3"/>
    <w:rsid w:val="00C31B0C"/>
    <w:rsid w:val="00C31CF5"/>
    <w:rsid w:val="00C31D0B"/>
    <w:rsid w:val="00C31E72"/>
    <w:rsid w:val="00C321E3"/>
    <w:rsid w:val="00C326F6"/>
    <w:rsid w:val="00C33319"/>
    <w:rsid w:val="00C338AA"/>
    <w:rsid w:val="00C33C4F"/>
    <w:rsid w:val="00C3410B"/>
    <w:rsid w:val="00C34DE4"/>
    <w:rsid w:val="00C34EA4"/>
    <w:rsid w:val="00C35097"/>
    <w:rsid w:val="00C352A0"/>
    <w:rsid w:val="00C3535D"/>
    <w:rsid w:val="00C35906"/>
    <w:rsid w:val="00C35BCE"/>
    <w:rsid w:val="00C35C28"/>
    <w:rsid w:val="00C35E23"/>
    <w:rsid w:val="00C363C7"/>
    <w:rsid w:val="00C3644F"/>
    <w:rsid w:val="00C36B0E"/>
    <w:rsid w:val="00C37001"/>
    <w:rsid w:val="00C372D0"/>
    <w:rsid w:val="00C374C6"/>
    <w:rsid w:val="00C378EC"/>
    <w:rsid w:val="00C37D4A"/>
    <w:rsid w:val="00C405C6"/>
    <w:rsid w:val="00C40CBB"/>
    <w:rsid w:val="00C411B8"/>
    <w:rsid w:val="00C41234"/>
    <w:rsid w:val="00C41282"/>
    <w:rsid w:val="00C412B5"/>
    <w:rsid w:val="00C41CC3"/>
    <w:rsid w:val="00C41E50"/>
    <w:rsid w:val="00C41E61"/>
    <w:rsid w:val="00C41F5E"/>
    <w:rsid w:val="00C42165"/>
    <w:rsid w:val="00C42717"/>
    <w:rsid w:val="00C432BF"/>
    <w:rsid w:val="00C432F2"/>
    <w:rsid w:val="00C435F1"/>
    <w:rsid w:val="00C43BDC"/>
    <w:rsid w:val="00C43BFE"/>
    <w:rsid w:val="00C43C6D"/>
    <w:rsid w:val="00C442DD"/>
    <w:rsid w:val="00C443B8"/>
    <w:rsid w:val="00C44534"/>
    <w:rsid w:val="00C448E5"/>
    <w:rsid w:val="00C45E93"/>
    <w:rsid w:val="00C464BA"/>
    <w:rsid w:val="00C46ED2"/>
    <w:rsid w:val="00C4707B"/>
    <w:rsid w:val="00C47857"/>
    <w:rsid w:val="00C50063"/>
    <w:rsid w:val="00C50323"/>
    <w:rsid w:val="00C50360"/>
    <w:rsid w:val="00C5070B"/>
    <w:rsid w:val="00C50B92"/>
    <w:rsid w:val="00C50EC9"/>
    <w:rsid w:val="00C511E4"/>
    <w:rsid w:val="00C5133C"/>
    <w:rsid w:val="00C513F6"/>
    <w:rsid w:val="00C53535"/>
    <w:rsid w:val="00C53558"/>
    <w:rsid w:val="00C5369C"/>
    <w:rsid w:val="00C53C96"/>
    <w:rsid w:val="00C53F2A"/>
    <w:rsid w:val="00C53F2F"/>
    <w:rsid w:val="00C54A65"/>
    <w:rsid w:val="00C54DE5"/>
    <w:rsid w:val="00C55224"/>
    <w:rsid w:val="00C555A1"/>
    <w:rsid w:val="00C55900"/>
    <w:rsid w:val="00C55FE6"/>
    <w:rsid w:val="00C56580"/>
    <w:rsid w:val="00C56CC4"/>
    <w:rsid w:val="00C57546"/>
    <w:rsid w:val="00C57C96"/>
    <w:rsid w:val="00C57D95"/>
    <w:rsid w:val="00C60158"/>
    <w:rsid w:val="00C60E2A"/>
    <w:rsid w:val="00C61DA7"/>
    <w:rsid w:val="00C61FA1"/>
    <w:rsid w:val="00C6200D"/>
    <w:rsid w:val="00C62AC1"/>
    <w:rsid w:val="00C62FB4"/>
    <w:rsid w:val="00C630CE"/>
    <w:rsid w:val="00C6328B"/>
    <w:rsid w:val="00C63C70"/>
    <w:rsid w:val="00C6417C"/>
    <w:rsid w:val="00C643CB"/>
    <w:rsid w:val="00C64654"/>
    <w:rsid w:val="00C64905"/>
    <w:rsid w:val="00C64B9C"/>
    <w:rsid w:val="00C64C75"/>
    <w:rsid w:val="00C64F7A"/>
    <w:rsid w:val="00C64FB2"/>
    <w:rsid w:val="00C65228"/>
    <w:rsid w:val="00C65793"/>
    <w:rsid w:val="00C65926"/>
    <w:rsid w:val="00C66013"/>
    <w:rsid w:val="00C6616C"/>
    <w:rsid w:val="00C663DA"/>
    <w:rsid w:val="00C6663A"/>
    <w:rsid w:val="00C66642"/>
    <w:rsid w:val="00C6682A"/>
    <w:rsid w:val="00C66B99"/>
    <w:rsid w:val="00C66E51"/>
    <w:rsid w:val="00C66FBF"/>
    <w:rsid w:val="00C674E0"/>
    <w:rsid w:val="00C67823"/>
    <w:rsid w:val="00C679AF"/>
    <w:rsid w:val="00C67CCA"/>
    <w:rsid w:val="00C67DDA"/>
    <w:rsid w:val="00C67F23"/>
    <w:rsid w:val="00C70051"/>
    <w:rsid w:val="00C7020F"/>
    <w:rsid w:val="00C706B3"/>
    <w:rsid w:val="00C7086E"/>
    <w:rsid w:val="00C7094A"/>
    <w:rsid w:val="00C7152E"/>
    <w:rsid w:val="00C715DB"/>
    <w:rsid w:val="00C71DD1"/>
    <w:rsid w:val="00C72A1B"/>
    <w:rsid w:val="00C73CF0"/>
    <w:rsid w:val="00C73D24"/>
    <w:rsid w:val="00C744BD"/>
    <w:rsid w:val="00C74815"/>
    <w:rsid w:val="00C7498A"/>
    <w:rsid w:val="00C752EF"/>
    <w:rsid w:val="00C755D4"/>
    <w:rsid w:val="00C75A44"/>
    <w:rsid w:val="00C75C7B"/>
    <w:rsid w:val="00C76AC6"/>
    <w:rsid w:val="00C76B9E"/>
    <w:rsid w:val="00C76E97"/>
    <w:rsid w:val="00C76EC0"/>
    <w:rsid w:val="00C774AD"/>
    <w:rsid w:val="00C7751D"/>
    <w:rsid w:val="00C803E0"/>
    <w:rsid w:val="00C80B6D"/>
    <w:rsid w:val="00C80FC8"/>
    <w:rsid w:val="00C81909"/>
    <w:rsid w:val="00C81BB7"/>
    <w:rsid w:val="00C81CAB"/>
    <w:rsid w:val="00C81F1B"/>
    <w:rsid w:val="00C81F6D"/>
    <w:rsid w:val="00C81FBD"/>
    <w:rsid w:val="00C820E2"/>
    <w:rsid w:val="00C8211E"/>
    <w:rsid w:val="00C82318"/>
    <w:rsid w:val="00C8274E"/>
    <w:rsid w:val="00C82A3D"/>
    <w:rsid w:val="00C83118"/>
    <w:rsid w:val="00C83C49"/>
    <w:rsid w:val="00C841D9"/>
    <w:rsid w:val="00C8422B"/>
    <w:rsid w:val="00C8445B"/>
    <w:rsid w:val="00C8544A"/>
    <w:rsid w:val="00C85723"/>
    <w:rsid w:val="00C8583E"/>
    <w:rsid w:val="00C85F9D"/>
    <w:rsid w:val="00C85FAC"/>
    <w:rsid w:val="00C866A8"/>
    <w:rsid w:val="00C86988"/>
    <w:rsid w:val="00C86A2A"/>
    <w:rsid w:val="00C86B94"/>
    <w:rsid w:val="00C86C59"/>
    <w:rsid w:val="00C86E62"/>
    <w:rsid w:val="00C879F0"/>
    <w:rsid w:val="00C90070"/>
    <w:rsid w:val="00C900B3"/>
    <w:rsid w:val="00C90438"/>
    <w:rsid w:val="00C9061B"/>
    <w:rsid w:val="00C90798"/>
    <w:rsid w:val="00C90A27"/>
    <w:rsid w:val="00C92315"/>
    <w:rsid w:val="00C9288F"/>
    <w:rsid w:val="00C92F25"/>
    <w:rsid w:val="00C93536"/>
    <w:rsid w:val="00C93AF7"/>
    <w:rsid w:val="00C94027"/>
    <w:rsid w:val="00C94254"/>
    <w:rsid w:val="00C9460A"/>
    <w:rsid w:val="00C948C2"/>
    <w:rsid w:val="00C94A0D"/>
    <w:rsid w:val="00C95081"/>
    <w:rsid w:val="00C95274"/>
    <w:rsid w:val="00C95323"/>
    <w:rsid w:val="00C95684"/>
    <w:rsid w:val="00C956EF"/>
    <w:rsid w:val="00C95958"/>
    <w:rsid w:val="00C9598D"/>
    <w:rsid w:val="00C95E46"/>
    <w:rsid w:val="00C96194"/>
    <w:rsid w:val="00C9619A"/>
    <w:rsid w:val="00C9623E"/>
    <w:rsid w:val="00C9656F"/>
    <w:rsid w:val="00C967D2"/>
    <w:rsid w:val="00C9684E"/>
    <w:rsid w:val="00C96D80"/>
    <w:rsid w:val="00C974BA"/>
    <w:rsid w:val="00CA022F"/>
    <w:rsid w:val="00CA0535"/>
    <w:rsid w:val="00CA068A"/>
    <w:rsid w:val="00CA0781"/>
    <w:rsid w:val="00CA0832"/>
    <w:rsid w:val="00CA0A97"/>
    <w:rsid w:val="00CA0B27"/>
    <w:rsid w:val="00CA0CC1"/>
    <w:rsid w:val="00CA0EDD"/>
    <w:rsid w:val="00CA17DC"/>
    <w:rsid w:val="00CA1A8B"/>
    <w:rsid w:val="00CA1B4D"/>
    <w:rsid w:val="00CA1CE0"/>
    <w:rsid w:val="00CA26F3"/>
    <w:rsid w:val="00CA2763"/>
    <w:rsid w:val="00CA2AE8"/>
    <w:rsid w:val="00CA304B"/>
    <w:rsid w:val="00CA33CE"/>
    <w:rsid w:val="00CA33D6"/>
    <w:rsid w:val="00CA3A94"/>
    <w:rsid w:val="00CA3EC3"/>
    <w:rsid w:val="00CA3F84"/>
    <w:rsid w:val="00CA45CD"/>
    <w:rsid w:val="00CA45F5"/>
    <w:rsid w:val="00CA487E"/>
    <w:rsid w:val="00CA4B41"/>
    <w:rsid w:val="00CA4D22"/>
    <w:rsid w:val="00CA5320"/>
    <w:rsid w:val="00CA551F"/>
    <w:rsid w:val="00CA55C2"/>
    <w:rsid w:val="00CA5848"/>
    <w:rsid w:val="00CA5EDB"/>
    <w:rsid w:val="00CA5FD3"/>
    <w:rsid w:val="00CA608A"/>
    <w:rsid w:val="00CA65B7"/>
    <w:rsid w:val="00CA6A76"/>
    <w:rsid w:val="00CA6B82"/>
    <w:rsid w:val="00CA6CF7"/>
    <w:rsid w:val="00CA6D2D"/>
    <w:rsid w:val="00CA6F8F"/>
    <w:rsid w:val="00CA6FC3"/>
    <w:rsid w:val="00CA740C"/>
    <w:rsid w:val="00CA768A"/>
    <w:rsid w:val="00CA7CE0"/>
    <w:rsid w:val="00CB0024"/>
    <w:rsid w:val="00CB035B"/>
    <w:rsid w:val="00CB04BE"/>
    <w:rsid w:val="00CB05D6"/>
    <w:rsid w:val="00CB062D"/>
    <w:rsid w:val="00CB13D1"/>
    <w:rsid w:val="00CB1655"/>
    <w:rsid w:val="00CB17CE"/>
    <w:rsid w:val="00CB18F3"/>
    <w:rsid w:val="00CB198E"/>
    <w:rsid w:val="00CB2919"/>
    <w:rsid w:val="00CB2922"/>
    <w:rsid w:val="00CB2B8F"/>
    <w:rsid w:val="00CB2BDB"/>
    <w:rsid w:val="00CB30B9"/>
    <w:rsid w:val="00CB30EA"/>
    <w:rsid w:val="00CB32E4"/>
    <w:rsid w:val="00CB396C"/>
    <w:rsid w:val="00CB3999"/>
    <w:rsid w:val="00CB3A69"/>
    <w:rsid w:val="00CB3DD4"/>
    <w:rsid w:val="00CB40C2"/>
    <w:rsid w:val="00CB4363"/>
    <w:rsid w:val="00CB4476"/>
    <w:rsid w:val="00CB49B5"/>
    <w:rsid w:val="00CB4FEC"/>
    <w:rsid w:val="00CB57A3"/>
    <w:rsid w:val="00CB57FB"/>
    <w:rsid w:val="00CB5D35"/>
    <w:rsid w:val="00CB6335"/>
    <w:rsid w:val="00CB6572"/>
    <w:rsid w:val="00CB67C3"/>
    <w:rsid w:val="00CB6A51"/>
    <w:rsid w:val="00CB6B95"/>
    <w:rsid w:val="00CB6C8D"/>
    <w:rsid w:val="00CB7174"/>
    <w:rsid w:val="00CB72CD"/>
    <w:rsid w:val="00CB756C"/>
    <w:rsid w:val="00CB77DD"/>
    <w:rsid w:val="00CB7FD0"/>
    <w:rsid w:val="00CC001D"/>
    <w:rsid w:val="00CC0261"/>
    <w:rsid w:val="00CC0288"/>
    <w:rsid w:val="00CC02C1"/>
    <w:rsid w:val="00CC04A2"/>
    <w:rsid w:val="00CC08D6"/>
    <w:rsid w:val="00CC1921"/>
    <w:rsid w:val="00CC1EE7"/>
    <w:rsid w:val="00CC2342"/>
    <w:rsid w:val="00CC272E"/>
    <w:rsid w:val="00CC2D0C"/>
    <w:rsid w:val="00CC2D0D"/>
    <w:rsid w:val="00CC2D4E"/>
    <w:rsid w:val="00CC3C9D"/>
    <w:rsid w:val="00CC3F1F"/>
    <w:rsid w:val="00CC453B"/>
    <w:rsid w:val="00CC4BAF"/>
    <w:rsid w:val="00CC4EB4"/>
    <w:rsid w:val="00CC51FE"/>
    <w:rsid w:val="00CC520E"/>
    <w:rsid w:val="00CC5696"/>
    <w:rsid w:val="00CC5704"/>
    <w:rsid w:val="00CC582F"/>
    <w:rsid w:val="00CC5917"/>
    <w:rsid w:val="00CC6291"/>
    <w:rsid w:val="00CC62FC"/>
    <w:rsid w:val="00CC68E0"/>
    <w:rsid w:val="00CC6B05"/>
    <w:rsid w:val="00CC74AF"/>
    <w:rsid w:val="00CC79DA"/>
    <w:rsid w:val="00CC7AAB"/>
    <w:rsid w:val="00CC7CEB"/>
    <w:rsid w:val="00CC7E40"/>
    <w:rsid w:val="00CD05AD"/>
    <w:rsid w:val="00CD1610"/>
    <w:rsid w:val="00CD1A44"/>
    <w:rsid w:val="00CD1AF3"/>
    <w:rsid w:val="00CD1AF8"/>
    <w:rsid w:val="00CD1CDB"/>
    <w:rsid w:val="00CD26F6"/>
    <w:rsid w:val="00CD2890"/>
    <w:rsid w:val="00CD2AA5"/>
    <w:rsid w:val="00CD2AF6"/>
    <w:rsid w:val="00CD3590"/>
    <w:rsid w:val="00CD363B"/>
    <w:rsid w:val="00CD428F"/>
    <w:rsid w:val="00CD4D32"/>
    <w:rsid w:val="00CD4DBD"/>
    <w:rsid w:val="00CD4ED4"/>
    <w:rsid w:val="00CD4F40"/>
    <w:rsid w:val="00CD4FDB"/>
    <w:rsid w:val="00CD52BF"/>
    <w:rsid w:val="00CD5FD2"/>
    <w:rsid w:val="00CD6408"/>
    <w:rsid w:val="00CD6650"/>
    <w:rsid w:val="00CD66B1"/>
    <w:rsid w:val="00CD67C8"/>
    <w:rsid w:val="00CD7631"/>
    <w:rsid w:val="00CD7834"/>
    <w:rsid w:val="00CD7893"/>
    <w:rsid w:val="00CD7A1E"/>
    <w:rsid w:val="00CD7D9D"/>
    <w:rsid w:val="00CD7E00"/>
    <w:rsid w:val="00CE0033"/>
    <w:rsid w:val="00CE04F9"/>
    <w:rsid w:val="00CE06D1"/>
    <w:rsid w:val="00CE0713"/>
    <w:rsid w:val="00CE0776"/>
    <w:rsid w:val="00CE07E2"/>
    <w:rsid w:val="00CE082E"/>
    <w:rsid w:val="00CE0AE3"/>
    <w:rsid w:val="00CE175C"/>
    <w:rsid w:val="00CE1C5D"/>
    <w:rsid w:val="00CE1D16"/>
    <w:rsid w:val="00CE2010"/>
    <w:rsid w:val="00CE207D"/>
    <w:rsid w:val="00CE2149"/>
    <w:rsid w:val="00CE2211"/>
    <w:rsid w:val="00CE279F"/>
    <w:rsid w:val="00CE28AB"/>
    <w:rsid w:val="00CE34C0"/>
    <w:rsid w:val="00CE35DE"/>
    <w:rsid w:val="00CE377C"/>
    <w:rsid w:val="00CE3799"/>
    <w:rsid w:val="00CE3A54"/>
    <w:rsid w:val="00CE3C6C"/>
    <w:rsid w:val="00CE3D4C"/>
    <w:rsid w:val="00CE3DA5"/>
    <w:rsid w:val="00CE424B"/>
    <w:rsid w:val="00CE4506"/>
    <w:rsid w:val="00CE456A"/>
    <w:rsid w:val="00CE5783"/>
    <w:rsid w:val="00CE579D"/>
    <w:rsid w:val="00CE5896"/>
    <w:rsid w:val="00CE5AB9"/>
    <w:rsid w:val="00CE5BA1"/>
    <w:rsid w:val="00CE5E00"/>
    <w:rsid w:val="00CE6478"/>
    <w:rsid w:val="00CE6538"/>
    <w:rsid w:val="00CE67F3"/>
    <w:rsid w:val="00CE6BD9"/>
    <w:rsid w:val="00CE6C6C"/>
    <w:rsid w:val="00CE6C6E"/>
    <w:rsid w:val="00CE70EE"/>
    <w:rsid w:val="00CE71E3"/>
    <w:rsid w:val="00CE7711"/>
    <w:rsid w:val="00CE7713"/>
    <w:rsid w:val="00CE7D4C"/>
    <w:rsid w:val="00CE7DFC"/>
    <w:rsid w:val="00CE7E3D"/>
    <w:rsid w:val="00CE7EF9"/>
    <w:rsid w:val="00CF06BD"/>
    <w:rsid w:val="00CF08AE"/>
    <w:rsid w:val="00CF13F9"/>
    <w:rsid w:val="00CF1514"/>
    <w:rsid w:val="00CF1522"/>
    <w:rsid w:val="00CF15C7"/>
    <w:rsid w:val="00CF17ED"/>
    <w:rsid w:val="00CF19AC"/>
    <w:rsid w:val="00CF1A44"/>
    <w:rsid w:val="00CF1A78"/>
    <w:rsid w:val="00CF1B31"/>
    <w:rsid w:val="00CF1D61"/>
    <w:rsid w:val="00CF2289"/>
    <w:rsid w:val="00CF25C5"/>
    <w:rsid w:val="00CF27C8"/>
    <w:rsid w:val="00CF2A61"/>
    <w:rsid w:val="00CF2B63"/>
    <w:rsid w:val="00CF2B66"/>
    <w:rsid w:val="00CF2D16"/>
    <w:rsid w:val="00CF2E0D"/>
    <w:rsid w:val="00CF2ECA"/>
    <w:rsid w:val="00CF30F6"/>
    <w:rsid w:val="00CF38C2"/>
    <w:rsid w:val="00CF3D00"/>
    <w:rsid w:val="00CF3DB3"/>
    <w:rsid w:val="00CF3F5D"/>
    <w:rsid w:val="00CF5017"/>
    <w:rsid w:val="00CF5372"/>
    <w:rsid w:val="00CF56BE"/>
    <w:rsid w:val="00CF58BF"/>
    <w:rsid w:val="00CF58FC"/>
    <w:rsid w:val="00CF5E04"/>
    <w:rsid w:val="00CF5FED"/>
    <w:rsid w:val="00CF62A6"/>
    <w:rsid w:val="00CF6797"/>
    <w:rsid w:val="00CF67E1"/>
    <w:rsid w:val="00CF69AF"/>
    <w:rsid w:val="00CF7314"/>
    <w:rsid w:val="00CF73ED"/>
    <w:rsid w:val="00CF7929"/>
    <w:rsid w:val="00CF7A37"/>
    <w:rsid w:val="00CF7B25"/>
    <w:rsid w:val="00CF7B53"/>
    <w:rsid w:val="00D0019F"/>
    <w:rsid w:val="00D00469"/>
    <w:rsid w:val="00D00D54"/>
    <w:rsid w:val="00D00DBB"/>
    <w:rsid w:val="00D0104D"/>
    <w:rsid w:val="00D012C2"/>
    <w:rsid w:val="00D014A1"/>
    <w:rsid w:val="00D01A99"/>
    <w:rsid w:val="00D021B7"/>
    <w:rsid w:val="00D023BA"/>
    <w:rsid w:val="00D02E06"/>
    <w:rsid w:val="00D035E6"/>
    <w:rsid w:val="00D03614"/>
    <w:rsid w:val="00D0368B"/>
    <w:rsid w:val="00D03E61"/>
    <w:rsid w:val="00D03E7B"/>
    <w:rsid w:val="00D04181"/>
    <w:rsid w:val="00D04342"/>
    <w:rsid w:val="00D04B50"/>
    <w:rsid w:val="00D04CFE"/>
    <w:rsid w:val="00D04DF0"/>
    <w:rsid w:val="00D04DF3"/>
    <w:rsid w:val="00D0570B"/>
    <w:rsid w:val="00D05A96"/>
    <w:rsid w:val="00D05AB5"/>
    <w:rsid w:val="00D05B40"/>
    <w:rsid w:val="00D05BB6"/>
    <w:rsid w:val="00D05D15"/>
    <w:rsid w:val="00D05F20"/>
    <w:rsid w:val="00D06012"/>
    <w:rsid w:val="00D0686C"/>
    <w:rsid w:val="00D06AC5"/>
    <w:rsid w:val="00D06CFE"/>
    <w:rsid w:val="00D076ED"/>
    <w:rsid w:val="00D079FB"/>
    <w:rsid w:val="00D07DD4"/>
    <w:rsid w:val="00D103C6"/>
    <w:rsid w:val="00D1053B"/>
    <w:rsid w:val="00D105C8"/>
    <w:rsid w:val="00D10738"/>
    <w:rsid w:val="00D10DA7"/>
    <w:rsid w:val="00D10EB9"/>
    <w:rsid w:val="00D10F59"/>
    <w:rsid w:val="00D11337"/>
    <w:rsid w:val="00D11438"/>
    <w:rsid w:val="00D11887"/>
    <w:rsid w:val="00D11B1F"/>
    <w:rsid w:val="00D11D59"/>
    <w:rsid w:val="00D1216D"/>
    <w:rsid w:val="00D123E9"/>
    <w:rsid w:val="00D12A50"/>
    <w:rsid w:val="00D12BAA"/>
    <w:rsid w:val="00D12CDD"/>
    <w:rsid w:val="00D12D6E"/>
    <w:rsid w:val="00D1317E"/>
    <w:rsid w:val="00D13217"/>
    <w:rsid w:val="00D133E7"/>
    <w:rsid w:val="00D137CC"/>
    <w:rsid w:val="00D138EF"/>
    <w:rsid w:val="00D14045"/>
    <w:rsid w:val="00D142F2"/>
    <w:rsid w:val="00D143B9"/>
    <w:rsid w:val="00D144FD"/>
    <w:rsid w:val="00D147F8"/>
    <w:rsid w:val="00D14C5C"/>
    <w:rsid w:val="00D1508D"/>
    <w:rsid w:val="00D15806"/>
    <w:rsid w:val="00D15A1A"/>
    <w:rsid w:val="00D15BB3"/>
    <w:rsid w:val="00D15BB9"/>
    <w:rsid w:val="00D16000"/>
    <w:rsid w:val="00D160AA"/>
    <w:rsid w:val="00D16141"/>
    <w:rsid w:val="00D16315"/>
    <w:rsid w:val="00D16426"/>
    <w:rsid w:val="00D16864"/>
    <w:rsid w:val="00D168C2"/>
    <w:rsid w:val="00D16E6B"/>
    <w:rsid w:val="00D1735B"/>
    <w:rsid w:val="00D1785D"/>
    <w:rsid w:val="00D17B32"/>
    <w:rsid w:val="00D17EBD"/>
    <w:rsid w:val="00D17F8F"/>
    <w:rsid w:val="00D200CC"/>
    <w:rsid w:val="00D207FF"/>
    <w:rsid w:val="00D21128"/>
    <w:rsid w:val="00D21B2F"/>
    <w:rsid w:val="00D21C58"/>
    <w:rsid w:val="00D2209C"/>
    <w:rsid w:val="00D22531"/>
    <w:rsid w:val="00D225BF"/>
    <w:rsid w:val="00D22740"/>
    <w:rsid w:val="00D22790"/>
    <w:rsid w:val="00D22AFE"/>
    <w:rsid w:val="00D22CDE"/>
    <w:rsid w:val="00D237C2"/>
    <w:rsid w:val="00D23934"/>
    <w:rsid w:val="00D23D6A"/>
    <w:rsid w:val="00D24A75"/>
    <w:rsid w:val="00D25345"/>
    <w:rsid w:val="00D25C78"/>
    <w:rsid w:val="00D25E38"/>
    <w:rsid w:val="00D267C5"/>
    <w:rsid w:val="00D26873"/>
    <w:rsid w:val="00D26CD1"/>
    <w:rsid w:val="00D26D38"/>
    <w:rsid w:val="00D26D61"/>
    <w:rsid w:val="00D26ED2"/>
    <w:rsid w:val="00D270B7"/>
    <w:rsid w:val="00D271C7"/>
    <w:rsid w:val="00D271CE"/>
    <w:rsid w:val="00D27523"/>
    <w:rsid w:val="00D27EF1"/>
    <w:rsid w:val="00D27F3D"/>
    <w:rsid w:val="00D30277"/>
    <w:rsid w:val="00D30681"/>
    <w:rsid w:val="00D30C4E"/>
    <w:rsid w:val="00D30E55"/>
    <w:rsid w:val="00D3141D"/>
    <w:rsid w:val="00D320B6"/>
    <w:rsid w:val="00D3240F"/>
    <w:rsid w:val="00D32D51"/>
    <w:rsid w:val="00D3362E"/>
    <w:rsid w:val="00D336CD"/>
    <w:rsid w:val="00D336EB"/>
    <w:rsid w:val="00D3385A"/>
    <w:rsid w:val="00D338DC"/>
    <w:rsid w:val="00D3395F"/>
    <w:rsid w:val="00D33A80"/>
    <w:rsid w:val="00D33BDD"/>
    <w:rsid w:val="00D342F2"/>
    <w:rsid w:val="00D345F7"/>
    <w:rsid w:val="00D349FA"/>
    <w:rsid w:val="00D34D66"/>
    <w:rsid w:val="00D34E0F"/>
    <w:rsid w:val="00D351F5"/>
    <w:rsid w:val="00D35645"/>
    <w:rsid w:val="00D36344"/>
    <w:rsid w:val="00D36A50"/>
    <w:rsid w:val="00D36AB5"/>
    <w:rsid w:val="00D36D76"/>
    <w:rsid w:val="00D36FBC"/>
    <w:rsid w:val="00D37216"/>
    <w:rsid w:val="00D3753A"/>
    <w:rsid w:val="00D376B0"/>
    <w:rsid w:val="00D37FDB"/>
    <w:rsid w:val="00D40839"/>
    <w:rsid w:val="00D40CAE"/>
    <w:rsid w:val="00D41157"/>
    <w:rsid w:val="00D4129B"/>
    <w:rsid w:val="00D4143D"/>
    <w:rsid w:val="00D41486"/>
    <w:rsid w:val="00D41814"/>
    <w:rsid w:val="00D4212E"/>
    <w:rsid w:val="00D421B4"/>
    <w:rsid w:val="00D42FC9"/>
    <w:rsid w:val="00D42FE5"/>
    <w:rsid w:val="00D43024"/>
    <w:rsid w:val="00D439A4"/>
    <w:rsid w:val="00D43C68"/>
    <w:rsid w:val="00D43F68"/>
    <w:rsid w:val="00D44472"/>
    <w:rsid w:val="00D44CE2"/>
    <w:rsid w:val="00D44F26"/>
    <w:rsid w:val="00D454B8"/>
    <w:rsid w:val="00D45A3F"/>
    <w:rsid w:val="00D45BE5"/>
    <w:rsid w:val="00D46427"/>
    <w:rsid w:val="00D46428"/>
    <w:rsid w:val="00D468F0"/>
    <w:rsid w:val="00D46A19"/>
    <w:rsid w:val="00D46C86"/>
    <w:rsid w:val="00D47078"/>
    <w:rsid w:val="00D474EB"/>
    <w:rsid w:val="00D47846"/>
    <w:rsid w:val="00D47C80"/>
    <w:rsid w:val="00D47CEC"/>
    <w:rsid w:val="00D504A2"/>
    <w:rsid w:val="00D505AD"/>
    <w:rsid w:val="00D5093B"/>
    <w:rsid w:val="00D50947"/>
    <w:rsid w:val="00D50C0F"/>
    <w:rsid w:val="00D50ECD"/>
    <w:rsid w:val="00D51388"/>
    <w:rsid w:val="00D513EA"/>
    <w:rsid w:val="00D51957"/>
    <w:rsid w:val="00D51C8F"/>
    <w:rsid w:val="00D52983"/>
    <w:rsid w:val="00D52ACB"/>
    <w:rsid w:val="00D52F28"/>
    <w:rsid w:val="00D53369"/>
    <w:rsid w:val="00D535BB"/>
    <w:rsid w:val="00D53B83"/>
    <w:rsid w:val="00D53BE2"/>
    <w:rsid w:val="00D54178"/>
    <w:rsid w:val="00D5434A"/>
    <w:rsid w:val="00D54918"/>
    <w:rsid w:val="00D54996"/>
    <w:rsid w:val="00D550F4"/>
    <w:rsid w:val="00D55118"/>
    <w:rsid w:val="00D551B5"/>
    <w:rsid w:val="00D55369"/>
    <w:rsid w:val="00D56AB3"/>
    <w:rsid w:val="00D56B49"/>
    <w:rsid w:val="00D56EE1"/>
    <w:rsid w:val="00D57317"/>
    <w:rsid w:val="00D573D1"/>
    <w:rsid w:val="00D57AAD"/>
    <w:rsid w:val="00D57C2D"/>
    <w:rsid w:val="00D57C76"/>
    <w:rsid w:val="00D57DF1"/>
    <w:rsid w:val="00D57FA9"/>
    <w:rsid w:val="00D60196"/>
    <w:rsid w:val="00D6027E"/>
    <w:rsid w:val="00D60375"/>
    <w:rsid w:val="00D6157B"/>
    <w:rsid w:val="00D61619"/>
    <w:rsid w:val="00D61685"/>
    <w:rsid w:val="00D62130"/>
    <w:rsid w:val="00D621C3"/>
    <w:rsid w:val="00D62536"/>
    <w:rsid w:val="00D628DC"/>
    <w:rsid w:val="00D62AA3"/>
    <w:rsid w:val="00D62D4F"/>
    <w:rsid w:val="00D62DD9"/>
    <w:rsid w:val="00D63122"/>
    <w:rsid w:val="00D63496"/>
    <w:rsid w:val="00D63BDF"/>
    <w:rsid w:val="00D63D14"/>
    <w:rsid w:val="00D63ED3"/>
    <w:rsid w:val="00D646A4"/>
    <w:rsid w:val="00D64933"/>
    <w:rsid w:val="00D64EEF"/>
    <w:rsid w:val="00D6528C"/>
    <w:rsid w:val="00D65528"/>
    <w:rsid w:val="00D659CE"/>
    <w:rsid w:val="00D6621E"/>
    <w:rsid w:val="00D66367"/>
    <w:rsid w:val="00D66739"/>
    <w:rsid w:val="00D66903"/>
    <w:rsid w:val="00D6696F"/>
    <w:rsid w:val="00D66A7A"/>
    <w:rsid w:val="00D66AFE"/>
    <w:rsid w:val="00D66CEE"/>
    <w:rsid w:val="00D66D5A"/>
    <w:rsid w:val="00D66F14"/>
    <w:rsid w:val="00D671AA"/>
    <w:rsid w:val="00D67330"/>
    <w:rsid w:val="00D67788"/>
    <w:rsid w:val="00D677A4"/>
    <w:rsid w:val="00D67B55"/>
    <w:rsid w:val="00D70677"/>
    <w:rsid w:val="00D70E61"/>
    <w:rsid w:val="00D710BB"/>
    <w:rsid w:val="00D711B0"/>
    <w:rsid w:val="00D71494"/>
    <w:rsid w:val="00D71BB9"/>
    <w:rsid w:val="00D71D68"/>
    <w:rsid w:val="00D71F76"/>
    <w:rsid w:val="00D724D9"/>
    <w:rsid w:val="00D726B1"/>
    <w:rsid w:val="00D737AF"/>
    <w:rsid w:val="00D741AA"/>
    <w:rsid w:val="00D74FC9"/>
    <w:rsid w:val="00D754EC"/>
    <w:rsid w:val="00D75500"/>
    <w:rsid w:val="00D75760"/>
    <w:rsid w:val="00D75F5F"/>
    <w:rsid w:val="00D75F84"/>
    <w:rsid w:val="00D763C8"/>
    <w:rsid w:val="00D76529"/>
    <w:rsid w:val="00D766DD"/>
    <w:rsid w:val="00D7676C"/>
    <w:rsid w:val="00D76932"/>
    <w:rsid w:val="00D76D8E"/>
    <w:rsid w:val="00D771EE"/>
    <w:rsid w:val="00D776FD"/>
    <w:rsid w:val="00D779E3"/>
    <w:rsid w:val="00D77A7E"/>
    <w:rsid w:val="00D77B72"/>
    <w:rsid w:val="00D77BB9"/>
    <w:rsid w:val="00D804CE"/>
    <w:rsid w:val="00D80863"/>
    <w:rsid w:val="00D8094D"/>
    <w:rsid w:val="00D80B6C"/>
    <w:rsid w:val="00D80CFC"/>
    <w:rsid w:val="00D817BC"/>
    <w:rsid w:val="00D817F9"/>
    <w:rsid w:val="00D820F5"/>
    <w:rsid w:val="00D82442"/>
    <w:rsid w:val="00D82627"/>
    <w:rsid w:val="00D82C27"/>
    <w:rsid w:val="00D82D38"/>
    <w:rsid w:val="00D835D1"/>
    <w:rsid w:val="00D835F3"/>
    <w:rsid w:val="00D836D4"/>
    <w:rsid w:val="00D83D5E"/>
    <w:rsid w:val="00D8463F"/>
    <w:rsid w:val="00D84E3D"/>
    <w:rsid w:val="00D85010"/>
    <w:rsid w:val="00D851A2"/>
    <w:rsid w:val="00D854B1"/>
    <w:rsid w:val="00D85815"/>
    <w:rsid w:val="00D85FFE"/>
    <w:rsid w:val="00D86111"/>
    <w:rsid w:val="00D862F2"/>
    <w:rsid w:val="00D86B34"/>
    <w:rsid w:val="00D874AA"/>
    <w:rsid w:val="00D87ACE"/>
    <w:rsid w:val="00D87E6F"/>
    <w:rsid w:val="00D900FB"/>
    <w:rsid w:val="00D905A7"/>
    <w:rsid w:val="00D906B4"/>
    <w:rsid w:val="00D907E9"/>
    <w:rsid w:val="00D9092E"/>
    <w:rsid w:val="00D90D9D"/>
    <w:rsid w:val="00D91042"/>
    <w:rsid w:val="00D913CD"/>
    <w:rsid w:val="00D92229"/>
    <w:rsid w:val="00D929CF"/>
    <w:rsid w:val="00D92C45"/>
    <w:rsid w:val="00D92E2B"/>
    <w:rsid w:val="00D93005"/>
    <w:rsid w:val="00D9304C"/>
    <w:rsid w:val="00D9318E"/>
    <w:rsid w:val="00D9356B"/>
    <w:rsid w:val="00D93727"/>
    <w:rsid w:val="00D93AA1"/>
    <w:rsid w:val="00D93B8C"/>
    <w:rsid w:val="00D93DAF"/>
    <w:rsid w:val="00D942C8"/>
    <w:rsid w:val="00D9436E"/>
    <w:rsid w:val="00D94CF2"/>
    <w:rsid w:val="00D94E43"/>
    <w:rsid w:val="00D95E35"/>
    <w:rsid w:val="00D975C9"/>
    <w:rsid w:val="00D975D1"/>
    <w:rsid w:val="00D9760D"/>
    <w:rsid w:val="00D97657"/>
    <w:rsid w:val="00DA00F9"/>
    <w:rsid w:val="00DA0941"/>
    <w:rsid w:val="00DA0BCF"/>
    <w:rsid w:val="00DA0CEC"/>
    <w:rsid w:val="00DA0D6B"/>
    <w:rsid w:val="00DA10F2"/>
    <w:rsid w:val="00DA1122"/>
    <w:rsid w:val="00DA11A9"/>
    <w:rsid w:val="00DA1244"/>
    <w:rsid w:val="00DA1336"/>
    <w:rsid w:val="00DA1FDD"/>
    <w:rsid w:val="00DA2131"/>
    <w:rsid w:val="00DA224B"/>
    <w:rsid w:val="00DA2497"/>
    <w:rsid w:val="00DA3534"/>
    <w:rsid w:val="00DA43AD"/>
    <w:rsid w:val="00DA43BB"/>
    <w:rsid w:val="00DA47F9"/>
    <w:rsid w:val="00DA48C9"/>
    <w:rsid w:val="00DA4ACB"/>
    <w:rsid w:val="00DA4BB1"/>
    <w:rsid w:val="00DA4EC6"/>
    <w:rsid w:val="00DA572A"/>
    <w:rsid w:val="00DA57E2"/>
    <w:rsid w:val="00DA611B"/>
    <w:rsid w:val="00DA6432"/>
    <w:rsid w:val="00DA6988"/>
    <w:rsid w:val="00DA6A39"/>
    <w:rsid w:val="00DA6BB2"/>
    <w:rsid w:val="00DA6EFF"/>
    <w:rsid w:val="00DA70B7"/>
    <w:rsid w:val="00DA74A3"/>
    <w:rsid w:val="00DA7B8E"/>
    <w:rsid w:val="00DA7FE3"/>
    <w:rsid w:val="00DB024C"/>
    <w:rsid w:val="00DB038B"/>
    <w:rsid w:val="00DB0920"/>
    <w:rsid w:val="00DB1BDB"/>
    <w:rsid w:val="00DB1CB9"/>
    <w:rsid w:val="00DB1D6D"/>
    <w:rsid w:val="00DB1F74"/>
    <w:rsid w:val="00DB2297"/>
    <w:rsid w:val="00DB22CC"/>
    <w:rsid w:val="00DB23E3"/>
    <w:rsid w:val="00DB241A"/>
    <w:rsid w:val="00DB2449"/>
    <w:rsid w:val="00DB27CA"/>
    <w:rsid w:val="00DB280B"/>
    <w:rsid w:val="00DB2B5F"/>
    <w:rsid w:val="00DB34F1"/>
    <w:rsid w:val="00DB367F"/>
    <w:rsid w:val="00DB3991"/>
    <w:rsid w:val="00DB3BF5"/>
    <w:rsid w:val="00DB406F"/>
    <w:rsid w:val="00DB40F7"/>
    <w:rsid w:val="00DB4550"/>
    <w:rsid w:val="00DB485A"/>
    <w:rsid w:val="00DB5325"/>
    <w:rsid w:val="00DB553A"/>
    <w:rsid w:val="00DB5581"/>
    <w:rsid w:val="00DB575C"/>
    <w:rsid w:val="00DB588B"/>
    <w:rsid w:val="00DB5B2B"/>
    <w:rsid w:val="00DB5CBE"/>
    <w:rsid w:val="00DB65F4"/>
    <w:rsid w:val="00DB6AAA"/>
    <w:rsid w:val="00DB6B1F"/>
    <w:rsid w:val="00DB6CED"/>
    <w:rsid w:val="00DB702C"/>
    <w:rsid w:val="00DB7737"/>
    <w:rsid w:val="00DB7C0C"/>
    <w:rsid w:val="00DC0B34"/>
    <w:rsid w:val="00DC0FD7"/>
    <w:rsid w:val="00DC1076"/>
    <w:rsid w:val="00DC1529"/>
    <w:rsid w:val="00DC158C"/>
    <w:rsid w:val="00DC1AAE"/>
    <w:rsid w:val="00DC1CF3"/>
    <w:rsid w:val="00DC1DE6"/>
    <w:rsid w:val="00DC1E2F"/>
    <w:rsid w:val="00DC24C3"/>
    <w:rsid w:val="00DC26BA"/>
    <w:rsid w:val="00DC26D2"/>
    <w:rsid w:val="00DC2A44"/>
    <w:rsid w:val="00DC2B7E"/>
    <w:rsid w:val="00DC2D9C"/>
    <w:rsid w:val="00DC2E3F"/>
    <w:rsid w:val="00DC2FA7"/>
    <w:rsid w:val="00DC3135"/>
    <w:rsid w:val="00DC3488"/>
    <w:rsid w:val="00DC37B6"/>
    <w:rsid w:val="00DC4663"/>
    <w:rsid w:val="00DC4FC1"/>
    <w:rsid w:val="00DC565C"/>
    <w:rsid w:val="00DC5AF7"/>
    <w:rsid w:val="00DC5DC0"/>
    <w:rsid w:val="00DC601D"/>
    <w:rsid w:val="00DC624F"/>
    <w:rsid w:val="00DC673B"/>
    <w:rsid w:val="00DC68B2"/>
    <w:rsid w:val="00DC7C3C"/>
    <w:rsid w:val="00DD0069"/>
    <w:rsid w:val="00DD00C9"/>
    <w:rsid w:val="00DD0172"/>
    <w:rsid w:val="00DD04AD"/>
    <w:rsid w:val="00DD0795"/>
    <w:rsid w:val="00DD15A2"/>
    <w:rsid w:val="00DD1783"/>
    <w:rsid w:val="00DD1D31"/>
    <w:rsid w:val="00DD1EA1"/>
    <w:rsid w:val="00DD1F0F"/>
    <w:rsid w:val="00DD1F41"/>
    <w:rsid w:val="00DD21E1"/>
    <w:rsid w:val="00DD27C9"/>
    <w:rsid w:val="00DD2882"/>
    <w:rsid w:val="00DD2917"/>
    <w:rsid w:val="00DD2AD8"/>
    <w:rsid w:val="00DD2CF6"/>
    <w:rsid w:val="00DD3066"/>
    <w:rsid w:val="00DD31F1"/>
    <w:rsid w:val="00DD3792"/>
    <w:rsid w:val="00DD4442"/>
    <w:rsid w:val="00DD493A"/>
    <w:rsid w:val="00DD4F37"/>
    <w:rsid w:val="00DD54E5"/>
    <w:rsid w:val="00DD57E5"/>
    <w:rsid w:val="00DD59D2"/>
    <w:rsid w:val="00DD5D52"/>
    <w:rsid w:val="00DD5DB0"/>
    <w:rsid w:val="00DD5EC4"/>
    <w:rsid w:val="00DD611F"/>
    <w:rsid w:val="00DD6958"/>
    <w:rsid w:val="00DD6C67"/>
    <w:rsid w:val="00DD6CEA"/>
    <w:rsid w:val="00DD6DB9"/>
    <w:rsid w:val="00DD758B"/>
    <w:rsid w:val="00DD763C"/>
    <w:rsid w:val="00DD76A6"/>
    <w:rsid w:val="00DD7887"/>
    <w:rsid w:val="00DD7CF9"/>
    <w:rsid w:val="00DD7FF5"/>
    <w:rsid w:val="00DE02E0"/>
    <w:rsid w:val="00DE04FC"/>
    <w:rsid w:val="00DE0C12"/>
    <w:rsid w:val="00DE121F"/>
    <w:rsid w:val="00DE1920"/>
    <w:rsid w:val="00DE1C62"/>
    <w:rsid w:val="00DE2374"/>
    <w:rsid w:val="00DE23DE"/>
    <w:rsid w:val="00DE2734"/>
    <w:rsid w:val="00DE278B"/>
    <w:rsid w:val="00DE2BBA"/>
    <w:rsid w:val="00DE2F93"/>
    <w:rsid w:val="00DE3AFC"/>
    <w:rsid w:val="00DE4A2D"/>
    <w:rsid w:val="00DE4A2E"/>
    <w:rsid w:val="00DE50F1"/>
    <w:rsid w:val="00DE510B"/>
    <w:rsid w:val="00DE53F0"/>
    <w:rsid w:val="00DE5562"/>
    <w:rsid w:val="00DE590D"/>
    <w:rsid w:val="00DE5BB1"/>
    <w:rsid w:val="00DE64A2"/>
    <w:rsid w:val="00DE682B"/>
    <w:rsid w:val="00DE6C7B"/>
    <w:rsid w:val="00DE6FD6"/>
    <w:rsid w:val="00DE73D0"/>
    <w:rsid w:val="00DE73ED"/>
    <w:rsid w:val="00DE7527"/>
    <w:rsid w:val="00DE769D"/>
    <w:rsid w:val="00DE76A3"/>
    <w:rsid w:val="00DE7918"/>
    <w:rsid w:val="00DE7D06"/>
    <w:rsid w:val="00DF049C"/>
    <w:rsid w:val="00DF04F4"/>
    <w:rsid w:val="00DF08E3"/>
    <w:rsid w:val="00DF113F"/>
    <w:rsid w:val="00DF14EE"/>
    <w:rsid w:val="00DF17AB"/>
    <w:rsid w:val="00DF19AF"/>
    <w:rsid w:val="00DF19DD"/>
    <w:rsid w:val="00DF1B50"/>
    <w:rsid w:val="00DF1D13"/>
    <w:rsid w:val="00DF1EA7"/>
    <w:rsid w:val="00DF2939"/>
    <w:rsid w:val="00DF2B36"/>
    <w:rsid w:val="00DF2DDD"/>
    <w:rsid w:val="00DF2E94"/>
    <w:rsid w:val="00DF34D5"/>
    <w:rsid w:val="00DF3A19"/>
    <w:rsid w:val="00DF3BC2"/>
    <w:rsid w:val="00DF3F23"/>
    <w:rsid w:val="00DF3FF7"/>
    <w:rsid w:val="00DF431E"/>
    <w:rsid w:val="00DF43E5"/>
    <w:rsid w:val="00DF4666"/>
    <w:rsid w:val="00DF4D0D"/>
    <w:rsid w:val="00DF4D43"/>
    <w:rsid w:val="00DF5A89"/>
    <w:rsid w:val="00DF5D2C"/>
    <w:rsid w:val="00DF5F50"/>
    <w:rsid w:val="00DF638B"/>
    <w:rsid w:val="00DF65A2"/>
    <w:rsid w:val="00DF68CB"/>
    <w:rsid w:val="00DF6A03"/>
    <w:rsid w:val="00DF6CAC"/>
    <w:rsid w:val="00DF768E"/>
    <w:rsid w:val="00DF7A68"/>
    <w:rsid w:val="00DF7DA2"/>
    <w:rsid w:val="00DF7DF5"/>
    <w:rsid w:val="00E0036D"/>
    <w:rsid w:val="00E003C9"/>
    <w:rsid w:val="00E004F0"/>
    <w:rsid w:val="00E00618"/>
    <w:rsid w:val="00E00A08"/>
    <w:rsid w:val="00E00A10"/>
    <w:rsid w:val="00E00AA1"/>
    <w:rsid w:val="00E00D57"/>
    <w:rsid w:val="00E00D7F"/>
    <w:rsid w:val="00E00E88"/>
    <w:rsid w:val="00E00FA1"/>
    <w:rsid w:val="00E01049"/>
    <w:rsid w:val="00E0111E"/>
    <w:rsid w:val="00E0131A"/>
    <w:rsid w:val="00E02053"/>
    <w:rsid w:val="00E0223A"/>
    <w:rsid w:val="00E026C9"/>
    <w:rsid w:val="00E02B3C"/>
    <w:rsid w:val="00E02E4A"/>
    <w:rsid w:val="00E03315"/>
    <w:rsid w:val="00E03455"/>
    <w:rsid w:val="00E05B9A"/>
    <w:rsid w:val="00E05C18"/>
    <w:rsid w:val="00E05E4E"/>
    <w:rsid w:val="00E06686"/>
    <w:rsid w:val="00E068F9"/>
    <w:rsid w:val="00E06B3A"/>
    <w:rsid w:val="00E06E03"/>
    <w:rsid w:val="00E06E8F"/>
    <w:rsid w:val="00E07225"/>
    <w:rsid w:val="00E074D6"/>
    <w:rsid w:val="00E07829"/>
    <w:rsid w:val="00E078C9"/>
    <w:rsid w:val="00E07BDF"/>
    <w:rsid w:val="00E07EAB"/>
    <w:rsid w:val="00E101A1"/>
    <w:rsid w:val="00E1093D"/>
    <w:rsid w:val="00E10A2B"/>
    <w:rsid w:val="00E10A2C"/>
    <w:rsid w:val="00E10A52"/>
    <w:rsid w:val="00E11F3C"/>
    <w:rsid w:val="00E121A0"/>
    <w:rsid w:val="00E121BD"/>
    <w:rsid w:val="00E128C9"/>
    <w:rsid w:val="00E12A35"/>
    <w:rsid w:val="00E133C7"/>
    <w:rsid w:val="00E13406"/>
    <w:rsid w:val="00E13698"/>
    <w:rsid w:val="00E138C4"/>
    <w:rsid w:val="00E139E3"/>
    <w:rsid w:val="00E13A38"/>
    <w:rsid w:val="00E13F30"/>
    <w:rsid w:val="00E1478E"/>
    <w:rsid w:val="00E148AF"/>
    <w:rsid w:val="00E15A90"/>
    <w:rsid w:val="00E15AE3"/>
    <w:rsid w:val="00E15E79"/>
    <w:rsid w:val="00E16103"/>
    <w:rsid w:val="00E167A0"/>
    <w:rsid w:val="00E16D7B"/>
    <w:rsid w:val="00E17617"/>
    <w:rsid w:val="00E17773"/>
    <w:rsid w:val="00E17D5D"/>
    <w:rsid w:val="00E17E34"/>
    <w:rsid w:val="00E20703"/>
    <w:rsid w:val="00E20A57"/>
    <w:rsid w:val="00E210D6"/>
    <w:rsid w:val="00E21188"/>
    <w:rsid w:val="00E2132B"/>
    <w:rsid w:val="00E21398"/>
    <w:rsid w:val="00E21482"/>
    <w:rsid w:val="00E2165D"/>
    <w:rsid w:val="00E21BAB"/>
    <w:rsid w:val="00E22151"/>
    <w:rsid w:val="00E223C0"/>
    <w:rsid w:val="00E2253E"/>
    <w:rsid w:val="00E22897"/>
    <w:rsid w:val="00E22A38"/>
    <w:rsid w:val="00E22C56"/>
    <w:rsid w:val="00E22DDD"/>
    <w:rsid w:val="00E23119"/>
    <w:rsid w:val="00E23368"/>
    <w:rsid w:val="00E2340F"/>
    <w:rsid w:val="00E235D5"/>
    <w:rsid w:val="00E237B0"/>
    <w:rsid w:val="00E2391D"/>
    <w:rsid w:val="00E23B17"/>
    <w:rsid w:val="00E2423B"/>
    <w:rsid w:val="00E24D84"/>
    <w:rsid w:val="00E24EA4"/>
    <w:rsid w:val="00E24FEB"/>
    <w:rsid w:val="00E25669"/>
    <w:rsid w:val="00E25675"/>
    <w:rsid w:val="00E25C7C"/>
    <w:rsid w:val="00E2619E"/>
    <w:rsid w:val="00E263DB"/>
    <w:rsid w:val="00E26537"/>
    <w:rsid w:val="00E2697F"/>
    <w:rsid w:val="00E26A73"/>
    <w:rsid w:val="00E26D36"/>
    <w:rsid w:val="00E27092"/>
    <w:rsid w:val="00E2729F"/>
    <w:rsid w:val="00E276B5"/>
    <w:rsid w:val="00E27FB5"/>
    <w:rsid w:val="00E30AB4"/>
    <w:rsid w:val="00E30BDB"/>
    <w:rsid w:val="00E30C2B"/>
    <w:rsid w:val="00E30CA8"/>
    <w:rsid w:val="00E31512"/>
    <w:rsid w:val="00E3186F"/>
    <w:rsid w:val="00E318E3"/>
    <w:rsid w:val="00E31ECC"/>
    <w:rsid w:val="00E322AF"/>
    <w:rsid w:val="00E324AA"/>
    <w:rsid w:val="00E3277A"/>
    <w:rsid w:val="00E3278F"/>
    <w:rsid w:val="00E32824"/>
    <w:rsid w:val="00E32986"/>
    <w:rsid w:val="00E32C5F"/>
    <w:rsid w:val="00E32E12"/>
    <w:rsid w:val="00E33161"/>
    <w:rsid w:val="00E335DA"/>
    <w:rsid w:val="00E33604"/>
    <w:rsid w:val="00E336CD"/>
    <w:rsid w:val="00E33705"/>
    <w:rsid w:val="00E3370E"/>
    <w:rsid w:val="00E338B4"/>
    <w:rsid w:val="00E33A92"/>
    <w:rsid w:val="00E33C01"/>
    <w:rsid w:val="00E342B0"/>
    <w:rsid w:val="00E34424"/>
    <w:rsid w:val="00E345E3"/>
    <w:rsid w:val="00E34695"/>
    <w:rsid w:val="00E34817"/>
    <w:rsid w:val="00E3497B"/>
    <w:rsid w:val="00E34CF0"/>
    <w:rsid w:val="00E3580C"/>
    <w:rsid w:val="00E35DE7"/>
    <w:rsid w:val="00E36081"/>
    <w:rsid w:val="00E36182"/>
    <w:rsid w:val="00E3698D"/>
    <w:rsid w:val="00E36FFC"/>
    <w:rsid w:val="00E3705A"/>
    <w:rsid w:val="00E371DC"/>
    <w:rsid w:val="00E3744B"/>
    <w:rsid w:val="00E374FE"/>
    <w:rsid w:val="00E37E66"/>
    <w:rsid w:val="00E37FFE"/>
    <w:rsid w:val="00E4031A"/>
    <w:rsid w:val="00E40583"/>
    <w:rsid w:val="00E40850"/>
    <w:rsid w:val="00E40A81"/>
    <w:rsid w:val="00E40C89"/>
    <w:rsid w:val="00E41253"/>
    <w:rsid w:val="00E412F6"/>
    <w:rsid w:val="00E4169A"/>
    <w:rsid w:val="00E41B39"/>
    <w:rsid w:val="00E41D2D"/>
    <w:rsid w:val="00E41FED"/>
    <w:rsid w:val="00E42A40"/>
    <w:rsid w:val="00E42BF4"/>
    <w:rsid w:val="00E42F33"/>
    <w:rsid w:val="00E439E6"/>
    <w:rsid w:val="00E43DE2"/>
    <w:rsid w:val="00E447C6"/>
    <w:rsid w:val="00E44C90"/>
    <w:rsid w:val="00E4528F"/>
    <w:rsid w:val="00E45490"/>
    <w:rsid w:val="00E45521"/>
    <w:rsid w:val="00E45630"/>
    <w:rsid w:val="00E45716"/>
    <w:rsid w:val="00E4593D"/>
    <w:rsid w:val="00E45A2E"/>
    <w:rsid w:val="00E46182"/>
    <w:rsid w:val="00E4671B"/>
    <w:rsid w:val="00E46B72"/>
    <w:rsid w:val="00E471E1"/>
    <w:rsid w:val="00E47955"/>
    <w:rsid w:val="00E47FBA"/>
    <w:rsid w:val="00E5042C"/>
    <w:rsid w:val="00E50505"/>
    <w:rsid w:val="00E50551"/>
    <w:rsid w:val="00E50880"/>
    <w:rsid w:val="00E51147"/>
    <w:rsid w:val="00E511B0"/>
    <w:rsid w:val="00E517D3"/>
    <w:rsid w:val="00E519FE"/>
    <w:rsid w:val="00E51A7A"/>
    <w:rsid w:val="00E51D57"/>
    <w:rsid w:val="00E51F32"/>
    <w:rsid w:val="00E52028"/>
    <w:rsid w:val="00E52182"/>
    <w:rsid w:val="00E52550"/>
    <w:rsid w:val="00E52710"/>
    <w:rsid w:val="00E527E7"/>
    <w:rsid w:val="00E529B3"/>
    <w:rsid w:val="00E52DE6"/>
    <w:rsid w:val="00E5383F"/>
    <w:rsid w:val="00E53AB0"/>
    <w:rsid w:val="00E53BAD"/>
    <w:rsid w:val="00E53D32"/>
    <w:rsid w:val="00E540F5"/>
    <w:rsid w:val="00E5472F"/>
    <w:rsid w:val="00E54787"/>
    <w:rsid w:val="00E54882"/>
    <w:rsid w:val="00E5512B"/>
    <w:rsid w:val="00E556D1"/>
    <w:rsid w:val="00E55F41"/>
    <w:rsid w:val="00E56BB9"/>
    <w:rsid w:val="00E5756F"/>
    <w:rsid w:val="00E577C4"/>
    <w:rsid w:val="00E57B29"/>
    <w:rsid w:val="00E57DE6"/>
    <w:rsid w:val="00E57DF8"/>
    <w:rsid w:val="00E57EAD"/>
    <w:rsid w:val="00E57EF9"/>
    <w:rsid w:val="00E601F0"/>
    <w:rsid w:val="00E6035D"/>
    <w:rsid w:val="00E60806"/>
    <w:rsid w:val="00E6094C"/>
    <w:rsid w:val="00E611E4"/>
    <w:rsid w:val="00E612B4"/>
    <w:rsid w:val="00E61765"/>
    <w:rsid w:val="00E6179C"/>
    <w:rsid w:val="00E61B9B"/>
    <w:rsid w:val="00E61BCD"/>
    <w:rsid w:val="00E61CC0"/>
    <w:rsid w:val="00E622D2"/>
    <w:rsid w:val="00E62733"/>
    <w:rsid w:val="00E62832"/>
    <w:rsid w:val="00E62A25"/>
    <w:rsid w:val="00E62A38"/>
    <w:rsid w:val="00E62B46"/>
    <w:rsid w:val="00E62D71"/>
    <w:rsid w:val="00E6354E"/>
    <w:rsid w:val="00E63AB3"/>
    <w:rsid w:val="00E63AC9"/>
    <w:rsid w:val="00E63C91"/>
    <w:rsid w:val="00E63DB1"/>
    <w:rsid w:val="00E6431F"/>
    <w:rsid w:val="00E647B5"/>
    <w:rsid w:val="00E64DC1"/>
    <w:rsid w:val="00E650D0"/>
    <w:rsid w:val="00E65161"/>
    <w:rsid w:val="00E65B74"/>
    <w:rsid w:val="00E6664D"/>
    <w:rsid w:val="00E6692B"/>
    <w:rsid w:val="00E669D5"/>
    <w:rsid w:val="00E66B60"/>
    <w:rsid w:val="00E66C26"/>
    <w:rsid w:val="00E671B8"/>
    <w:rsid w:val="00E672CE"/>
    <w:rsid w:val="00E674E3"/>
    <w:rsid w:val="00E6771A"/>
    <w:rsid w:val="00E67B2A"/>
    <w:rsid w:val="00E67D03"/>
    <w:rsid w:val="00E67D22"/>
    <w:rsid w:val="00E67FAF"/>
    <w:rsid w:val="00E702EE"/>
    <w:rsid w:val="00E70807"/>
    <w:rsid w:val="00E70840"/>
    <w:rsid w:val="00E70AB5"/>
    <w:rsid w:val="00E711EE"/>
    <w:rsid w:val="00E71786"/>
    <w:rsid w:val="00E71E0D"/>
    <w:rsid w:val="00E72123"/>
    <w:rsid w:val="00E723C3"/>
    <w:rsid w:val="00E723E6"/>
    <w:rsid w:val="00E7266C"/>
    <w:rsid w:val="00E72680"/>
    <w:rsid w:val="00E7273E"/>
    <w:rsid w:val="00E72995"/>
    <w:rsid w:val="00E72BAC"/>
    <w:rsid w:val="00E730F2"/>
    <w:rsid w:val="00E73F76"/>
    <w:rsid w:val="00E74480"/>
    <w:rsid w:val="00E744D1"/>
    <w:rsid w:val="00E74845"/>
    <w:rsid w:val="00E74B16"/>
    <w:rsid w:val="00E74C1B"/>
    <w:rsid w:val="00E74D3D"/>
    <w:rsid w:val="00E74DDB"/>
    <w:rsid w:val="00E74E68"/>
    <w:rsid w:val="00E760B2"/>
    <w:rsid w:val="00E764B0"/>
    <w:rsid w:val="00E76714"/>
    <w:rsid w:val="00E76D9C"/>
    <w:rsid w:val="00E770C6"/>
    <w:rsid w:val="00E772BC"/>
    <w:rsid w:val="00E77C85"/>
    <w:rsid w:val="00E808B6"/>
    <w:rsid w:val="00E808F9"/>
    <w:rsid w:val="00E80DDB"/>
    <w:rsid w:val="00E80F4F"/>
    <w:rsid w:val="00E8139A"/>
    <w:rsid w:val="00E813D8"/>
    <w:rsid w:val="00E81480"/>
    <w:rsid w:val="00E81485"/>
    <w:rsid w:val="00E814FC"/>
    <w:rsid w:val="00E81D16"/>
    <w:rsid w:val="00E8207A"/>
    <w:rsid w:val="00E82325"/>
    <w:rsid w:val="00E82620"/>
    <w:rsid w:val="00E82825"/>
    <w:rsid w:val="00E83097"/>
    <w:rsid w:val="00E8357D"/>
    <w:rsid w:val="00E83D11"/>
    <w:rsid w:val="00E841A9"/>
    <w:rsid w:val="00E84870"/>
    <w:rsid w:val="00E84A7D"/>
    <w:rsid w:val="00E84FC1"/>
    <w:rsid w:val="00E851BE"/>
    <w:rsid w:val="00E851F5"/>
    <w:rsid w:val="00E85221"/>
    <w:rsid w:val="00E852FD"/>
    <w:rsid w:val="00E853D6"/>
    <w:rsid w:val="00E859FA"/>
    <w:rsid w:val="00E85A7D"/>
    <w:rsid w:val="00E85C38"/>
    <w:rsid w:val="00E865C8"/>
    <w:rsid w:val="00E868BD"/>
    <w:rsid w:val="00E86E6E"/>
    <w:rsid w:val="00E872F1"/>
    <w:rsid w:val="00E87576"/>
    <w:rsid w:val="00E876E7"/>
    <w:rsid w:val="00E878E5"/>
    <w:rsid w:val="00E87B89"/>
    <w:rsid w:val="00E87D95"/>
    <w:rsid w:val="00E901EB"/>
    <w:rsid w:val="00E90348"/>
    <w:rsid w:val="00E90536"/>
    <w:rsid w:val="00E908CA"/>
    <w:rsid w:val="00E90E7A"/>
    <w:rsid w:val="00E9111E"/>
    <w:rsid w:val="00E91373"/>
    <w:rsid w:val="00E916CD"/>
    <w:rsid w:val="00E9201E"/>
    <w:rsid w:val="00E922C5"/>
    <w:rsid w:val="00E92AFD"/>
    <w:rsid w:val="00E93B05"/>
    <w:rsid w:val="00E9476C"/>
    <w:rsid w:val="00E9487D"/>
    <w:rsid w:val="00E94896"/>
    <w:rsid w:val="00E948C4"/>
    <w:rsid w:val="00E948C6"/>
    <w:rsid w:val="00E948E4"/>
    <w:rsid w:val="00E94C6D"/>
    <w:rsid w:val="00E94CBF"/>
    <w:rsid w:val="00E954CF"/>
    <w:rsid w:val="00E9590C"/>
    <w:rsid w:val="00E96AAF"/>
    <w:rsid w:val="00E97570"/>
    <w:rsid w:val="00E97B93"/>
    <w:rsid w:val="00EA03D6"/>
    <w:rsid w:val="00EA05A9"/>
    <w:rsid w:val="00EA0E5D"/>
    <w:rsid w:val="00EA0F93"/>
    <w:rsid w:val="00EA122D"/>
    <w:rsid w:val="00EA1272"/>
    <w:rsid w:val="00EA1811"/>
    <w:rsid w:val="00EA19E2"/>
    <w:rsid w:val="00EA1ED6"/>
    <w:rsid w:val="00EA1EF8"/>
    <w:rsid w:val="00EA2CED"/>
    <w:rsid w:val="00EA2DF4"/>
    <w:rsid w:val="00EA3028"/>
    <w:rsid w:val="00EA31D1"/>
    <w:rsid w:val="00EA38B3"/>
    <w:rsid w:val="00EA3BE7"/>
    <w:rsid w:val="00EA46B0"/>
    <w:rsid w:val="00EA482D"/>
    <w:rsid w:val="00EA48ED"/>
    <w:rsid w:val="00EA4933"/>
    <w:rsid w:val="00EA511C"/>
    <w:rsid w:val="00EA5180"/>
    <w:rsid w:val="00EA5407"/>
    <w:rsid w:val="00EA575E"/>
    <w:rsid w:val="00EA589E"/>
    <w:rsid w:val="00EA58EB"/>
    <w:rsid w:val="00EA5AFB"/>
    <w:rsid w:val="00EA665A"/>
    <w:rsid w:val="00EA6709"/>
    <w:rsid w:val="00EA6A44"/>
    <w:rsid w:val="00EA767B"/>
    <w:rsid w:val="00EA7AC3"/>
    <w:rsid w:val="00EA7BC2"/>
    <w:rsid w:val="00EA7C04"/>
    <w:rsid w:val="00EA7C27"/>
    <w:rsid w:val="00EB0209"/>
    <w:rsid w:val="00EB04A7"/>
    <w:rsid w:val="00EB0880"/>
    <w:rsid w:val="00EB0997"/>
    <w:rsid w:val="00EB0DA1"/>
    <w:rsid w:val="00EB10D0"/>
    <w:rsid w:val="00EB1479"/>
    <w:rsid w:val="00EB1596"/>
    <w:rsid w:val="00EB19D1"/>
    <w:rsid w:val="00EB21EE"/>
    <w:rsid w:val="00EB271D"/>
    <w:rsid w:val="00EB2C7D"/>
    <w:rsid w:val="00EB30C2"/>
    <w:rsid w:val="00EB3403"/>
    <w:rsid w:val="00EB3D0F"/>
    <w:rsid w:val="00EB3E99"/>
    <w:rsid w:val="00EB3F37"/>
    <w:rsid w:val="00EB401E"/>
    <w:rsid w:val="00EB45DF"/>
    <w:rsid w:val="00EB4C2E"/>
    <w:rsid w:val="00EB4E22"/>
    <w:rsid w:val="00EB525C"/>
    <w:rsid w:val="00EB537B"/>
    <w:rsid w:val="00EB54FD"/>
    <w:rsid w:val="00EB565B"/>
    <w:rsid w:val="00EB593E"/>
    <w:rsid w:val="00EB5E46"/>
    <w:rsid w:val="00EB5E5C"/>
    <w:rsid w:val="00EB5EC6"/>
    <w:rsid w:val="00EB5EFE"/>
    <w:rsid w:val="00EB63DC"/>
    <w:rsid w:val="00EB66E2"/>
    <w:rsid w:val="00EB68F6"/>
    <w:rsid w:val="00EB6AEA"/>
    <w:rsid w:val="00EB6C4F"/>
    <w:rsid w:val="00EB6EA9"/>
    <w:rsid w:val="00EB7082"/>
    <w:rsid w:val="00EB7709"/>
    <w:rsid w:val="00EB78A0"/>
    <w:rsid w:val="00EB7966"/>
    <w:rsid w:val="00EC0228"/>
    <w:rsid w:val="00EC03C8"/>
    <w:rsid w:val="00EC0824"/>
    <w:rsid w:val="00EC08E4"/>
    <w:rsid w:val="00EC0C48"/>
    <w:rsid w:val="00EC12A6"/>
    <w:rsid w:val="00EC12E4"/>
    <w:rsid w:val="00EC1CA8"/>
    <w:rsid w:val="00EC1D63"/>
    <w:rsid w:val="00EC1ECF"/>
    <w:rsid w:val="00EC1F27"/>
    <w:rsid w:val="00EC231D"/>
    <w:rsid w:val="00EC2959"/>
    <w:rsid w:val="00EC2B4F"/>
    <w:rsid w:val="00EC2CB6"/>
    <w:rsid w:val="00EC2E09"/>
    <w:rsid w:val="00EC2FCC"/>
    <w:rsid w:val="00EC36AE"/>
    <w:rsid w:val="00EC37B1"/>
    <w:rsid w:val="00EC382E"/>
    <w:rsid w:val="00EC3BFA"/>
    <w:rsid w:val="00EC3D89"/>
    <w:rsid w:val="00EC4082"/>
    <w:rsid w:val="00EC466B"/>
    <w:rsid w:val="00EC4C3E"/>
    <w:rsid w:val="00EC4E28"/>
    <w:rsid w:val="00EC4F02"/>
    <w:rsid w:val="00EC53C1"/>
    <w:rsid w:val="00EC5768"/>
    <w:rsid w:val="00EC5989"/>
    <w:rsid w:val="00EC5A5F"/>
    <w:rsid w:val="00EC5D5A"/>
    <w:rsid w:val="00EC5D77"/>
    <w:rsid w:val="00EC5EC9"/>
    <w:rsid w:val="00EC62F3"/>
    <w:rsid w:val="00EC65BE"/>
    <w:rsid w:val="00EC6AB2"/>
    <w:rsid w:val="00EC7201"/>
    <w:rsid w:val="00EC7531"/>
    <w:rsid w:val="00EC78EC"/>
    <w:rsid w:val="00EC7A21"/>
    <w:rsid w:val="00EC7A3B"/>
    <w:rsid w:val="00ED0A6F"/>
    <w:rsid w:val="00ED0F16"/>
    <w:rsid w:val="00ED117C"/>
    <w:rsid w:val="00ED173A"/>
    <w:rsid w:val="00ED2228"/>
    <w:rsid w:val="00ED272D"/>
    <w:rsid w:val="00ED2F42"/>
    <w:rsid w:val="00ED33CE"/>
    <w:rsid w:val="00ED3CE8"/>
    <w:rsid w:val="00ED3FE0"/>
    <w:rsid w:val="00ED43F2"/>
    <w:rsid w:val="00ED50D4"/>
    <w:rsid w:val="00ED5109"/>
    <w:rsid w:val="00ED547E"/>
    <w:rsid w:val="00ED5659"/>
    <w:rsid w:val="00ED594F"/>
    <w:rsid w:val="00ED6479"/>
    <w:rsid w:val="00ED6566"/>
    <w:rsid w:val="00ED6E58"/>
    <w:rsid w:val="00ED72BC"/>
    <w:rsid w:val="00ED73BE"/>
    <w:rsid w:val="00ED74B4"/>
    <w:rsid w:val="00ED7665"/>
    <w:rsid w:val="00ED7673"/>
    <w:rsid w:val="00ED785A"/>
    <w:rsid w:val="00ED7CE4"/>
    <w:rsid w:val="00ED7D90"/>
    <w:rsid w:val="00EE0946"/>
    <w:rsid w:val="00EE0A8F"/>
    <w:rsid w:val="00EE0F67"/>
    <w:rsid w:val="00EE0FEE"/>
    <w:rsid w:val="00EE13A7"/>
    <w:rsid w:val="00EE13DB"/>
    <w:rsid w:val="00EE22EC"/>
    <w:rsid w:val="00EE263B"/>
    <w:rsid w:val="00EE2912"/>
    <w:rsid w:val="00EE297E"/>
    <w:rsid w:val="00EE2C8B"/>
    <w:rsid w:val="00EE39AE"/>
    <w:rsid w:val="00EE3A2D"/>
    <w:rsid w:val="00EE3E4A"/>
    <w:rsid w:val="00EE4377"/>
    <w:rsid w:val="00EE537F"/>
    <w:rsid w:val="00EE53E9"/>
    <w:rsid w:val="00EE5443"/>
    <w:rsid w:val="00EE582E"/>
    <w:rsid w:val="00EE5B09"/>
    <w:rsid w:val="00EE6289"/>
    <w:rsid w:val="00EE6546"/>
    <w:rsid w:val="00EE6CEF"/>
    <w:rsid w:val="00EE7006"/>
    <w:rsid w:val="00EE7099"/>
    <w:rsid w:val="00EE7384"/>
    <w:rsid w:val="00EE767C"/>
    <w:rsid w:val="00EE7779"/>
    <w:rsid w:val="00EF022B"/>
    <w:rsid w:val="00EF0327"/>
    <w:rsid w:val="00EF095B"/>
    <w:rsid w:val="00EF0F9A"/>
    <w:rsid w:val="00EF116E"/>
    <w:rsid w:val="00EF14A5"/>
    <w:rsid w:val="00EF14E9"/>
    <w:rsid w:val="00EF1851"/>
    <w:rsid w:val="00EF1FE0"/>
    <w:rsid w:val="00EF24F1"/>
    <w:rsid w:val="00EF2AC3"/>
    <w:rsid w:val="00EF2AEE"/>
    <w:rsid w:val="00EF301E"/>
    <w:rsid w:val="00EF3181"/>
    <w:rsid w:val="00EF36A2"/>
    <w:rsid w:val="00EF36E1"/>
    <w:rsid w:val="00EF3DAC"/>
    <w:rsid w:val="00EF4335"/>
    <w:rsid w:val="00EF4520"/>
    <w:rsid w:val="00EF46E9"/>
    <w:rsid w:val="00EF4A38"/>
    <w:rsid w:val="00EF4F81"/>
    <w:rsid w:val="00EF5574"/>
    <w:rsid w:val="00EF59F8"/>
    <w:rsid w:val="00EF60DB"/>
    <w:rsid w:val="00EF64BD"/>
    <w:rsid w:val="00EF681D"/>
    <w:rsid w:val="00EF6DD3"/>
    <w:rsid w:val="00EF76EF"/>
    <w:rsid w:val="00EF76F7"/>
    <w:rsid w:val="00EF78BB"/>
    <w:rsid w:val="00EF7945"/>
    <w:rsid w:val="00EF7AAE"/>
    <w:rsid w:val="00EF7BCD"/>
    <w:rsid w:val="00F002F8"/>
    <w:rsid w:val="00F008E4"/>
    <w:rsid w:val="00F00EBC"/>
    <w:rsid w:val="00F010DE"/>
    <w:rsid w:val="00F01360"/>
    <w:rsid w:val="00F015DD"/>
    <w:rsid w:val="00F0185C"/>
    <w:rsid w:val="00F0186E"/>
    <w:rsid w:val="00F01D27"/>
    <w:rsid w:val="00F0251E"/>
    <w:rsid w:val="00F02620"/>
    <w:rsid w:val="00F02A0A"/>
    <w:rsid w:val="00F02B2C"/>
    <w:rsid w:val="00F03C85"/>
    <w:rsid w:val="00F03CF1"/>
    <w:rsid w:val="00F04056"/>
    <w:rsid w:val="00F04103"/>
    <w:rsid w:val="00F04185"/>
    <w:rsid w:val="00F046F1"/>
    <w:rsid w:val="00F0559B"/>
    <w:rsid w:val="00F05DF9"/>
    <w:rsid w:val="00F05F59"/>
    <w:rsid w:val="00F060A3"/>
    <w:rsid w:val="00F06572"/>
    <w:rsid w:val="00F06846"/>
    <w:rsid w:val="00F06DA4"/>
    <w:rsid w:val="00F06EA3"/>
    <w:rsid w:val="00F071A9"/>
    <w:rsid w:val="00F077F5"/>
    <w:rsid w:val="00F100AB"/>
    <w:rsid w:val="00F1048E"/>
    <w:rsid w:val="00F10543"/>
    <w:rsid w:val="00F10A44"/>
    <w:rsid w:val="00F11093"/>
    <w:rsid w:val="00F113F2"/>
    <w:rsid w:val="00F1141E"/>
    <w:rsid w:val="00F116E9"/>
    <w:rsid w:val="00F11CEA"/>
    <w:rsid w:val="00F11E69"/>
    <w:rsid w:val="00F11F83"/>
    <w:rsid w:val="00F123CA"/>
    <w:rsid w:val="00F124C1"/>
    <w:rsid w:val="00F12931"/>
    <w:rsid w:val="00F13600"/>
    <w:rsid w:val="00F13609"/>
    <w:rsid w:val="00F1389B"/>
    <w:rsid w:val="00F13A2E"/>
    <w:rsid w:val="00F13B15"/>
    <w:rsid w:val="00F142B1"/>
    <w:rsid w:val="00F1452E"/>
    <w:rsid w:val="00F147BE"/>
    <w:rsid w:val="00F14C40"/>
    <w:rsid w:val="00F14D95"/>
    <w:rsid w:val="00F14F39"/>
    <w:rsid w:val="00F154DC"/>
    <w:rsid w:val="00F15686"/>
    <w:rsid w:val="00F15817"/>
    <w:rsid w:val="00F164E4"/>
    <w:rsid w:val="00F16A6E"/>
    <w:rsid w:val="00F16DA9"/>
    <w:rsid w:val="00F16E5E"/>
    <w:rsid w:val="00F17336"/>
    <w:rsid w:val="00F179AC"/>
    <w:rsid w:val="00F17DCE"/>
    <w:rsid w:val="00F2014D"/>
    <w:rsid w:val="00F204B5"/>
    <w:rsid w:val="00F209D9"/>
    <w:rsid w:val="00F211A6"/>
    <w:rsid w:val="00F2143D"/>
    <w:rsid w:val="00F2165B"/>
    <w:rsid w:val="00F217E1"/>
    <w:rsid w:val="00F21D3D"/>
    <w:rsid w:val="00F21D4C"/>
    <w:rsid w:val="00F23436"/>
    <w:rsid w:val="00F23523"/>
    <w:rsid w:val="00F23A12"/>
    <w:rsid w:val="00F23A3E"/>
    <w:rsid w:val="00F240EF"/>
    <w:rsid w:val="00F24333"/>
    <w:rsid w:val="00F24680"/>
    <w:rsid w:val="00F24BA0"/>
    <w:rsid w:val="00F25162"/>
    <w:rsid w:val="00F256DB"/>
    <w:rsid w:val="00F2570E"/>
    <w:rsid w:val="00F2571D"/>
    <w:rsid w:val="00F258F1"/>
    <w:rsid w:val="00F25AAF"/>
    <w:rsid w:val="00F25EB5"/>
    <w:rsid w:val="00F263CF"/>
    <w:rsid w:val="00F26C2C"/>
    <w:rsid w:val="00F27053"/>
    <w:rsid w:val="00F2791A"/>
    <w:rsid w:val="00F27944"/>
    <w:rsid w:val="00F27A39"/>
    <w:rsid w:val="00F27B4C"/>
    <w:rsid w:val="00F27BA3"/>
    <w:rsid w:val="00F27C19"/>
    <w:rsid w:val="00F301D5"/>
    <w:rsid w:val="00F30284"/>
    <w:rsid w:val="00F30669"/>
    <w:rsid w:val="00F306B6"/>
    <w:rsid w:val="00F30A7A"/>
    <w:rsid w:val="00F30BDA"/>
    <w:rsid w:val="00F30C48"/>
    <w:rsid w:val="00F30D9B"/>
    <w:rsid w:val="00F310DB"/>
    <w:rsid w:val="00F318C8"/>
    <w:rsid w:val="00F3190A"/>
    <w:rsid w:val="00F31C5E"/>
    <w:rsid w:val="00F3219E"/>
    <w:rsid w:val="00F32814"/>
    <w:rsid w:val="00F32B2B"/>
    <w:rsid w:val="00F32C96"/>
    <w:rsid w:val="00F32CD4"/>
    <w:rsid w:val="00F33018"/>
    <w:rsid w:val="00F3337A"/>
    <w:rsid w:val="00F3342E"/>
    <w:rsid w:val="00F334A0"/>
    <w:rsid w:val="00F3351E"/>
    <w:rsid w:val="00F33AF8"/>
    <w:rsid w:val="00F33B67"/>
    <w:rsid w:val="00F34400"/>
    <w:rsid w:val="00F345A4"/>
    <w:rsid w:val="00F3556B"/>
    <w:rsid w:val="00F3559F"/>
    <w:rsid w:val="00F3574D"/>
    <w:rsid w:val="00F35951"/>
    <w:rsid w:val="00F35BDD"/>
    <w:rsid w:val="00F35DC2"/>
    <w:rsid w:val="00F35FDA"/>
    <w:rsid w:val="00F368C3"/>
    <w:rsid w:val="00F36B31"/>
    <w:rsid w:val="00F36BB8"/>
    <w:rsid w:val="00F3721A"/>
    <w:rsid w:val="00F37734"/>
    <w:rsid w:val="00F37D46"/>
    <w:rsid w:val="00F37F46"/>
    <w:rsid w:val="00F37FD1"/>
    <w:rsid w:val="00F407A3"/>
    <w:rsid w:val="00F40AD1"/>
    <w:rsid w:val="00F40BFD"/>
    <w:rsid w:val="00F4163F"/>
    <w:rsid w:val="00F416CD"/>
    <w:rsid w:val="00F417F4"/>
    <w:rsid w:val="00F4193A"/>
    <w:rsid w:val="00F42233"/>
    <w:rsid w:val="00F4226F"/>
    <w:rsid w:val="00F424F7"/>
    <w:rsid w:val="00F4266B"/>
    <w:rsid w:val="00F42C77"/>
    <w:rsid w:val="00F43773"/>
    <w:rsid w:val="00F4437B"/>
    <w:rsid w:val="00F4459C"/>
    <w:rsid w:val="00F44936"/>
    <w:rsid w:val="00F449B9"/>
    <w:rsid w:val="00F44AF4"/>
    <w:rsid w:val="00F44C97"/>
    <w:rsid w:val="00F44CF5"/>
    <w:rsid w:val="00F44FD6"/>
    <w:rsid w:val="00F455DD"/>
    <w:rsid w:val="00F45DB4"/>
    <w:rsid w:val="00F45F16"/>
    <w:rsid w:val="00F46279"/>
    <w:rsid w:val="00F463A9"/>
    <w:rsid w:val="00F466BE"/>
    <w:rsid w:val="00F46784"/>
    <w:rsid w:val="00F46B29"/>
    <w:rsid w:val="00F46B87"/>
    <w:rsid w:val="00F4744B"/>
    <w:rsid w:val="00F478E2"/>
    <w:rsid w:val="00F4795B"/>
    <w:rsid w:val="00F47F35"/>
    <w:rsid w:val="00F50286"/>
    <w:rsid w:val="00F506D4"/>
    <w:rsid w:val="00F50D88"/>
    <w:rsid w:val="00F50DED"/>
    <w:rsid w:val="00F5164E"/>
    <w:rsid w:val="00F5197C"/>
    <w:rsid w:val="00F51AA7"/>
    <w:rsid w:val="00F51D63"/>
    <w:rsid w:val="00F529EB"/>
    <w:rsid w:val="00F52A32"/>
    <w:rsid w:val="00F52B39"/>
    <w:rsid w:val="00F52C7A"/>
    <w:rsid w:val="00F53045"/>
    <w:rsid w:val="00F5323D"/>
    <w:rsid w:val="00F535C3"/>
    <w:rsid w:val="00F537F6"/>
    <w:rsid w:val="00F53A89"/>
    <w:rsid w:val="00F53B02"/>
    <w:rsid w:val="00F540E4"/>
    <w:rsid w:val="00F545AD"/>
    <w:rsid w:val="00F550AB"/>
    <w:rsid w:val="00F55371"/>
    <w:rsid w:val="00F55390"/>
    <w:rsid w:val="00F554DA"/>
    <w:rsid w:val="00F55969"/>
    <w:rsid w:val="00F55E78"/>
    <w:rsid w:val="00F56C76"/>
    <w:rsid w:val="00F56CB2"/>
    <w:rsid w:val="00F57570"/>
    <w:rsid w:val="00F577A1"/>
    <w:rsid w:val="00F578CC"/>
    <w:rsid w:val="00F60364"/>
    <w:rsid w:val="00F6070A"/>
    <w:rsid w:val="00F60A88"/>
    <w:rsid w:val="00F60E6B"/>
    <w:rsid w:val="00F60F4C"/>
    <w:rsid w:val="00F612EA"/>
    <w:rsid w:val="00F62019"/>
    <w:rsid w:val="00F6237F"/>
    <w:rsid w:val="00F62CA3"/>
    <w:rsid w:val="00F62CBA"/>
    <w:rsid w:val="00F62F11"/>
    <w:rsid w:val="00F630F5"/>
    <w:rsid w:val="00F63142"/>
    <w:rsid w:val="00F63481"/>
    <w:rsid w:val="00F63588"/>
    <w:rsid w:val="00F63672"/>
    <w:rsid w:val="00F63775"/>
    <w:rsid w:val="00F63D69"/>
    <w:rsid w:val="00F647B7"/>
    <w:rsid w:val="00F6487E"/>
    <w:rsid w:val="00F64C17"/>
    <w:rsid w:val="00F64E50"/>
    <w:rsid w:val="00F652B8"/>
    <w:rsid w:val="00F6542E"/>
    <w:rsid w:val="00F6579B"/>
    <w:rsid w:val="00F65D58"/>
    <w:rsid w:val="00F663AD"/>
    <w:rsid w:val="00F66442"/>
    <w:rsid w:val="00F6655A"/>
    <w:rsid w:val="00F6678F"/>
    <w:rsid w:val="00F667C6"/>
    <w:rsid w:val="00F6683B"/>
    <w:rsid w:val="00F6692F"/>
    <w:rsid w:val="00F66A90"/>
    <w:rsid w:val="00F66E45"/>
    <w:rsid w:val="00F66F53"/>
    <w:rsid w:val="00F6716C"/>
    <w:rsid w:val="00F67310"/>
    <w:rsid w:val="00F6733A"/>
    <w:rsid w:val="00F6744E"/>
    <w:rsid w:val="00F677D2"/>
    <w:rsid w:val="00F70646"/>
    <w:rsid w:val="00F70D90"/>
    <w:rsid w:val="00F70F8C"/>
    <w:rsid w:val="00F71106"/>
    <w:rsid w:val="00F713E5"/>
    <w:rsid w:val="00F71448"/>
    <w:rsid w:val="00F7198B"/>
    <w:rsid w:val="00F71B60"/>
    <w:rsid w:val="00F71BD2"/>
    <w:rsid w:val="00F71C6F"/>
    <w:rsid w:val="00F72D16"/>
    <w:rsid w:val="00F72E46"/>
    <w:rsid w:val="00F73801"/>
    <w:rsid w:val="00F73ADF"/>
    <w:rsid w:val="00F7448E"/>
    <w:rsid w:val="00F746D6"/>
    <w:rsid w:val="00F74966"/>
    <w:rsid w:val="00F749B3"/>
    <w:rsid w:val="00F74A77"/>
    <w:rsid w:val="00F75019"/>
    <w:rsid w:val="00F750B2"/>
    <w:rsid w:val="00F7588A"/>
    <w:rsid w:val="00F7626D"/>
    <w:rsid w:val="00F76357"/>
    <w:rsid w:val="00F764DF"/>
    <w:rsid w:val="00F768FB"/>
    <w:rsid w:val="00F7696E"/>
    <w:rsid w:val="00F769FD"/>
    <w:rsid w:val="00F77477"/>
    <w:rsid w:val="00F778DD"/>
    <w:rsid w:val="00F77AFC"/>
    <w:rsid w:val="00F77C8E"/>
    <w:rsid w:val="00F802AF"/>
    <w:rsid w:val="00F804B8"/>
    <w:rsid w:val="00F8075A"/>
    <w:rsid w:val="00F80D42"/>
    <w:rsid w:val="00F80E64"/>
    <w:rsid w:val="00F80EE6"/>
    <w:rsid w:val="00F80EF2"/>
    <w:rsid w:val="00F80F3E"/>
    <w:rsid w:val="00F813A4"/>
    <w:rsid w:val="00F817BC"/>
    <w:rsid w:val="00F8194C"/>
    <w:rsid w:val="00F81C31"/>
    <w:rsid w:val="00F81ED5"/>
    <w:rsid w:val="00F8221C"/>
    <w:rsid w:val="00F826D9"/>
    <w:rsid w:val="00F826E7"/>
    <w:rsid w:val="00F8298B"/>
    <w:rsid w:val="00F82C5C"/>
    <w:rsid w:val="00F82E28"/>
    <w:rsid w:val="00F82E66"/>
    <w:rsid w:val="00F8303C"/>
    <w:rsid w:val="00F83473"/>
    <w:rsid w:val="00F83830"/>
    <w:rsid w:val="00F83910"/>
    <w:rsid w:val="00F8425E"/>
    <w:rsid w:val="00F84C6A"/>
    <w:rsid w:val="00F84EB1"/>
    <w:rsid w:val="00F850D7"/>
    <w:rsid w:val="00F8540A"/>
    <w:rsid w:val="00F85450"/>
    <w:rsid w:val="00F85506"/>
    <w:rsid w:val="00F8557E"/>
    <w:rsid w:val="00F85C7C"/>
    <w:rsid w:val="00F85CCD"/>
    <w:rsid w:val="00F85E41"/>
    <w:rsid w:val="00F8610F"/>
    <w:rsid w:val="00F867FF"/>
    <w:rsid w:val="00F869E5"/>
    <w:rsid w:val="00F86A75"/>
    <w:rsid w:val="00F86B64"/>
    <w:rsid w:val="00F86D47"/>
    <w:rsid w:val="00F86F8E"/>
    <w:rsid w:val="00F8759A"/>
    <w:rsid w:val="00F87875"/>
    <w:rsid w:val="00F87976"/>
    <w:rsid w:val="00F87FCB"/>
    <w:rsid w:val="00F90A90"/>
    <w:rsid w:val="00F90AAC"/>
    <w:rsid w:val="00F90F1F"/>
    <w:rsid w:val="00F915DF"/>
    <w:rsid w:val="00F9165B"/>
    <w:rsid w:val="00F916BC"/>
    <w:rsid w:val="00F91821"/>
    <w:rsid w:val="00F91B09"/>
    <w:rsid w:val="00F91E8F"/>
    <w:rsid w:val="00F922D5"/>
    <w:rsid w:val="00F92881"/>
    <w:rsid w:val="00F92A4A"/>
    <w:rsid w:val="00F93004"/>
    <w:rsid w:val="00F93126"/>
    <w:rsid w:val="00F93239"/>
    <w:rsid w:val="00F93250"/>
    <w:rsid w:val="00F93536"/>
    <w:rsid w:val="00F93760"/>
    <w:rsid w:val="00F93862"/>
    <w:rsid w:val="00F93DEE"/>
    <w:rsid w:val="00F93F2C"/>
    <w:rsid w:val="00F942FA"/>
    <w:rsid w:val="00F9465F"/>
    <w:rsid w:val="00F94C1D"/>
    <w:rsid w:val="00F94C96"/>
    <w:rsid w:val="00F94F17"/>
    <w:rsid w:val="00F950F4"/>
    <w:rsid w:val="00F9526F"/>
    <w:rsid w:val="00F95808"/>
    <w:rsid w:val="00F959E3"/>
    <w:rsid w:val="00F959F4"/>
    <w:rsid w:val="00F95CA0"/>
    <w:rsid w:val="00F961FE"/>
    <w:rsid w:val="00F96634"/>
    <w:rsid w:val="00F967BF"/>
    <w:rsid w:val="00F97506"/>
    <w:rsid w:val="00F97686"/>
    <w:rsid w:val="00F97890"/>
    <w:rsid w:val="00FA0499"/>
    <w:rsid w:val="00FA0898"/>
    <w:rsid w:val="00FA10A1"/>
    <w:rsid w:val="00FA110D"/>
    <w:rsid w:val="00FA111D"/>
    <w:rsid w:val="00FA11D6"/>
    <w:rsid w:val="00FA12E3"/>
    <w:rsid w:val="00FA15FA"/>
    <w:rsid w:val="00FA1AAD"/>
    <w:rsid w:val="00FA1B4B"/>
    <w:rsid w:val="00FA1CCE"/>
    <w:rsid w:val="00FA1E5D"/>
    <w:rsid w:val="00FA1F82"/>
    <w:rsid w:val="00FA2057"/>
    <w:rsid w:val="00FA289D"/>
    <w:rsid w:val="00FA2B28"/>
    <w:rsid w:val="00FA30CB"/>
    <w:rsid w:val="00FA30F0"/>
    <w:rsid w:val="00FA3ACC"/>
    <w:rsid w:val="00FA3EE9"/>
    <w:rsid w:val="00FA40FE"/>
    <w:rsid w:val="00FA41A0"/>
    <w:rsid w:val="00FA42A2"/>
    <w:rsid w:val="00FA4A3F"/>
    <w:rsid w:val="00FA4EEB"/>
    <w:rsid w:val="00FA4FFA"/>
    <w:rsid w:val="00FA52D5"/>
    <w:rsid w:val="00FA57CD"/>
    <w:rsid w:val="00FA59D0"/>
    <w:rsid w:val="00FA5D13"/>
    <w:rsid w:val="00FA5DBB"/>
    <w:rsid w:val="00FA5F3A"/>
    <w:rsid w:val="00FA61FD"/>
    <w:rsid w:val="00FA67D0"/>
    <w:rsid w:val="00FA6B37"/>
    <w:rsid w:val="00FA6B6A"/>
    <w:rsid w:val="00FA75AC"/>
    <w:rsid w:val="00FA75CB"/>
    <w:rsid w:val="00FA7A8F"/>
    <w:rsid w:val="00FB014D"/>
    <w:rsid w:val="00FB03F2"/>
    <w:rsid w:val="00FB05ED"/>
    <w:rsid w:val="00FB08BB"/>
    <w:rsid w:val="00FB0915"/>
    <w:rsid w:val="00FB0A6B"/>
    <w:rsid w:val="00FB12F3"/>
    <w:rsid w:val="00FB151F"/>
    <w:rsid w:val="00FB159B"/>
    <w:rsid w:val="00FB16A5"/>
    <w:rsid w:val="00FB1C77"/>
    <w:rsid w:val="00FB1FE5"/>
    <w:rsid w:val="00FB2548"/>
    <w:rsid w:val="00FB273A"/>
    <w:rsid w:val="00FB2DB6"/>
    <w:rsid w:val="00FB3338"/>
    <w:rsid w:val="00FB3822"/>
    <w:rsid w:val="00FB3D13"/>
    <w:rsid w:val="00FB3E40"/>
    <w:rsid w:val="00FB46C7"/>
    <w:rsid w:val="00FB46E0"/>
    <w:rsid w:val="00FB4A86"/>
    <w:rsid w:val="00FB4C7C"/>
    <w:rsid w:val="00FB4D45"/>
    <w:rsid w:val="00FB4F13"/>
    <w:rsid w:val="00FB4F70"/>
    <w:rsid w:val="00FB4FD4"/>
    <w:rsid w:val="00FB51A5"/>
    <w:rsid w:val="00FB5215"/>
    <w:rsid w:val="00FB53B7"/>
    <w:rsid w:val="00FB53C1"/>
    <w:rsid w:val="00FB580A"/>
    <w:rsid w:val="00FB582E"/>
    <w:rsid w:val="00FB5A44"/>
    <w:rsid w:val="00FB5EA5"/>
    <w:rsid w:val="00FB609C"/>
    <w:rsid w:val="00FB668B"/>
    <w:rsid w:val="00FB68A6"/>
    <w:rsid w:val="00FB6A3D"/>
    <w:rsid w:val="00FB6B2D"/>
    <w:rsid w:val="00FB6B44"/>
    <w:rsid w:val="00FB791F"/>
    <w:rsid w:val="00FB7B3E"/>
    <w:rsid w:val="00FC09D2"/>
    <w:rsid w:val="00FC0A16"/>
    <w:rsid w:val="00FC0BD9"/>
    <w:rsid w:val="00FC0CD2"/>
    <w:rsid w:val="00FC0FA4"/>
    <w:rsid w:val="00FC198C"/>
    <w:rsid w:val="00FC1CD7"/>
    <w:rsid w:val="00FC1FAA"/>
    <w:rsid w:val="00FC2134"/>
    <w:rsid w:val="00FC2C2C"/>
    <w:rsid w:val="00FC2E23"/>
    <w:rsid w:val="00FC304F"/>
    <w:rsid w:val="00FC30E5"/>
    <w:rsid w:val="00FC3480"/>
    <w:rsid w:val="00FC3899"/>
    <w:rsid w:val="00FC38AA"/>
    <w:rsid w:val="00FC3BD7"/>
    <w:rsid w:val="00FC40DB"/>
    <w:rsid w:val="00FC4235"/>
    <w:rsid w:val="00FC467E"/>
    <w:rsid w:val="00FC46AA"/>
    <w:rsid w:val="00FC4911"/>
    <w:rsid w:val="00FC4D9E"/>
    <w:rsid w:val="00FC51F5"/>
    <w:rsid w:val="00FC5435"/>
    <w:rsid w:val="00FC59B3"/>
    <w:rsid w:val="00FC5E1E"/>
    <w:rsid w:val="00FC5FB2"/>
    <w:rsid w:val="00FC611B"/>
    <w:rsid w:val="00FC614A"/>
    <w:rsid w:val="00FC6657"/>
    <w:rsid w:val="00FC6C00"/>
    <w:rsid w:val="00FC70B4"/>
    <w:rsid w:val="00FC74B8"/>
    <w:rsid w:val="00FC7EA7"/>
    <w:rsid w:val="00FD0456"/>
    <w:rsid w:val="00FD09CD"/>
    <w:rsid w:val="00FD0F75"/>
    <w:rsid w:val="00FD20DD"/>
    <w:rsid w:val="00FD23DE"/>
    <w:rsid w:val="00FD29DA"/>
    <w:rsid w:val="00FD2FFE"/>
    <w:rsid w:val="00FD344F"/>
    <w:rsid w:val="00FD3659"/>
    <w:rsid w:val="00FD38F8"/>
    <w:rsid w:val="00FD3A21"/>
    <w:rsid w:val="00FD3A36"/>
    <w:rsid w:val="00FD3C0D"/>
    <w:rsid w:val="00FD3D0A"/>
    <w:rsid w:val="00FD3E88"/>
    <w:rsid w:val="00FD4415"/>
    <w:rsid w:val="00FD462A"/>
    <w:rsid w:val="00FD4927"/>
    <w:rsid w:val="00FD4A91"/>
    <w:rsid w:val="00FD53AE"/>
    <w:rsid w:val="00FD5817"/>
    <w:rsid w:val="00FD59C2"/>
    <w:rsid w:val="00FD5DBA"/>
    <w:rsid w:val="00FD5FD3"/>
    <w:rsid w:val="00FD6273"/>
    <w:rsid w:val="00FD66E6"/>
    <w:rsid w:val="00FD68DD"/>
    <w:rsid w:val="00FD6A53"/>
    <w:rsid w:val="00FD6F16"/>
    <w:rsid w:val="00FD782D"/>
    <w:rsid w:val="00FD7AB2"/>
    <w:rsid w:val="00FE030C"/>
    <w:rsid w:val="00FE06A9"/>
    <w:rsid w:val="00FE06CF"/>
    <w:rsid w:val="00FE072E"/>
    <w:rsid w:val="00FE0E64"/>
    <w:rsid w:val="00FE1190"/>
    <w:rsid w:val="00FE11C5"/>
    <w:rsid w:val="00FE120E"/>
    <w:rsid w:val="00FE13A1"/>
    <w:rsid w:val="00FE1417"/>
    <w:rsid w:val="00FE1758"/>
    <w:rsid w:val="00FE17A3"/>
    <w:rsid w:val="00FE1869"/>
    <w:rsid w:val="00FE1C9F"/>
    <w:rsid w:val="00FE23F1"/>
    <w:rsid w:val="00FE25EF"/>
    <w:rsid w:val="00FE2B9B"/>
    <w:rsid w:val="00FE3317"/>
    <w:rsid w:val="00FE337D"/>
    <w:rsid w:val="00FE3577"/>
    <w:rsid w:val="00FE3CDB"/>
    <w:rsid w:val="00FE3E3F"/>
    <w:rsid w:val="00FE3F2F"/>
    <w:rsid w:val="00FE3FA5"/>
    <w:rsid w:val="00FE4127"/>
    <w:rsid w:val="00FE422A"/>
    <w:rsid w:val="00FE44BB"/>
    <w:rsid w:val="00FE4778"/>
    <w:rsid w:val="00FE4E7F"/>
    <w:rsid w:val="00FE5129"/>
    <w:rsid w:val="00FE5328"/>
    <w:rsid w:val="00FE536C"/>
    <w:rsid w:val="00FE54CA"/>
    <w:rsid w:val="00FE54E1"/>
    <w:rsid w:val="00FE56D2"/>
    <w:rsid w:val="00FE5B14"/>
    <w:rsid w:val="00FE5E40"/>
    <w:rsid w:val="00FE5FB3"/>
    <w:rsid w:val="00FE61FD"/>
    <w:rsid w:val="00FE6249"/>
    <w:rsid w:val="00FE6A09"/>
    <w:rsid w:val="00FE6F29"/>
    <w:rsid w:val="00FE6F90"/>
    <w:rsid w:val="00FE71E7"/>
    <w:rsid w:val="00FE7BA0"/>
    <w:rsid w:val="00FF093A"/>
    <w:rsid w:val="00FF0B8C"/>
    <w:rsid w:val="00FF0CE3"/>
    <w:rsid w:val="00FF102A"/>
    <w:rsid w:val="00FF11DB"/>
    <w:rsid w:val="00FF15A2"/>
    <w:rsid w:val="00FF1824"/>
    <w:rsid w:val="00FF25FF"/>
    <w:rsid w:val="00FF2676"/>
    <w:rsid w:val="00FF2720"/>
    <w:rsid w:val="00FF2781"/>
    <w:rsid w:val="00FF29B0"/>
    <w:rsid w:val="00FF32C9"/>
    <w:rsid w:val="00FF3318"/>
    <w:rsid w:val="00FF3420"/>
    <w:rsid w:val="00FF370E"/>
    <w:rsid w:val="00FF38A0"/>
    <w:rsid w:val="00FF39F5"/>
    <w:rsid w:val="00FF3AB6"/>
    <w:rsid w:val="00FF3DC1"/>
    <w:rsid w:val="00FF4105"/>
    <w:rsid w:val="00FF4DBD"/>
    <w:rsid w:val="00FF51AF"/>
    <w:rsid w:val="00FF639F"/>
    <w:rsid w:val="00FF6F2E"/>
    <w:rsid w:val="00FF6F85"/>
    <w:rsid w:val="00FF6FEB"/>
    <w:rsid w:val="00FF70E6"/>
    <w:rsid w:val="00FF752F"/>
    <w:rsid w:val="010CB074"/>
    <w:rsid w:val="011955A2"/>
    <w:rsid w:val="0128710B"/>
    <w:rsid w:val="0132ED04"/>
    <w:rsid w:val="015A4C74"/>
    <w:rsid w:val="015BD1A4"/>
    <w:rsid w:val="015F7C6D"/>
    <w:rsid w:val="01A3879C"/>
    <w:rsid w:val="02235598"/>
    <w:rsid w:val="02362017"/>
    <w:rsid w:val="0265E265"/>
    <w:rsid w:val="0275BDC3"/>
    <w:rsid w:val="02A2A75D"/>
    <w:rsid w:val="02ADC4DA"/>
    <w:rsid w:val="02B7CF91"/>
    <w:rsid w:val="02EF0789"/>
    <w:rsid w:val="02F5171B"/>
    <w:rsid w:val="03288A13"/>
    <w:rsid w:val="033B6779"/>
    <w:rsid w:val="03400867"/>
    <w:rsid w:val="035786BE"/>
    <w:rsid w:val="03698FF4"/>
    <w:rsid w:val="0372A31F"/>
    <w:rsid w:val="03928CF6"/>
    <w:rsid w:val="03BC55F0"/>
    <w:rsid w:val="03D082F1"/>
    <w:rsid w:val="03D52DE7"/>
    <w:rsid w:val="03F19DD1"/>
    <w:rsid w:val="04116282"/>
    <w:rsid w:val="044BACCD"/>
    <w:rsid w:val="045433A2"/>
    <w:rsid w:val="0456C001"/>
    <w:rsid w:val="0488DB98"/>
    <w:rsid w:val="048D7C6A"/>
    <w:rsid w:val="04A369EC"/>
    <w:rsid w:val="04CE2A3C"/>
    <w:rsid w:val="05018624"/>
    <w:rsid w:val="055635BF"/>
    <w:rsid w:val="055FC604"/>
    <w:rsid w:val="05652B2D"/>
    <w:rsid w:val="057CA333"/>
    <w:rsid w:val="058A792E"/>
    <w:rsid w:val="0591FF1C"/>
    <w:rsid w:val="05928DC0"/>
    <w:rsid w:val="0599A6E9"/>
    <w:rsid w:val="061E7662"/>
    <w:rsid w:val="0631702F"/>
    <w:rsid w:val="0672AEF0"/>
    <w:rsid w:val="067C18FB"/>
    <w:rsid w:val="06BBECEC"/>
    <w:rsid w:val="06C34E39"/>
    <w:rsid w:val="06C471F1"/>
    <w:rsid w:val="06CCA8D7"/>
    <w:rsid w:val="06D34BBF"/>
    <w:rsid w:val="06DD5A62"/>
    <w:rsid w:val="06F0A51E"/>
    <w:rsid w:val="070C635A"/>
    <w:rsid w:val="07336C3F"/>
    <w:rsid w:val="0745F032"/>
    <w:rsid w:val="076018B5"/>
    <w:rsid w:val="076E8E31"/>
    <w:rsid w:val="077095FE"/>
    <w:rsid w:val="07751FE5"/>
    <w:rsid w:val="077C191D"/>
    <w:rsid w:val="077D2BFE"/>
    <w:rsid w:val="079E5FE3"/>
    <w:rsid w:val="07CD14C0"/>
    <w:rsid w:val="07EAAABF"/>
    <w:rsid w:val="08000823"/>
    <w:rsid w:val="080C91DC"/>
    <w:rsid w:val="0836EF55"/>
    <w:rsid w:val="083726C2"/>
    <w:rsid w:val="0848DF55"/>
    <w:rsid w:val="086D9C33"/>
    <w:rsid w:val="0883BE82"/>
    <w:rsid w:val="08AE5A6C"/>
    <w:rsid w:val="08B90B5F"/>
    <w:rsid w:val="08D839B0"/>
    <w:rsid w:val="090735F8"/>
    <w:rsid w:val="090BFB14"/>
    <w:rsid w:val="091C60E2"/>
    <w:rsid w:val="0924D3A3"/>
    <w:rsid w:val="094D28D7"/>
    <w:rsid w:val="095F1979"/>
    <w:rsid w:val="096F882B"/>
    <w:rsid w:val="097F6241"/>
    <w:rsid w:val="09B1F3EC"/>
    <w:rsid w:val="09CB7891"/>
    <w:rsid w:val="09E40006"/>
    <w:rsid w:val="09EB28E7"/>
    <w:rsid w:val="09F5550F"/>
    <w:rsid w:val="09F8439E"/>
    <w:rsid w:val="0A169BE4"/>
    <w:rsid w:val="0A1803A1"/>
    <w:rsid w:val="0A39C9A8"/>
    <w:rsid w:val="0A65296D"/>
    <w:rsid w:val="0A855736"/>
    <w:rsid w:val="0AD3998B"/>
    <w:rsid w:val="0AF9D2AD"/>
    <w:rsid w:val="0AFA1D84"/>
    <w:rsid w:val="0B1B6CCF"/>
    <w:rsid w:val="0B536285"/>
    <w:rsid w:val="0B55BD50"/>
    <w:rsid w:val="0B61740B"/>
    <w:rsid w:val="0B77B1F6"/>
    <w:rsid w:val="0BB26B0C"/>
    <w:rsid w:val="0BBABEA5"/>
    <w:rsid w:val="0BBD7815"/>
    <w:rsid w:val="0BBEBD8A"/>
    <w:rsid w:val="0BCAFEA4"/>
    <w:rsid w:val="0BF75091"/>
    <w:rsid w:val="0BFE4E0C"/>
    <w:rsid w:val="0C01B7CA"/>
    <w:rsid w:val="0C0D8766"/>
    <w:rsid w:val="0C24D1F7"/>
    <w:rsid w:val="0C4A11F2"/>
    <w:rsid w:val="0C65635A"/>
    <w:rsid w:val="0C67A45A"/>
    <w:rsid w:val="0C6BB1A8"/>
    <w:rsid w:val="0C84E352"/>
    <w:rsid w:val="0CAAC381"/>
    <w:rsid w:val="0CBD06F6"/>
    <w:rsid w:val="0CC37255"/>
    <w:rsid w:val="0CD49862"/>
    <w:rsid w:val="0D6D6924"/>
    <w:rsid w:val="0D7A7598"/>
    <w:rsid w:val="0D921C83"/>
    <w:rsid w:val="0D98EB19"/>
    <w:rsid w:val="0DABF935"/>
    <w:rsid w:val="0DB170D7"/>
    <w:rsid w:val="0E10DF06"/>
    <w:rsid w:val="0E1F5753"/>
    <w:rsid w:val="0E25C403"/>
    <w:rsid w:val="0E35322A"/>
    <w:rsid w:val="0E3940EF"/>
    <w:rsid w:val="0E537870"/>
    <w:rsid w:val="0E5E0CC0"/>
    <w:rsid w:val="0E7D38C1"/>
    <w:rsid w:val="0E8C1071"/>
    <w:rsid w:val="0E8E9660"/>
    <w:rsid w:val="0EA06F0F"/>
    <w:rsid w:val="0EDC322C"/>
    <w:rsid w:val="0EF623BB"/>
    <w:rsid w:val="0F09DFEE"/>
    <w:rsid w:val="0F2C3DCF"/>
    <w:rsid w:val="0F4757D8"/>
    <w:rsid w:val="0F5BAABC"/>
    <w:rsid w:val="0F69EEE0"/>
    <w:rsid w:val="0F727F94"/>
    <w:rsid w:val="0FC7C103"/>
    <w:rsid w:val="0FE7EA7F"/>
    <w:rsid w:val="10052520"/>
    <w:rsid w:val="1026FF4D"/>
    <w:rsid w:val="102A9CC8"/>
    <w:rsid w:val="10502BF7"/>
    <w:rsid w:val="1058C80B"/>
    <w:rsid w:val="1072A0E0"/>
    <w:rsid w:val="10742AC5"/>
    <w:rsid w:val="108736B9"/>
    <w:rsid w:val="10886A27"/>
    <w:rsid w:val="108F5361"/>
    <w:rsid w:val="10B953BD"/>
    <w:rsid w:val="10C44E36"/>
    <w:rsid w:val="10D6FA0E"/>
    <w:rsid w:val="10D9CB60"/>
    <w:rsid w:val="10F7473C"/>
    <w:rsid w:val="110E5AE1"/>
    <w:rsid w:val="1155280C"/>
    <w:rsid w:val="115CDC77"/>
    <w:rsid w:val="11621E4B"/>
    <w:rsid w:val="1191BA4D"/>
    <w:rsid w:val="1196C937"/>
    <w:rsid w:val="11AA2F89"/>
    <w:rsid w:val="11B956D5"/>
    <w:rsid w:val="11D0C60A"/>
    <w:rsid w:val="125D3A87"/>
    <w:rsid w:val="1263D223"/>
    <w:rsid w:val="12830E6E"/>
    <w:rsid w:val="12979FD7"/>
    <w:rsid w:val="12A44239"/>
    <w:rsid w:val="12E33439"/>
    <w:rsid w:val="12E5C94A"/>
    <w:rsid w:val="12E9AFED"/>
    <w:rsid w:val="12EB74C6"/>
    <w:rsid w:val="12EF18A1"/>
    <w:rsid w:val="12F6A91B"/>
    <w:rsid w:val="131837D1"/>
    <w:rsid w:val="139BE38E"/>
    <w:rsid w:val="13AB0C02"/>
    <w:rsid w:val="13FD9C9F"/>
    <w:rsid w:val="140995CA"/>
    <w:rsid w:val="140F53DD"/>
    <w:rsid w:val="141DBC59"/>
    <w:rsid w:val="1463F5BB"/>
    <w:rsid w:val="1464E9AA"/>
    <w:rsid w:val="147E1463"/>
    <w:rsid w:val="14BEB29A"/>
    <w:rsid w:val="14D3CE6C"/>
    <w:rsid w:val="14D46EAF"/>
    <w:rsid w:val="14DDEB27"/>
    <w:rsid w:val="14EE9BD2"/>
    <w:rsid w:val="14FDD51C"/>
    <w:rsid w:val="1504D338"/>
    <w:rsid w:val="1506D8F2"/>
    <w:rsid w:val="15091507"/>
    <w:rsid w:val="154B8228"/>
    <w:rsid w:val="15868B94"/>
    <w:rsid w:val="158A540B"/>
    <w:rsid w:val="16123F27"/>
    <w:rsid w:val="16175FBF"/>
    <w:rsid w:val="161B228C"/>
    <w:rsid w:val="162785EA"/>
    <w:rsid w:val="163A89D8"/>
    <w:rsid w:val="166C75C4"/>
    <w:rsid w:val="16AE4766"/>
    <w:rsid w:val="16AEF7EE"/>
    <w:rsid w:val="16B27BA4"/>
    <w:rsid w:val="16C4E0C2"/>
    <w:rsid w:val="1710A9EC"/>
    <w:rsid w:val="175F9B06"/>
    <w:rsid w:val="176FB8F0"/>
    <w:rsid w:val="178E9811"/>
    <w:rsid w:val="1792F9AF"/>
    <w:rsid w:val="1793C5EB"/>
    <w:rsid w:val="17B4A4E0"/>
    <w:rsid w:val="17CEA1DF"/>
    <w:rsid w:val="17D5C3AC"/>
    <w:rsid w:val="182F2429"/>
    <w:rsid w:val="18433583"/>
    <w:rsid w:val="18441C16"/>
    <w:rsid w:val="18593FBD"/>
    <w:rsid w:val="185C6DCF"/>
    <w:rsid w:val="18ACC2F0"/>
    <w:rsid w:val="18F32636"/>
    <w:rsid w:val="19405BFC"/>
    <w:rsid w:val="194F37FE"/>
    <w:rsid w:val="19661940"/>
    <w:rsid w:val="199F0360"/>
    <w:rsid w:val="19ACC3B6"/>
    <w:rsid w:val="19BBE810"/>
    <w:rsid w:val="19BFA870"/>
    <w:rsid w:val="19E3836E"/>
    <w:rsid w:val="19E729F3"/>
    <w:rsid w:val="1A02AFD3"/>
    <w:rsid w:val="1A072A3D"/>
    <w:rsid w:val="1A0ADD2F"/>
    <w:rsid w:val="1A0F3A51"/>
    <w:rsid w:val="1A35CCBD"/>
    <w:rsid w:val="1A981AD5"/>
    <w:rsid w:val="1AA1C662"/>
    <w:rsid w:val="1ABB2ECE"/>
    <w:rsid w:val="1AC8019F"/>
    <w:rsid w:val="1AD67ABC"/>
    <w:rsid w:val="1AFF332C"/>
    <w:rsid w:val="1B1C5865"/>
    <w:rsid w:val="1B32D418"/>
    <w:rsid w:val="1B49D571"/>
    <w:rsid w:val="1BA06AA5"/>
    <w:rsid w:val="1BAD3135"/>
    <w:rsid w:val="1BAF8735"/>
    <w:rsid w:val="1BB1F587"/>
    <w:rsid w:val="1BDCA817"/>
    <w:rsid w:val="1BEEAE36"/>
    <w:rsid w:val="1C2F5D98"/>
    <w:rsid w:val="1C3313A9"/>
    <w:rsid w:val="1C4404FD"/>
    <w:rsid w:val="1C5F466F"/>
    <w:rsid w:val="1C827376"/>
    <w:rsid w:val="1CAFF497"/>
    <w:rsid w:val="1CB2880D"/>
    <w:rsid w:val="1CBB2BFC"/>
    <w:rsid w:val="1CC4ED83"/>
    <w:rsid w:val="1CDA0EEA"/>
    <w:rsid w:val="1CF7C7C9"/>
    <w:rsid w:val="1D17CE58"/>
    <w:rsid w:val="1D570B43"/>
    <w:rsid w:val="1D5B61E6"/>
    <w:rsid w:val="1D711F91"/>
    <w:rsid w:val="1DD5E4D0"/>
    <w:rsid w:val="1DFDDB11"/>
    <w:rsid w:val="1E03CD1C"/>
    <w:rsid w:val="1E06B2FF"/>
    <w:rsid w:val="1E19EA7F"/>
    <w:rsid w:val="1E37BB0E"/>
    <w:rsid w:val="1E38072D"/>
    <w:rsid w:val="1E49E62F"/>
    <w:rsid w:val="1E9B514C"/>
    <w:rsid w:val="1EB47F07"/>
    <w:rsid w:val="1EC51790"/>
    <w:rsid w:val="1EE91CFB"/>
    <w:rsid w:val="1EE9C6FC"/>
    <w:rsid w:val="1F09241C"/>
    <w:rsid w:val="1F0CB545"/>
    <w:rsid w:val="1F3DB023"/>
    <w:rsid w:val="1F42FC5D"/>
    <w:rsid w:val="1F514087"/>
    <w:rsid w:val="1F52E6D4"/>
    <w:rsid w:val="1F721643"/>
    <w:rsid w:val="1F7F6BEA"/>
    <w:rsid w:val="1F899B99"/>
    <w:rsid w:val="1F8E1292"/>
    <w:rsid w:val="1FA1B9F0"/>
    <w:rsid w:val="1FD4517F"/>
    <w:rsid w:val="2034A97F"/>
    <w:rsid w:val="203F7126"/>
    <w:rsid w:val="20609319"/>
    <w:rsid w:val="20DD4C7D"/>
    <w:rsid w:val="2101E11E"/>
    <w:rsid w:val="21035EF3"/>
    <w:rsid w:val="21247899"/>
    <w:rsid w:val="21254BF7"/>
    <w:rsid w:val="2150EB8C"/>
    <w:rsid w:val="2164C70D"/>
    <w:rsid w:val="2197339E"/>
    <w:rsid w:val="21C531F2"/>
    <w:rsid w:val="21D654D6"/>
    <w:rsid w:val="21E81B44"/>
    <w:rsid w:val="2202476D"/>
    <w:rsid w:val="2204C2F2"/>
    <w:rsid w:val="2205E700"/>
    <w:rsid w:val="220D1CE2"/>
    <w:rsid w:val="2219A5C1"/>
    <w:rsid w:val="221A9D1C"/>
    <w:rsid w:val="22A7405B"/>
    <w:rsid w:val="22B479DE"/>
    <w:rsid w:val="22BA187E"/>
    <w:rsid w:val="22CDFECB"/>
    <w:rsid w:val="22CE5470"/>
    <w:rsid w:val="22E9495A"/>
    <w:rsid w:val="22FA7525"/>
    <w:rsid w:val="2325ECC2"/>
    <w:rsid w:val="2337CAAD"/>
    <w:rsid w:val="235B0BB8"/>
    <w:rsid w:val="235CF8E6"/>
    <w:rsid w:val="2360BB82"/>
    <w:rsid w:val="237447E6"/>
    <w:rsid w:val="23A5A03B"/>
    <w:rsid w:val="23A7E5FA"/>
    <w:rsid w:val="23D37660"/>
    <w:rsid w:val="23E8B876"/>
    <w:rsid w:val="24339ACB"/>
    <w:rsid w:val="24518B79"/>
    <w:rsid w:val="24AA9F22"/>
    <w:rsid w:val="24B904EF"/>
    <w:rsid w:val="25115713"/>
    <w:rsid w:val="2516035E"/>
    <w:rsid w:val="254D31D0"/>
    <w:rsid w:val="2556FE57"/>
    <w:rsid w:val="255E34FF"/>
    <w:rsid w:val="25A0143F"/>
    <w:rsid w:val="25F22771"/>
    <w:rsid w:val="2615B09B"/>
    <w:rsid w:val="2637CAC8"/>
    <w:rsid w:val="26D8A965"/>
    <w:rsid w:val="26E84DAA"/>
    <w:rsid w:val="26EE4907"/>
    <w:rsid w:val="271C5F3B"/>
    <w:rsid w:val="275A10EA"/>
    <w:rsid w:val="275A24AB"/>
    <w:rsid w:val="27731998"/>
    <w:rsid w:val="27BCF580"/>
    <w:rsid w:val="27CDE395"/>
    <w:rsid w:val="27D7765F"/>
    <w:rsid w:val="28032667"/>
    <w:rsid w:val="2814C9AD"/>
    <w:rsid w:val="28341FDF"/>
    <w:rsid w:val="285E199E"/>
    <w:rsid w:val="28778CDF"/>
    <w:rsid w:val="28871500"/>
    <w:rsid w:val="28C27022"/>
    <w:rsid w:val="28CFB1A9"/>
    <w:rsid w:val="28D546DA"/>
    <w:rsid w:val="28E9C657"/>
    <w:rsid w:val="2904FFC6"/>
    <w:rsid w:val="292162BF"/>
    <w:rsid w:val="292CEFBB"/>
    <w:rsid w:val="292EAC98"/>
    <w:rsid w:val="295272A3"/>
    <w:rsid w:val="2979EB31"/>
    <w:rsid w:val="29971571"/>
    <w:rsid w:val="29986667"/>
    <w:rsid w:val="29CFE95E"/>
    <w:rsid w:val="2A40B0A5"/>
    <w:rsid w:val="2A864D14"/>
    <w:rsid w:val="2A8FA895"/>
    <w:rsid w:val="2A8FB70E"/>
    <w:rsid w:val="2AC735A4"/>
    <w:rsid w:val="2ACDBF03"/>
    <w:rsid w:val="2ADD3E7A"/>
    <w:rsid w:val="2AFB14E9"/>
    <w:rsid w:val="2B04EA35"/>
    <w:rsid w:val="2B1A7AFC"/>
    <w:rsid w:val="2B1BD269"/>
    <w:rsid w:val="2B241A22"/>
    <w:rsid w:val="2B52175F"/>
    <w:rsid w:val="2B83C2B8"/>
    <w:rsid w:val="2BD253E3"/>
    <w:rsid w:val="2BDF3D0F"/>
    <w:rsid w:val="2BF9FE93"/>
    <w:rsid w:val="2C0E9748"/>
    <w:rsid w:val="2C18347A"/>
    <w:rsid w:val="2C3610EB"/>
    <w:rsid w:val="2C3EDDC5"/>
    <w:rsid w:val="2C450074"/>
    <w:rsid w:val="2C7474E1"/>
    <w:rsid w:val="2C85B91C"/>
    <w:rsid w:val="2CCAEC54"/>
    <w:rsid w:val="2CDAB386"/>
    <w:rsid w:val="2CF1C801"/>
    <w:rsid w:val="2CFA1821"/>
    <w:rsid w:val="2D0D3566"/>
    <w:rsid w:val="2D16185C"/>
    <w:rsid w:val="2D1E0059"/>
    <w:rsid w:val="2D28F2DE"/>
    <w:rsid w:val="2D3B9AA3"/>
    <w:rsid w:val="2D40B716"/>
    <w:rsid w:val="2D5067C0"/>
    <w:rsid w:val="2D7D28DB"/>
    <w:rsid w:val="2D8291D7"/>
    <w:rsid w:val="2DAC391C"/>
    <w:rsid w:val="2DBE5BBF"/>
    <w:rsid w:val="2DCB984C"/>
    <w:rsid w:val="2DE665F1"/>
    <w:rsid w:val="2DE6EDD6"/>
    <w:rsid w:val="2E2B8917"/>
    <w:rsid w:val="2E37B12A"/>
    <w:rsid w:val="2E5F865E"/>
    <w:rsid w:val="2E73C6AB"/>
    <w:rsid w:val="2E74681B"/>
    <w:rsid w:val="2E8ECC0D"/>
    <w:rsid w:val="2EB25766"/>
    <w:rsid w:val="2EF83EC8"/>
    <w:rsid w:val="2F0D0279"/>
    <w:rsid w:val="2F2E9FBE"/>
    <w:rsid w:val="2F4181F7"/>
    <w:rsid w:val="2F92304D"/>
    <w:rsid w:val="2F98731C"/>
    <w:rsid w:val="2FC541F6"/>
    <w:rsid w:val="2FC8C743"/>
    <w:rsid w:val="2FDC0BCC"/>
    <w:rsid w:val="2FDD46F1"/>
    <w:rsid w:val="2FFA68D9"/>
    <w:rsid w:val="2FFC017A"/>
    <w:rsid w:val="2FFE8700"/>
    <w:rsid w:val="30149D3B"/>
    <w:rsid w:val="3031772C"/>
    <w:rsid w:val="3050CABA"/>
    <w:rsid w:val="307E9C25"/>
    <w:rsid w:val="30902264"/>
    <w:rsid w:val="30BAC862"/>
    <w:rsid w:val="3124DCC7"/>
    <w:rsid w:val="312AFA51"/>
    <w:rsid w:val="3159AAAC"/>
    <w:rsid w:val="317532D2"/>
    <w:rsid w:val="3177AF1F"/>
    <w:rsid w:val="3179C4F9"/>
    <w:rsid w:val="319201BE"/>
    <w:rsid w:val="319546CB"/>
    <w:rsid w:val="31E2D3B7"/>
    <w:rsid w:val="321381BA"/>
    <w:rsid w:val="321B645D"/>
    <w:rsid w:val="323994DC"/>
    <w:rsid w:val="32476843"/>
    <w:rsid w:val="32892871"/>
    <w:rsid w:val="328CF1CF"/>
    <w:rsid w:val="32905C9F"/>
    <w:rsid w:val="32C23663"/>
    <w:rsid w:val="32C94AC0"/>
    <w:rsid w:val="32C98A3D"/>
    <w:rsid w:val="32D486D2"/>
    <w:rsid w:val="330A0B52"/>
    <w:rsid w:val="335B3FB3"/>
    <w:rsid w:val="336390F5"/>
    <w:rsid w:val="3364A231"/>
    <w:rsid w:val="336A9E20"/>
    <w:rsid w:val="339EA358"/>
    <w:rsid w:val="33A32A46"/>
    <w:rsid w:val="33B49D57"/>
    <w:rsid w:val="33CB3B35"/>
    <w:rsid w:val="33D0D340"/>
    <w:rsid w:val="33D9C0A1"/>
    <w:rsid w:val="33ED51CC"/>
    <w:rsid w:val="33EFC8C3"/>
    <w:rsid w:val="33F76F9B"/>
    <w:rsid w:val="3404C602"/>
    <w:rsid w:val="340585C4"/>
    <w:rsid w:val="34076E42"/>
    <w:rsid w:val="3429C6E4"/>
    <w:rsid w:val="34365141"/>
    <w:rsid w:val="34449E55"/>
    <w:rsid w:val="3467C8F7"/>
    <w:rsid w:val="346D8D40"/>
    <w:rsid w:val="348D5F97"/>
    <w:rsid w:val="34A15F4E"/>
    <w:rsid w:val="34E42243"/>
    <w:rsid w:val="34E4781B"/>
    <w:rsid w:val="34FDBD3C"/>
    <w:rsid w:val="3508C0CC"/>
    <w:rsid w:val="351D8F7A"/>
    <w:rsid w:val="3550B596"/>
    <w:rsid w:val="355AC69B"/>
    <w:rsid w:val="355BDC5C"/>
    <w:rsid w:val="35648DF1"/>
    <w:rsid w:val="357CD9A3"/>
    <w:rsid w:val="3590BB3E"/>
    <w:rsid w:val="35B894CC"/>
    <w:rsid w:val="3618B8D6"/>
    <w:rsid w:val="366CF842"/>
    <w:rsid w:val="3674209C"/>
    <w:rsid w:val="36822CDE"/>
    <w:rsid w:val="3690A387"/>
    <w:rsid w:val="36B2A2B4"/>
    <w:rsid w:val="373ED552"/>
    <w:rsid w:val="37837223"/>
    <w:rsid w:val="37A4E118"/>
    <w:rsid w:val="37A74399"/>
    <w:rsid w:val="37AB16E5"/>
    <w:rsid w:val="37B05662"/>
    <w:rsid w:val="37DD9D1A"/>
    <w:rsid w:val="37E5F48E"/>
    <w:rsid w:val="37FAFDDE"/>
    <w:rsid w:val="3800C392"/>
    <w:rsid w:val="3841B63E"/>
    <w:rsid w:val="385C8142"/>
    <w:rsid w:val="3866476F"/>
    <w:rsid w:val="387D1485"/>
    <w:rsid w:val="38AE6387"/>
    <w:rsid w:val="38D382DF"/>
    <w:rsid w:val="38DC018B"/>
    <w:rsid w:val="38DDE2A1"/>
    <w:rsid w:val="38DE3C4B"/>
    <w:rsid w:val="391AC9BD"/>
    <w:rsid w:val="391B3F3B"/>
    <w:rsid w:val="3924E609"/>
    <w:rsid w:val="39584245"/>
    <w:rsid w:val="395E888A"/>
    <w:rsid w:val="396FDF6D"/>
    <w:rsid w:val="3995DC45"/>
    <w:rsid w:val="39B01484"/>
    <w:rsid w:val="3A0B961B"/>
    <w:rsid w:val="3A2CD2B1"/>
    <w:rsid w:val="3A370802"/>
    <w:rsid w:val="3A613F3C"/>
    <w:rsid w:val="3A96C1A0"/>
    <w:rsid w:val="3AB62B8D"/>
    <w:rsid w:val="3AD47C51"/>
    <w:rsid w:val="3ADA6C97"/>
    <w:rsid w:val="3AF7309C"/>
    <w:rsid w:val="3B006F57"/>
    <w:rsid w:val="3B322B67"/>
    <w:rsid w:val="3B3ECDEF"/>
    <w:rsid w:val="3B4A61BF"/>
    <w:rsid w:val="3B4C672A"/>
    <w:rsid w:val="3B545386"/>
    <w:rsid w:val="3B55CA2E"/>
    <w:rsid w:val="3B8B4B4E"/>
    <w:rsid w:val="3B9BA206"/>
    <w:rsid w:val="3BC3633B"/>
    <w:rsid w:val="3BD78F55"/>
    <w:rsid w:val="3BDC7A28"/>
    <w:rsid w:val="3BE43D71"/>
    <w:rsid w:val="3BE94464"/>
    <w:rsid w:val="3C1A9C38"/>
    <w:rsid w:val="3C4A2B24"/>
    <w:rsid w:val="3CBBFA46"/>
    <w:rsid w:val="3CE98643"/>
    <w:rsid w:val="3CF165C5"/>
    <w:rsid w:val="3D04ED03"/>
    <w:rsid w:val="3D06352D"/>
    <w:rsid w:val="3D121DCC"/>
    <w:rsid w:val="3D22820E"/>
    <w:rsid w:val="3D56D0BD"/>
    <w:rsid w:val="3DA8E742"/>
    <w:rsid w:val="3DEF083D"/>
    <w:rsid w:val="3DFE8F61"/>
    <w:rsid w:val="3E0610CF"/>
    <w:rsid w:val="3E0F0F68"/>
    <w:rsid w:val="3E2659CF"/>
    <w:rsid w:val="3E3E3DAE"/>
    <w:rsid w:val="3E5EFC7F"/>
    <w:rsid w:val="3E7DEEBB"/>
    <w:rsid w:val="3E9EAF34"/>
    <w:rsid w:val="3EBAF647"/>
    <w:rsid w:val="3F182BD5"/>
    <w:rsid w:val="3F41D3E2"/>
    <w:rsid w:val="3F4A0548"/>
    <w:rsid w:val="3F4F9D0D"/>
    <w:rsid w:val="3F8608F2"/>
    <w:rsid w:val="3F8F1EF2"/>
    <w:rsid w:val="3FC39671"/>
    <w:rsid w:val="3FD14043"/>
    <w:rsid w:val="3FD29296"/>
    <w:rsid w:val="3FD756FE"/>
    <w:rsid w:val="3FE27E95"/>
    <w:rsid w:val="4044C507"/>
    <w:rsid w:val="40505D4E"/>
    <w:rsid w:val="407327C0"/>
    <w:rsid w:val="407944ED"/>
    <w:rsid w:val="40BF3DF9"/>
    <w:rsid w:val="40D7BB62"/>
    <w:rsid w:val="40F97961"/>
    <w:rsid w:val="41095907"/>
    <w:rsid w:val="416402DA"/>
    <w:rsid w:val="41822C59"/>
    <w:rsid w:val="418D33FB"/>
    <w:rsid w:val="41A92B13"/>
    <w:rsid w:val="41D09E64"/>
    <w:rsid w:val="41F31D22"/>
    <w:rsid w:val="420C6324"/>
    <w:rsid w:val="4293BA1A"/>
    <w:rsid w:val="42BEBB4F"/>
    <w:rsid w:val="42BF2B77"/>
    <w:rsid w:val="42C5C32C"/>
    <w:rsid w:val="42D8BB1C"/>
    <w:rsid w:val="4335ABE5"/>
    <w:rsid w:val="4396F551"/>
    <w:rsid w:val="439F432A"/>
    <w:rsid w:val="43AD70DF"/>
    <w:rsid w:val="43B25BE8"/>
    <w:rsid w:val="43E240BD"/>
    <w:rsid w:val="43E519F7"/>
    <w:rsid w:val="44131D5D"/>
    <w:rsid w:val="444E506C"/>
    <w:rsid w:val="448C7150"/>
    <w:rsid w:val="448E7045"/>
    <w:rsid w:val="44A891C5"/>
    <w:rsid w:val="44AC8D9B"/>
    <w:rsid w:val="44C36B58"/>
    <w:rsid w:val="451E0D7A"/>
    <w:rsid w:val="452392C7"/>
    <w:rsid w:val="45255674"/>
    <w:rsid w:val="4538D2A4"/>
    <w:rsid w:val="457AC00F"/>
    <w:rsid w:val="459C50F4"/>
    <w:rsid w:val="45B2B9EC"/>
    <w:rsid w:val="45DBD63A"/>
    <w:rsid w:val="45E5678D"/>
    <w:rsid w:val="45F4AFE6"/>
    <w:rsid w:val="4640E8A8"/>
    <w:rsid w:val="46544A86"/>
    <w:rsid w:val="4670EBCE"/>
    <w:rsid w:val="46A48F00"/>
    <w:rsid w:val="46F0CB22"/>
    <w:rsid w:val="46FAAC72"/>
    <w:rsid w:val="471102DD"/>
    <w:rsid w:val="4734EF12"/>
    <w:rsid w:val="4737C65F"/>
    <w:rsid w:val="478701B7"/>
    <w:rsid w:val="47AB5650"/>
    <w:rsid w:val="47B9E8FA"/>
    <w:rsid w:val="47EAF503"/>
    <w:rsid w:val="48117EF5"/>
    <w:rsid w:val="481F1C51"/>
    <w:rsid w:val="4827E343"/>
    <w:rsid w:val="482A6E25"/>
    <w:rsid w:val="4839E9A7"/>
    <w:rsid w:val="484FCD95"/>
    <w:rsid w:val="485C5BBA"/>
    <w:rsid w:val="48A17183"/>
    <w:rsid w:val="48B314DC"/>
    <w:rsid w:val="48B6D12A"/>
    <w:rsid w:val="48DF3034"/>
    <w:rsid w:val="49138CB1"/>
    <w:rsid w:val="49157D65"/>
    <w:rsid w:val="492D4501"/>
    <w:rsid w:val="492FD2B3"/>
    <w:rsid w:val="49459CFD"/>
    <w:rsid w:val="494A1951"/>
    <w:rsid w:val="4993190E"/>
    <w:rsid w:val="49DEE7B7"/>
    <w:rsid w:val="49E950D2"/>
    <w:rsid w:val="49ED9D40"/>
    <w:rsid w:val="49F29CA5"/>
    <w:rsid w:val="49FA142C"/>
    <w:rsid w:val="4A1B732F"/>
    <w:rsid w:val="4A3AEAE2"/>
    <w:rsid w:val="4A3E1F28"/>
    <w:rsid w:val="4A4DBB2E"/>
    <w:rsid w:val="4A4EDD6F"/>
    <w:rsid w:val="4A61EA85"/>
    <w:rsid w:val="4A70CDA4"/>
    <w:rsid w:val="4A86C30F"/>
    <w:rsid w:val="4A923E02"/>
    <w:rsid w:val="4AD15413"/>
    <w:rsid w:val="4B095DB2"/>
    <w:rsid w:val="4B471934"/>
    <w:rsid w:val="4B68E640"/>
    <w:rsid w:val="4B7FCE7D"/>
    <w:rsid w:val="4B947C3E"/>
    <w:rsid w:val="4BA6D9B2"/>
    <w:rsid w:val="4BAC93F9"/>
    <w:rsid w:val="4BD553C0"/>
    <w:rsid w:val="4BDDFE12"/>
    <w:rsid w:val="4BEE6AF4"/>
    <w:rsid w:val="4C635BED"/>
    <w:rsid w:val="4C9E1851"/>
    <w:rsid w:val="4CA2CE3F"/>
    <w:rsid w:val="4CD4AA8C"/>
    <w:rsid w:val="4CF6E609"/>
    <w:rsid w:val="4CFAD848"/>
    <w:rsid w:val="4D664D98"/>
    <w:rsid w:val="4DA11F36"/>
    <w:rsid w:val="4DEC3C6E"/>
    <w:rsid w:val="4DEE74D9"/>
    <w:rsid w:val="4E0C0C49"/>
    <w:rsid w:val="4E398E21"/>
    <w:rsid w:val="4E44691E"/>
    <w:rsid w:val="4E4F4D0D"/>
    <w:rsid w:val="4E9CC785"/>
    <w:rsid w:val="4EAA53DB"/>
    <w:rsid w:val="4EB7E9EC"/>
    <w:rsid w:val="4EC87D59"/>
    <w:rsid w:val="4ECA35C1"/>
    <w:rsid w:val="4ED81C65"/>
    <w:rsid w:val="4F03855B"/>
    <w:rsid w:val="4F0CADDC"/>
    <w:rsid w:val="4F0F6999"/>
    <w:rsid w:val="4F2C0B00"/>
    <w:rsid w:val="4F517EE6"/>
    <w:rsid w:val="4F527F4A"/>
    <w:rsid w:val="4F53AE65"/>
    <w:rsid w:val="4F72C7FC"/>
    <w:rsid w:val="4F7EE951"/>
    <w:rsid w:val="4F85F69A"/>
    <w:rsid w:val="4FA78944"/>
    <w:rsid w:val="4FACA8F0"/>
    <w:rsid w:val="4FB44301"/>
    <w:rsid w:val="4FB60D15"/>
    <w:rsid w:val="4FBE84F0"/>
    <w:rsid w:val="50078A04"/>
    <w:rsid w:val="501CB3E7"/>
    <w:rsid w:val="502840E3"/>
    <w:rsid w:val="503028E4"/>
    <w:rsid w:val="50671E24"/>
    <w:rsid w:val="50B4D547"/>
    <w:rsid w:val="50D58546"/>
    <w:rsid w:val="50E33DDD"/>
    <w:rsid w:val="50FBFE40"/>
    <w:rsid w:val="5106576D"/>
    <w:rsid w:val="510EF51C"/>
    <w:rsid w:val="51538CFA"/>
    <w:rsid w:val="51729C68"/>
    <w:rsid w:val="5175E32D"/>
    <w:rsid w:val="517B5810"/>
    <w:rsid w:val="51906A14"/>
    <w:rsid w:val="51B888B3"/>
    <w:rsid w:val="51CC6A9E"/>
    <w:rsid w:val="51D2A1F0"/>
    <w:rsid w:val="521AE516"/>
    <w:rsid w:val="5226426E"/>
    <w:rsid w:val="525061DF"/>
    <w:rsid w:val="5267E6CB"/>
    <w:rsid w:val="52BF8DE2"/>
    <w:rsid w:val="52EBF5FD"/>
    <w:rsid w:val="5319E29D"/>
    <w:rsid w:val="532367E3"/>
    <w:rsid w:val="532C5BDE"/>
    <w:rsid w:val="533CDCA8"/>
    <w:rsid w:val="53B9BE59"/>
    <w:rsid w:val="53E515E3"/>
    <w:rsid w:val="540904D5"/>
    <w:rsid w:val="54113DDA"/>
    <w:rsid w:val="54205B8A"/>
    <w:rsid w:val="545AF05A"/>
    <w:rsid w:val="547BE09A"/>
    <w:rsid w:val="54995615"/>
    <w:rsid w:val="54DCC857"/>
    <w:rsid w:val="54E960F4"/>
    <w:rsid w:val="552274E9"/>
    <w:rsid w:val="554EF56A"/>
    <w:rsid w:val="5566076C"/>
    <w:rsid w:val="55B6BB20"/>
    <w:rsid w:val="55BF87AB"/>
    <w:rsid w:val="55CFE59B"/>
    <w:rsid w:val="55D5C797"/>
    <w:rsid w:val="55DCC710"/>
    <w:rsid w:val="55E2727A"/>
    <w:rsid w:val="55F4A47D"/>
    <w:rsid w:val="55FB6A65"/>
    <w:rsid w:val="560506DA"/>
    <w:rsid w:val="5646819B"/>
    <w:rsid w:val="5649C172"/>
    <w:rsid w:val="565069DC"/>
    <w:rsid w:val="567F83C9"/>
    <w:rsid w:val="56DAA0A0"/>
    <w:rsid w:val="56E2E232"/>
    <w:rsid w:val="57061A9E"/>
    <w:rsid w:val="5712A895"/>
    <w:rsid w:val="571DC574"/>
    <w:rsid w:val="5731E080"/>
    <w:rsid w:val="574FAE71"/>
    <w:rsid w:val="57544192"/>
    <w:rsid w:val="5778820A"/>
    <w:rsid w:val="578371C3"/>
    <w:rsid w:val="5798C525"/>
    <w:rsid w:val="57C90CD3"/>
    <w:rsid w:val="57D7D447"/>
    <w:rsid w:val="57F18BC4"/>
    <w:rsid w:val="5822DFB9"/>
    <w:rsid w:val="58343A68"/>
    <w:rsid w:val="5835AC07"/>
    <w:rsid w:val="587568CE"/>
    <w:rsid w:val="5877457C"/>
    <w:rsid w:val="58870129"/>
    <w:rsid w:val="58A9FBB3"/>
    <w:rsid w:val="58AC60D6"/>
    <w:rsid w:val="58E2E19A"/>
    <w:rsid w:val="5905E05D"/>
    <w:rsid w:val="5915908E"/>
    <w:rsid w:val="5916FD13"/>
    <w:rsid w:val="59198A4D"/>
    <w:rsid w:val="59346CFA"/>
    <w:rsid w:val="5997A443"/>
    <w:rsid w:val="59982D8E"/>
    <w:rsid w:val="59D6BC7E"/>
    <w:rsid w:val="59E26D9E"/>
    <w:rsid w:val="59FD56E0"/>
    <w:rsid w:val="5A06D49E"/>
    <w:rsid w:val="5A7E4EBB"/>
    <w:rsid w:val="5A83B13E"/>
    <w:rsid w:val="5A896EFA"/>
    <w:rsid w:val="5AAF7D83"/>
    <w:rsid w:val="5AD70785"/>
    <w:rsid w:val="5B16800F"/>
    <w:rsid w:val="5B1D01CD"/>
    <w:rsid w:val="5B283A6E"/>
    <w:rsid w:val="5B7B45CE"/>
    <w:rsid w:val="5B94D9E3"/>
    <w:rsid w:val="5BDBFAC5"/>
    <w:rsid w:val="5BEBC321"/>
    <w:rsid w:val="5BF6CE60"/>
    <w:rsid w:val="5C26AD0A"/>
    <w:rsid w:val="5C2B629B"/>
    <w:rsid w:val="5C357F74"/>
    <w:rsid w:val="5C35E58F"/>
    <w:rsid w:val="5C5040D2"/>
    <w:rsid w:val="5C7A7108"/>
    <w:rsid w:val="5CAACD22"/>
    <w:rsid w:val="5CB24427"/>
    <w:rsid w:val="5CC05CF7"/>
    <w:rsid w:val="5CC7E993"/>
    <w:rsid w:val="5D0C620E"/>
    <w:rsid w:val="5D129D05"/>
    <w:rsid w:val="5D27E987"/>
    <w:rsid w:val="5D2BF920"/>
    <w:rsid w:val="5D2EB468"/>
    <w:rsid w:val="5D3564DC"/>
    <w:rsid w:val="5D904DDC"/>
    <w:rsid w:val="5D950DEA"/>
    <w:rsid w:val="5D9B81BE"/>
    <w:rsid w:val="5DBE22F1"/>
    <w:rsid w:val="5DCB3D90"/>
    <w:rsid w:val="5E04F9EE"/>
    <w:rsid w:val="5E06F8EE"/>
    <w:rsid w:val="5E2838B6"/>
    <w:rsid w:val="5E2AABC1"/>
    <w:rsid w:val="5E4AC915"/>
    <w:rsid w:val="5E9403BA"/>
    <w:rsid w:val="5EB8825D"/>
    <w:rsid w:val="5EDC8C34"/>
    <w:rsid w:val="5EDE7277"/>
    <w:rsid w:val="5EE2244A"/>
    <w:rsid w:val="5EE398FB"/>
    <w:rsid w:val="5F0AFBEF"/>
    <w:rsid w:val="5F1AE8AC"/>
    <w:rsid w:val="5F811EAC"/>
    <w:rsid w:val="5FB4D35C"/>
    <w:rsid w:val="5FC38869"/>
    <w:rsid w:val="5FCA09BF"/>
    <w:rsid w:val="5FF95198"/>
    <w:rsid w:val="601FEA7F"/>
    <w:rsid w:val="603A4DEB"/>
    <w:rsid w:val="60603391"/>
    <w:rsid w:val="60AF0013"/>
    <w:rsid w:val="60B533D0"/>
    <w:rsid w:val="60BCD448"/>
    <w:rsid w:val="60D2F73A"/>
    <w:rsid w:val="60E452D3"/>
    <w:rsid w:val="6103B2FA"/>
    <w:rsid w:val="610F2F82"/>
    <w:rsid w:val="610FD8DA"/>
    <w:rsid w:val="614227EE"/>
    <w:rsid w:val="616120DE"/>
    <w:rsid w:val="616743B9"/>
    <w:rsid w:val="61C169BB"/>
    <w:rsid w:val="61EFF6B0"/>
    <w:rsid w:val="61F44DEB"/>
    <w:rsid w:val="61FEE5B1"/>
    <w:rsid w:val="621CF004"/>
    <w:rsid w:val="626C2730"/>
    <w:rsid w:val="6275A0CA"/>
    <w:rsid w:val="628C372D"/>
    <w:rsid w:val="62987C71"/>
    <w:rsid w:val="62B9F5AD"/>
    <w:rsid w:val="62C98DA4"/>
    <w:rsid w:val="62E429AC"/>
    <w:rsid w:val="62F739D5"/>
    <w:rsid w:val="634E0855"/>
    <w:rsid w:val="6377C205"/>
    <w:rsid w:val="639A8FCC"/>
    <w:rsid w:val="639C15EF"/>
    <w:rsid w:val="639EBDCA"/>
    <w:rsid w:val="639EF28E"/>
    <w:rsid w:val="63A2A7DC"/>
    <w:rsid w:val="63A6BB6C"/>
    <w:rsid w:val="63B61211"/>
    <w:rsid w:val="63F6C1B9"/>
    <w:rsid w:val="64022AB7"/>
    <w:rsid w:val="642BE526"/>
    <w:rsid w:val="64746193"/>
    <w:rsid w:val="647A0C77"/>
    <w:rsid w:val="64A2E1D3"/>
    <w:rsid w:val="64A5F5BC"/>
    <w:rsid w:val="64ACAFB6"/>
    <w:rsid w:val="64B374A5"/>
    <w:rsid w:val="65229E6E"/>
    <w:rsid w:val="654A4BD3"/>
    <w:rsid w:val="6562F229"/>
    <w:rsid w:val="6564D42B"/>
    <w:rsid w:val="658BFAFA"/>
    <w:rsid w:val="659012C7"/>
    <w:rsid w:val="6597DB87"/>
    <w:rsid w:val="659D42AD"/>
    <w:rsid w:val="65C16D08"/>
    <w:rsid w:val="65E1B000"/>
    <w:rsid w:val="66101536"/>
    <w:rsid w:val="66177211"/>
    <w:rsid w:val="66657FCE"/>
    <w:rsid w:val="66948759"/>
    <w:rsid w:val="66A79773"/>
    <w:rsid w:val="66C4E582"/>
    <w:rsid w:val="66CC8E72"/>
    <w:rsid w:val="67146BC9"/>
    <w:rsid w:val="671B3AF9"/>
    <w:rsid w:val="67413139"/>
    <w:rsid w:val="67430C18"/>
    <w:rsid w:val="675E81A0"/>
    <w:rsid w:val="67722F76"/>
    <w:rsid w:val="67A0D822"/>
    <w:rsid w:val="67AF1187"/>
    <w:rsid w:val="67C75819"/>
    <w:rsid w:val="67CF2E9B"/>
    <w:rsid w:val="67D24187"/>
    <w:rsid w:val="67D98A5A"/>
    <w:rsid w:val="67EBA7B0"/>
    <w:rsid w:val="67EE7F91"/>
    <w:rsid w:val="67FB3151"/>
    <w:rsid w:val="6818F371"/>
    <w:rsid w:val="681D50AE"/>
    <w:rsid w:val="683082A8"/>
    <w:rsid w:val="6831DD4D"/>
    <w:rsid w:val="68388306"/>
    <w:rsid w:val="68635216"/>
    <w:rsid w:val="686FA377"/>
    <w:rsid w:val="688EEDE6"/>
    <w:rsid w:val="68BCC802"/>
    <w:rsid w:val="68D7E498"/>
    <w:rsid w:val="68ED1BFE"/>
    <w:rsid w:val="68FA51F6"/>
    <w:rsid w:val="69777898"/>
    <w:rsid w:val="69834B0A"/>
    <w:rsid w:val="6985FF9B"/>
    <w:rsid w:val="69941A10"/>
    <w:rsid w:val="69A0A865"/>
    <w:rsid w:val="69BF85C8"/>
    <w:rsid w:val="69C2FA4A"/>
    <w:rsid w:val="69D1132D"/>
    <w:rsid w:val="6A1DCDDD"/>
    <w:rsid w:val="6A34B529"/>
    <w:rsid w:val="6A377898"/>
    <w:rsid w:val="6A55EC53"/>
    <w:rsid w:val="6A6E60E8"/>
    <w:rsid w:val="6A880CC8"/>
    <w:rsid w:val="6AB6B581"/>
    <w:rsid w:val="6ABFEB25"/>
    <w:rsid w:val="6ADF2CE4"/>
    <w:rsid w:val="6B1DB938"/>
    <w:rsid w:val="6B23DE25"/>
    <w:rsid w:val="6B29F962"/>
    <w:rsid w:val="6B496DF0"/>
    <w:rsid w:val="6B561B5A"/>
    <w:rsid w:val="6B5B6CE3"/>
    <w:rsid w:val="6B8C6BA9"/>
    <w:rsid w:val="6BE03A19"/>
    <w:rsid w:val="6C07EFB9"/>
    <w:rsid w:val="6C0BE39F"/>
    <w:rsid w:val="6C155E0A"/>
    <w:rsid w:val="6C186F24"/>
    <w:rsid w:val="6C1FC4A5"/>
    <w:rsid w:val="6C47AFC7"/>
    <w:rsid w:val="6C5352CA"/>
    <w:rsid w:val="6CED781F"/>
    <w:rsid w:val="6D13907D"/>
    <w:rsid w:val="6D357C15"/>
    <w:rsid w:val="6D5728DB"/>
    <w:rsid w:val="6D6F9FFC"/>
    <w:rsid w:val="6DBEA650"/>
    <w:rsid w:val="6DD710A3"/>
    <w:rsid w:val="6DF58D1D"/>
    <w:rsid w:val="6DFCB20C"/>
    <w:rsid w:val="6E09C9D4"/>
    <w:rsid w:val="6E223598"/>
    <w:rsid w:val="6E28FB90"/>
    <w:rsid w:val="6E36662E"/>
    <w:rsid w:val="6E3A7FDC"/>
    <w:rsid w:val="6E6E629D"/>
    <w:rsid w:val="6E76CB6E"/>
    <w:rsid w:val="6E89A47A"/>
    <w:rsid w:val="6E8A1412"/>
    <w:rsid w:val="6EA1A1AC"/>
    <w:rsid w:val="6EA22572"/>
    <w:rsid w:val="6EB5C154"/>
    <w:rsid w:val="6EDFF22F"/>
    <w:rsid w:val="6EE40BA0"/>
    <w:rsid w:val="6F1B3FB5"/>
    <w:rsid w:val="6F390CEC"/>
    <w:rsid w:val="6F4B94B4"/>
    <w:rsid w:val="6F541518"/>
    <w:rsid w:val="6F58E2DF"/>
    <w:rsid w:val="6FB25AA2"/>
    <w:rsid w:val="6FC5A680"/>
    <w:rsid w:val="6FE354A9"/>
    <w:rsid w:val="70055351"/>
    <w:rsid w:val="70276DE0"/>
    <w:rsid w:val="70387E14"/>
    <w:rsid w:val="704A2AFB"/>
    <w:rsid w:val="705EF057"/>
    <w:rsid w:val="707B25AA"/>
    <w:rsid w:val="70B1BE48"/>
    <w:rsid w:val="70CB74B3"/>
    <w:rsid w:val="70D64302"/>
    <w:rsid w:val="70E6A977"/>
    <w:rsid w:val="70F4F563"/>
    <w:rsid w:val="7143367B"/>
    <w:rsid w:val="7149F28A"/>
    <w:rsid w:val="714B2AE1"/>
    <w:rsid w:val="71511CA6"/>
    <w:rsid w:val="718B6D45"/>
    <w:rsid w:val="71961766"/>
    <w:rsid w:val="719CC5D0"/>
    <w:rsid w:val="71BA6D01"/>
    <w:rsid w:val="71D1A979"/>
    <w:rsid w:val="71D7346A"/>
    <w:rsid w:val="71D79D11"/>
    <w:rsid w:val="71E52A72"/>
    <w:rsid w:val="7203A5A3"/>
    <w:rsid w:val="7227E13D"/>
    <w:rsid w:val="7270BCD5"/>
    <w:rsid w:val="729FE2D7"/>
    <w:rsid w:val="72AB5D54"/>
    <w:rsid w:val="72C806F0"/>
    <w:rsid w:val="72D5AD05"/>
    <w:rsid w:val="72D7D96D"/>
    <w:rsid w:val="72F54F7C"/>
    <w:rsid w:val="72FE4DF9"/>
    <w:rsid w:val="73390102"/>
    <w:rsid w:val="7340D18F"/>
    <w:rsid w:val="73629E17"/>
    <w:rsid w:val="7369184C"/>
    <w:rsid w:val="73697CD1"/>
    <w:rsid w:val="736CA61B"/>
    <w:rsid w:val="7370E01E"/>
    <w:rsid w:val="737BC327"/>
    <w:rsid w:val="73A086D5"/>
    <w:rsid w:val="73BE0704"/>
    <w:rsid w:val="73D64DBD"/>
    <w:rsid w:val="73DFACB9"/>
    <w:rsid w:val="73F246B9"/>
    <w:rsid w:val="740B0A25"/>
    <w:rsid w:val="7410DF2C"/>
    <w:rsid w:val="7417D032"/>
    <w:rsid w:val="741D7B27"/>
    <w:rsid w:val="741EAAB2"/>
    <w:rsid w:val="742B46B3"/>
    <w:rsid w:val="743E373C"/>
    <w:rsid w:val="743E7947"/>
    <w:rsid w:val="74640EB0"/>
    <w:rsid w:val="7489AE1A"/>
    <w:rsid w:val="74973F43"/>
    <w:rsid w:val="749946E6"/>
    <w:rsid w:val="74A57654"/>
    <w:rsid w:val="74A96808"/>
    <w:rsid w:val="74C84D8B"/>
    <w:rsid w:val="74F08DFF"/>
    <w:rsid w:val="75369B36"/>
    <w:rsid w:val="753BD38E"/>
    <w:rsid w:val="75577084"/>
    <w:rsid w:val="755F0B51"/>
    <w:rsid w:val="756F31F0"/>
    <w:rsid w:val="757AB48E"/>
    <w:rsid w:val="75D78E5C"/>
    <w:rsid w:val="75E32069"/>
    <w:rsid w:val="75F3EC69"/>
    <w:rsid w:val="7649D43F"/>
    <w:rsid w:val="7665C193"/>
    <w:rsid w:val="76ACF548"/>
    <w:rsid w:val="76E00144"/>
    <w:rsid w:val="76F70E49"/>
    <w:rsid w:val="7743A025"/>
    <w:rsid w:val="779357C2"/>
    <w:rsid w:val="77963208"/>
    <w:rsid w:val="779B8F23"/>
    <w:rsid w:val="77A25657"/>
    <w:rsid w:val="78203504"/>
    <w:rsid w:val="7860058F"/>
    <w:rsid w:val="7895BD26"/>
    <w:rsid w:val="78AEE97B"/>
    <w:rsid w:val="78B9A61B"/>
    <w:rsid w:val="7931533B"/>
    <w:rsid w:val="79382DD1"/>
    <w:rsid w:val="7942EE62"/>
    <w:rsid w:val="79620584"/>
    <w:rsid w:val="797E53D0"/>
    <w:rsid w:val="798DC27E"/>
    <w:rsid w:val="79AE3A42"/>
    <w:rsid w:val="79C5EF09"/>
    <w:rsid w:val="7A03CDD0"/>
    <w:rsid w:val="7A138A13"/>
    <w:rsid w:val="7A183060"/>
    <w:rsid w:val="7A58DC9B"/>
    <w:rsid w:val="7A5FDD1D"/>
    <w:rsid w:val="7A8402D2"/>
    <w:rsid w:val="7A8E2BE1"/>
    <w:rsid w:val="7ADA34E1"/>
    <w:rsid w:val="7B297345"/>
    <w:rsid w:val="7B316D93"/>
    <w:rsid w:val="7B5ED297"/>
    <w:rsid w:val="7B7C771C"/>
    <w:rsid w:val="7B832CA1"/>
    <w:rsid w:val="7B87198C"/>
    <w:rsid w:val="7BA1B758"/>
    <w:rsid w:val="7BC0203D"/>
    <w:rsid w:val="7BF30A80"/>
    <w:rsid w:val="7C133E50"/>
    <w:rsid w:val="7C6406C1"/>
    <w:rsid w:val="7C709D41"/>
    <w:rsid w:val="7C7A4AD7"/>
    <w:rsid w:val="7CA21A0B"/>
    <w:rsid w:val="7CC5674E"/>
    <w:rsid w:val="7CC5AA05"/>
    <w:rsid w:val="7CDCEDFD"/>
    <w:rsid w:val="7CF273EF"/>
    <w:rsid w:val="7D0DB3B3"/>
    <w:rsid w:val="7D50E0F0"/>
    <w:rsid w:val="7D539576"/>
    <w:rsid w:val="7D61A841"/>
    <w:rsid w:val="7D680FFC"/>
    <w:rsid w:val="7D778135"/>
    <w:rsid w:val="7D7D6669"/>
    <w:rsid w:val="7DB30BAF"/>
    <w:rsid w:val="7DB545E6"/>
    <w:rsid w:val="7DEC5B00"/>
    <w:rsid w:val="7DFFC13F"/>
    <w:rsid w:val="7E2A8DC0"/>
    <w:rsid w:val="7E39FDB7"/>
    <w:rsid w:val="7E42E414"/>
    <w:rsid w:val="7E4C3977"/>
    <w:rsid w:val="7E5C1744"/>
    <w:rsid w:val="7E71D2A8"/>
    <w:rsid w:val="7EA2CAD9"/>
    <w:rsid w:val="7ED7BB47"/>
    <w:rsid w:val="7F00AD92"/>
    <w:rsid w:val="7F236087"/>
    <w:rsid w:val="7F25226D"/>
    <w:rsid w:val="7F2D0739"/>
    <w:rsid w:val="7F733E8B"/>
    <w:rsid w:val="7F9C018F"/>
    <w:rsid w:val="7FCD3279"/>
    <w:rsid w:val="7FDB8B44"/>
    <w:rsid w:val="7FEAA1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041A8"/>
  <w15:chartTrackingRefBased/>
  <w15:docId w15:val="{FD8C01A1-D816-463C-AE91-B105CFC6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4"/>
    <w:lsdException w:name="heading 1" w:uiPriority="0" w:qFormat="1"/>
    <w:lsdException w:name="heading 2" w:uiPriority="0" w:qFormat="1"/>
    <w:lsdException w:name="heading 3" w:uiPriority="3" w:qFormat="1"/>
    <w:lsdException w:name="heading 4" w:uiPriority="4" w:qFormat="1"/>
    <w:lsdException w:name="heading 5" w:uiPriority="4"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14E9E"/>
    <w:pPr>
      <w:spacing w:line="240" w:lineRule="atLeast"/>
    </w:pPr>
    <w:rPr>
      <w:rFonts w:ascii="Arial" w:hAnsi="Arial"/>
      <w:szCs w:val="24"/>
      <w:lang w:eastAsia="en-US"/>
    </w:rPr>
  </w:style>
  <w:style w:type="paragraph" w:styleId="Heading1">
    <w:name w:val="heading 1"/>
    <w:aliases w:val="APVMA Heading 1,APVMA_H1,Preface,Section title,Section"/>
    <w:basedOn w:val="NormalText"/>
    <w:next w:val="NormalText"/>
    <w:link w:val="Heading1Char"/>
    <w:qFormat/>
    <w:rsid w:val="00953CCC"/>
    <w:pPr>
      <w:keepNext/>
      <w:keepLines/>
      <w:pageBreakBefore/>
      <w:spacing w:before="0" w:after="80" w:line="360" w:lineRule="exact"/>
      <w:outlineLvl w:val="0"/>
    </w:pPr>
    <w:rPr>
      <w:rFonts w:ascii="Franklin Gothic Medium" w:hAnsi="Franklin Gothic Medium"/>
      <w:color w:val="53284F" w:themeColor="accent5"/>
      <w:sz w:val="32"/>
      <w:szCs w:val="32"/>
    </w:rPr>
  </w:style>
  <w:style w:type="paragraph" w:styleId="Heading2">
    <w:name w:val="heading 2"/>
    <w:aliases w:val="APVMA Heading 2,APVMA_H2"/>
    <w:basedOn w:val="Heading1"/>
    <w:next w:val="Normal"/>
    <w:link w:val="Heading2Char"/>
    <w:autoRedefine/>
    <w:qFormat/>
    <w:rsid w:val="00D0686C"/>
    <w:pPr>
      <w:pageBreakBefore w:val="0"/>
      <w:spacing w:before="400" w:after="0" w:line="320" w:lineRule="exact"/>
      <w:outlineLvl w:val="1"/>
    </w:pPr>
    <w:rPr>
      <w:kern w:val="0"/>
      <w:sz w:val="28"/>
      <w:szCs w:val="28"/>
      <w:lang w:eastAsia="en-GB"/>
    </w:rPr>
  </w:style>
  <w:style w:type="paragraph" w:styleId="Heading3">
    <w:name w:val="heading 3"/>
    <w:aliases w:val="APVMA_H3"/>
    <w:basedOn w:val="Heading1"/>
    <w:next w:val="NormalText"/>
    <w:autoRedefine/>
    <w:uiPriority w:val="3"/>
    <w:qFormat/>
    <w:rsid w:val="00FB0A6B"/>
    <w:pPr>
      <w:pageBreakBefore w:val="0"/>
      <w:numPr>
        <w:ilvl w:val="2"/>
      </w:numPr>
      <w:spacing w:before="320" w:line="280" w:lineRule="exact"/>
      <w:ind w:left="357" w:hanging="357"/>
      <w:outlineLvl w:val="2"/>
    </w:pPr>
    <w:rPr>
      <w:sz w:val="24"/>
      <w:szCs w:val="26"/>
    </w:rPr>
  </w:style>
  <w:style w:type="paragraph" w:styleId="Heading4">
    <w:name w:val="heading 4"/>
    <w:aliases w:val="APVMA_H4"/>
    <w:basedOn w:val="Heading3"/>
    <w:next w:val="NormalText"/>
    <w:uiPriority w:val="4"/>
    <w:qFormat/>
    <w:rsid w:val="006920FC"/>
    <w:pPr>
      <w:numPr>
        <w:ilvl w:val="3"/>
        <w:numId w:val="7"/>
      </w:numPr>
      <w:spacing w:before="280" w:line="260" w:lineRule="exact"/>
      <w:outlineLvl w:val="3"/>
    </w:pPr>
    <w:rPr>
      <w:sz w:val="22"/>
      <w:szCs w:val="28"/>
    </w:rPr>
  </w:style>
  <w:style w:type="paragraph" w:styleId="Heading5">
    <w:name w:val="heading 5"/>
    <w:aliases w:val="APVMA_H5"/>
    <w:basedOn w:val="Heading4"/>
    <w:next w:val="NormalText"/>
    <w:uiPriority w:val="4"/>
    <w:qFormat/>
    <w:rsid w:val="006920FC"/>
    <w:pPr>
      <w:numPr>
        <w:ilvl w:val="4"/>
        <w:numId w:val="8"/>
      </w:numPr>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APVMA_TOC 1"/>
    <w:basedOn w:val="NormalText"/>
    <w:next w:val="TOC2"/>
    <w:uiPriority w:val="39"/>
    <w:rsid w:val="006920FC"/>
    <w:pPr>
      <w:pBdr>
        <w:top w:val="single" w:sz="4" w:space="1" w:color="auto"/>
      </w:pBdr>
      <w:tabs>
        <w:tab w:val="right" w:pos="9639"/>
      </w:tabs>
      <w:spacing w:before="180" w:after="60"/>
      <w:ind w:left="454" w:hanging="454"/>
    </w:pPr>
    <w:rPr>
      <w:rFonts w:ascii="Franklin Gothic Medium" w:hAnsi="Franklin Gothic Medium"/>
      <w:bCs/>
      <w:noProof/>
      <w:color w:val="53284F"/>
      <w:szCs w:val="30"/>
    </w:rPr>
  </w:style>
  <w:style w:type="paragraph" w:styleId="FootnoteText">
    <w:name w:val="footnote text"/>
    <w:aliases w:val="APVMA_Footnote"/>
    <w:basedOn w:val="NormalText"/>
    <w:link w:val="FootnoteTextChar"/>
    <w:uiPriority w:val="99"/>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APVMA_TOC 2"/>
    <w:basedOn w:val="Normal"/>
    <w:uiPriority w:val="39"/>
    <w:rsid w:val="006920FC"/>
    <w:pPr>
      <w:tabs>
        <w:tab w:val="right" w:pos="9639"/>
      </w:tabs>
      <w:spacing w:before="60" w:line="280" w:lineRule="exact"/>
      <w:ind w:left="454" w:hanging="454"/>
    </w:pPr>
    <w:rPr>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22"/>
    <w:qFormat/>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99"/>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1"/>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Table caption"/>
    <w:basedOn w:val="Normal"/>
    <w:next w:val="NormalText"/>
    <w:link w:val="CaptionChar"/>
    <w:uiPriority w:val="4"/>
    <w:qFormat/>
    <w:rsid w:val="00BD021C"/>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rsid w:val="00BD2289"/>
    <w:rPr>
      <w:color w:val="53284F"/>
    </w:rPr>
  </w:style>
  <w:style w:type="paragraph" w:styleId="TableofFigures">
    <w:name w:val="table of figures"/>
    <w:aliases w:val="APVMA_ToF"/>
    <w:basedOn w:val="TOC3"/>
    <w:uiPriority w:val="99"/>
    <w:rsid w:val="00524F9E"/>
    <w:pPr>
      <w:spacing w:before="120" w:after="120"/>
      <w:ind w:left="851" w:hanging="851"/>
    </w:pPr>
  </w:style>
  <w:style w:type="paragraph" w:customStyle="1" w:styleId="APVMAOddHeader">
    <w:name w:val="APVMA_Odd_Header"/>
    <w:basedOn w:val="NormalText"/>
    <w:uiPriority w:val="4"/>
    <w:rsid w:val="006920FC"/>
    <w:pPr>
      <w:pBdr>
        <w:bottom w:val="single" w:sz="4" w:space="1" w:color="auto"/>
      </w:pBdr>
      <w:tabs>
        <w:tab w:val="right" w:pos="9072"/>
        <w:tab w:val="right" w:pos="9638"/>
      </w:tabs>
      <w:spacing w:before="0" w:after="0" w:line="200" w:lineRule="exact"/>
    </w:pPr>
    <w:rPr>
      <w:b/>
      <w:bCs/>
      <w:color w:val="53284F"/>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99"/>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uiPriority w:val="4"/>
    <w:rsid w:val="00AB659C"/>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pPr>
      <w:numPr>
        <w:numId w:val="3"/>
      </w:numPr>
      <w:spacing w:before="12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APVMASuperscript">
    <w:name w:val="APVMA_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paragraph" w:customStyle="1" w:styleId="TableText">
    <w:name w:val="TableText"/>
    <w:basedOn w:val="Normal"/>
    <w:uiPriority w:val="4"/>
    <w:qFormat/>
    <w:rsid w:val="00C2676C"/>
    <w:pPr>
      <w:suppressAutoHyphens/>
      <w:spacing w:before="60" w:after="60" w:line="240" w:lineRule="auto"/>
    </w:pPr>
    <w:rPr>
      <w:rFonts w:cs="Arial"/>
      <w:spacing w:val="6"/>
      <w:sz w:val="17"/>
      <w:u w:color="000000"/>
      <w:lang w:eastAsia="en-AU"/>
    </w:rPr>
  </w:style>
  <w:style w:type="character" w:customStyle="1" w:styleId="FooterChar">
    <w:name w:val="Footer Char"/>
    <w:basedOn w:val="DefaultParagraphFont"/>
    <w:link w:val="Footer"/>
    <w:uiPriority w:val="99"/>
    <w:rsid w:val="00C2676C"/>
    <w:rPr>
      <w:rFonts w:ascii="Arial" w:hAnsi="Arial"/>
      <w:szCs w:val="24"/>
      <w:lang w:eastAsia="en-US"/>
    </w:rPr>
  </w:style>
  <w:style w:type="paragraph" w:styleId="CommentSubject">
    <w:name w:val="annotation subject"/>
    <w:basedOn w:val="CommentText"/>
    <w:next w:val="CommentText"/>
    <w:link w:val="CommentSubjectChar"/>
    <w:uiPriority w:val="99"/>
    <w:semiHidden/>
    <w:unhideWhenUsed/>
    <w:rsid w:val="00AA2A97"/>
    <w:pPr>
      <w:spacing w:before="0" w:line="240" w:lineRule="auto"/>
    </w:pPr>
    <w:rPr>
      <w:b/>
      <w:bCs/>
    </w:rPr>
  </w:style>
  <w:style w:type="character" w:customStyle="1" w:styleId="CommentTextChar">
    <w:name w:val="Comment Text Char"/>
    <w:basedOn w:val="DefaultParagraphFont"/>
    <w:link w:val="CommentText"/>
    <w:uiPriority w:val="99"/>
    <w:rsid w:val="00AA2A97"/>
    <w:rPr>
      <w:rFonts w:ascii="Arial" w:hAnsi="Arial"/>
      <w:lang w:eastAsia="en-US"/>
    </w:rPr>
  </w:style>
  <w:style w:type="character" w:customStyle="1" w:styleId="CommentSubjectChar">
    <w:name w:val="Comment Subject Char"/>
    <w:basedOn w:val="CommentTextChar"/>
    <w:link w:val="CommentSubject"/>
    <w:uiPriority w:val="99"/>
    <w:semiHidden/>
    <w:rsid w:val="00AA2A97"/>
    <w:rPr>
      <w:rFonts w:ascii="Arial" w:hAnsi="Arial"/>
      <w:b/>
      <w:bCs/>
      <w:lang w:eastAsia="en-US"/>
    </w:rPr>
  </w:style>
  <w:style w:type="paragraph" w:customStyle="1" w:styleId="Default">
    <w:name w:val="Default"/>
    <w:rsid w:val="00AA2A9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C3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VMA Heading 1 Char,APVMA_H1 Char,Preface Char,Section title Char,Section Char"/>
    <w:basedOn w:val="DefaultParagraphFont"/>
    <w:link w:val="Heading1"/>
    <w:uiPriority w:val="9"/>
    <w:rsid w:val="00953CCC"/>
    <w:rPr>
      <w:rFonts w:ascii="Franklin Gothic Medium" w:hAnsi="Franklin Gothic Medium" w:cs="Arial"/>
      <w:color w:val="53284F" w:themeColor="accent5"/>
      <w:kern w:val="20"/>
      <w:sz w:val="32"/>
      <w:szCs w:val="32"/>
      <w:u w:color="000000"/>
      <w:lang w:eastAsia="en-US"/>
    </w:rPr>
  </w:style>
  <w:style w:type="character" w:customStyle="1" w:styleId="Heading2Char">
    <w:name w:val="Heading 2 Char"/>
    <w:aliases w:val="APVMA Heading 2 Char,APVMA_H2 Char"/>
    <w:basedOn w:val="DefaultParagraphFont"/>
    <w:link w:val="Heading2"/>
    <w:rsid w:val="00D0686C"/>
    <w:rPr>
      <w:rFonts w:ascii="Franklin Gothic Medium" w:hAnsi="Franklin Gothic Medium" w:cs="Arial"/>
      <w:color w:val="53284F" w:themeColor="accent5"/>
      <w:sz w:val="28"/>
      <w:szCs w:val="28"/>
      <w:u w:color="000000"/>
      <w:lang w:eastAsia="en-GB"/>
    </w:rPr>
  </w:style>
  <w:style w:type="character" w:customStyle="1" w:styleId="HeaderChar">
    <w:name w:val="Header Char"/>
    <w:basedOn w:val="DefaultParagraphFont"/>
    <w:link w:val="Header"/>
    <w:uiPriority w:val="99"/>
    <w:rsid w:val="005205F4"/>
    <w:rPr>
      <w:rFonts w:ascii="Arial" w:hAnsi="Arial"/>
      <w:szCs w:val="24"/>
      <w:lang w:eastAsia="en-US"/>
    </w:rPr>
  </w:style>
  <w:style w:type="paragraph" w:styleId="Revision">
    <w:name w:val="Revision"/>
    <w:hidden/>
    <w:uiPriority w:val="99"/>
    <w:semiHidden/>
    <w:rsid w:val="00BC740B"/>
    <w:rPr>
      <w:rFonts w:ascii="Arial" w:hAnsi="Arial"/>
      <w:szCs w:val="24"/>
      <w:lang w:eastAsia="en-US"/>
    </w:rPr>
  </w:style>
  <w:style w:type="paragraph" w:customStyle="1" w:styleId="msonormal0">
    <w:name w:val="msonormal"/>
    <w:basedOn w:val="Normal"/>
    <w:rsid w:val="00CA487E"/>
    <w:pPr>
      <w:spacing w:before="100" w:beforeAutospacing="1" w:after="100" w:afterAutospacing="1" w:line="240" w:lineRule="auto"/>
    </w:pPr>
    <w:rPr>
      <w:rFonts w:ascii="Times New Roman" w:hAnsi="Times New Roman"/>
      <w:sz w:val="24"/>
      <w:lang w:eastAsia="en-AU"/>
    </w:rPr>
  </w:style>
  <w:style w:type="paragraph" w:customStyle="1" w:styleId="xl66">
    <w:name w:val="xl66"/>
    <w:basedOn w:val="Normal"/>
    <w:rsid w:val="00CA487E"/>
    <w:pPr>
      <w:spacing w:before="100" w:beforeAutospacing="1" w:after="100" w:afterAutospacing="1" w:line="240" w:lineRule="auto"/>
      <w:textAlignment w:val="top"/>
    </w:pPr>
    <w:rPr>
      <w:rFonts w:ascii="Times New Roman" w:hAnsi="Times New Roman"/>
      <w:b/>
      <w:bCs/>
      <w:sz w:val="24"/>
      <w:lang w:eastAsia="en-AU"/>
    </w:rPr>
  </w:style>
  <w:style w:type="paragraph" w:customStyle="1" w:styleId="xl67">
    <w:name w:val="xl67"/>
    <w:basedOn w:val="Normal"/>
    <w:rsid w:val="00CA487E"/>
    <w:pPr>
      <w:spacing w:before="100" w:beforeAutospacing="1" w:after="100" w:afterAutospacing="1" w:line="240" w:lineRule="auto"/>
      <w:textAlignment w:val="top"/>
    </w:pPr>
    <w:rPr>
      <w:rFonts w:ascii="Times New Roman" w:hAnsi="Times New Roman"/>
      <w:sz w:val="24"/>
      <w:lang w:eastAsia="en-AU"/>
    </w:rPr>
  </w:style>
  <w:style w:type="paragraph" w:customStyle="1" w:styleId="xl68">
    <w:name w:val="xl68"/>
    <w:basedOn w:val="Normal"/>
    <w:rsid w:val="00CA487E"/>
    <w:pPr>
      <w:spacing w:before="100" w:beforeAutospacing="1" w:after="100" w:afterAutospacing="1" w:line="240" w:lineRule="auto"/>
      <w:textAlignment w:val="center"/>
    </w:pPr>
    <w:rPr>
      <w:rFonts w:ascii="Times New Roman" w:hAnsi="Times New Roman"/>
      <w:b/>
      <w:bCs/>
      <w:sz w:val="24"/>
      <w:lang w:eastAsia="en-AU"/>
    </w:rPr>
  </w:style>
  <w:style w:type="paragraph" w:customStyle="1" w:styleId="xl69">
    <w:name w:val="xl69"/>
    <w:basedOn w:val="Normal"/>
    <w:rsid w:val="00CA487E"/>
    <w:pPr>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70">
    <w:name w:val="xl70"/>
    <w:basedOn w:val="Normal"/>
    <w:rsid w:val="00CA487E"/>
    <w:pP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72">
    <w:name w:val="xl72"/>
    <w:basedOn w:val="Normal"/>
    <w:rsid w:val="00CA487E"/>
    <w:pPr>
      <w:pBdr>
        <w:left w:val="single" w:sz="4" w:space="0" w:color="auto"/>
      </w:pBdr>
      <w:shd w:val="clear" w:color="000000" w:fill="E7E6E6"/>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73">
    <w:name w:val="xl73"/>
    <w:basedOn w:val="Normal"/>
    <w:rsid w:val="00CA487E"/>
    <w:pPr>
      <w:pBdr>
        <w:left w:val="single" w:sz="4" w:space="0" w:color="auto"/>
        <w:bottom w:val="single" w:sz="4" w:space="0" w:color="auto"/>
      </w:pBdr>
      <w:shd w:val="clear" w:color="000000" w:fill="E7E6E6"/>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74">
    <w:name w:val="xl74"/>
    <w:basedOn w:val="Normal"/>
    <w:rsid w:val="00CA487E"/>
    <w:pPr>
      <w:spacing w:before="100" w:beforeAutospacing="1" w:after="100" w:afterAutospacing="1" w:line="240" w:lineRule="auto"/>
      <w:textAlignment w:val="center"/>
    </w:pPr>
    <w:rPr>
      <w:rFonts w:ascii="Times New Roman" w:hAnsi="Times New Roman"/>
      <w:b/>
      <w:bCs/>
      <w:sz w:val="24"/>
      <w:lang w:eastAsia="en-AU"/>
    </w:rPr>
  </w:style>
  <w:style w:type="paragraph" w:customStyle="1" w:styleId="xl75">
    <w:name w:val="xl75"/>
    <w:basedOn w:val="Normal"/>
    <w:rsid w:val="00CA487E"/>
    <w:pPr>
      <w:pBdr>
        <w:left w:val="single" w:sz="4" w:space="0" w:color="auto"/>
        <w:bottom w:val="single" w:sz="4" w:space="0" w:color="auto"/>
      </w:pBdr>
      <w:shd w:val="clear" w:color="000000" w:fill="D0CECE"/>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76">
    <w:name w:val="xl76"/>
    <w:basedOn w:val="Normal"/>
    <w:rsid w:val="00CA487E"/>
    <w:pPr>
      <w:pBdr>
        <w:bottom w:val="single" w:sz="4" w:space="0" w:color="auto"/>
      </w:pBdr>
      <w:shd w:val="clear" w:color="000000" w:fill="D0CECE"/>
      <w:spacing w:before="100" w:beforeAutospacing="1" w:after="100" w:afterAutospacing="1" w:line="240" w:lineRule="auto"/>
      <w:textAlignment w:val="top"/>
    </w:pPr>
    <w:rPr>
      <w:rFonts w:ascii="Times New Roman" w:hAnsi="Times New Roman"/>
      <w:b/>
      <w:bCs/>
      <w:sz w:val="24"/>
      <w:lang w:eastAsia="en-AU"/>
    </w:rPr>
  </w:style>
  <w:style w:type="paragraph" w:customStyle="1" w:styleId="xl77">
    <w:name w:val="xl77"/>
    <w:basedOn w:val="Normal"/>
    <w:rsid w:val="00CA487E"/>
    <w:pPr>
      <w:pBdr>
        <w:bottom w:val="single" w:sz="4" w:space="0" w:color="auto"/>
      </w:pBdr>
      <w:shd w:val="clear" w:color="000000" w:fill="D0CECE"/>
      <w:spacing w:before="100" w:beforeAutospacing="1" w:after="100" w:afterAutospacing="1" w:line="240" w:lineRule="auto"/>
      <w:textAlignment w:val="top"/>
    </w:pPr>
    <w:rPr>
      <w:rFonts w:ascii="Times New Roman" w:hAnsi="Times New Roman"/>
      <w:b/>
      <w:bCs/>
      <w:sz w:val="24"/>
      <w:lang w:eastAsia="en-AU"/>
    </w:rPr>
  </w:style>
  <w:style w:type="paragraph" w:customStyle="1" w:styleId="xl78">
    <w:name w:val="xl78"/>
    <w:basedOn w:val="Normal"/>
    <w:rsid w:val="00CA487E"/>
    <w:pPr>
      <w:pBdr>
        <w:bottom w:val="single" w:sz="4" w:space="0" w:color="auto"/>
      </w:pBdr>
      <w:shd w:val="clear" w:color="000000" w:fill="D0CECE"/>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79">
    <w:name w:val="xl79"/>
    <w:basedOn w:val="Normal"/>
    <w:rsid w:val="00CA487E"/>
    <w:pPr>
      <w:pBdr>
        <w:bottom w:val="single" w:sz="4" w:space="0" w:color="auto"/>
        <w:right w:val="single" w:sz="4" w:space="0" w:color="auto"/>
      </w:pBdr>
      <w:shd w:val="clear" w:color="000000" w:fill="D0CECE"/>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80">
    <w:name w:val="xl80"/>
    <w:basedOn w:val="Normal"/>
    <w:rsid w:val="00CA487E"/>
    <w:pPr>
      <w:spacing w:before="100" w:beforeAutospacing="1" w:after="100" w:afterAutospacing="1" w:line="240" w:lineRule="auto"/>
      <w:textAlignment w:val="center"/>
    </w:pPr>
    <w:rPr>
      <w:rFonts w:ascii="Times New Roman" w:hAnsi="Times New Roman"/>
      <w:b/>
      <w:bCs/>
      <w:i/>
      <w:iCs/>
      <w:sz w:val="24"/>
      <w:lang w:eastAsia="en-AU"/>
    </w:rPr>
  </w:style>
  <w:style w:type="paragraph" w:customStyle="1" w:styleId="xl81">
    <w:name w:val="xl81"/>
    <w:basedOn w:val="Normal"/>
    <w:rsid w:val="00CA487E"/>
    <w:pPr>
      <w:spacing w:before="100" w:beforeAutospacing="1" w:after="100" w:afterAutospacing="1" w:line="240" w:lineRule="auto"/>
      <w:textAlignment w:val="center"/>
    </w:pPr>
    <w:rPr>
      <w:rFonts w:ascii="Times New Roman" w:hAnsi="Times New Roman"/>
      <w:i/>
      <w:iCs/>
      <w:sz w:val="24"/>
      <w:lang w:eastAsia="en-AU"/>
    </w:rPr>
  </w:style>
  <w:style w:type="paragraph" w:customStyle="1" w:styleId="xl82">
    <w:name w:val="xl82"/>
    <w:basedOn w:val="Normal"/>
    <w:rsid w:val="00CA487E"/>
    <w:pPr>
      <w:spacing w:before="100" w:beforeAutospacing="1" w:after="100" w:afterAutospacing="1" w:line="240" w:lineRule="auto"/>
      <w:ind w:firstLineChars="100" w:firstLine="100"/>
      <w:textAlignment w:val="top"/>
    </w:pPr>
    <w:rPr>
      <w:rFonts w:ascii="Times New Roman" w:hAnsi="Times New Roman"/>
      <w:i/>
      <w:iCs/>
      <w:sz w:val="24"/>
      <w:lang w:eastAsia="en-AU"/>
    </w:rPr>
  </w:style>
  <w:style w:type="paragraph" w:customStyle="1" w:styleId="xl83">
    <w:name w:val="xl83"/>
    <w:basedOn w:val="Normal"/>
    <w:rsid w:val="00CA487E"/>
    <w:pPr>
      <w:spacing w:before="100" w:beforeAutospacing="1" w:after="100" w:afterAutospacing="1" w:line="240" w:lineRule="auto"/>
      <w:jc w:val="center"/>
      <w:textAlignment w:val="center"/>
    </w:pPr>
    <w:rPr>
      <w:rFonts w:ascii="Times New Roman" w:hAnsi="Times New Roman"/>
      <w:i/>
      <w:iCs/>
      <w:sz w:val="24"/>
      <w:lang w:eastAsia="en-AU"/>
    </w:rPr>
  </w:style>
  <w:style w:type="paragraph" w:customStyle="1" w:styleId="xl84">
    <w:name w:val="xl84"/>
    <w:basedOn w:val="Normal"/>
    <w:rsid w:val="00CA487E"/>
    <w:pPr>
      <w:pBdr>
        <w:right w:val="single" w:sz="4" w:space="0" w:color="auto"/>
      </w:pBdr>
      <w:spacing w:before="100" w:beforeAutospacing="1" w:after="100" w:afterAutospacing="1" w:line="240" w:lineRule="auto"/>
      <w:jc w:val="center"/>
      <w:textAlignment w:val="center"/>
    </w:pPr>
    <w:rPr>
      <w:rFonts w:ascii="Times New Roman" w:hAnsi="Times New Roman"/>
      <w:i/>
      <w:iCs/>
      <w:sz w:val="24"/>
      <w:lang w:eastAsia="en-AU"/>
    </w:rPr>
  </w:style>
  <w:style w:type="paragraph" w:customStyle="1" w:styleId="xl85">
    <w:name w:val="xl85"/>
    <w:basedOn w:val="Normal"/>
    <w:rsid w:val="00CA487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i/>
      <w:iCs/>
      <w:sz w:val="24"/>
      <w:lang w:eastAsia="en-AU"/>
    </w:rPr>
  </w:style>
  <w:style w:type="paragraph" w:customStyle="1" w:styleId="xl86">
    <w:name w:val="xl86"/>
    <w:basedOn w:val="Normal"/>
    <w:rsid w:val="00CA487E"/>
    <w:pPr>
      <w:spacing w:before="100" w:beforeAutospacing="1" w:after="100" w:afterAutospacing="1" w:line="240" w:lineRule="auto"/>
      <w:jc w:val="center"/>
      <w:textAlignment w:val="center"/>
    </w:pPr>
    <w:rPr>
      <w:rFonts w:ascii="Times New Roman" w:hAnsi="Times New Roman"/>
      <w:b/>
      <w:bCs/>
      <w:i/>
      <w:iCs/>
      <w:sz w:val="24"/>
      <w:lang w:eastAsia="en-AU"/>
    </w:rPr>
  </w:style>
  <w:style w:type="paragraph" w:customStyle="1" w:styleId="xl87">
    <w:name w:val="xl87"/>
    <w:basedOn w:val="Normal"/>
    <w:rsid w:val="00CA487E"/>
    <w:pPr>
      <w:spacing w:before="100" w:beforeAutospacing="1" w:after="100" w:afterAutospacing="1" w:line="240" w:lineRule="auto"/>
      <w:ind w:firstLineChars="100" w:firstLine="100"/>
      <w:textAlignment w:val="center"/>
    </w:pPr>
    <w:rPr>
      <w:rFonts w:ascii="Times New Roman" w:hAnsi="Times New Roman"/>
      <w:i/>
      <w:iCs/>
      <w:sz w:val="24"/>
      <w:lang w:eastAsia="en-AU"/>
    </w:rPr>
  </w:style>
  <w:style w:type="paragraph" w:customStyle="1" w:styleId="xl88">
    <w:name w:val="xl88"/>
    <w:basedOn w:val="Normal"/>
    <w:rsid w:val="00CA487E"/>
    <w:pPr>
      <w:spacing w:before="100" w:beforeAutospacing="1" w:after="100" w:afterAutospacing="1" w:line="240" w:lineRule="auto"/>
      <w:textAlignment w:val="center"/>
    </w:pPr>
    <w:rPr>
      <w:rFonts w:ascii="Times New Roman" w:hAnsi="Times New Roman"/>
      <w:b/>
      <w:bCs/>
      <w:i/>
      <w:iCs/>
      <w:sz w:val="24"/>
      <w:lang w:eastAsia="en-AU"/>
    </w:rPr>
  </w:style>
  <w:style w:type="paragraph" w:customStyle="1" w:styleId="xl89">
    <w:name w:val="xl89"/>
    <w:basedOn w:val="Normal"/>
    <w:rsid w:val="00CA487E"/>
    <w:pPr>
      <w:spacing w:before="100" w:beforeAutospacing="1" w:after="100" w:afterAutospacing="1" w:line="240" w:lineRule="auto"/>
      <w:textAlignment w:val="center"/>
    </w:pPr>
    <w:rPr>
      <w:rFonts w:ascii="Times New Roman" w:hAnsi="Times New Roman"/>
      <w:i/>
      <w:iCs/>
      <w:sz w:val="24"/>
      <w:lang w:eastAsia="en-AU"/>
    </w:rPr>
  </w:style>
  <w:style w:type="paragraph" w:customStyle="1" w:styleId="xl90">
    <w:name w:val="xl90"/>
    <w:basedOn w:val="Normal"/>
    <w:rsid w:val="00CA487E"/>
    <w:pPr>
      <w:pBdr>
        <w:top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91">
    <w:name w:val="xl91"/>
    <w:basedOn w:val="Normal"/>
    <w:rsid w:val="00CA487E"/>
    <w:pPr>
      <w:pBdr>
        <w:top w:val="single" w:sz="4" w:space="0" w:color="auto"/>
      </w:pBdr>
      <w:spacing w:before="100" w:beforeAutospacing="1" w:after="100" w:afterAutospacing="1" w:line="240" w:lineRule="auto"/>
    </w:pPr>
    <w:rPr>
      <w:rFonts w:ascii="Times New Roman" w:hAnsi="Times New Roman"/>
      <w:sz w:val="24"/>
      <w:lang w:eastAsia="en-AU"/>
    </w:rPr>
  </w:style>
  <w:style w:type="paragraph" w:customStyle="1" w:styleId="xl92">
    <w:name w:val="xl92"/>
    <w:basedOn w:val="Normal"/>
    <w:rsid w:val="00CA487E"/>
    <w:pPr>
      <w:pBdr>
        <w:top w:val="single" w:sz="4" w:space="0" w:color="auto"/>
        <w:left w:val="single" w:sz="4" w:space="0" w:color="auto"/>
      </w:pBdr>
      <w:shd w:val="clear" w:color="000000" w:fill="E7E6E6"/>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93">
    <w:name w:val="xl93"/>
    <w:basedOn w:val="Normal"/>
    <w:rsid w:val="00CA487E"/>
    <w:pPr>
      <w:pBdr>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94">
    <w:name w:val="xl94"/>
    <w:basedOn w:val="Normal"/>
    <w:rsid w:val="00CA487E"/>
    <w:pPr>
      <w:pBdr>
        <w:bottom w:val="single" w:sz="4" w:space="0" w:color="auto"/>
        <w:right w:val="single" w:sz="4" w:space="0" w:color="auto"/>
      </w:pBdr>
      <w:shd w:val="clear" w:color="000000" w:fill="E7E6E6"/>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95">
    <w:name w:val="xl95"/>
    <w:basedOn w:val="Normal"/>
    <w:rsid w:val="00CA487E"/>
    <w:pPr>
      <w:pBdr>
        <w:top w:val="single" w:sz="4" w:space="0" w:color="auto"/>
      </w:pBdr>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96">
    <w:name w:val="xl96"/>
    <w:basedOn w:val="Normal"/>
    <w:rsid w:val="00CA487E"/>
    <w:pPr>
      <w:spacing w:before="100" w:beforeAutospacing="1" w:after="100" w:afterAutospacing="1" w:line="240" w:lineRule="auto"/>
      <w:textAlignment w:val="center"/>
    </w:pPr>
    <w:rPr>
      <w:rFonts w:ascii="Times New Roman" w:hAnsi="Times New Roman"/>
      <w:sz w:val="24"/>
      <w:lang w:eastAsia="en-AU"/>
    </w:rPr>
  </w:style>
  <w:style w:type="paragraph" w:customStyle="1" w:styleId="xl97">
    <w:name w:val="xl97"/>
    <w:basedOn w:val="Normal"/>
    <w:rsid w:val="00CA487E"/>
    <w:pPr>
      <w:pBdr>
        <w:left w:val="single" w:sz="4" w:space="0" w:color="auto"/>
      </w:pBdr>
      <w:shd w:val="clear" w:color="000000" w:fill="E7E6E6"/>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98">
    <w:name w:val="xl98"/>
    <w:basedOn w:val="Normal"/>
    <w:rsid w:val="00CA487E"/>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99">
    <w:name w:val="xl99"/>
    <w:basedOn w:val="Normal"/>
    <w:rsid w:val="00CA487E"/>
    <w:pPr>
      <w:pBdr>
        <w:lef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0">
    <w:name w:val="xl100"/>
    <w:basedOn w:val="Normal"/>
    <w:rsid w:val="00CA487E"/>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1">
    <w:name w:val="xl101"/>
    <w:basedOn w:val="Normal"/>
    <w:rsid w:val="00CA487E"/>
    <w:pPr>
      <w:pBdr>
        <w:top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2">
    <w:name w:val="xl102"/>
    <w:basedOn w:val="Normal"/>
    <w:rsid w:val="00CA487E"/>
    <w:pP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03">
    <w:name w:val="xl103"/>
    <w:basedOn w:val="Normal"/>
    <w:rsid w:val="00CA487E"/>
    <w:pPr>
      <w:pBdr>
        <w:righ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4">
    <w:name w:val="xl104"/>
    <w:basedOn w:val="Normal"/>
    <w:rsid w:val="00CA487E"/>
    <w:pPr>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105">
    <w:name w:val="xl105"/>
    <w:basedOn w:val="Normal"/>
    <w:rsid w:val="00CA487E"/>
    <w:pPr>
      <w:pBdr>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6">
    <w:name w:val="xl106"/>
    <w:basedOn w:val="Normal"/>
    <w:rsid w:val="00CA487E"/>
    <w:pPr>
      <w:pBdr>
        <w:bottom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07">
    <w:name w:val="xl107"/>
    <w:basedOn w:val="Normal"/>
    <w:rsid w:val="00CA487E"/>
    <w:pPr>
      <w:pBdr>
        <w:top w:val="single" w:sz="4" w:space="0" w:color="auto"/>
        <w:lef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8">
    <w:name w:val="xl108"/>
    <w:basedOn w:val="Normal"/>
    <w:rsid w:val="00CA487E"/>
    <w:pPr>
      <w:pBdr>
        <w:lef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9">
    <w:name w:val="xl109"/>
    <w:basedOn w:val="Normal"/>
    <w:rsid w:val="00CA487E"/>
    <w:pP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10">
    <w:name w:val="xl110"/>
    <w:basedOn w:val="Normal"/>
    <w:rsid w:val="00CA487E"/>
    <w:pPr>
      <w:pBdr>
        <w:right w:val="single" w:sz="4" w:space="0" w:color="auto"/>
      </w:pBd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11">
    <w:name w:val="xl111"/>
    <w:basedOn w:val="Normal"/>
    <w:rsid w:val="00CA487E"/>
    <w:pPr>
      <w:shd w:val="clear" w:color="000000" w:fill="F2F2F2"/>
      <w:spacing w:before="100" w:beforeAutospacing="1" w:after="100" w:afterAutospacing="1" w:line="240" w:lineRule="auto"/>
      <w:ind w:firstLineChars="100" w:firstLine="100"/>
      <w:textAlignment w:val="top"/>
    </w:pPr>
    <w:rPr>
      <w:rFonts w:ascii="Times New Roman" w:hAnsi="Times New Roman"/>
      <w:sz w:val="24"/>
      <w:lang w:eastAsia="en-AU"/>
    </w:rPr>
  </w:style>
  <w:style w:type="paragraph" w:customStyle="1" w:styleId="xl112">
    <w:name w:val="xl112"/>
    <w:basedOn w:val="Normal"/>
    <w:rsid w:val="00CA487E"/>
    <w:pPr>
      <w:shd w:val="clear" w:color="000000" w:fill="F2F2F2"/>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13">
    <w:name w:val="xl113"/>
    <w:basedOn w:val="Normal"/>
    <w:rsid w:val="00CA487E"/>
    <w:pP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14">
    <w:name w:val="xl114"/>
    <w:basedOn w:val="Normal"/>
    <w:rsid w:val="00CA487E"/>
    <w:pPr>
      <w:pBdr>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15">
    <w:name w:val="xl115"/>
    <w:basedOn w:val="Normal"/>
    <w:rsid w:val="00CA487E"/>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16">
    <w:name w:val="xl116"/>
    <w:basedOn w:val="Normal"/>
    <w:rsid w:val="00CA487E"/>
    <w:pP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17">
    <w:name w:val="xl117"/>
    <w:basedOn w:val="Normal"/>
    <w:rsid w:val="00CA487E"/>
    <w:pPr>
      <w:pBdr>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18">
    <w:name w:val="xl118"/>
    <w:basedOn w:val="Normal"/>
    <w:rsid w:val="00CA487E"/>
    <w:pPr>
      <w:shd w:val="clear" w:color="000000" w:fill="F2F2F2"/>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119">
    <w:name w:val="xl119"/>
    <w:basedOn w:val="Normal"/>
    <w:rsid w:val="00CA487E"/>
    <w:pPr>
      <w:shd w:val="clear" w:color="000000" w:fill="F2F2F2"/>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120">
    <w:name w:val="xl120"/>
    <w:basedOn w:val="Normal"/>
    <w:rsid w:val="00CA487E"/>
    <w:pP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21">
    <w:name w:val="xl121"/>
    <w:basedOn w:val="Normal"/>
    <w:rsid w:val="00CA487E"/>
    <w:pPr>
      <w:pBdr>
        <w:top w:val="single" w:sz="4" w:space="0" w:color="auto"/>
        <w:bottom w:val="double" w:sz="6"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2">
    <w:name w:val="xl122"/>
    <w:basedOn w:val="Normal"/>
    <w:rsid w:val="00CA487E"/>
    <w:pPr>
      <w:pBdr>
        <w:left w:val="single" w:sz="4" w:space="0" w:color="auto"/>
        <w:bottom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23">
    <w:name w:val="xl123"/>
    <w:basedOn w:val="Normal"/>
    <w:rsid w:val="00CA487E"/>
    <w:pPr>
      <w:pBdr>
        <w:bottom w:val="single" w:sz="4" w:space="0" w:color="auto"/>
      </w:pBd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24">
    <w:name w:val="xl124"/>
    <w:basedOn w:val="Normal"/>
    <w:rsid w:val="00CA487E"/>
    <w:pPr>
      <w:pBdr>
        <w:bottom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5">
    <w:name w:val="xl125"/>
    <w:basedOn w:val="Normal"/>
    <w:rsid w:val="00CA487E"/>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6">
    <w:name w:val="xl126"/>
    <w:basedOn w:val="Normal"/>
    <w:rsid w:val="00CA487E"/>
    <w:pPr>
      <w:pBdr>
        <w:top w:val="single" w:sz="4" w:space="0" w:color="auto"/>
      </w:pBd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27">
    <w:name w:val="xl127"/>
    <w:basedOn w:val="Normal"/>
    <w:rsid w:val="00CA487E"/>
    <w:pPr>
      <w:pBdr>
        <w:top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8">
    <w:name w:val="xl128"/>
    <w:basedOn w:val="Normal"/>
    <w:rsid w:val="00CA487E"/>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9">
    <w:name w:val="xl129"/>
    <w:basedOn w:val="Normal"/>
    <w:rsid w:val="00CA487E"/>
    <w:pPr>
      <w:pBdr>
        <w:right w:val="single" w:sz="4" w:space="0" w:color="auto"/>
      </w:pBdr>
      <w:shd w:val="clear" w:color="000000" w:fill="F2F2F2"/>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130">
    <w:name w:val="xl130"/>
    <w:basedOn w:val="Normal"/>
    <w:rsid w:val="00CA487E"/>
    <w:pPr>
      <w:pBdr>
        <w:top w:val="single" w:sz="4" w:space="0" w:color="auto"/>
      </w:pBd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1">
    <w:name w:val="xl131"/>
    <w:basedOn w:val="Normal"/>
    <w:rsid w:val="00CA487E"/>
    <w:pP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2">
    <w:name w:val="xl132"/>
    <w:basedOn w:val="Normal"/>
    <w:rsid w:val="00CA487E"/>
    <w:pPr>
      <w:pBdr>
        <w:top w:val="single" w:sz="4" w:space="0" w:color="auto"/>
        <w:bottom w:val="double" w:sz="6" w:space="0" w:color="auto"/>
      </w:pBd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3">
    <w:name w:val="xl133"/>
    <w:basedOn w:val="Normal"/>
    <w:rsid w:val="00CA487E"/>
    <w:pP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4">
    <w:name w:val="xl134"/>
    <w:basedOn w:val="Normal"/>
    <w:rsid w:val="00CA487E"/>
    <w:pPr>
      <w:pBdr>
        <w:right w:val="single" w:sz="4" w:space="0" w:color="auto"/>
      </w:pBd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5">
    <w:name w:val="xl135"/>
    <w:basedOn w:val="Normal"/>
    <w:rsid w:val="00CA487E"/>
    <w:pP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36">
    <w:name w:val="xl136"/>
    <w:basedOn w:val="Normal"/>
    <w:rsid w:val="00CA487E"/>
    <w:pPr>
      <w:pBdr>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37">
    <w:name w:val="xl137"/>
    <w:basedOn w:val="Normal"/>
    <w:rsid w:val="00CA487E"/>
    <w:pPr>
      <w:spacing w:before="100" w:beforeAutospacing="1" w:after="100" w:afterAutospacing="1" w:line="240" w:lineRule="auto"/>
      <w:ind w:firstLineChars="100" w:firstLine="100"/>
      <w:textAlignment w:val="top"/>
    </w:pPr>
    <w:rPr>
      <w:rFonts w:ascii="Times New Roman" w:hAnsi="Times New Roman"/>
      <w:sz w:val="24"/>
      <w:lang w:eastAsia="en-AU"/>
    </w:rPr>
  </w:style>
  <w:style w:type="paragraph" w:customStyle="1" w:styleId="xl138">
    <w:name w:val="xl138"/>
    <w:basedOn w:val="Normal"/>
    <w:rsid w:val="00CA487E"/>
    <w:pPr>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39">
    <w:name w:val="xl139"/>
    <w:basedOn w:val="Normal"/>
    <w:rsid w:val="00CA487E"/>
    <w:pPr>
      <w:pBdr>
        <w:right w:val="single" w:sz="4" w:space="0" w:color="auto"/>
      </w:pBdr>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40">
    <w:name w:val="xl140"/>
    <w:basedOn w:val="Normal"/>
    <w:rsid w:val="00CA487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41">
    <w:name w:val="xl141"/>
    <w:basedOn w:val="Normal"/>
    <w:rsid w:val="00CA487E"/>
    <w:pP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42">
    <w:name w:val="xl142"/>
    <w:basedOn w:val="Normal"/>
    <w:rsid w:val="00CA487E"/>
    <w:pPr>
      <w:pBdr>
        <w:right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43">
    <w:name w:val="xl143"/>
    <w:basedOn w:val="Normal"/>
    <w:rsid w:val="00CA487E"/>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44">
    <w:name w:val="xl144"/>
    <w:basedOn w:val="Normal"/>
    <w:rsid w:val="00CA487E"/>
    <w:pPr>
      <w:pBdr>
        <w:top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45">
    <w:name w:val="xl145"/>
    <w:basedOn w:val="Normal"/>
    <w:rsid w:val="00CA487E"/>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46">
    <w:name w:val="xl146"/>
    <w:basedOn w:val="Normal"/>
    <w:rsid w:val="00CA487E"/>
    <w:pPr>
      <w:spacing w:before="100" w:beforeAutospacing="1" w:after="100" w:afterAutospacing="1" w:line="240" w:lineRule="auto"/>
      <w:jc w:val="center"/>
      <w:textAlignment w:val="center"/>
    </w:pPr>
    <w:rPr>
      <w:rFonts w:ascii="Times New Roman" w:hAnsi="Times New Roman"/>
      <w:szCs w:val="20"/>
      <w:lang w:eastAsia="en-AU"/>
    </w:rPr>
  </w:style>
  <w:style w:type="paragraph" w:customStyle="1" w:styleId="xl147">
    <w:name w:val="xl147"/>
    <w:basedOn w:val="Normal"/>
    <w:rsid w:val="00CA487E"/>
    <w:pPr>
      <w:pBdr>
        <w:bottom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48">
    <w:name w:val="xl148"/>
    <w:basedOn w:val="Normal"/>
    <w:rsid w:val="00CA487E"/>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49">
    <w:name w:val="xl149"/>
    <w:basedOn w:val="Normal"/>
    <w:rsid w:val="00CA487E"/>
    <w:pPr>
      <w:pBdr>
        <w:bottom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50">
    <w:name w:val="xl150"/>
    <w:basedOn w:val="Normal"/>
    <w:rsid w:val="00CA487E"/>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51">
    <w:name w:val="xl151"/>
    <w:basedOn w:val="Normal"/>
    <w:rsid w:val="00CA487E"/>
    <w:pPr>
      <w:spacing w:before="100" w:beforeAutospacing="1" w:after="100" w:afterAutospacing="1" w:line="240" w:lineRule="auto"/>
      <w:textAlignment w:val="center"/>
    </w:pPr>
    <w:rPr>
      <w:rFonts w:ascii="Times New Roman" w:hAnsi="Times New Roman"/>
      <w:sz w:val="24"/>
      <w:lang w:eastAsia="en-AU"/>
    </w:rPr>
  </w:style>
  <w:style w:type="paragraph" w:customStyle="1" w:styleId="xl152">
    <w:name w:val="xl152"/>
    <w:basedOn w:val="Normal"/>
    <w:rsid w:val="00CA487E"/>
    <w:pPr>
      <w:spacing w:before="100" w:beforeAutospacing="1" w:after="100" w:afterAutospacing="1" w:line="240" w:lineRule="auto"/>
      <w:textAlignment w:val="center"/>
    </w:pPr>
    <w:rPr>
      <w:rFonts w:ascii="Times New Roman" w:hAnsi="Times New Roman"/>
      <w:sz w:val="24"/>
      <w:lang w:eastAsia="en-AU"/>
    </w:rPr>
  </w:style>
  <w:style w:type="paragraph" w:customStyle="1" w:styleId="xl153">
    <w:name w:val="xl153"/>
    <w:basedOn w:val="Normal"/>
    <w:rsid w:val="00CA487E"/>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54">
    <w:name w:val="xl154"/>
    <w:basedOn w:val="Normal"/>
    <w:rsid w:val="00CA487E"/>
    <w:pPr>
      <w:pBdr>
        <w:bottom w:val="single" w:sz="4" w:space="0" w:color="auto"/>
      </w:pBdr>
      <w:spacing w:before="100" w:beforeAutospacing="1" w:after="100" w:afterAutospacing="1" w:line="240" w:lineRule="auto"/>
      <w:ind w:firstLineChars="100" w:firstLine="100"/>
    </w:pPr>
    <w:rPr>
      <w:rFonts w:ascii="Times New Roman" w:hAnsi="Times New Roman"/>
      <w:sz w:val="24"/>
      <w:lang w:eastAsia="en-AU"/>
    </w:rPr>
  </w:style>
  <w:style w:type="paragraph" w:customStyle="1" w:styleId="xl155">
    <w:name w:val="xl155"/>
    <w:basedOn w:val="Normal"/>
    <w:rsid w:val="00CA487E"/>
    <w:pPr>
      <w:pBdr>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sz w:val="24"/>
      <w:lang w:eastAsia="en-AU"/>
    </w:rPr>
  </w:style>
  <w:style w:type="paragraph" w:customStyle="1" w:styleId="xl156">
    <w:name w:val="xl156"/>
    <w:basedOn w:val="Normal"/>
    <w:rsid w:val="00CA487E"/>
    <w:pPr>
      <w:spacing w:before="100" w:beforeAutospacing="1" w:after="100" w:afterAutospacing="1" w:line="240" w:lineRule="auto"/>
      <w:ind w:firstLineChars="100" w:firstLine="100"/>
    </w:pPr>
    <w:rPr>
      <w:rFonts w:ascii="Times New Roman" w:hAnsi="Times New Roman"/>
      <w:sz w:val="24"/>
      <w:lang w:eastAsia="en-AU"/>
    </w:rPr>
  </w:style>
  <w:style w:type="paragraph" w:customStyle="1" w:styleId="xl157">
    <w:name w:val="xl157"/>
    <w:basedOn w:val="Normal"/>
    <w:rsid w:val="00CA487E"/>
    <w:pPr>
      <w:pBdr>
        <w:bottom w:val="single" w:sz="4" w:space="0" w:color="auto"/>
      </w:pBdr>
      <w:spacing w:before="100" w:beforeAutospacing="1" w:after="100" w:afterAutospacing="1" w:line="240" w:lineRule="auto"/>
      <w:textAlignment w:val="center"/>
    </w:pPr>
    <w:rPr>
      <w:rFonts w:ascii="Times New Roman" w:hAnsi="Times New Roman"/>
      <w:sz w:val="24"/>
      <w:lang w:eastAsia="en-AU"/>
    </w:rPr>
  </w:style>
  <w:style w:type="paragraph" w:customStyle="1" w:styleId="xl158">
    <w:name w:val="xl158"/>
    <w:basedOn w:val="Normal"/>
    <w:rsid w:val="00CA487E"/>
    <w:pPr>
      <w:spacing w:before="100" w:beforeAutospacing="1" w:after="100" w:afterAutospacing="1" w:line="240" w:lineRule="auto"/>
      <w:textAlignment w:val="center"/>
    </w:pPr>
    <w:rPr>
      <w:rFonts w:ascii="Times New Roman" w:hAnsi="Times New Roman"/>
      <w:b/>
      <w:bCs/>
      <w:szCs w:val="20"/>
      <w:lang w:eastAsia="en-AU"/>
    </w:rPr>
  </w:style>
  <w:style w:type="paragraph" w:customStyle="1" w:styleId="xl159">
    <w:name w:val="xl159"/>
    <w:basedOn w:val="Normal"/>
    <w:rsid w:val="00CA487E"/>
    <w:pPr>
      <w:pBdr>
        <w:right w:val="single" w:sz="4" w:space="0" w:color="auto"/>
      </w:pBdr>
      <w:spacing w:before="100" w:beforeAutospacing="1" w:after="100" w:afterAutospacing="1" w:line="240" w:lineRule="auto"/>
      <w:jc w:val="center"/>
      <w:textAlignment w:val="center"/>
    </w:pPr>
    <w:rPr>
      <w:rFonts w:ascii="Times New Roman" w:hAnsi="Times New Roman"/>
      <w:b/>
      <w:bCs/>
      <w:i/>
      <w:iCs/>
      <w:sz w:val="24"/>
      <w:lang w:eastAsia="en-AU"/>
    </w:rPr>
  </w:style>
  <w:style w:type="paragraph" w:customStyle="1" w:styleId="xl160">
    <w:name w:val="xl160"/>
    <w:basedOn w:val="Normal"/>
    <w:rsid w:val="00CA487E"/>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i/>
      <w:iCs/>
      <w:sz w:val="24"/>
      <w:lang w:eastAsia="en-AU"/>
    </w:rPr>
  </w:style>
  <w:style w:type="paragraph" w:customStyle="1" w:styleId="xl161">
    <w:name w:val="xl161"/>
    <w:basedOn w:val="Normal"/>
    <w:rsid w:val="00CA487E"/>
    <w:pPr>
      <w:pBdr>
        <w:top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2">
    <w:name w:val="xl162"/>
    <w:basedOn w:val="Normal"/>
    <w:rsid w:val="00CA487E"/>
    <w:pPr>
      <w:pBdr>
        <w:top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3">
    <w:name w:val="xl163"/>
    <w:basedOn w:val="Normal"/>
    <w:rsid w:val="00CA487E"/>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4">
    <w:name w:val="xl164"/>
    <w:basedOn w:val="Normal"/>
    <w:rsid w:val="00CA487E"/>
    <w:pP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5">
    <w:name w:val="xl165"/>
    <w:basedOn w:val="Normal"/>
    <w:rsid w:val="00CA487E"/>
    <w:pPr>
      <w:pBdr>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6">
    <w:name w:val="xl166"/>
    <w:basedOn w:val="Normal"/>
    <w:rsid w:val="00CA487E"/>
    <w:pPr>
      <w:pBdr>
        <w:top w:val="single" w:sz="4" w:space="0" w:color="auto"/>
      </w:pBdr>
      <w:spacing w:before="100" w:beforeAutospacing="1" w:after="100" w:afterAutospacing="1" w:line="240" w:lineRule="auto"/>
      <w:textAlignment w:val="center"/>
    </w:pPr>
    <w:rPr>
      <w:rFonts w:ascii="Times New Roman" w:hAnsi="Times New Roman"/>
      <w:b/>
      <w:bCs/>
      <w:i/>
      <w:iCs/>
      <w:sz w:val="24"/>
      <w:lang w:eastAsia="en-AU"/>
    </w:rPr>
  </w:style>
  <w:style w:type="paragraph" w:customStyle="1" w:styleId="xl167">
    <w:name w:val="xl167"/>
    <w:basedOn w:val="Normal"/>
    <w:rsid w:val="00CA487E"/>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lang w:eastAsia="en-AU"/>
    </w:rPr>
  </w:style>
  <w:style w:type="paragraph" w:customStyle="1" w:styleId="xl168">
    <w:name w:val="xl168"/>
    <w:basedOn w:val="Normal"/>
    <w:rsid w:val="00CA487E"/>
    <w:pPr>
      <w:pBdr>
        <w:bottom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69">
    <w:name w:val="xl169"/>
    <w:basedOn w:val="Normal"/>
    <w:rsid w:val="00CA487E"/>
    <w:pPr>
      <w:pBdr>
        <w:top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Bullet10">
    <w:name w:val="Bullet 1"/>
    <w:basedOn w:val="Normal"/>
    <w:uiPriority w:val="11"/>
    <w:qFormat/>
    <w:rsid w:val="005D67ED"/>
    <w:pPr>
      <w:spacing w:before="80" w:after="80" w:line="240" w:lineRule="auto"/>
    </w:pPr>
    <w:rPr>
      <w:rFonts w:ascii="Calibri" w:hAnsi="Calibri" w:cs="Calibri"/>
      <w:sz w:val="22"/>
      <w:szCs w:val="22"/>
      <w:lang w:eastAsia="en-AU"/>
    </w:rPr>
  </w:style>
  <w:style w:type="paragraph" w:customStyle="1" w:styleId="Bullet20">
    <w:name w:val="Bullet 2"/>
    <w:basedOn w:val="Bullet10"/>
    <w:uiPriority w:val="11"/>
    <w:rsid w:val="005D67ED"/>
  </w:style>
  <w:style w:type="paragraph" w:styleId="ListParagraph">
    <w:name w:val="List Paragraph"/>
    <w:basedOn w:val="Normal"/>
    <w:uiPriority w:val="34"/>
    <w:qFormat/>
    <w:rsid w:val="00074E57"/>
    <w:pPr>
      <w:ind w:left="720"/>
      <w:contextualSpacing/>
    </w:pPr>
  </w:style>
  <w:style w:type="character" w:customStyle="1" w:styleId="UnresolvedMention1">
    <w:name w:val="Unresolved Mention1"/>
    <w:basedOn w:val="DefaultParagraphFont"/>
    <w:uiPriority w:val="99"/>
    <w:semiHidden/>
    <w:unhideWhenUsed/>
    <w:rsid w:val="00474F9F"/>
    <w:rPr>
      <w:color w:val="605E5C"/>
      <w:shd w:val="clear" w:color="auto" w:fill="E1DFDD"/>
    </w:rPr>
  </w:style>
  <w:style w:type="character" w:customStyle="1" w:styleId="UnresolvedMention2">
    <w:name w:val="Unresolved Mention2"/>
    <w:basedOn w:val="DefaultParagraphFont"/>
    <w:uiPriority w:val="99"/>
    <w:semiHidden/>
    <w:unhideWhenUsed/>
    <w:rsid w:val="007F3AA6"/>
    <w:rPr>
      <w:color w:val="605E5C"/>
      <w:shd w:val="clear" w:color="auto" w:fill="E1DFDD"/>
    </w:rPr>
  </w:style>
  <w:style w:type="character" w:styleId="UnresolvedMention">
    <w:name w:val="Unresolved Mention"/>
    <w:basedOn w:val="DefaultParagraphFont"/>
    <w:uiPriority w:val="99"/>
    <w:semiHidden/>
    <w:unhideWhenUsed/>
    <w:rsid w:val="00F95CA0"/>
    <w:rPr>
      <w:color w:val="605E5C"/>
      <w:shd w:val="clear" w:color="auto" w:fill="E1DFDD"/>
    </w:rPr>
  </w:style>
  <w:style w:type="paragraph" w:customStyle="1" w:styleId="tableheading">
    <w:name w:val="tableheading"/>
    <w:basedOn w:val="Normal"/>
    <w:rsid w:val="00856991"/>
    <w:pPr>
      <w:spacing w:before="100" w:beforeAutospacing="1" w:after="100" w:afterAutospacing="1" w:line="240" w:lineRule="auto"/>
    </w:pPr>
    <w:rPr>
      <w:rFonts w:ascii="Times New Roman" w:hAnsi="Times New Roman"/>
      <w:sz w:val="24"/>
      <w:lang w:eastAsia="en-AU"/>
    </w:rPr>
  </w:style>
  <w:style w:type="character" w:customStyle="1" w:styleId="ui-provider">
    <w:name w:val="ui-provider"/>
    <w:basedOn w:val="DefaultParagraphFont"/>
    <w:rsid w:val="00226BD1"/>
  </w:style>
  <w:style w:type="paragraph" w:customStyle="1" w:styleId="TBLText">
    <w:name w:val="TBL Text"/>
    <w:basedOn w:val="Normal"/>
    <w:uiPriority w:val="9"/>
    <w:qFormat/>
    <w:rsid w:val="006F5F3D"/>
    <w:pPr>
      <w:spacing w:line="240" w:lineRule="auto"/>
    </w:pPr>
    <w:rPr>
      <w:rFonts w:asciiTheme="minorHAnsi" w:eastAsiaTheme="minorEastAsia" w:hAnsiTheme="minorHAnsi" w:cstheme="minorBidi"/>
      <w:sz w:val="18"/>
      <w:szCs w:val="18"/>
    </w:rPr>
  </w:style>
  <w:style w:type="character" w:styleId="Mention">
    <w:name w:val="Mention"/>
    <w:basedOn w:val="DefaultParagraphFont"/>
    <w:uiPriority w:val="99"/>
    <w:unhideWhenUsed/>
    <w:rsid w:val="003D1E56"/>
    <w:rPr>
      <w:color w:val="2B579A"/>
      <w:shd w:val="clear" w:color="auto" w:fill="E1DFDD"/>
    </w:rPr>
  </w:style>
  <w:style w:type="paragraph" w:customStyle="1" w:styleId="TableBullet">
    <w:name w:val="TableBullet"/>
    <w:basedOn w:val="TableText"/>
    <w:uiPriority w:val="4"/>
    <w:rsid w:val="00D754EC"/>
    <w:pPr>
      <w:tabs>
        <w:tab w:val="num" w:pos="227"/>
      </w:tabs>
      <w:spacing w:before="120" w:line="210" w:lineRule="exact"/>
      <w:ind w:left="227" w:hanging="227"/>
    </w:pPr>
    <w:rPr>
      <w:color w:val="1A1B1A" w:themeColor="text1" w:themeShade="80"/>
      <w:kern w:val="20"/>
      <w:lang w:eastAsia="en-US"/>
    </w:rPr>
  </w:style>
  <w:style w:type="character" w:customStyle="1" w:styleId="Bullet1Char">
    <w:name w:val="Bullet1 Char"/>
    <w:basedOn w:val="DefaultParagraphFont"/>
    <w:link w:val="Bullet1"/>
    <w:uiPriority w:val="4"/>
    <w:rsid w:val="00D754EC"/>
    <w:rPr>
      <w:rFonts w:ascii="Arial" w:hAnsi="Arial" w:cs="Arial"/>
      <w:kern w:val="20"/>
      <w:sz w:val="19"/>
      <w:szCs w:val="24"/>
      <w:u w:color="000000"/>
      <w:lang w:eastAsia="en-US"/>
    </w:rPr>
  </w:style>
  <w:style w:type="paragraph" w:styleId="NormalWeb">
    <w:name w:val="Normal (Web)"/>
    <w:basedOn w:val="Normal"/>
    <w:uiPriority w:val="99"/>
    <w:semiHidden/>
    <w:unhideWhenUsed/>
    <w:rsid w:val="0091777B"/>
    <w:rPr>
      <w:rFonts w:ascii="Times New Roman" w:hAnsi="Times New Roman"/>
      <w:sz w:val="24"/>
    </w:rPr>
  </w:style>
  <w:style w:type="character" w:customStyle="1" w:styleId="NormalTextChar">
    <w:name w:val="Normal Text Char"/>
    <w:basedOn w:val="DefaultParagraphFont"/>
    <w:link w:val="NormalText"/>
    <w:rsid w:val="000D718E"/>
    <w:rPr>
      <w:rFonts w:ascii="Arial" w:hAnsi="Arial" w:cs="Arial"/>
      <w:kern w:val="20"/>
      <w:sz w:val="19"/>
      <w:szCs w:val="24"/>
      <w:u w:color="000000"/>
      <w:lang w:eastAsia="en-US"/>
    </w:rPr>
  </w:style>
  <w:style w:type="character" w:customStyle="1" w:styleId="CaptionChar">
    <w:name w:val="Caption Char"/>
    <w:aliases w:val="APVMA_Caption Char,Table caption Char"/>
    <w:basedOn w:val="DefaultParagraphFont"/>
    <w:link w:val="Caption"/>
    <w:uiPriority w:val="4"/>
    <w:rsid w:val="00D00D54"/>
    <w:rPr>
      <w:rFonts w:ascii="Franklin Gothic Medium" w:hAnsi="Franklin Gothic Medium"/>
      <w:color w:val="53284F"/>
      <w:szCs w:val="24"/>
      <w:lang w:eastAsia="en-US"/>
    </w:rPr>
  </w:style>
  <w:style w:type="character" w:customStyle="1" w:styleId="FootnoteTextChar">
    <w:name w:val="Footnote Text Char"/>
    <w:aliases w:val="APVMA_Footnote Char"/>
    <w:basedOn w:val="DefaultParagraphFont"/>
    <w:link w:val="FootnoteText"/>
    <w:uiPriority w:val="99"/>
    <w:rsid w:val="00A24359"/>
    <w:rPr>
      <w:rFonts w:ascii="Arial" w:hAnsi="Arial" w:cs="Arial"/>
      <w:spacing w:val="6"/>
      <w:kern w:val="20"/>
      <w:sz w:val="16"/>
      <w:u w:color="000000"/>
      <w:lang w:eastAsia="en-US"/>
    </w:rPr>
  </w:style>
  <w:style w:type="paragraph" w:customStyle="1" w:styleId="Figurecaption">
    <w:name w:val="Figure caption"/>
    <w:basedOn w:val="Caption"/>
    <w:link w:val="FigurecaptionChar"/>
    <w:uiPriority w:val="4"/>
    <w:qFormat/>
    <w:rsid w:val="00D05B40"/>
    <w:pPr>
      <w:ind w:left="0" w:firstLine="0"/>
    </w:pPr>
    <w:rPr>
      <w:color w:val="5C2946"/>
    </w:rPr>
  </w:style>
  <w:style w:type="character" w:customStyle="1" w:styleId="FigurecaptionChar">
    <w:name w:val="Figure caption Char"/>
    <w:basedOn w:val="CaptionChar"/>
    <w:link w:val="Figurecaption"/>
    <w:uiPriority w:val="4"/>
    <w:rsid w:val="00D05B40"/>
    <w:rPr>
      <w:rFonts w:ascii="Franklin Gothic Medium" w:hAnsi="Franklin Gothic Medium"/>
      <w:color w:val="5C2946"/>
      <w:szCs w:val="24"/>
      <w:lang w:eastAsia="en-US"/>
    </w:rPr>
  </w:style>
  <w:style w:type="paragraph" w:customStyle="1" w:styleId="EvenHeader">
    <w:name w:val="Even_Header"/>
    <w:basedOn w:val="Normal"/>
    <w:uiPriority w:val="4"/>
    <w:rsid w:val="00D0686C"/>
    <w:pPr>
      <w:pBdr>
        <w:bottom w:val="single" w:sz="4" w:space="1" w:color="auto"/>
      </w:pBdr>
      <w:tabs>
        <w:tab w:val="left" w:pos="567"/>
        <w:tab w:val="right" w:pos="9638"/>
      </w:tabs>
      <w:suppressAutoHyphens/>
      <w:spacing w:line="200" w:lineRule="exact"/>
      <w:ind w:left="567" w:hanging="567"/>
    </w:pPr>
    <w:rPr>
      <w:rFonts w:ascii="Franklin Gothic Medium" w:hAnsi="Franklin Gothic Medium" w:cs="Arial"/>
      <w:bCs/>
      <w:color w:val="5C2946"/>
      <w:kern w:val="20"/>
      <w:szCs w:val="18"/>
      <w:u w:color="000000"/>
      <w14:ligatures w14:val="standardContextual"/>
    </w:rPr>
  </w:style>
  <w:style w:type="paragraph" w:customStyle="1" w:styleId="OddHeader">
    <w:name w:val="Odd_Header"/>
    <w:basedOn w:val="NormalText"/>
    <w:uiPriority w:val="4"/>
    <w:rsid w:val="005C6E89"/>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TOCH1">
    <w:name w:val="TOC H1"/>
    <w:basedOn w:val="TOAHeading"/>
    <w:uiPriority w:val="4"/>
    <w:rsid w:val="00E90E7A"/>
    <w:pPr>
      <w:spacing w:after="240"/>
    </w:pPr>
    <w:rPr>
      <w:color w:val="5C29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642">
      <w:bodyDiv w:val="1"/>
      <w:marLeft w:val="0"/>
      <w:marRight w:val="0"/>
      <w:marTop w:val="0"/>
      <w:marBottom w:val="0"/>
      <w:divBdr>
        <w:top w:val="none" w:sz="0" w:space="0" w:color="auto"/>
        <w:left w:val="none" w:sz="0" w:space="0" w:color="auto"/>
        <w:bottom w:val="none" w:sz="0" w:space="0" w:color="auto"/>
        <w:right w:val="none" w:sz="0" w:space="0" w:color="auto"/>
      </w:divBdr>
    </w:div>
    <w:div w:id="6254583">
      <w:bodyDiv w:val="1"/>
      <w:marLeft w:val="0"/>
      <w:marRight w:val="0"/>
      <w:marTop w:val="0"/>
      <w:marBottom w:val="0"/>
      <w:divBdr>
        <w:top w:val="none" w:sz="0" w:space="0" w:color="auto"/>
        <w:left w:val="none" w:sz="0" w:space="0" w:color="auto"/>
        <w:bottom w:val="none" w:sz="0" w:space="0" w:color="auto"/>
        <w:right w:val="none" w:sz="0" w:space="0" w:color="auto"/>
      </w:divBdr>
    </w:div>
    <w:div w:id="10380793">
      <w:bodyDiv w:val="1"/>
      <w:marLeft w:val="0"/>
      <w:marRight w:val="0"/>
      <w:marTop w:val="0"/>
      <w:marBottom w:val="0"/>
      <w:divBdr>
        <w:top w:val="none" w:sz="0" w:space="0" w:color="auto"/>
        <w:left w:val="none" w:sz="0" w:space="0" w:color="auto"/>
        <w:bottom w:val="none" w:sz="0" w:space="0" w:color="auto"/>
        <w:right w:val="none" w:sz="0" w:space="0" w:color="auto"/>
      </w:divBdr>
    </w:div>
    <w:div w:id="16779405">
      <w:bodyDiv w:val="1"/>
      <w:marLeft w:val="0"/>
      <w:marRight w:val="0"/>
      <w:marTop w:val="0"/>
      <w:marBottom w:val="0"/>
      <w:divBdr>
        <w:top w:val="none" w:sz="0" w:space="0" w:color="auto"/>
        <w:left w:val="none" w:sz="0" w:space="0" w:color="auto"/>
        <w:bottom w:val="none" w:sz="0" w:space="0" w:color="auto"/>
        <w:right w:val="none" w:sz="0" w:space="0" w:color="auto"/>
      </w:divBdr>
    </w:div>
    <w:div w:id="21127274">
      <w:bodyDiv w:val="1"/>
      <w:marLeft w:val="0"/>
      <w:marRight w:val="0"/>
      <w:marTop w:val="0"/>
      <w:marBottom w:val="0"/>
      <w:divBdr>
        <w:top w:val="none" w:sz="0" w:space="0" w:color="auto"/>
        <w:left w:val="none" w:sz="0" w:space="0" w:color="auto"/>
        <w:bottom w:val="none" w:sz="0" w:space="0" w:color="auto"/>
        <w:right w:val="none" w:sz="0" w:space="0" w:color="auto"/>
      </w:divBdr>
    </w:div>
    <w:div w:id="22901672">
      <w:bodyDiv w:val="1"/>
      <w:marLeft w:val="0"/>
      <w:marRight w:val="0"/>
      <w:marTop w:val="0"/>
      <w:marBottom w:val="0"/>
      <w:divBdr>
        <w:top w:val="none" w:sz="0" w:space="0" w:color="auto"/>
        <w:left w:val="none" w:sz="0" w:space="0" w:color="auto"/>
        <w:bottom w:val="none" w:sz="0" w:space="0" w:color="auto"/>
        <w:right w:val="none" w:sz="0" w:space="0" w:color="auto"/>
      </w:divBdr>
    </w:div>
    <w:div w:id="26179582">
      <w:bodyDiv w:val="1"/>
      <w:marLeft w:val="0"/>
      <w:marRight w:val="0"/>
      <w:marTop w:val="0"/>
      <w:marBottom w:val="0"/>
      <w:divBdr>
        <w:top w:val="none" w:sz="0" w:space="0" w:color="auto"/>
        <w:left w:val="none" w:sz="0" w:space="0" w:color="auto"/>
        <w:bottom w:val="none" w:sz="0" w:space="0" w:color="auto"/>
        <w:right w:val="none" w:sz="0" w:space="0" w:color="auto"/>
      </w:divBdr>
    </w:div>
    <w:div w:id="35980156">
      <w:bodyDiv w:val="1"/>
      <w:marLeft w:val="0"/>
      <w:marRight w:val="0"/>
      <w:marTop w:val="0"/>
      <w:marBottom w:val="0"/>
      <w:divBdr>
        <w:top w:val="none" w:sz="0" w:space="0" w:color="auto"/>
        <w:left w:val="none" w:sz="0" w:space="0" w:color="auto"/>
        <w:bottom w:val="none" w:sz="0" w:space="0" w:color="auto"/>
        <w:right w:val="none" w:sz="0" w:space="0" w:color="auto"/>
      </w:divBdr>
    </w:div>
    <w:div w:id="38097342">
      <w:bodyDiv w:val="1"/>
      <w:marLeft w:val="0"/>
      <w:marRight w:val="0"/>
      <w:marTop w:val="0"/>
      <w:marBottom w:val="0"/>
      <w:divBdr>
        <w:top w:val="none" w:sz="0" w:space="0" w:color="auto"/>
        <w:left w:val="none" w:sz="0" w:space="0" w:color="auto"/>
        <w:bottom w:val="none" w:sz="0" w:space="0" w:color="auto"/>
        <w:right w:val="none" w:sz="0" w:space="0" w:color="auto"/>
      </w:divBdr>
    </w:div>
    <w:div w:id="40445728">
      <w:bodyDiv w:val="1"/>
      <w:marLeft w:val="0"/>
      <w:marRight w:val="0"/>
      <w:marTop w:val="0"/>
      <w:marBottom w:val="0"/>
      <w:divBdr>
        <w:top w:val="none" w:sz="0" w:space="0" w:color="auto"/>
        <w:left w:val="none" w:sz="0" w:space="0" w:color="auto"/>
        <w:bottom w:val="none" w:sz="0" w:space="0" w:color="auto"/>
        <w:right w:val="none" w:sz="0" w:space="0" w:color="auto"/>
      </w:divBdr>
    </w:div>
    <w:div w:id="44958036">
      <w:bodyDiv w:val="1"/>
      <w:marLeft w:val="0"/>
      <w:marRight w:val="0"/>
      <w:marTop w:val="0"/>
      <w:marBottom w:val="0"/>
      <w:divBdr>
        <w:top w:val="none" w:sz="0" w:space="0" w:color="auto"/>
        <w:left w:val="none" w:sz="0" w:space="0" w:color="auto"/>
        <w:bottom w:val="none" w:sz="0" w:space="0" w:color="auto"/>
        <w:right w:val="none" w:sz="0" w:space="0" w:color="auto"/>
      </w:divBdr>
    </w:div>
    <w:div w:id="45372448">
      <w:bodyDiv w:val="1"/>
      <w:marLeft w:val="0"/>
      <w:marRight w:val="0"/>
      <w:marTop w:val="0"/>
      <w:marBottom w:val="0"/>
      <w:divBdr>
        <w:top w:val="none" w:sz="0" w:space="0" w:color="auto"/>
        <w:left w:val="none" w:sz="0" w:space="0" w:color="auto"/>
        <w:bottom w:val="none" w:sz="0" w:space="0" w:color="auto"/>
        <w:right w:val="none" w:sz="0" w:space="0" w:color="auto"/>
      </w:divBdr>
    </w:div>
    <w:div w:id="61998211">
      <w:bodyDiv w:val="1"/>
      <w:marLeft w:val="0"/>
      <w:marRight w:val="0"/>
      <w:marTop w:val="0"/>
      <w:marBottom w:val="0"/>
      <w:divBdr>
        <w:top w:val="none" w:sz="0" w:space="0" w:color="auto"/>
        <w:left w:val="none" w:sz="0" w:space="0" w:color="auto"/>
        <w:bottom w:val="none" w:sz="0" w:space="0" w:color="auto"/>
        <w:right w:val="none" w:sz="0" w:space="0" w:color="auto"/>
      </w:divBdr>
    </w:div>
    <w:div w:id="82721534">
      <w:bodyDiv w:val="1"/>
      <w:marLeft w:val="0"/>
      <w:marRight w:val="0"/>
      <w:marTop w:val="0"/>
      <w:marBottom w:val="0"/>
      <w:divBdr>
        <w:top w:val="none" w:sz="0" w:space="0" w:color="auto"/>
        <w:left w:val="none" w:sz="0" w:space="0" w:color="auto"/>
        <w:bottom w:val="none" w:sz="0" w:space="0" w:color="auto"/>
        <w:right w:val="none" w:sz="0" w:space="0" w:color="auto"/>
      </w:divBdr>
    </w:div>
    <w:div w:id="91318492">
      <w:bodyDiv w:val="1"/>
      <w:marLeft w:val="0"/>
      <w:marRight w:val="0"/>
      <w:marTop w:val="0"/>
      <w:marBottom w:val="0"/>
      <w:divBdr>
        <w:top w:val="none" w:sz="0" w:space="0" w:color="auto"/>
        <w:left w:val="none" w:sz="0" w:space="0" w:color="auto"/>
        <w:bottom w:val="none" w:sz="0" w:space="0" w:color="auto"/>
        <w:right w:val="none" w:sz="0" w:space="0" w:color="auto"/>
      </w:divBdr>
    </w:div>
    <w:div w:id="114835487">
      <w:bodyDiv w:val="1"/>
      <w:marLeft w:val="0"/>
      <w:marRight w:val="0"/>
      <w:marTop w:val="0"/>
      <w:marBottom w:val="0"/>
      <w:divBdr>
        <w:top w:val="none" w:sz="0" w:space="0" w:color="auto"/>
        <w:left w:val="none" w:sz="0" w:space="0" w:color="auto"/>
        <w:bottom w:val="none" w:sz="0" w:space="0" w:color="auto"/>
        <w:right w:val="none" w:sz="0" w:space="0" w:color="auto"/>
      </w:divBdr>
    </w:div>
    <w:div w:id="114905110">
      <w:bodyDiv w:val="1"/>
      <w:marLeft w:val="0"/>
      <w:marRight w:val="0"/>
      <w:marTop w:val="0"/>
      <w:marBottom w:val="0"/>
      <w:divBdr>
        <w:top w:val="none" w:sz="0" w:space="0" w:color="auto"/>
        <w:left w:val="none" w:sz="0" w:space="0" w:color="auto"/>
        <w:bottom w:val="none" w:sz="0" w:space="0" w:color="auto"/>
        <w:right w:val="none" w:sz="0" w:space="0" w:color="auto"/>
      </w:divBdr>
    </w:div>
    <w:div w:id="117914003">
      <w:bodyDiv w:val="1"/>
      <w:marLeft w:val="0"/>
      <w:marRight w:val="0"/>
      <w:marTop w:val="0"/>
      <w:marBottom w:val="0"/>
      <w:divBdr>
        <w:top w:val="none" w:sz="0" w:space="0" w:color="auto"/>
        <w:left w:val="none" w:sz="0" w:space="0" w:color="auto"/>
        <w:bottom w:val="none" w:sz="0" w:space="0" w:color="auto"/>
        <w:right w:val="none" w:sz="0" w:space="0" w:color="auto"/>
      </w:divBdr>
    </w:div>
    <w:div w:id="120421852">
      <w:bodyDiv w:val="1"/>
      <w:marLeft w:val="0"/>
      <w:marRight w:val="0"/>
      <w:marTop w:val="0"/>
      <w:marBottom w:val="0"/>
      <w:divBdr>
        <w:top w:val="none" w:sz="0" w:space="0" w:color="auto"/>
        <w:left w:val="none" w:sz="0" w:space="0" w:color="auto"/>
        <w:bottom w:val="none" w:sz="0" w:space="0" w:color="auto"/>
        <w:right w:val="none" w:sz="0" w:space="0" w:color="auto"/>
      </w:divBdr>
    </w:div>
    <w:div w:id="122621915">
      <w:bodyDiv w:val="1"/>
      <w:marLeft w:val="0"/>
      <w:marRight w:val="0"/>
      <w:marTop w:val="0"/>
      <w:marBottom w:val="0"/>
      <w:divBdr>
        <w:top w:val="none" w:sz="0" w:space="0" w:color="auto"/>
        <w:left w:val="none" w:sz="0" w:space="0" w:color="auto"/>
        <w:bottom w:val="none" w:sz="0" w:space="0" w:color="auto"/>
        <w:right w:val="none" w:sz="0" w:space="0" w:color="auto"/>
      </w:divBdr>
    </w:div>
    <w:div w:id="124861419">
      <w:bodyDiv w:val="1"/>
      <w:marLeft w:val="0"/>
      <w:marRight w:val="0"/>
      <w:marTop w:val="0"/>
      <w:marBottom w:val="0"/>
      <w:divBdr>
        <w:top w:val="none" w:sz="0" w:space="0" w:color="auto"/>
        <w:left w:val="none" w:sz="0" w:space="0" w:color="auto"/>
        <w:bottom w:val="none" w:sz="0" w:space="0" w:color="auto"/>
        <w:right w:val="none" w:sz="0" w:space="0" w:color="auto"/>
      </w:divBdr>
    </w:div>
    <w:div w:id="133984834">
      <w:bodyDiv w:val="1"/>
      <w:marLeft w:val="0"/>
      <w:marRight w:val="0"/>
      <w:marTop w:val="0"/>
      <w:marBottom w:val="0"/>
      <w:divBdr>
        <w:top w:val="none" w:sz="0" w:space="0" w:color="auto"/>
        <w:left w:val="none" w:sz="0" w:space="0" w:color="auto"/>
        <w:bottom w:val="none" w:sz="0" w:space="0" w:color="auto"/>
        <w:right w:val="none" w:sz="0" w:space="0" w:color="auto"/>
      </w:divBdr>
    </w:div>
    <w:div w:id="135755940">
      <w:bodyDiv w:val="1"/>
      <w:marLeft w:val="0"/>
      <w:marRight w:val="0"/>
      <w:marTop w:val="0"/>
      <w:marBottom w:val="0"/>
      <w:divBdr>
        <w:top w:val="none" w:sz="0" w:space="0" w:color="auto"/>
        <w:left w:val="none" w:sz="0" w:space="0" w:color="auto"/>
        <w:bottom w:val="none" w:sz="0" w:space="0" w:color="auto"/>
        <w:right w:val="none" w:sz="0" w:space="0" w:color="auto"/>
      </w:divBdr>
    </w:div>
    <w:div w:id="141773149">
      <w:bodyDiv w:val="1"/>
      <w:marLeft w:val="0"/>
      <w:marRight w:val="0"/>
      <w:marTop w:val="0"/>
      <w:marBottom w:val="0"/>
      <w:divBdr>
        <w:top w:val="none" w:sz="0" w:space="0" w:color="auto"/>
        <w:left w:val="none" w:sz="0" w:space="0" w:color="auto"/>
        <w:bottom w:val="none" w:sz="0" w:space="0" w:color="auto"/>
        <w:right w:val="none" w:sz="0" w:space="0" w:color="auto"/>
      </w:divBdr>
    </w:div>
    <w:div w:id="149950908">
      <w:bodyDiv w:val="1"/>
      <w:marLeft w:val="0"/>
      <w:marRight w:val="0"/>
      <w:marTop w:val="0"/>
      <w:marBottom w:val="0"/>
      <w:divBdr>
        <w:top w:val="none" w:sz="0" w:space="0" w:color="auto"/>
        <w:left w:val="none" w:sz="0" w:space="0" w:color="auto"/>
        <w:bottom w:val="none" w:sz="0" w:space="0" w:color="auto"/>
        <w:right w:val="none" w:sz="0" w:space="0" w:color="auto"/>
      </w:divBdr>
    </w:div>
    <w:div w:id="153646212">
      <w:bodyDiv w:val="1"/>
      <w:marLeft w:val="0"/>
      <w:marRight w:val="0"/>
      <w:marTop w:val="0"/>
      <w:marBottom w:val="0"/>
      <w:divBdr>
        <w:top w:val="none" w:sz="0" w:space="0" w:color="auto"/>
        <w:left w:val="none" w:sz="0" w:space="0" w:color="auto"/>
        <w:bottom w:val="none" w:sz="0" w:space="0" w:color="auto"/>
        <w:right w:val="none" w:sz="0" w:space="0" w:color="auto"/>
      </w:divBdr>
    </w:div>
    <w:div w:id="153687864">
      <w:bodyDiv w:val="1"/>
      <w:marLeft w:val="0"/>
      <w:marRight w:val="0"/>
      <w:marTop w:val="0"/>
      <w:marBottom w:val="0"/>
      <w:divBdr>
        <w:top w:val="none" w:sz="0" w:space="0" w:color="auto"/>
        <w:left w:val="none" w:sz="0" w:space="0" w:color="auto"/>
        <w:bottom w:val="none" w:sz="0" w:space="0" w:color="auto"/>
        <w:right w:val="none" w:sz="0" w:space="0" w:color="auto"/>
      </w:divBdr>
    </w:div>
    <w:div w:id="158425021">
      <w:bodyDiv w:val="1"/>
      <w:marLeft w:val="0"/>
      <w:marRight w:val="0"/>
      <w:marTop w:val="0"/>
      <w:marBottom w:val="0"/>
      <w:divBdr>
        <w:top w:val="none" w:sz="0" w:space="0" w:color="auto"/>
        <w:left w:val="none" w:sz="0" w:space="0" w:color="auto"/>
        <w:bottom w:val="none" w:sz="0" w:space="0" w:color="auto"/>
        <w:right w:val="none" w:sz="0" w:space="0" w:color="auto"/>
      </w:divBdr>
    </w:div>
    <w:div w:id="162202694">
      <w:bodyDiv w:val="1"/>
      <w:marLeft w:val="0"/>
      <w:marRight w:val="0"/>
      <w:marTop w:val="0"/>
      <w:marBottom w:val="0"/>
      <w:divBdr>
        <w:top w:val="none" w:sz="0" w:space="0" w:color="auto"/>
        <w:left w:val="none" w:sz="0" w:space="0" w:color="auto"/>
        <w:bottom w:val="none" w:sz="0" w:space="0" w:color="auto"/>
        <w:right w:val="none" w:sz="0" w:space="0" w:color="auto"/>
      </w:divBdr>
    </w:div>
    <w:div w:id="165445449">
      <w:bodyDiv w:val="1"/>
      <w:marLeft w:val="0"/>
      <w:marRight w:val="0"/>
      <w:marTop w:val="0"/>
      <w:marBottom w:val="0"/>
      <w:divBdr>
        <w:top w:val="none" w:sz="0" w:space="0" w:color="auto"/>
        <w:left w:val="none" w:sz="0" w:space="0" w:color="auto"/>
        <w:bottom w:val="none" w:sz="0" w:space="0" w:color="auto"/>
        <w:right w:val="none" w:sz="0" w:space="0" w:color="auto"/>
      </w:divBdr>
    </w:div>
    <w:div w:id="190386607">
      <w:bodyDiv w:val="1"/>
      <w:marLeft w:val="0"/>
      <w:marRight w:val="0"/>
      <w:marTop w:val="0"/>
      <w:marBottom w:val="0"/>
      <w:divBdr>
        <w:top w:val="none" w:sz="0" w:space="0" w:color="auto"/>
        <w:left w:val="none" w:sz="0" w:space="0" w:color="auto"/>
        <w:bottom w:val="none" w:sz="0" w:space="0" w:color="auto"/>
        <w:right w:val="none" w:sz="0" w:space="0" w:color="auto"/>
      </w:divBdr>
    </w:div>
    <w:div w:id="194926267">
      <w:bodyDiv w:val="1"/>
      <w:marLeft w:val="0"/>
      <w:marRight w:val="0"/>
      <w:marTop w:val="0"/>
      <w:marBottom w:val="0"/>
      <w:divBdr>
        <w:top w:val="none" w:sz="0" w:space="0" w:color="auto"/>
        <w:left w:val="none" w:sz="0" w:space="0" w:color="auto"/>
        <w:bottom w:val="none" w:sz="0" w:space="0" w:color="auto"/>
        <w:right w:val="none" w:sz="0" w:space="0" w:color="auto"/>
      </w:divBdr>
    </w:div>
    <w:div w:id="195195608">
      <w:bodyDiv w:val="1"/>
      <w:marLeft w:val="0"/>
      <w:marRight w:val="0"/>
      <w:marTop w:val="0"/>
      <w:marBottom w:val="0"/>
      <w:divBdr>
        <w:top w:val="none" w:sz="0" w:space="0" w:color="auto"/>
        <w:left w:val="none" w:sz="0" w:space="0" w:color="auto"/>
        <w:bottom w:val="none" w:sz="0" w:space="0" w:color="auto"/>
        <w:right w:val="none" w:sz="0" w:space="0" w:color="auto"/>
      </w:divBdr>
    </w:div>
    <w:div w:id="195852258">
      <w:bodyDiv w:val="1"/>
      <w:marLeft w:val="0"/>
      <w:marRight w:val="0"/>
      <w:marTop w:val="0"/>
      <w:marBottom w:val="0"/>
      <w:divBdr>
        <w:top w:val="none" w:sz="0" w:space="0" w:color="auto"/>
        <w:left w:val="none" w:sz="0" w:space="0" w:color="auto"/>
        <w:bottom w:val="none" w:sz="0" w:space="0" w:color="auto"/>
        <w:right w:val="none" w:sz="0" w:space="0" w:color="auto"/>
      </w:divBdr>
    </w:div>
    <w:div w:id="212929645">
      <w:bodyDiv w:val="1"/>
      <w:marLeft w:val="0"/>
      <w:marRight w:val="0"/>
      <w:marTop w:val="0"/>
      <w:marBottom w:val="0"/>
      <w:divBdr>
        <w:top w:val="none" w:sz="0" w:space="0" w:color="auto"/>
        <w:left w:val="none" w:sz="0" w:space="0" w:color="auto"/>
        <w:bottom w:val="none" w:sz="0" w:space="0" w:color="auto"/>
        <w:right w:val="none" w:sz="0" w:space="0" w:color="auto"/>
      </w:divBdr>
    </w:div>
    <w:div w:id="222909588">
      <w:bodyDiv w:val="1"/>
      <w:marLeft w:val="0"/>
      <w:marRight w:val="0"/>
      <w:marTop w:val="0"/>
      <w:marBottom w:val="0"/>
      <w:divBdr>
        <w:top w:val="none" w:sz="0" w:space="0" w:color="auto"/>
        <w:left w:val="none" w:sz="0" w:space="0" w:color="auto"/>
        <w:bottom w:val="none" w:sz="0" w:space="0" w:color="auto"/>
        <w:right w:val="none" w:sz="0" w:space="0" w:color="auto"/>
      </w:divBdr>
    </w:div>
    <w:div w:id="234902223">
      <w:bodyDiv w:val="1"/>
      <w:marLeft w:val="0"/>
      <w:marRight w:val="0"/>
      <w:marTop w:val="0"/>
      <w:marBottom w:val="0"/>
      <w:divBdr>
        <w:top w:val="none" w:sz="0" w:space="0" w:color="auto"/>
        <w:left w:val="none" w:sz="0" w:space="0" w:color="auto"/>
        <w:bottom w:val="none" w:sz="0" w:space="0" w:color="auto"/>
        <w:right w:val="none" w:sz="0" w:space="0" w:color="auto"/>
      </w:divBdr>
    </w:div>
    <w:div w:id="236018580">
      <w:bodyDiv w:val="1"/>
      <w:marLeft w:val="0"/>
      <w:marRight w:val="0"/>
      <w:marTop w:val="0"/>
      <w:marBottom w:val="0"/>
      <w:divBdr>
        <w:top w:val="none" w:sz="0" w:space="0" w:color="auto"/>
        <w:left w:val="none" w:sz="0" w:space="0" w:color="auto"/>
        <w:bottom w:val="none" w:sz="0" w:space="0" w:color="auto"/>
        <w:right w:val="none" w:sz="0" w:space="0" w:color="auto"/>
      </w:divBdr>
    </w:div>
    <w:div w:id="238949164">
      <w:bodyDiv w:val="1"/>
      <w:marLeft w:val="0"/>
      <w:marRight w:val="0"/>
      <w:marTop w:val="0"/>
      <w:marBottom w:val="0"/>
      <w:divBdr>
        <w:top w:val="none" w:sz="0" w:space="0" w:color="auto"/>
        <w:left w:val="none" w:sz="0" w:space="0" w:color="auto"/>
        <w:bottom w:val="none" w:sz="0" w:space="0" w:color="auto"/>
        <w:right w:val="none" w:sz="0" w:space="0" w:color="auto"/>
      </w:divBdr>
    </w:div>
    <w:div w:id="242034431">
      <w:bodyDiv w:val="1"/>
      <w:marLeft w:val="0"/>
      <w:marRight w:val="0"/>
      <w:marTop w:val="0"/>
      <w:marBottom w:val="0"/>
      <w:divBdr>
        <w:top w:val="none" w:sz="0" w:space="0" w:color="auto"/>
        <w:left w:val="none" w:sz="0" w:space="0" w:color="auto"/>
        <w:bottom w:val="none" w:sz="0" w:space="0" w:color="auto"/>
        <w:right w:val="none" w:sz="0" w:space="0" w:color="auto"/>
      </w:divBdr>
    </w:div>
    <w:div w:id="242224149">
      <w:bodyDiv w:val="1"/>
      <w:marLeft w:val="0"/>
      <w:marRight w:val="0"/>
      <w:marTop w:val="0"/>
      <w:marBottom w:val="0"/>
      <w:divBdr>
        <w:top w:val="none" w:sz="0" w:space="0" w:color="auto"/>
        <w:left w:val="none" w:sz="0" w:space="0" w:color="auto"/>
        <w:bottom w:val="none" w:sz="0" w:space="0" w:color="auto"/>
        <w:right w:val="none" w:sz="0" w:space="0" w:color="auto"/>
      </w:divBdr>
    </w:div>
    <w:div w:id="246427552">
      <w:bodyDiv w:val="1"/>
      <w:marLeft w:val="0"/>
      <w:marRight w:val="0"/>
      <w:marTop w:val="0"/>
      <w:marBottom w:val="0"/>
      <w:divBdr>
        <w:top w:val="none" w:sz="0" w:space="0" w:color="auto"/>
        <w:left w:val="none" w:sz="0" w:space="0" w:color="auto"/>
        <w:bottom w:val="none" w:sz="0" w:space="0" w:color="auto"/>
        <w:right w:val="none" w:sz="0" w:space="0" w:color="auto"/>
      </w:divBdr>
    </w:div>
    <w:div w:id="251664702">
      <w:bodyDiv w:val="1"/>
      <w:marLeft w:val="0"/>
      <w:marRight w:val="0"/>
      <w:marTop w:val="0"/>
      <w:marBottom w:val="0"/>
      <w:divBdr>
        <w:top w:val="none" w:sz="0" w:space="0" w:color="auto"/>
        <w:left w:val="none" w:sz="0" w:space="0" w:color="auto"/>
        <w:bottom w:val="none" w:sz="0" w:space="0" w:color="auto"/>
        <w:right w:val="none" w:sz="0" w:space="0" w:color="auto"/>
      </w:divBdr>
    </w:div>
    <w:div w:id="253824905">
      <w:bodyDiv w:val="1"/>
      <w:marLeft w:val="0"/>
      <w:marRight w:val="0"/>
      <w:marTop w:val="0"/>
      <w:marBottom w:val="0"/>
      <w:divBdr>
        <w:top w:val="none" w:sz="0" w:space="0" w:color="auto"/>
        <w:left w:val="none" w:sz="0" w:space="0" w:color="auto"/>
        <w:bottom w:val="none" w:sz="0" w:space="0" w:color="auto"/>
        <w:right w:val="none" w:sz="0" w:space="0" w:color="auto"/>
      </w:divBdr>
    </w:div>
    <w:div w:id="255217439">
      <w:bodyDiv w:val="1"/>
      <w:marLeft w:val="0"/>
      <w:marRight w:val="0"/>
      <w:marTop w:val="0"/>
      <w:marBottom w:val="0"/>
      <w:divBdr>
        <w:top w:val="none" w:sz="0" w:space="0" w:color="auto"/>
        <w:left w:val="none" w:sz="0" w:space="0" w:color="auto"/>
        <w:bottom w:val="none" w:sz="0" w:space="0" w:color="auto"/>
        <w:right w:val="none" w:sz="0" w:space="0" w:color="auto"/>
      </w:divBdr>
    </w:div>
    <w:div w:id="257758825">
      <w:bodyDiv w:val="1"/>
      <w:marLeft w:val="0"/>
      <w:marRight w:val="0"/>
      <w:marTop w:val="0"/>
      <w:marBottom w:val="0"/>
      <w:divBdr>
        <w:top w:val="none" w:sz="0" w:space="0" w:color="auto"/>
        <w:left w:val="none" w:sz="0" w:space="0" w:color="auto"/>
        <w:bottom w:val="none" w:sz="0" w:space="0" w:color="auto"/>
        <w:right w:val="none" w:sz="0" w:space="0" w:color="auto"/>
      </w:divBdr>
    </w:div>
    <w:div w:id="262416765">
      <w:bodyDiv w:val="1"/>
      <w:marLeft w:val="0"/>
      <w:marRight w:val="0"/>
      <w:marTop w:val="0"/>
      <w:marBottom w:val="0"/>
      <w:divBdr>
        <w:top w:val="none" w:sz="0" w:space="0" w:color="auto"/>
        <w:left w:val="none" w:sz="0" w:space="0" w:color="auto"/>
        <w:bottom w:val="none" w:sz="0" w:space="0" w:color="auto"/>
        <w:right w:val="none" w:sz="0" w:space="0" w:color="auto"/>
      </w:divBdr>
    </w:div>
    <w:div w:id="264459956">
      <w:bodyDiv w:val="1"/>
      <w:marLeft w:val="0"/>
      <w:marRight w:val="0"/>
      <w:marTop w:val="0"/>
      <w:marBottom w:val="0"/>
      <w:divBdr>
        <w:top w:val="none" w:sz="0" w:space="0" w:color="auto"/>
        <w:left w:val="none" w:sz="0" w:space="0" w:color="auto"/>
        <w:bottom w:val="none" w:sz="0" w:space="0" w:color="auto"/>
        <w:right w:val="none" w:sz="0" w:space="0" w:color="auto"/>
      </w:divBdr>
    </w:div>
    <w:div w:id="272976528">
      <w:bodyDiv w:val="1"/>
      <w:marLeft w:val="0"/>
      <w:marRight w:val="0"/>
      <w:marTop w:val="0"/>
      <w:marBottom w:val="0"/>
      <w:divBdr>
        <w:top w:val="none" w:sz="0" w:space="0" w:color="auto"/>
        <w:left w:val="none" w:sz="0" w:space="0" w:color="auto"/>
        <w:bottom w:val="none" w:sz="0" w:space="0" w:color="auto"/>
        <w:right w:val="none" w:sz="0" w:space="0" w:color="auto"/>
      </w:divBdr>
    </w:div>
    <w:div w:id="289173537">
      <w:bodyDiv w:val="1"/>
      <w:marLeft w:val="0"/>
      <w:marRight w:val="0"/>
      <w:marTop w:val="0"/>
      <w:marBottom w:val="0"/>
      <w:divBdr>
        <w:top w:val="none" w:sz="0" w:space="0" w:color="auto"/>
        <w:left w:val="none" w:sz="0" w:space="0" w:color="auto"/>
        <w:bottom w:val="none" w:sz="0" w:space="0" w:color="auto"/>
        <w:right w:val="none" w:sz="0" w:space="0" w:color="auto"/>
      </w:divBdr>
    </w:div>
    <w:div w:id="299959809">
      <w:bodyDiv w:val="1"/>
      <w:marLeft w:val="0"/>
      <w:marRight w:val="0"/>
      <w:marTop w:val="0"/>
      <w:marBottom w:val="0"/>
      <w:divBdr>
        <w:top w:val="none" w:sz="0" w:space="0" w:color="auto"/>
        <w:left w:val="none" w:sz="0" w:space="0" w:color="auto"/>
        <w:bottom w:val="none" w:sz="0" w:space="0" w:color="auto"/>
        <w:right w:val="none" w:sz="0" w:space="0" w:color="auto"/>
      </w:divBdr>
    </w:div>
    <w:div w:id="303587936">
      <w:bodyDiv w:val="1"/>
      <w:marLeft w:val="0"/>
      <w:marRight w:val="0"/>
      <w:marTop w:val="0"/>
      <w:marBottom w:val="0"/>
      <w:divBdr>
        <w:top w:val="none" w:sz="0" w:space="0" w:color="auto"/>
        <w:left w:val="none" w:sz="0" w:space="0" w:color="auto"/>
        <w:bottom w:val="none" w:sz="0" w:space="0" w:color="auto"/>
        <w:right w:val="none" w:sz="0" w:space="0" w:color="auto"/>
      </w:divBdr>
    </w:div>
    <w:div w:id="305625886">
      <w:bodyDiv w:val="1"/>
      <w:marLeft w:val="0"/>
      <w:marRight w:val="0"/>
      <w:marTop w:val="0"/>
      <w:marBottom w:val="0"/>
      <w:divBdr>
        <w:top w:val="none" w:sz="0" w:space="0" w:color="auto"/>
        <w:left w:val="none" w:sz="0" w:space="0" w:color="auto"/>
        <w:bottom w:val="none" w:sz="0" w:space="0" w:color="auto"/>
        <w:right w:val="none" w:sz="0" w:space="0" w:color="auto"/>
      </w:divBdr>
    </w:div>
    <w:div w:id="308170572">
      <w:bodyDiv w:val="1"/>
      <w:marLeft w:val="0"/>
      <w:marRight w:val="0"/>
      <w:marTop w:val="0"/>
      <w:marBottom w:val="0"/>
      <w:divBdr>
        <w:top w:val="none" w:sz="0" w:space="0" w:color="auto"/>
        <w:left w:val="none" w:sz="0" w:space="0" w:color="auto"/>
        <w:bottom w:val="none" w:sz="0" w:space="0" w:color="auto"/>
        <w:right w:val="none" w:sz="0" w:space="0" w:color="auto"/>
      </w:divBdr>
    </w:div>
    <w:div w:id="331185434">
      <w:bodyDiv w:val="1"/>
      <w:marLeft w:val="0"/>
      <w:marRight w:val="0"/>
      <w:marTop w:val="0"/>
      <w:marBottom w:val="0"/>
      <w:divBdr>
        <w:top w:val="none" w:sz="0" w:space="0" w:color="auto"/>
        <w:left w:val="none" w:sz="0" w:space="0" w:color="auto"/>
        <w:bottom w:val="none" w:sz="0" w:space="0" w:color="auto"/>
        <w:right w:val="none" w:sz="0" w:space="0" w:color="auto"/>
      </w:divBdr>
    </w:div>
    <w:div w:id="343169218">
      <w:bodyDiv w:val="1"/>
      <w:marLeft w:val="0"/>
      <w:marRight w:val="0"/>
      <w:marTop w:val="0"/>
      <w:marBottom w:val="0"/>
      <w:divBdr>
        <w:top w:val="none" w:sz="0" w:space="0" w:color="auto"/>
        <w:left w:val="none" w:sz="0" w:space="0" w:color="auto"/>
        <w:bottom w:val="none" w:sz="0" w:space="0" w:color="auto"/>
        <w:right w:val="none" w:sz="0" w:space="0" w:color="auto"/>
      </w:divBdr>
    </w:div>
    <w:div w:id="353966427">
      <w:bodyDiv w:val="1"/>
      <w:marLeft w:val="0"/>
      <w:marRight w:val="0"/>
      <w:marTop w:val="0"/>
      <w:marBottom w:val="0"/>
      <w:divBdr>
        <w:top w:val="none" w:sz="0" w:space="0" w:color="auto"/>
        <w:left w:val="none" w:sz="0" w:space="0" w:color="auto"/>
        <w:bottom w:val="none" w:sz="0" w:space="0" w:color="auto"/>
        <w:right w:val="none" w:sz="0" w:space="0" w:color="auto"/>
      </w:divBdr>
    </w:div>
    <w:div w:id="356779132">
      <w:bodyDiv w:val="1"/>
      <w:marLeft w:val="0"/>
      <w:marRight w:val="0"/>
      <w:marTop w:val="0"/>
      <w:marBottom w:val="0"/>
      <w:divBdr>
        <w:top w:val="none" w:sz="0" w:space="0" w:color="auto"/>
        <w:left w:val="none" w:sz="0" w:space="0" w:color="auto"/>
        <w:bottom w:val="none" w:sz="0" w:space="0" w:color="auto"/>
        <w:right w:val="none" w:sz="0" w:space="0" w:color="auto"/>
      </w:divBdr>
    </w:div>
    <w:div w:id="357201951">
      <w:bodyDiv w:val="1"/>
      <w:marLeft w:val="0"/>
      <w:marRight w:val="0"/>
      <w:marTop w:val="0"/>
      <w:marBottom w:val="0"/>
      <w:divBdr>
        <w:top w:val="none" w:sz="0" w:space="0" w:color="auto"/>
        <w:left w:val="none" w:sz="0" w:space="0" w:color="auto"/>
        <w:bottom w:val="none" w:sz="0" w:space="0" w:color="auto"/>
        <w:right w:val="none" w:sz="0" w:space="0" w:color="auto"/>
      </w:divBdr>
    </w:div>
    <w:div w:id="357395387">
      <w:bodyDiv w:val="1"/>
      <w:marLeft w:val="0"/>
      <w:marRight w:val="0"/>
      <w:marTop w:val="0"/>
      <w:marBottom w:val="0"/>
      <w:divBdr>
        <w:top w:val="none" w:sz="0" w:space="0" w:color="auto"/>
        <w:left w:val="none" w:sz="0" w:space="0" w:color="auto"/>
        <w:bottom w:val="none" w:sz="0" w:space="0" w:color="auto"/>
        <w:right w:val="none" w:sz="0" w:space="0" w:color="auto"/>
      </w:divBdr>
    </w:div>
    <w:div w:id="365565305">
      <w:bodyDiv w:val="1"/>
      <w:marLeft w:val="0"/>
      <w:marRight w:val="0"/>
      <w:marTop w:val="0"/>
      <w:marBottom w:val="0"/>
      <w:divBdr>
        <w:top w:val="none" w:sz="0" w:space="0" w:color="auto"/>
        <w:left w:val="none" w:sz="0" w:space="0" w:color="auto"/>
        <w:bottom w:val="none" w:sz="0" w:space="0" w:color="auto"/>
        <w:right w:val="none" w:sz="0" w:space="0" w:color="auto"/>
      </w:divBdr>
    </w:div>
    <w:div w:id="374894022">
      <w:bodyDiv w:val="1"/>
      <w:marLeft w:val="0"/>
      <w:marRight w:val="0"/>
      <w:marTop w:val="0"/>
      <w:marBottom w:val="0"/>
      <w:divBdr>
        <w:top w:val="none" w:sz="0" w:space="0" w:color="auto"/>
        <w:left w:val="none" w:sz="0" w:space="0" w:color="auto"/>
        <w:bottom w:val="none" w:sz="0" w:space="0" w:color="auto"/>
        <w:right w:val="none" w:sz="0" w:space="0" w:color="auto"/>
      </w:divBdr>
    </w:div>
    <w:div w:id="378937834">
      <w:bodyDiv w:val="1"/>
      <w:marLeft w:val="0"/>
      <w:marRight w:val="0"/>
      <w:marTop w:val="0"/>
      <w:marBottom w:val="0"/>
      <w:divBdr>
        <w:top w:val="none" w:sz="0" w:space="0" w:color="auto"/>
        <w:left w:val="none" w:sz="0" w:space="0" w:color="auto"/>
        <w:bottom w:val="none" w:sz="0" w:space="0" w:color="auto"/>
        <w:right w:val="none" w:sz="0" w:space="0" w:color="auto"/>
      </w:divBdr>
    </w:div>
    <w:div w:id="392241567">
      <w:bodyDiv w:val="1"/>
      <w:marLeft w:val="0"/>
      <w:marRight w:val="0"/>
      <w:marTop w:val="0"/>
      <w:marBottom w:val="0"/>
      <w:divBdr>
        <w:top w:val="none" w:sz="0" w:space="0" w:color="auto"/>
        <w:left w:val="none" w:sz="0" w:space="0" w:color="auto"/>
        <w:bottom w:val="none" w:sz="0" w:space="0" w:color="auto"/>
        <w:right w:val="none" w:sz="0" w:space="0" w:color="auto"/>
      </w:divBdr>
    </w:div>
    <w:div w:id="393159637">
      <w:bodyDiv w:val="1"/>
      <w:marLeft w:val="0"/>
      <w:marRight w:val="0"/>
      <w:marTop w:val="0"/>
      <w:marBottom w:val="0"/>
      <w:divBdr>
        <w:top w:val="none" w:sz="0" w:space="0" w:color="auto"/>
        <w:left w:val="none" w:sz="0" w:space="0" w:color="auto"/>
        <w:bottom w:val="none" w:sz="0" w:space="0" w:color="auto"/>
        <w:right w:val="none" w:sz="0" w:space="0" w:color="auto"/>
      </w:divBdr>
    </w:div>
    <w:div w:id="395129068">
      <w:bodyDiv w:val="1"/>
      <w:marLeft w:val="0"/>
      <w:marRight w:val="0"/>
      <w:marTop w:val="0"/>
      <w:marBottom w:val="0"/>
      <w:divBdr>
        <w:top w:val="none" w:sz="0" w:space="0" w:color="auto"/>
        <w:left w:val="none" w:sz="0" w:space="0" w:color="auto"/>
        <w:bottom w:val="none" w:sz="0" w:space="0" w:color="auto"/>
        <w:right w:val="none" w:sz="0" w:space="0" w:color="auto"/>
      </w:divBdr>
    </w:div>
    <w:div w:id="400715976">
      <w:bodyDiv w:val="1"/>
      <w:marLeft w:val="0"/>
      <w:marRight w:val="0"/>
      <w:marTop w:val="0"/>
      <w:marBottom w:val="0"/>
      <w:divBdr>
        <w:top w:val="none" w:sz="0" w:space="0" w:color="auto"/>
        <w:left w:val="none" w:sz="0" w:space="0" w:color="auto"/>
        <w:bottom w:val="none" w:sz="0" w:space="0" w:color="auto"/>
        <w:right w:val="none" w:sz="0" w:space="0" w:color="auto"/>
      </w:divBdr>
    </w:div>
    <w:div w:id="402027646">
      <w:bodyDiv w:val="1"/>
      <w:marLeft w:val="0"/>
      <w:marRight w:val="0"/>
      <w:marTop w:val="0"/>
      <w:marBottom w:val="0"/>
      <w:divBdr>
        <w:top w:val="none" w:sz="0" w:space="0" w:color="auto"/>
        <w:left w:val="none" w:sz="0" w:space="0" w:color="auto"/>
        <w:bottom w:val="none" w:sz="0" w:space="0" w:color="auto"/>
        <w:right w:val="none" w:sz="0" w:space="0" w:color="auto"/>
      </w:divBdr>
    </w:div>
    <w:div w:id="407922345">
      <w:bodyDiv w:val="1"/>
      <w:marLeft w:val="0"/>
      <w:marRight w:val="0"/>
      <w:marTop w:val="0"/>
      <w:marBottom w:val="0"/>
      <w:divBdr>
        <w:top w:val="none" w:sz="0" w:space="0" w:color="auto"/>
        <w:left w:val="none" w:sz="0" w:space="0" w:color="auto"/>
        <w:bottom w:val="none" w:sz="0" w:space="0" w:color="auto"/>
        <w:right w:val="none" w:sz="0" w:space="0" w:color="auto"/>
      </w:divBdr>
    </w:div>
    <w:div w:id="407964683">
      <w:bodyDiv w:val="1"/>
      <w:marLeft w:val="0"/>
      <w:marRight w:val="0"/>
      <w:marTop w:val="0"/>
      <w:marBottom w:val="0"/>
      <w:divBdr>
        <w:top w:val="none" w:sz="0" w:space="0" w:color="auto"/>
        <w:left w:val="none" w:sz="0" w:space="0" w:color="auto"/>
        <w:bottom w:val="none" w:sz="0" w:space="0" w:color="auto"/>
        <w:right w:val="none" w:sz="0" w:space="0" w:color="auto"/>
      </w:divBdr>
    </w:div>
    <w:div w:id="410011250">
      <w:bodyDiv w:val="1"/>
      <w:marLeft w:val="0"/>
      <w:marRight w:val="0"/>
      <w:marTop w:val="0"/>
      <w:marBottom w:val="0"/>
      <w:divBdr>
        <w:top w:val="none" w:sz="0" w:space="0" w:color="auto"/>
        <w:left w:val="none" w:sz="0" w:space="0" w:color="auto"/>
        <w:bottom w:val="none" w:sz="0" w:space="0" w:color="auto"/>
        <w:right w:val="none" w:sz="0" w:space="0" w:color="auto"/>
      </w:divBdr>
    </w:div>
    <w:div w:id="418136979">
      <w:bodyDiv w:val="1"/>
      <w:marLeft w:val="0"/>
      <w:marRight w:val="0"/>
      <w:marTop w:val="0"/>
      <w:marBottom w:val="0"/>
      <w:divBdr>
        <w:top w:val="none" w:sz="0" w:space="0" w:color="auto"/>
        <w:left w:val="none" w:sz="0" w:space="0" w:color="auto"/>
        <w:bottom w:val="none" w:sz="0" w:space="0" w:color="auto"/>
        <w:right w:val="none" w:sz="0" w:space="0" w:color="auto"/>
      </w:divBdr>
    </w:div>
    <w:div w:id="419062356">
      <w:bodyDiv w:val="1"/>
      <w:marLeft w:val="0"/>
      <w:marRight w:val="0"/>
      <w:marTop w:val="0"/>
      <w:marBottom w:val="0"/>
      <w:divBdr>
        <w:top w:val="none" w:sz="0" w:space="0" w:color="auto"/>
        <w:left w:val="none" w:sz="0" w:space="0" w:color="auto"/>
        <w:bottom w:val="none" w:sz="0" w:space="0" w:color="auto"/>
        <w:right w:val="none" w:sz="0" w:space="0" w:color="auto"/>
      </w:divBdr>
    </w:div>
    <w:div w:id="419256538">
      <w:bodyDiv w:val="1"/>
      <w:marLeft w:val="0"/>
      <w:marRight w:val="0"/>
      <w:marTop w:val="0"/>
      <w:marBottom w:val="0"/>
      <w:divBdr>
        <w:top w:val="none" w:sz="0" w:space="0" w:color="auto"/>
        <w:left w:val="none" w:sz="0" w:space="0" w:color="auto"/>
        <w:bottom w:val="none" w:sz="0" w:space="0" w:color="auto"/>
        <w:right w:val="none" w:sz="0" w:space="0" w:color="auto"/>
      </w:divBdr>
    </w:div>
    <w:div w:id="423766289">
      <w:bodyDiv w:val="1"/>
      <w:marLeft w:val="0"/>
      <w:marRight w:val="0"/>
      <w:marTop w:val="0"/>
      <w:marBottom w:val="0"/>
      <w:divBdr>
        <w:top w:val="none" w:sz="0" w:space="0" w:color="auto"/>
        <w:left w:val="none" w:sz="0" w:space="0" w:color="auto"/>
        <w:bottom w:val="none" w:sz="0" w:space="0" w:color="auto"/>
        <w:right w:val="none" w:sz="0" w:space="0" w:color="auto"/>
      </w:divBdr>
    </w:div>
    <w:div w:id="42573556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6413449">
      <w:bodyDiv w:val="1"/>
      <w:marLeft w:val="0"/>
      <w:marRight w:val="0"/>
      <w:marTop w:val="0"/>
      <w:marBottom w:val="0"/>
      <w:divBdr>
        <w:top w:val="none" w:sz="0" w:space="0" w:color="auto"/>
        <w:left w:val="none" w:sz="0" w:space="0" w:color="auto"/>
        <w:bottom w:val="none" w:sz="0" w:space="0" w:color="auto"/>
        <w:right w:val="none" w:sz="0" w:space="0" w:color="auto"/>
      </w:divBdr>
    </w:div>
    <w:div w:id="448164149">
      <w:bodyDiv w:val="1"/>
      <w:marLeft w:val="0"/>
      <w:marRight w:val="0"/>
      <w:marTop w:val="0"/>
      <w:marBottom w:val="0"/>
      <w:divBdr>
        <w:top w:val="none" w:sz="0" w:space="0" w:color="auto"/>
        <w:left w:val="none" w:sz="0" w:space="0" w:color="auto"/>
        <w:bottom w:val="none" w:sz="0" w:space="0" w:color="auto"/>
        <w:right w:val="none" w:sz="0" w:space="0" w:color="auto"/>
      </w:divBdr>
    </w:div>
    <w:div w:id="449589224">
      <w:bodyDiv w:val="1"/>
      <w:marLeft w:val="0"/>
      <w:marRight w:val="0"/>
      <w:marTop w:val="0"/>
      <w:marBottom w:val="0"/>
      <w:divBdr>
        <w:top w:val="none" w:sz="0" w:space="0" w:color="auto"/>
        <w:left w:val="none" w:sz="0" w:space="0" w:color="auto"/>
        <w:bottom w:val="none" w:sz="0" w:space="0" w:color="auto"/>
        <w:right w:val="none" w:sz="0" w:space="0" w:color="auto"/>
      </w:divBdr>
    </w:div>
    <w:div w:id="450170222">
      <w:bodyDiv w:val="1"/>
      <w:marLeft w:val="0"/>
      <w:marRight w:val="0"/>
      <w:marTop w:val="0"/>
      <w:marBottom w:val="0"/>
      <w:divBdr>
        <w:top w:val="none" w:sz="0" w:space="0" w:color="auto"/>
        <w:left w:val="none" w:sz="0" w:space="0" w:color="auto"/>
        <w:bottom w:val="none" w:sz="0" w:space="0" w:color="auto"/>
        <w:right w:val="none" w:sz="0" w:space="0" w:color="auto"/>
      </w:divBdr>
    </w:div>
    <w:div w:id="451362297">
      <w:bodyDiv w:val="1"/>
      <w:marLeft w:val="0"/>
      <w:marRight w:val="0"/>
      <w:marTop w:val="0"/>
      <w:marBottom w:val="0"/>
      <w:divBdr>
        <w:top w:val="none" w:sz="0" w:space="0" w:color="auto"/>
        <w:left w:val="none" w:sz="0" w:space="0" w:color="auto"/>
        <w:bottom w:val="none" w:sz="0" w:space="0" w:color="auto"/>
        <w:right w:val="none" w:sz="0" w:space="0" w:color="auto"/>
      </w:divBdr>
    </w:div>
    <w:div w:id="461384892">
      <w:bodyDiv w:val="1"/>
      <w:marLeft w:val="0"/>
      <w:marRight w:val="0"/>
      <w:marTop w:val="0"/>
      <w:marBottom w:val="0"/>
      <w:divBdr>
        <w:top w:val="none" w:sz="0" w:space="0" w:color="auto"/>
        <w:left w:val="none" w:sz="0" w:space="0" w:color="auto"/>
        <w:bottom w:val="none" w:sz="0" w:space="0" w:color="auto"/>
        <w:right w:val="none" w:sz="0" w:space="0" w:color="auto"/>
      </w:divBdr>
    </w:div>
    <w:div w:id="465701004">
      <w:bodyDiv w:val="1"/>
      <w:marLeft w:val="0"/>
      <w:marRight w:val="0"/>
      <w:marTop w:val="0"/>
      <w:marBottom w:val="0"/>
      <w:divBdr>
        <w:top w:val="none" w:sz="0" w:space="0" w:color="auto"/>
        <w:left w:val="none" w:sz="0" w:space="0" w:color="auto"/>
        <w:bottom w:val="none" w:sz="0" w:space="0" w:color="auto"/>
        <w:right w:val="none" w:sz="0" w:space="0" w:color="auto"/>
      </w:divBdr>
    </w:div>
    <w:div w:id="466362604">
      <w:bodyDiv w:val="1"/>
      <w:marLeft w:val="0"/>
      <w:marRight w:val="0"/>
      <w:marTop w:val="0"/>
      <w:marBottom w:val="0"/>
      <w:divBdr>
        <w:top w:val="none" w:sz="0" w:space="0" w:color="auto"/>
        <w:left w:val="none" w:sz="0" w:space="0" w:color="auto"/>
        <w:bottom w:val="none" w:sz="0" w:space="0" w:color="auto"/>
        <w:right w:val="none" w:sz="0" w:space="0" w:color="auto"/>
      </w:divBdr>
    </w:div>
    <w:div w:id="483354583">
      <w:bodyDiv w:val="1"/>
      <w:marLeft w:val="0"/>
      <w:marRight w:val="0"/>
      <w:marTop w:val="0"/>
      <w:marBottom w:val="0"/>
      <w:divBdr>
        <w:top w:val="none" w:sz="0" w:space="0" w:color="auto"/>
        <w:left w:val="none" w:sz="0" w:space="0" w:color="auto"/>
        <w:bottom w:val="none" w:sz="0" w:space="0" w:color="auto"/>
        <w:right w:val="none" w:sz="0" w:space="0" w:color="auto"/>
      </w:divBdr>
    </w:div>
    <w:div w:id="484274720">
      <w:bodyDiv w:val="1"/>
      <w:marLeft w:val="0"/>
      <w:marRight w:val="0"/>
      <w:marTop w:val="0"/>
      <w:marBottom w:val="0"/>
      <w:divBdr>
        <w:top w:val="none" w:sz="0" w:space="0" w:color="auto"/>
        <w:left w:val="none" w:sz="0" w:space="0" w:color="auto"/>
        <w:bottom w:val="none" w:sz="0" w:space="0" w:color="auto"/>
        <w:right w:val="none" w:sz="0" w:space="0" w:color="auto"/>
      </w:divBdr>
    </w:div>
    <w:div w:id="484976410">
      <w:bodyDiv w:val="1"/>
      <w:marLeft w:val="0"/>
      <w:marRight w:val="0"/>
      <w:marTop w:val="0"/>
      <w:marBottom w:val="0"/>
      <w:divBdr>
        <w:top w:val="none" w:sz="0" w:space="0" w:color="auto"/>
        <w:left w:val="none" w:sz="0" w:space="0" w:color="auto"/>
        <w:bottom w:val="none" w:sz="0" w:space="0" w:color="auto"/>
        <w:right w:val="none" w:sz="0" w:space="0" w:color="auto"/>
      </w:divBdr>
    </w:div>
    <w:div w:id="512770589">
      <w:bodyDiv w:val="1"/>
      <w:marLeft w:val="0"/>
      <w:marRight w:val="0"/>
      <w:marTop w:val="0"/>
      <w:marBottom w:val="0"/>
      <w:divBdr>
        <w:top w:val="none" w:sz="0" w:space="0" w:color="auto"/>
        <w:left w:val="none" w:sz="0" w:space="0" w:color="auto"/>
        <w:bottom w:val="none" w:sz="0" w:space="0" w:color="auto"/>
        <w:right w:val="none" w:sz="0" w:space="0" w:color="auto"/>
      </w:divBdr>
    </w:div>
    <w:div w:id="512955390">
      <w:bodyDiv w:val="1"/>
      <w:marLeft w:val="0"/>
      <w:marRight w:val="0"/>
      <w:marTop w:val="0"/>
      <w:marBottom w:val="0"/>
      <w:divBdr>
        <w:top w:val="none" w:sz="0" w:space="0" w:color="auto"/>
        <w:left w:val="none" w:sz="0" w:space="0" w:color="auto"/>
        <w:bottom w:val="none" w:sz="0" w:space="0" w:color="auto"/>
        <w:right w:val="none" w:sz="0" w:space="0" w:color="auto"/>
      </w:divBdr>
    </w:div>
    <w:div w:id="515926508">
      <w:bodyDiv w:val="1"/>
      <w:marLeft w:val="0"/>
      <w:marRight w:val="0"/>
      <w:marTop w:val="0"/>
      <w:marBottom w:val="0"/>
      <w:divBdr>
        <w:top w:val="none" w:sz="0" w:space="0" w:color="auto"/>
        <w:left w:val="none" w:sz="0" w:space="0" w:color="auto"/>
        <w:bottom w:val="none" w:sz="0" w:space="0" w:color="auto"/>
        <w:right w:val="none" w:sz="0" w:space="0" w:color="auto"/>
      </w:divBdr>
    </w:div>
    <w:div w:id="518351991">
      <w:bodyDiv w:val="1"/>
      <w:marLeft w:val="0"/>
      <w:marRight w:val="0"/>
      <w:marTop w:val="0"/>
      <w:marBottom w:val="0"/>
      <w:divBdr>
        <w:top w:val="none" w:sz="0" w:space="0" w:color="auto"/>
        <w:left w:val="none" w:sz="0" w:space="0" w:color="auto"/>
        <w:bottom w:val="none" w:sz="0" w:space="0" w:color="auto"/>
        <w:right w:val="none" w:sz="0" w:space="0" w:color="auto"/>
      </w:divBdr>
    </w:div>
    <w:div w:id="526144241">
      <w:bodyDiv w:val="1"/>
      <w:marLeft w:val="0"/>
      <w:marRight w:val="0"/>
      <w:marTop w:val="0"/>
      <w:marBottom w:val="0"/>
      <w:divBdr>
        <w:top w:val="none" w:sz="0" w:space="0" w:color="auto"/>
        <w:left w:val="none" w:sz="0" w:space="0" w:color="auto"/>
        <w:bottom w:val="none" w:sz="0" w:space="0" w:color="auto"/>
        <w:right w:val="none" w:sz="0" w:space="0" w:color="auto"/>
      </w:divBdr>
    </w:div>
    <w:div w:id="529493187">
      <w:bodyDiv w:val="1"/>
      <w:marLeft w:val="0"/>
      <w:marRight w:val="0"/>
      <w:marTop w:val="0"/>
      <w:marBottom w:val="0"/>
      <w:divBdr>
        <w:top w:val="none" w:sz="0" w:space="0" w:color="auto"/>
        <w:left w:val="none" w:sz="0" w:space="0" w:color="auto"/>
        <w:bottom w:val="none" w:sz="0" w:space="0" w:color="auto"/>
        <w:right w:val="none" w:sz="0" w:space="0" w:color="auto"/>
      </w:divBdr>
    </w:div>
    <w:div w:id="534079612">
      <w:bodyDiv w:val="1"/>
      <w:marLeft w:val="0"/>
      <w:marRight w:val="0"/>
      <w:marTop w:val="0"/>
      <w:marBottom w:val="0"/>
      <w:divBdr>
        <w:top w:val="none" w:sz="0" w:space="0" w:color="auto"/>
        <w:left w:val="none" w:sz="0" w:space="0" w:color="auto"/>
        <w:bottom w:val="none" w:sz="0" w:space="0" w:color="auto"/>
        <w:right w:val="none" w:sz="0" w:space="0" w:color="auto"/>
      </w:divBdr>
    </w:div>
    <w:div w:id="553080486">
      <w:bodyDiv w:val="1"/>
      <w:marLeft w:val="0"/>
      <w:marRight w:val="0"/>
      <w:marTop w:val="0"/>
      <w:marBottom w:val="0"/>
      <w:divBdr>
        <w:top w:val="none" w:sz="0" w:space="0" w:color="auto"/>
        <w:left w:val="none" w:sz="0" w:space="0" w:color="auto"/>
        <w:bottom w:val="none" w:sz="0" w:space="0" w:color="auto"/>
        <w:right w:val="none" w:sz="0" w:space="0" w:color="auto"/>
      </w:divBdr>
    </w:div>
    <w:div w:id="553545514">
      <w:bodyDiv w:val="1"/>
      <w:marLeft w:val="0"/>
      <w:marRight w:val="0"/>
      <w:marTop w:val="0"/>
      <w:marBottom w:val="0"/>
      <w:divBdr>
        <w:top w:val="none" w:sz="0" w:space="0" w:color="auto"/>
        <w:left w:val="none" w:sz="0" w:space="0" w:color="auto"/>
        <w:bottom w:val="none" w:sz="0" w:space="0" w:color="auto"/>
        <w:right w:val="none" w:sz="0" w:space="0" w:color="auto"/>
      </w:divBdr>
    </w:div>
    <w:div w:id="559635585">
      <w:bodyDiv w:val="1"/>
      <w:marLeft w:val="0"/>
      <w:marRight w:val="0"/>
      <w:marTop w:val="0"/>
      <w:marBottom w:val="0"/>
      <w:divBdr>
        <w:top w:val="none" w:sz="0" w:space="0" w:color="auto"/>
        <w:left w:val="none" w:sz="0" w:space="0" w:color="auto"/>
        <w:bottom w:val="none" w:sz="0" w:space="0" w:color="auto"/>
        <w:right w:val="none" w:sz="0" w:space="0" w:color="auto"/>
      </w:divBdr>
    </w:div>
    <w:div w:id="563758670">
      <w:bodyDiv w:val="1"/>
      <w:marLeft w:val="0"/>
      <w:marRight w:val="0"/>
      <w:marTop w:val="0"/>
      <w:marBottom w:val="0"/>
      <w:divBdr>
        <w:top w:val="none" w:sz="0" w:space="0" w:color="auto"/>
        <w:left w:val="none" w:sz="0" w:space="0" w:color="auto"/>
        <w:bottom w:val="none" w:sz="0" w:space="0" w:color="auto"/>
        <w:right w:val="none" w:sz="0" w:space="0" w:color="auto"/>
      </w:divBdr>
    </w:div>
    <w:div w:id="578683524">
      <w:bodyDiv w:val="1"/>
      <w:marLeft w:val="0"/>
      <w:marRight w:val="0"/>
      <w:marTop w:val="0"/>
      <w:marBottom w:val="0"/>
      <w:divBdr>
        <w:top w:val="none" w:sz="0" w:space="0" w:color="auto"/>
        <w:left w:val="none" w:sz="0" w:space="0" w:color="auto"/>
        <w:bottom w:val="none" w:sz="0" w:space="0" w:color="auto"/>
        <w:right w:val="none" w:sz="0" w:space="0" w:color="auto"/>
      </w:divBdr>
    </w:div>
    <w:div w:id="584535959">
      <w:bodyDiv w:val="1"/>
      <w:marLeft w:val="0"/>
      <w:marRight w:val="0"/>
      <w:marTop w:val="0"/>
      <w:marBottom w:val="0"/>
      <w:divBdr>
        <w:top w:val="none" w:sz="0" w:space="0" w:color="auto"/>
        <w:left w:val="none" w:sz="0" w:space="0" w:color="auto"/>
        <w:bottom w:val="none" w:sz="0" w:space="0" w:color="auto"/>
        <w:right w:val="none" w:sz="0" w:space="0" w:color="auto"/>
      </w:divBdr>
    </w:div>
    <w:div w:id="586814125">
      <w:bodyDiv w:val="1"/>
      <w:marLeft w:val="0"/>
      <w:marRight w:val="0"/>
      <w:marTop w:val="0"/>
      <w:marBottom w:val="0"/>
      <w:divBdr>
        <w:top w:val="none" w:sz="0" w:space="0" w:color="auto"/>
        <w:left w:val="none" w:sz="0" w:space="0" w:color="auto"/>
        <w:bottom w:val="none" w:sz="0" w:space="0" w:color="auto"/>
        <w:right w:val="none" w:sz="0" w:space="0" w:color="auto"/>
      </w:divBdr>
    </w:div>
    <w:div w:id="587033439">
      <w:bodyDiv w:val="1"/>
      <w:marLeft w:val="0"/>
      <w:marRight w:val="0"/>
      <w:marTop w:val="0"/>
      <w:marBottom w:val="0"/>
      <w:divBdr>
        <w:top w:val="none" w:sz="0" w:space="0" w:color="auto"/>
        <w:left w:val="none" w:sz="0" w:space="0" w:color="auto"/>
        <w:bottom w:val="none" w:sz="0" w:space="0" w:color="auto"/>
        <w:right w:val="none" w:sz="0" w:space="0" w:color="auto"/>
      </w:divBdr>
    </w:div>
    <w:div w:id="590622469">
      <w:bodyDiv w:val="1"/>
      <w:marLeft w:val="0"/>
      <w:marRight w:val="0"/>
      <w:marTop w:val="0"/>
      <w:marBottom w:val="0"/>
      <w:divBdr>
        <w:top w:val="none" w:sz="0" w:space="0" w:color="auto"/>
        <w:left w:val="none" w:sz="0" w:space="0" w:color="auto"/>
        <w:bottom w:val="none" w:sz="0" w:space="0" w:color="auto"/>
        <w:right w:val="none" w:sz="0" w:space="0" w:color="auto"/>
      </w:divBdr>
    </w:div>
    <w:div w:id="602616533">
      <w:bodyDiv w:val="1"/>
      <w:marLeft w:val="0"/>
      <w:marRight w:val="0"/>
      <w:marTop w:val="0"/>
      <w:marBottom w:val="0"/>
      <w:divBdr>
        <w:top w:val="none" w:sz="0" w:space="0" w:color="auto"/>
        <w:left w:val="none" w:sz="0" w:space="0" w:color="auto"/>
        <w:bottom w:val="none" w:sz="0" w:space="0" w:color="auto"/>
        <w:right w:val="none" w:sz="0" w:space="0" w:color="auto"/>
      </w:divBdr>
    </w:div>
    <w:div w:id="607858997">
      <w:bodyDiv w:val="1"/>
      <w:marLeft w:val="0"/>
      <w:marRight w:val="0"/>
      <w:marTop w:val="0"/>
      <w:marBottom w:val="0"/>
      <w:divBdr>
        <w:top w:val="none" w:sz="0" w:space="0" w:color="auto"/>
        <w:left w:val="none" w:sz="0" w:space="0" w:color="auto"/>
        <w:bottom w:val="none" w:sz="0" w:space="0" w:color="auto"/>
        <w:right w:val="none" w:sz="0" w:space="0" w:color="auto"/>
      </w:divBdr>
    </w:div>
    <w:div w:id="612787364">
      <w:bodyDiv w:val="1"/>
      <w:marLeft w:val="0"/>
      <w:marRight w:val="0"/>
      <w:marTop w:val="0"/>
      <w:marBottom w:val="0"/>
      <w:divBdr>
        <w:top w:val="none" w:sz="0" w:space="0" w:color="auto"/>
        <w:left w:val="none" w:sz="0" w:space="0" w:color="auto"/>
        <w:bottom w:val="none" w:sz="0" w:space="0" w:color="auto"/>
        <w:right w:val="none" w:sz="0" w:space="0" w:color="auto"/>
      </w:divBdr>
    </w:div>
    <w:div w:id="614406698">
      <w:bodyDiv w:val="1"/>
      <w:marLeft w:val="0"/>
      <w:marRight w:val="0"/>
      <w:marTop w:val="0"/>
      <w:marBottom w:val="0"/>
      <w:divBdr>
        <w:top w:val="none" w:sz="0" w:space="0" w:color="auto"/>
        <w:left w:val="none" w:sz="0" w:space="0" w:color="auto"/>
        <w:bottom w:val="none" w:sz="0" w:space="0" w:color="auto"/>
        <w:right w:val="none" w:sz="0" w:space="0" w:color="auto"/>
      </w:divBdr>
    </w:div>
    <w:div w:id="619801247">
      <w:bodyDiv w:val="1"/>
      <w:marLeft w:val="0"/>
      <w:marRight w:val="0"/>
      <w:marTop w:val="0"/>
      <w:marBottom w:val="0"/>
      <w:divBdr>
        <w:top w:val="none" w:sz="0" w:space="0" w:color="auto"/>
        <w:left w:val="none" w:sz="0" w:space="0" w:color="auto"/>
        <w:bottom w:val="none" w:sz="0" w:space="0" w:color="auto"/>
        <w:right w:val="none" w:sz="0" w:space="0" w:color="auto"/>
      </w:divBdr>
    </w:div>
    <w:div w:id="620234657">
      <w:bodyDiv w:val="1"/>
      <w:marLeft w:val="0"/>
      <w:marRight w:val="0"/>
      <w:marTop w:val="0"/>
      <w:marBottom w:val="0"/>
      <w:divBdr>
        <w:top w:val="none" w:sz="0" w:space="0" w:color="auto"/>
        <w:left w:val="none" w:sz="0" w:space="0" w:color="auto"/>
        <w:bottom w:val="none" w:sz="0" w:space="0" w:color="auto"/>
        <w:right w:val="none" w:sz="0" w:space="0" w:color="auto"/>
      </w:divBdr>
    </w:div>
    <w:div w:id="630482681">
      <w:bodyDiv w:val="1"/>
      <w:marLeft w:val="0"/>
      <w:marRight w:val="0"/>
      <w:marTop w:val="0"/>
      <w:marBottom w:val="0"/>
      <w:divBdr>
        <w:top w:val="none" w:sz="0" w:space="0" w:color="auto"/>
        <w:left w:val="none" w:sz="0" w:space="0" w:color="auto"/>
        <w:bottom w:val="none" w:sz="0" w:space="0" w:color="auto"/>
        <w:right w:val="none" w:sz="0" w:space="0" w:color="auto"/>
      </w:divBdr>
    </w:div>
    <w:div w:id="631138801">
      <w:bodyDiv w:val="1"/>
      <w:marLeft w:val="0"/>
      <w:marRight w:val="0"/>
      <w:marTop w:val="0"/>
      <w:marBottom w:val="0"/>
      <w:divBdr>
        <w:top w:val="none" w:sz="0" w:space="0" w:color="auto"/>
        <w:left w:val="none" w:sz="0" w:space="0" w:color="auto"/>
        <w:bottom w:val="none" w:sz="0" w:space="0" w:color="auto"/>
        <w:right w:val="none" w:sz="0" w:space="0" w:color="auto"/>
      </w:divBdr>
    </w:div>
    <w:div w:id="632558685">
      <w:bodyDiv w:val="1"/>
      <w:marLeft w:val="0"/>
      <w:marRight w:val="0"/>
      <w:marTop w:val="0"/>
      <w:marBottom w:val="0"/>
      <w:divBdr>
        <w:top w:val="none" w:sz="0" w:space="0" w:color="auto"/>
        <w:left w:val="none" w:sz="0" w:space="0" w:color="auto"/>
        <w:bottom w:val="none" w:sz="0" w:space="0" w:color="auto"/>
        <w:right w:val="none" w:sz="0" w:space="0" w:color="auto"/>
      </w:divBdr>
    </w:div>
    <w:div w:id="644512310">
      <w:bodyDiv w:val="1"/>
      <w:marLeft w:val="0"/>
      <w:marRight w:val="0"/>
      <w:marTop w:val="0"/>
      <w:marBottom w:val="0"/>
      <w:divBdr>
        <w:top w:val="none" w:sz="0" w:space="0" w:color="auto"/>
        <w:left w:val="none" w:sz="0" w:space="0" w:color="auto"/>
        <w:bottom w:val="none" w:sz="0" w:space="0" w:color="auto"/>
        <w:right w:val="none" w:sz="0" w:space="0" w:color="auto"/>
      </w:divBdr>
    </w:div>
    <w:div w:id="644895241">
      <w:bodyDiv w:val="1"/>
      <w:marLeft w:val="0"/>
      <w:marRight w:val="0"/>
      <w:marTop w:val="0"/>
      <w:marBottom w:val="0"/>
      <w:divBdr>
        <w:top w:val="none" w:sz="0" w:space="0" w:color="auto"/>
        <w:left w:val="none" w:sz="0" w:space="0" w:color="auto"/>
        <w:bottom w:val="none" w:sz="0" w:space="0" w:color="auto"/>
        <w:right w:val="none" w:sz="0" w:space="0" w:color="auto"/>
      </w:divBdr>
    </w:div>
    <w:div w:id="645666259">
      <w:bodyDiv w:val="1"/>
      <w:marLeft w:val="0"/>
      <w:marRight w:val="0"/>
      <w:marTop w:val="0"/>
      <w:marBottom w:val="0"/>
      <w:divBdr>
        <w:top w:val="none" w:sz="0" w:space="0" w:color="auto"/>
        <w:left w:val="none" w:sz="0" w:space="0" w:color="auto"/>
        <w:bottom w:val="none" w:sz="0" w:space="0" w:color="auto"/>
        <w:right w:val="none" w:sz="0" w:space="0" w:color="auto"/>
      </w:divBdr>
    </w:div>
    <w:div w:id="657197334">
      <w:bodyDiv w:val="1"/>
      <w:marLeft w:val="0"/>
      <w:marRight w:val="0"/>
      <w:marTop w:val="0"/>
      <w:marBottom w:val="0"/>
      <w:divBdr>
        <w:top w:val="none" w:sz="0" w:space="0" w:color="auto"/>
        <w:left w:val="none" w:sz="0" w:space="0" w:color="auto"/>
        <w:bottom w:val="none" w:sz="0" w:space="0" w:color="auto"/>
        <w:right w:val="none" w:sz="0" w:space="0" w:color="auto"/>
      </w:divBdr>
    </w:div>
    <w:div w:id="658578837">
      <w:bodyDiv w:val="1"/>
      <w:marLeft w:val="0"/>
      <w:marRight w:val="0"/>
      <w:marTop w:val="0"/>
      <w:marBottom w:val="0"/>
      <w:divBdr>
        <w:top w:val="none" w:sz="0" w:space="0" w:color="auto"/>
        <w:left w:val="none" w:sz="0" w:space="0" w:color="auto"/>
        <w:bottom w:val="none" w:sz="0" w:space="0" w:color="auto"/>
        <w:right w:val="none" w:sz="0" w:space="0" w:color="auto"/>
      </w:divBdr>
    </w:div>
    <w:div w:id="692340417">
      <w:bodyDiv w:val="1"/>
      <w:marLeft w:val="0"/>
      <w:marRight w:val="0"/>
      <w:marTop w:val="0"/>
      <w:marBottom w:val="0"/>
      <w:divBdr>
        <w:top w:val="none" w:sz="0" w:space="0" w:color="auto"/>
        <w:left w:val="none" w:sz="0" w:space="0" w:color="auto"/>
        <w:bottom w:val="none" w:sz="0" w:space="0" w:color="auto"/>
        <w:right w:val="none" w:sz="0" w:space="0" w:color="auto"/>
      </w:divBdr>
    </w:div>
    <w:div w:id="693962383">
      <w:bodyDiv w:val="1"/>
      <w:marLeft w:val="0"/>
      <w:marRight w:val="0"/>
      <w:marTop w:val="0"/>
      <w:marBottom w:val="0"/>
      <w:divBdr>
        <w:top w:val="none" w:sz="0" w:space="0" w:color="auto"/>
        <w:left w:val="none" w:sz="0" w:space="0" w:color="auto"/>
        <w:bottom w:val="none" w:sz="0" w:space="0" w:color="auto"/>
        <w:right w:val="none" w:sz="0" w:space="0" w:color="auto"/>
      </w:divBdr>
    </w:div>
    <w:div w:id="694501681">
      <w:bodyDiv w:val="1"/>
      <w:marLeft w:val="0"/>
      <w:marRight w:val="0"/>
      <w:marTop w:val="0"/>
      <w:marBottom w:val="0"/>
      <w:divBdr>
        <w:top w:val="none" w:sz="0" w:space="0" w:color="auto"/>
        <w:left w:val="none" w:sz="0" w:space="0" w:color="auto"/>
        <w:bottom w:val="none" w:sz="0" w:space="0" w:color="auto"/>
        <w:right w:val="none" w:sz="0" w:space="0" w:color="auto"/>
      </w:divBdr>
    </w:div>
    <w:div w:id="698510784">
      <w:bodyDiv w:val="1"/>
      <w:marLeft w:val="0"/>
      <w:marRight w:val="0"/>
      <w:marTop w:val="0"/>
      <w:marBottom w:val="0"/>
      <w:divBdr>
        <w:top w:val="none" w:sz="0" w:space="0" w:color="auto"/>
        <w:left w:val="none" w:sz="0" w:space="0" w:color="auto"/>
        <w:bottom w:val="none" w:sz="0" w:space="0" w:color="auto"/>
        <w:right w:val="none" w:sz="0" w:space="0" w:color="auto"/>
      </w:divBdr>
    </w:div>
    <w:div w:id="701252746">
      <w:bodyDiv w:val="1"/>
      <w:marLeft w:val="0"/>
      <w:marRight w:val="0"/>
      <w:marTop w:val="0"/>
      <w:marBottom w:val="0"/>
      <w:divBdr>
        <w:top w:val="none" w:sz="0" w:space="0" w:color="auto"/>
        <w:left w:val="none" w:sz="0" w:space="0" w:color="auto"/>
        <w:bottom w:val="none" w:sz="0" w:space="0" w:color="auto"/>
        <w:right w:val="none" w:sz="0" w:space="0" w:color="auto"/>
      </w:divBdr>
    </w:div>
    <w:div w:id="701513770">
      <w:bodyDiv w:val="1"/>
      <w:marLeft w:val="0"/>
      <w:marRight w:val="0"/>
      <w:marTop w:val="0"/>
      <w:marBottom w:val="0"/>
      <w:divBdr>
        <w:top w:val="none" w:sz="0" w:space="0" w:color="auto"/>
        <w:left w:val="none" w:sz="0" w:space="0" w:color="auto"/>
        <w:bottom w:val="none" w:sz="0" w:space="0" w:color="auto"/>
        <w:right w:val="none" w:sz="0" w:space="0" w:color="auto"/>
      </w:divBdr>
    </w:div>
    <w:div w:id="704868479">
      <w:bodyDiv w:val="1"/>
      <w:marLeft w:val="0"/>
      <w:marRight w:val="0"/>
      <w:marTop w:val="0"/>
      <w:marBottom w:val="0"/>
      <w:divBdr>
        <w:top w:val="none" w:sz="0" w:space="0" w:color="auto"/>
        <w:left w:val="none" w:sz="0" w:space="0" w:color="auto"/>
        <w:bottom w:val="none" w:sz="0" w:space="0" w:color="auto"/>
        <w:right w:val="none" w:sz="0" w:space="0" w:color="auto"/>
      </w:divBdr>
    </w:div>
    <w:div w:id="707803587">
      <w:bodyDiv w:val="1"/>
      <w:marLeft w:val="0"/>
      <w:marRight w:val="0"/>
      <w:marTop w:val="0"/>
      <w:marBottom w:val="0"/>
      <w:divBdr>
        <w:top w:val="none" w:sz="0" w:space="0" w:color="auto"/>
        <w:left w:val="none" w:sz="0" w:space="0" w:color="auto"/>
        <w:bottom w:val="none" w:sz="0" w:space="0" w:color="auto"/>
        <w:right w:val="none" w:sz="0" w:space="0" w:color="auto"/>
      </w:divBdr>
    </w:div>
    <w:div w:id="708989094">
      <w:bodyDiv w:val="1"/>
      <w:marLeft w:val="0"/>
      <w:marRight w:val="0"/>
      <w:marTop w:val="0"/>
      <w:marBottom w:val="0"/>
      <w:divBdr>
        <w:top w:val="none" w:sz="0" w:space="0" w:color="auto"/>
        <w:left w:val="none" w:sz="0" w:space="0" w:color="auto"/>
        <w:bottom w:val="none" w:sz="0" w:space="0" w:color="auto"/>
        <w:right w:val="none" w:sz="0" w:space="0" w:color="auto"/>
      </w:divBdr>
    </w:div>
    <w:div w:id="714546207">
      <w:bodyDiv w:val="1"/>
      <w:marLeft w:val="0"/>
      <w:marRight w:val="0"/>
      <w:marTop w:val="0"/>
      <w:marBottom w:val="0"/>
      <w:divBdr>
        <w:top w:val="none" w:sz="0" w:space="0" w:color="auto"/>
        <w:left w:val="none" w:sz="0" w:space="0" w:color="auto"/>
        <w:bottom w:val="none" w:sz="0" w:space="0" w:color="auto"/>
        <w:right w:val="none" w:sz="0" w:space="0" w:color="auto"/>
      </w:divBdr>
    </w:div>
    <w:div w:id="717321628">
      <w:bodyDiv w:val="1"/>
      <w:marLeft w:val="0"/>
      <w:marRight w:val="0"/>
      <w:marTop w:val="0"/>
      <w:marBottom w:val="0"/>
      <w:divBdr>
        <w:top w:val="none" w:sz="0" w:space="0" w:color="auto"/>
        <w:left w:val="none" w:sz="0" w:space="0" w:color="auto"/>
        <w:bottom w:val="none" w:sz="0" w:space="0" w:color="auto"/>
        <w:right w:val="none" w:sz="0" w:space="0" w:color="auto"/>
      </w:divBdr>
    </w:div>
    <w:div w:id="718281734">
      <w:bodyDiv w:val="1"/>
      <w:marLeft w:val="0"/>
      <w:marRight w:val="0"/>
      <w:marTop w:val="0"/>
      <w:marBottom w:val="0"/>
      <w:divBdr>
        <w:top w:val="none" w:sz="0" w:space="0" w:color="auto"/>
        <w:left w:val="none" w:sz="0" w:space="0" w:color="auto"/>
        <w:bottom w:val="none" w:sz="0" w:space="0" w:color="auto"/>
        <w:right w:val="none" w:sz="0" w:space="0" w:color="auto"/>
      </w:divBdr>
    </w:div>
    <w:div w:id="721438476">
      <w:bodyDiv w:val="1"/>
      <w:marLeft w:val="0"/>
      <w:marRight w:val="0"/>
      <w:marTop w:val="0"/>
      <w:marBottom w:val="0"/>
      <w:divBdr>
        <w:top w:val="none" w:sz="0" w:space="0" w:color="auto"/>
        <w:left w:val="none" w:sz="0" w:space="0" w:color="auto"/>
        <w:bottom w:val="none" w:sz="0" w:space="0" w:color="auto"/>
        <w:right w:val="none" w:sz="0" w:space="0" w:color="auto"/>
      </w:divBdr>
    </w:div>
    <w:div w:id="723336515">
      <w:bodyDiv w:val="1"/>
      <w:marLeft w:val="0"/>
      <w:marRight w:val="0"/>
      <w:marTop w:val="0"/>
      <w:marBottom w:val="0"/>
      <w:divBdr>
        <w:top w:val="none" w:sz="0" w:space="0" w:color="auto"/>
        <w:left w:val="none" w:sz="0" w:space="0" w:color="auto"/>
        <w:bottom w:val="none" w:sz="0" w:space="0" w:color="auto"/>
        <w:right w:val="none" w:sz="0" w:space="0" w:color="auto"/>
      </w:divBdr>
    </w:div>
    <w:div w:id="727655601">
      <w:bodyDiv w:val="1"/>
      <w:marLeft w:val="0"/>
      <w:marRight w:val="0"/>
      <w:marTop w:val="0"/>
      <w:marBottom w:val="0"/>
      <w:divBdr>
        <w:top w:val="none" w:sz="0" w:space="0" w:color="auto"/>
        <w:left w:val="none" w:sz="0" w:space="0" w:color="auto"/>
        <w:bottom w:val="none" w:sz="0" w:space="0" w:color="auto"/>
        <w:right w:val="none" w:sz="0" w:space="0" w:color="auto"/>
      </w:divBdr>
    </w:div>
    <w:div w:id="729379693">
      <w:bodyDiv w:val="1"/>
      <w:marLeft w:val="0"/>
      <w:marRight w:val="0"/>
      <w:marTop w:val="0"/>
      <w:marBottom w:val="0"/>
      <w:divBdr>
        <w:top w:val="none" w:sz="0" w:space="0" w:color="auto"/>
        <w:left w:val="none" w:sz="0" w:space="0" w:color="auto"/>
        <w:bottom w:val="none" w:sz="0" w:space="0" w:color="auto"/>
        <w:right w:val="none" w:sz="0" w:space="0" w:color="auto"/>
      </w:divBdr>
    </w:div>
    <w:div w:id="731151014">
      <w:bodyDiv w:val="1"/>
      <w:marLeft w:val="0"/>
      <w:marRight w:val="0"/>
      <w:marTop w:val="0"/>
      <w:marBottom w:val="0"/>
      <w:divBdr>
        <w:top w:val="none" w:sz="0" w:space="0" w:color="auto"/>
        <w:left w:val="none" w:sz="0" w:space="0" w:color="auto"/>
        <w:bottom w:val="none" w:sz="0" w:space="0" w:color="auto"/>
        <w:right w:val="none" w:sz="0" w:space="0" w:color="auto"/>
      </w:divBdr>
    </w:div>
    <w:div w:id="742604157">
      <w:bodyDiv w:val="1"/>
      <w:marLeft w:val="0"/>
      <w:marRight w:val="0"/>
      <w:marTop w:val="0"/>
      <w:marBottom w:val="0"/>
      <w:divBdr>
        <w:top w:val="none" w:sz="0" w:space="0" w:color="auto"/>
        <w:left w:val="none" w:sz="0" w:space="0" w:color="auto"/>
        <w:bottom w:val="none" w:sz="0" w:space="0" w:color="auto"/>
        <w:right w:val="none" w:sz="0" w:space="0" w:color="auto"/>
      </w:divBdr>
    </w:div>
    <w:div w:id="762798981">
      <w:bodyDiv w:val="1"/>
      <w:marLeft w:val="0"/>
      <w:marRight w:val="0"/>
      <w:marTop w:val="0"/>
      <w:marBottom w:val="0"/>
      <w:divBdr>
        <w:top w:val="none" w:sz="0" w:space="0" w:color="auto"/>
        <w:left w:val="none" w:sz="0" w:space="0" w:color="auto"/>
        <w:bottom w:val="none" w:sz="0" w:space="0" w:color="auto"/>
        <w:right w:val="none" w:sz="0" w:space="0" w:color="auto"/>
      </w:divBdr>
    </w:div>
    <w:div w:id="771511713">
      <w:bodyDiv w:val="1"/>
      <w:marLeft w:val="0"/>
      <w:marRight w:val="0"/>
      <w:marTop w:val="0"/>
      <w:marBottom w:val="0"/>
      <w:divBdr>
        <w:top w:val="none" w:sz="0" w:space="0" w:color="auto"/>
        <w:left w:val="none" w:sz="0" w:space="0" w:color="auto"/>
        <w:bottom w:val="none" w:sz="0" w:space="0" w:color="auto"/>
        <w:right w:val="none" w:sz="0" w:space="0" w:color="auto"/>
      </w:divBdr>
    </w:div>
    <w:div w:id="773985636">
      <w:bodyDiv w:val="1"/>
      <w:marLeft w:val="0"/>
      <w:marRight w:val="0"/>
      <w:marTop w:val="0"/>
      <w:marBottom w:val="0"/>
      <w:divBdr>
        <w:top w:val="none" w:sz="0" w:space="0" w:color="auto"/>
        <w:left w:val="none" w:sz="0" w:space="0" w:color="auto"/>
        <w:bottom w:val="none" w:sz="0" w:space="0" w:color="auto"/>
        <w:right w:val="none" w:sz="0" w:space="0" w:color="auto"/>
      </w:divBdr>
    </w:div>
    <w:div w:id="778795923">
      <w:bodyDiv w:val="1"/>
      <w:marLeft w:val="0"/>
      <w:marRight w:val="0"/>
      <w:marTop w:val="0"/>
      <w:marBottom w:val="0"/>
      <w:divBdr>
        <w:top w:val="none" w:sz="0" w:space="0" w:color="auto"/>
        <w:left w:val="none" w:sz="0" w:space="0" w:color="auto"/>
        <w:bottom w:val="none" w:sz="0" w:space="0" w:color="auto"/>
        <w:right w:val="none" w:sz="0" w:space="0" w:color="auto"/>
      </w:divBdr>
    </w:div>
    <w:div w:id="782529559">
      <w:bodyDiv w:val="1"/>
      <w:marLeft w:val="0"/>
      <w:marRight w:val="0"/>
      <w:marTop w:val="0"/>
      <w:marBottom w:val="0"/>
      <w:divBdr>
        <w:top w:val="none" w:sz="0" w:space="0" w:color="auto"/>
        <w:left w:val="none" w:sz="0" w:space="0" w:color="auto"/>
        <w:bottom w:val="none" w:sz="0" w:space="0" w:color="auto"/>
        <w:right w:val="none" w:sz="0" w:space="0" w:color="auto"/>
      </w:divBdr>
    </w:div>
    <w:div w:id="782579502">
      <w:bodyDiv w:val="1"/>
      <w:marLeft w:val="0"/>
      <w:marRight w:val="0"/>
      <w:marTop w:val="0"/>
      <w:marBottom w:val="0"/>
      <w:divBdr>
        <w:top w:val="none" w:sz="0" w:space="0" w:color="auto"/>
        <w:left w:val="none" w:sz="0" w:space="0" w:color="auto"/>
        <w:bottom w:val="none" w:sz="0" w:space="0" w:color="auto"/>
        <w:right w:val="none" w:sz="0" w:space="0" w:color="auto"/>
      </w:divBdr>
    </w:div>
    <w:div w:id="784538902">
      <w:bodyDiv w:val="1"/>
      <w:marLeft w:val="0"/>
      <w:marRight w:val="0"/>
      <w:marTop w:val="0"/>
      <w:marBottom w:val="0"/>
      <w:divBdr>
        <w:top w:val="none" w:sz="0" w:space="0" w:color="auto"/>
        <w:left w:val="none" w:sz="0" w:space="0" w:color="auto"/>
        <w:bottom w:val="none" w:sz="0" w:space="0" w:color="auto"/>
        <w:right w:val="none" w:sz="0" w:space="0" w:color="auto"/>
      </w:divBdr>
    </w:div>
    <w:div w:id="793599076">
      <w:bodyDiv w:val="1"/>
      <w:marLeft w:val="0"/>
      <w:marRight w:val="0"/>
      <w:marTop w:val="0"/>
      <w:marBottom w:val="0"/>
      <w:divBdr>
        <w:top w:val="none" w:sz="0" w:space="0" w:color="auto"/>
        <w:left w:val="none" w:sz="0" w:space="0" w:color="auto"/>
        <w:bottom w:val="none" w:sz="0" w:space="0" w:color="auto"/>
        <w:right w:val="none" w:sz="0" w:space="0" w:color="auto"/>
      </w:divBdr>
    </w:div>
    <w:div w:id="801001243">
      <w:bodyDiv w:val="1"/>
      <w:marLeft w:val="0"/>
      <w:marRight w:val="0"/>
      <w:marTop w:val="0"/>
      <w:marBottom w:val="0"/>
      <w:divBdr>
        <w:top w:val="none" w:sz="0" w:space="0" w:color="auto"/>
        <w:left w:val="none" w:sz="0" w:space="0" w:color="auto"/>
        <w:bottom w:val="none" w:sz="0" w:space="0" w:color="auto"/>
        <w:right w:val="none" w:sz="0" w:space="0" w:color="auto"/>
      </w:divBdr>
    </w:div>
    <w:div w:id="801390260">
      <w:bodyDiv w:val="1"/>
      <w:marLeft w:val="0"/>
      <w:marRight w:val="0"/>
      <w:marTop w:val="0"/>
      <w:marBottom w:val="0"/>
      <w:divBdr>
        <w:top w:val="none" w:sz="0" w:space="0" w:color="auto"/>
        <w:left w:val="none" w:sz="0" w:space="0" w:color="auto"/>
        <w:bottom w:val="none" w:sz="0" w:space="0" w:color="auto"/>
        <w:right w:val="none" w:sz="0" w:space="0" w:color="auto"/>
      </w:divBdr>
    </w:div>
    <w:div w:id="818226273">
      <w:bodyDiv w:val="1"/>
      <w:marLeft w:val="0"/>
      <w:marRight w:val="0"/>
      <w:marTop w:val="0"/>
      <w:marBottom w:val="0"/>
      <w:divBdr>
        <w:top w:val="none" w:sz="0" w:space="0" w:color="auto"/>
        <w:left w:val="none" w:sz="0" w:space="0" w:color="auto"/>
        <w:bottom w:val="none" w:sz="0" w:space="0" w:color="auto"/>
        <w:right w:val="none" w:sz="0" w:space="0" w:color="auto"/>
      </w:divBdr>
    </w:div>
    <w:div w:id="819268277">
      <w:bodyDiv w:val="1"/>
      <w:marLeft w:val="0"/>
      <w:marRight w:val="0"/>
      <w:marTop w:val="0"/>
      <w:marBottom w:val="0"/>
      <w:divBdr>
        <w:top w:val="none" w:sz="0" w:space="0" w:color="auto"/>
        <w:left w:val="none" w:sz="0" w:space="0" w:color="auto"/>
        <w:bottom w:val="none" w:sz="0" w:space="0" w:color="auto"/>
        <w:right w:val="none" w:sz="0" w:space="0" w:color="auto"/>
      </w:divBdr>
    </w:div>
    <w:div w:id="830415555">
      <w:bodyDiv w:val="1"/>
      <w:marLeft w:val="0"/>
      <w:marRight w:val="0"/>
      <w:marTop w:val="0"/>
      <w:marBottom w:val="0"/>
      <w:divBdr>
        <w:top w:val="none" w:sz="0" w:space="0" w:color="auto"/>
        <w:left w:val="none" w:sz="0" w:space="0" w:color="auto"/>
        <w:bottom w:val="none" w:sz="0" w:space="0" w:color="auto"/>
        <w:right w:val="none" w:sz="0" w:space="0" w:color="auto"/>
      </w:divBdr>
    </w:div>
    <w:div w:id="831216354">
      <w:bodyDiv w:val="1"/>
      <w:marLeft w:val="0"/>
      <w:marRight w:val="0"/>
      <w:marTop w:val="0"/>
      <w:marBottom w:val="0"/>
      <w:divBdr>
        <w:top w:val="none" w:sz="0" w:space="0" w:color="auto"/>
        <w:left w:val="none" w:sz="0" w:space="0" w:color="auto"/>
        <w:bottom w:val="none" w:sz="0" w:space="0" w:color="auto"/>
        <w:right w:val="none" w:sz="0" w:space="0" w:color="auto"/>
      </w:divBdr>
    </w:div>
    <w:div w:id="831260933">
      <w:bodyDiv w:val="1"/>
      <w:marLeft w:val="0"/>
      <w:marRight w:val="0"/>
      <w:marTop w:val="0"/>
      <w:marBottom w:val="0"/>
      <w:divBdr>
        <w:top w:val="none" w:sz="0" w:space="0" w:color="auto"/>
        <w:left w:val="none" w:sz="0" w:space="0" w:color="auto"/>
        <w:bottom w:val="none" w:sz="0" w:space="0" w:color="auto"/>
        <w:right w:val="none" w:sz="0" w:space="0" w:color="auto"/>
      </w:divBdr>
    </w:div>
    <w:div w:id="831599093">
      <w:bodyDiv w:val="1"/>
      <w:marLeft w:val="0"/>
      <w:marRight w:val="0"/>
      <w:marTop w:val="0"/>
      <w:marBottom w:val="0"/>
      <w:divBdr>
        <w:top w:val="none" w:sz="0" w:space="0" w:color="auto"/>
        <w:left w:val="none" w:sz="0" w:space="0" w:color="auto"/>
        <w:bottom w:val="none" w:sz="0" w:space="0" w:color="auto"/>
        <w:right w:val="none" w:sz="0" w:space="0" w:color="auto"/>
      </w:divBdr>
    </w:div>
    <w:div w:id="832574201">
      <w:bodyDiv w:val="1"/>
      <w:marLeft w:val="0"/>
      <w:marRight w:val="0"/>
      <w:marTop w:val="0"/>
      <w:marBottom w:val="0"/>
      <w:divBdr>
        <w:top w:val="none" w:sz="0" w:space="0" w:color="auto"/>
        <w:left w:val="none" w:sz="0" w:space="0" w:color="auto"/>
        <w:bottom w:val="none" w:sz="0" w:space="0" w:color="auto"/>
        <w:right w:val="none" w:sz="0" w:space="0" w:color="auto"/>
      </w:divBdr>
    </w:div>
    <w:div w:id="851846463">
      <w:bodyDiv w:val="1"/>
      <w:marLeft w:val="0"/>
      <w:marRight w:val="0"/>
      <w:marTop w:val="0"/>
      <w:marBottom w:val="0"/>
      <w:divBdr>
        <w:top w:val="none" w:sz="0" w:space="0" w:color="auto"/>
        <w:left w:val="none" w:sz="0" w:space="0" w:color="auto"/>
        <w:bottom w:val="none" w:sz="0" w:space="0" w:color="auto"/>
        <w:right w:val="none" w:sz="0" w:space="0" w:color="auto"/>
      </w:divBdr>
    </w:div>
    <w:div w:id="852300431">
      <w:bodyDiv w:val="1"/>
      <w:marLeft w:val="0"/>
      <w:marRight w:val="0"/>
      <w:marTop w:val="0"/>
      <w:marBottom w:val="0"/>
      <w:divBdr>
        <w:top w:val="none" w:sz="0" w:space="0" w:color="auto"/>
        <w:left w:val="none" w:sz="0" w:space="0" w:color="auto"/>
        <w:bottom w:val="none" w:sz="0" w:space="0" w:color="auto"/>
        <w:right w:val="none" w:sz="0" w:space="0" w:color="auto"/>
      </w:divBdr>
    </w:div>
    <w:div w:id="853880066">
      <w:bodyDiv w:val="1"/>
      <w:marLeft w:val="0"/>
      <w:marRight w:val="0"/>
      <w:marTop w:val="0"/>
      <w:marBottom w:val="0"/>
      <w:divBdr>
        <w:top w:val="none" w:sz="0" w:space="0" w:color="auto"/>
        <w:left w:val="none" w:sz="0" w:space="0" w:color="auto"/>
        <w:bottom w:val="none" w:sz="0" w:space="0" w:color="auto"/>
        <w:right w:val="none" w:sz="0" w:space="0" w:color="auto"/>
      </w:divBdr>
    </w:div>
    <w:div w:id="855926612">
      <w:bodyDiv w:val="1"/>
      <w:marLeft w:val="0"/>
      <w:marRight w:val="0"/>
      <w:marTop w:val="0"/>
      <w:marBottom w:val="0"/>
      <w:divBdr>
        <w:top w:val="none" w:sz="0" w:space="0" w:color="auto"/>
        <w:left w:val="none" w:sz="0" w:space="0" w:color="auto"/>
        <w:bottom w:val="none" w:sz="0" w:space="0" w:color="auto"/>
        <w:right w:val="none" w:sz="0" w:space="0" w:color="auto"/>
      </w:divBdr>
    </w:div>
    <w:div w:id="858159411">
      <w:bodyDiv w:val="1"/>
      <w:marLeft w:val="0"/>
      <w:marRight w:val="0"/>
      <w:marTop w:val="0"/>
      <w:marBottom w:val="0"/>
      <w:divBdr>
        <w:top w:val="none" w:sz="0" w:space="0" w:color="auto"/>
        <w:left w:val="none" w:sz="0" w:space="0" w:color="auto"/>
        <w:bottom w:val="none" w:sz="0" w:space="0" w:color="auto"/>
        <w:right w:val="none" w:sz="0" w:space="0" w:color="auto"/>
      </w:divBdr>
    </w:div>
    <w:div w:id="863327485">
      <w:bodyDiv w:val="1"/>
      <w:marLeft w:val="0"/>
      <w:marRight w:val="0"/>
      <w:marTop w:val="0"/>
      <w:marBottom w:val="0"/>
      <w:divBdr>
        <w:top w:val="none" w:sz="0" w:space="0" w:color="auto"/>
        <w:left w:val="none" w:sz="0" w:space="0" w:color="auto"/>
        <w:bottom w:val="none" w:sz="0" w:space="0" w:color="auto"/>
        <w:right w:val="none" w:sz="0" w:space="0" w:color="auto"/>
      </w:divBdr>
    </w:div>
    <w:div w:id="872377986">
      <w:bodyDiv w:val="1"/>
      <w:marLeft w:val="0"/>
      <w:marRight w:val="0"/>
      <w:marTop w:val="0"/>
      <w:marBottom w:val="0"/>
      <w:divBdr>
        <w:top w:val="none" w:sz="0" w:space="0" w:color="auto"/>
        <w:left w:val="none" w:sz="0" w:space="0" w:color="auto"/>
        <w:bottom w:val="none" w:sz="0" w:space="0" w:color="auto"/>
        <w:right w:val="none" w:sz="0" w:space="0" w:color="auto"/>
      </w:divBdr>
    </w:div>
    <w:div w:id="880553034">
      <w:bodyDiv w:val="1"/>
      <w:marLeft w:val="0"/>
      <w:marRight w:val="0"/>
      <w:marTop w:val="0"/>
      <w:marBottom w:val="0"/>
      <w:divBdr>
        <w:top w:val="none" w:sz="0" w:space="0" w:color="auto"/>
        <w:left w:val="none" w:sz="0" w:space="0" w:color="auto"/>
        <w:bottom w:val="none" w:sz="0" w:space="0" w:color="auto"/>
        <w:right w:val="none" w:sz="0" w:space="0" w:color="auto"/>
      </w:divBdr>
    </w:div>
    <w:div w:id="893584117">
      <w:bodyDiv w:val="1"/>
      <w:marLeft w:val="0"/>
      <w:marRight w:val="0"/>
      <w:marTop w:val="0"/>
      <w:marBottom w:val="0"/>
      <w:divBdr>
        <w:top w:val="none" w:sz="0" w:space="0" w:color="auto"/>
        <w:left w:val="none" w:sz="0" w:space="0" w:color="auto"/>
        <w:bottom w:val="none" w:sz="0" w:space="0" w:color="auto"/>
        <w:right w:val="none" w:sz="0" w:space="0" w:color="auto"/>
      </w:divBdr>
    </w:div>
    <w:div w:id="895119326">
      <w:bodyDiv w:val="1"/>
      <w:marLeft w:val="0"/>
      <w:marRight w:val="0"/>
      <w:marTop w:val="0"/>
      <w:marBottom w:val="0"/>
      <w:divBdr>
        <w:top w:val="none" w:sz="0" w:space="0" w:color="auto"/>
        <w:left w:val="none" w:sz="0" w:space="0" w:color="auto"/>
        <w:bottom w:val="none" w:sz="0" w:space="0" w:color="auto"/>
        <w:right w:val="none" w:sz="0" w:space="0" w:color="auto"/>
      </w:divBdr>
    </w:div>
    <w:div w:id="917787257">
      <w:bodyDiv w:val="1"/>
      <w:marLeft w:val="0"/>
      <w:marRight w:val="0"/>
      <w:marTop w:val="0"/>
      <w:marBottom w:val="0"/>
      <w:divBdr>
        <w:top w:val="none" w:sz="0" w:space="0" w:color="auto"/>
        <w:left w:val="none" w:sz="0" w:space="0" w:color="auto"/>
        <w:bottom w:val="none" w:sz="0" w:space="0" w:color="auto"/>
        <w:right w:val="none" w:sz="0" w:space="0" w:color="auto"/>
      </w:divBdr>
    </w:div>
    <w:div w:id="922106154">
      <w:bodyDiv w:val="1"/>
      <w:marLeft w:val="0"/>
      <w:marRight w:val="0"/>
      <w:marTop w:val="0"/>
      <w:marBottom w:val="0"/>
      <w:divBdr>
        <w:top w:val="none" w:sz="0" w:space="0" w:color="auto"/>
        <w:left w:val="none" w:sz="0" w:space="0" w:color="auto"/>
        <w:bottom w:val="none" w:sz="0" w:space="0" w:color="auto"/>
        <w:right w:val="none" w:sz="0" w:space="0" w:color="auto"/>
      </w:divBdr>
    </w:div>
    <w:div w:id="940652056">
      <w:bodyDiv w:val="1"/>
      <w:marLeft w:val="0"/>
      <w:marRight w:val="0"/>
      <w:marTop w:val="0"/>
      <w:marBottom w:val="0"/>
      <w:divBdr>
        <w:top w:val="none" w:sz="0" w:space="0" w:color="auto"/>
        <w:left w:val="none" w:sz="0" w:space="0" w:color="auto"/>
        <w:bottom w:val="none" w:sz="0" w:space="0" w:color="auto"/>
        <w:right w:val="none" w:sz="0" w:space="0" w:color="auto"/>
      </w:divBdr>
    </w:div>
    <w:div w:id="940723072">
      <w:bodyDiv w:val="1"/>
      <w:marLeft w:val="0"/>
      <w:marRight w:val="0"/>
      <w:marTop w:val="0"/>
      <w:marBottom w:val="0"/>
      <w:divBdr>
        <w:top w:val="none" w:sz="0" w:space="0" w:color="auto"/>
        <w:left w:val="none" w:sz="0" w:space="0" w:color="auto"/>
        <w:bottom w:val="none" w:sz="0" w:space="0" w:color="auto"/>
        <w:right w:val="none" w:sz="0" w:space="0" w:color="auto"/>
      </w:divBdr>
    </w:div>
    <w:div w:id="944924714">
      <w:bodyDiv w:val="1"/>
      <w:marLeft w:val="0"/>
      <w:marRight w:val="0"/>
      <w:marTop w:val="0"/>
      <w:marBottom w:val="0"/>
      <w:divBdr>
        <w:top w:val="none" w:sz="0" w:space="0" w:color="auto"/>
        <w:left w:val="none" w:sz="0" w:space="0" w:color="auto"/>
        <w:bottom w:val="none" w:sz="0" w:space="0" w:color="auto"/>
        <w:right w:val="none" w:sz="0" w:space="0" w:color="auto"/>
      </w:divBdr>
    </w:div>
    <w:div w:id="947204541">
      <w:bodyDiv w:val="1"/>
      <w:marLeft w:val="0"/>
      <w:marRight w:val="0"/>
      <w:marTop w:val="0"/>
      <w:marBottom w:val="0"/>
      <w:divBdr>
        <w:top w:val="none" w:sz="0" w:space="0" w:color="auto"/>
        <w:left w:val="none" w:sz="0" w:space="0" w:color="auto"/>
        <w:bottom w:val="none" w:sz="0" w:space="0" w:color="auto"/>
        <w:right w:val="none" w:sz="0" w:space="0" w:color="auto"/>
      </w:divBdr>
    </w:div>
    <w:div w:id="948194552">
      <w:bodyDiv w:val="1"/>
      <w:marLeft w:val="0"/>
      <w:marRight w:val="0"/>
      <w:marTop w:val="0"/>
      <w:marBottom w:val="0"/>
      <w:divBdr>
        <w:top w:val="none" w:sz="0" w:space="0" w:color="auto"/>
        <w:left w:val="none" w:sz="0" w:space="0" w:color="auto"/>
        <w:bottom w:val="none" w:sz="0" w:space="0" w:color="auto"/>
        <w:right w:val="none" w:sz="0" w:space="0" w:color="auto"/>
      </w:divBdr>
    </w:div>
    <w:div w:id="949554790">
      <w:bodyDiv w:val="1"/>
      <w:marLeft w:val="0"/>
      <w:marRight w:val="0"/>
      <w:marTop w:val="0"/>
      <w:marBottom w:val="0"/>
      <w:divBdr>
        <w:top w:val="none" w:sz="0" w:space="0" w:color="auto"/>
        <w:left w:val="none" w:sz="0" w:space="0" w:color="auto"/>
        <w:bottom w:val="none" w:sz="0" w:space="0" w:color="auto"/>
        <w:right w:val="none" w:sz="0" w:space="0" w:color="auto"/>
      </w:divBdr>
    </w:div>
    <w:div w:id="950429928">
      <w:bodyDiv w:val="1"/>
      <w:marLeft w:val="0"/>
      <w:marRight w:val="0"/>
      <w:marTop w:val="0"/>
      <w:marBottom w:val="0"/>
      <w:divBdr>
        <w:top w:val="none" w:sz="0" w:space="0" w:color="auto"/>
        <w:left w:val="none" w:sz="0" w:space="0" w:color="auto"/>
        <w:bottom w:val="none" w:sz="0" w:space="0" w:color="auto"/>
        <w:right w:val="none" w:sz="0" w:space="0" w:color="auto"/>
      </w:divBdr>
    </w:div>
    <w:div w:id="951933454">
      <w:bodyDiv w:val="1"/>
      <w:marLeft w:val="0"/>
      <w:marRight w:val="0"/>
      <w:marTop w:val="0"/>
      <w:marBottom w:val="0"/>
      <w:divBdr>
        <w:top w:val="none" w:sz="0" w:space="0" w:color="auto"/>
        <w:left w:val="none" w:sz="0" w:space="0" w:color="auto"/>
        <w:bottom w:val="none" w:sz="0" w:space="0" w:color="auto"/>
        <w:right w:val="none" w:sz="0" w:space="0" w:color="auto"/>
      </w:divBdr>
    </w:div>
    <w:div w:id="952638760">
      <w:bodyDiv w:val="1"/>
      <w:marLeft w:val="0"/>
      <w:marRight w:val="0"/>
      <w:marTop w:val="0"/>
      <w:marBottom w:val="0"/>
      <w:divBdr>
        <w:top w:val="none" w:sz="0" w:space="0" w:color="auto"/>
        <w:left w:val="none" w:sz="0" w:space="0" w:color="auto"/>
        <w:bottom w:val="none" w:sz="0" w:space="0" w:color="auto"/>
        <w:right w:val="none" w:sz="0" w:space="0" w:color="auto"/>
      </w:divBdr>
    </w:div>
    <w:div w:id="953368176">
      <w:bodyDiv w:val="1"/>
      <w:marLeft w:val="0"/>
      <w:marRight w:val="0"/>
      <w:marTop w:val="0"/>
      <w:marBottom w:val="0"/>
      <w:divBdr>
        <w:top w:val="none" w:sz="0" w:space="0" w:color="auto"/>
        <w:left w:val="none" w:sz="0" w:space="0" w:color="auto"/>
        <w:bottom w:val="none" w:sz="0" w:space="0" w:color="auto"/>
        <w:right w:val="none" w:sz="0" w:space="0" w:color="auto"/>
      </w:divBdr>
    </w:div>
    <w:div w:id="955523224">
      <w:bodyDiv w:val="1"/>
      <w:marLeft w:val="0"/>
      <w:marRight w:val="0"/>
      <w:marTop w:val="0"/>
      <w:marBottom w:val="0"/>
      <w:divBdr>
        <w:top w:val="none" w:sz="0" w:space="0" w:color="auto"/>
        <w:left w:val="none" w:sz="0" w:space="0" w:color="auto"/>
        <w:bottom w:val="none" w:sz="0" w:space="0" w:color="auto"/>
        <w:right w:val="none" w:sz="0" w:space="0" w:color="auto"/>
      </w:divBdr>
    </w:div>
    <w:div w:id="967978019">
      <w:bodyDiv w:val="1"/>
      <w:marLeft w:val="0"/>
      <w:marRight w:val="0"/>
      <w:marTop w:val="0"/>
      <w:marBottom w:val="0"/>
      <w:divBdr>
        <w:top w:val="none" w:sz="0" w:space="0" w:color="auto"/>
        <w:left w:val="none" w:sz="0" w:space="0" w:color="auto"/>
        <w:bottom w:val="none" w:sz="0" w:space="0" w:color="auto"/>
        <w:right w:val="none" w:sz="0" w:space="0" w:color="auto"/>
      </w:divBdr>
    </w:div>
    <w:div w:id="974213016">
      <w:bodyDiv w:val="1"/>
      <w:marLeft w:val="0"/>
      <w:marRight w:val="0"/>
      <w:marTop w:val="0"/>
      <w:marBottom w:val="0"/>
      <w:divBdr>
        <w:top w:val="none" w:sz="0" w:space="0" w:color="auto"/>
        <w:left w:val="none" w:sz="0" w:space="0" w:color="auto"/>
        <w:bottom w:val="none" w:sz="0" w:space="0" w:color="auto"/>
        <w:right w:val="none" w:sz="0" w:space="0" w:color="auto"/>
      </w:divBdr>
    </w:div>
    <w:div w:id="975572039">
      <w:bodyDiv w:val="1"/>
      <w:marLeft w:val="0"/>
      <w:marRight w:val="0"/>
      <w:marTop w:val="0"/>
      <w:marBottom w:val="0"/>
      <w:divBdr>
        <w:top w:val="none" w:sz="0" w:space="0" w:color="auto"/>
        <w:left w:val="none" w:sz="0" w:space="0" w:color="auto"/>
        <w:bottom w:val="none" w:sz="0" w:space="0" w:color="auto"/>
        <w:right w:val="none" w:sz="0" w:space="0" w:color="auto"/>
      </w:divBdr>
    </w:div>
    <w:div w:id="979460952">
      <w:bodyDiv w:val="1"/>
      <w:marLeft w:val="0"/>
      <w:marRight w:val="0"/>
      <w:marTop w:val="0"/>
      <w:marBottom w:val="0"/>
      <w:divBdr>
        <w:top w:val="none" w:sz="0" w:space="0" w:color="auto"/>
        <w:left w:val="none" w:sz="0" w:space="0" w:color="auto"/>
        <w:bottom w:val="none" w:sz="0" w:space="0" w:color="auto"/>
        <w:right w:val="none" w:sz="0" w:space="0" w:color="auto"/>
      </w:divBdr>
    </w:div>
    <w:div w:id="983318349">
      <w:bodyDiv w:val="1"/>
      <w:marLeft w:val="0"/>
      <w:marRight w:val="0"/>
      <w:marTop w:val="0"/>
      <w:marBottom w:val="0"/>
      <w:divBdr>
        <w:top w:val="none" w:sz="0" w:space="0" w:color="auto"/>
        <w:left w:val="none" w:sz="0" w:space="0" w:color="auto"/>
        <w:bottom w:val="none" w:sz="0" w:space="0" w:color="auto"/>
        <w:right w:val="none" w:sz="0" w:space="0" w:color="auto"/>
      </w:divBdr>
    </w:div>
    <w:div w:id="987824221">
      <w:bodyDiv w:val="1"/>
      <w:marLeft w:val="0"/>
      <w:marRight w:val="0"/>
      <w:marTop w:val="0"/>
      <w:marBottom w:val="0"/>
      <w:divBdr>
        <w:top w:val="none" w:sz="0" w:space="0" w:color="auto"/>
        <w:left w:val="none" w:sz="0" w:space="0" w:color="auto"/>
        <w:bottom w:val="none" w:sz="0" w:space="0" w:color="auto"/>
        <w:right w:val="none" w:sz="0" w:space="0" w:color="auto"/>
      </w:divBdr>
    </w:div>
    <w:div w:id="988558337">
      <w:bodyDiv w:val="1"/>
      <w:marLeft w:val="0"/>
      <w:marRight w:val="0"/>
      <w:marTop w:val="0"/>
      <w:marBottom w:val="0"/>
      <w:divBdr>
        <w:top w:val="none" w:sz="0" w:space="0" w:color="auto"/>
        <w:left w:val="none" w:sz="0" w:space="0" w:color="auto"/>
        <w:bottom w:val="none" w:sz="0" w:space="0" w:color="auto"/>
        <w:right w:val="none" w:sz="0" w:space="0" w:color="auto"/>
      </w:divBdr>
    </w:div>
    <w:div w:id="996878571">
      <w:bodyDiv w:val="1"/>
      <w:marLeft w:val="0"/>
      <w:marRight w:val="0"/>
      <w:marTop w:val="0"/>
      <w:marBottom w:val="0"/>
      <w:divBdr>
        <w:top w:val="none" w:sz="0" w:space="0" w:color="auto"/>
        <w:left w:val="none" w:sz="0" w:space="0" w:color="auto"/>
        <w:bottom w:val="none" w:sz="0" w:space="0" w:color="auto"/>
        <w:right w:val="none" w:sz="0" w:space="0" w:color="auto"/>
      </w:divBdr>
    </w:div>
    <w:div w:id="1006052297">
      <w:bodyDiv w:val="1"/>
      <w:marLeft w:val="0"/>
      <w:marRight w:val="0"/>
      <w:marTop w:val="0"/>
      <w:marBottom w:val="0"/>
      <w:divBdr>
        <w:top w:val="none" w:sz="0" w:space="0" w:color="auto"/>
        <w:left w:val="none" w:sz="0" w:space="0" w:color="auto"/>
        <w:bottom w:val="none" w:sz="0" w:space="0" w:color="auto"/>
        <w:right w:val="none" w:sz="0" w:space="0" w:color="auto"/>
      </w:divBdr>
    </w:div>
    <w:div w:id="1011294054">
      <w:bodyDiv w:val="1"/>
      <w:marLeft w:val="0"/>
      <w:marRight w:val="0"/>
      <w:marTop w:val="0"/>
      <w:marBottom w:val="0"/>
      <w:divBdr>
        <w:top w:val="none" w:sz="0" w:space="0" w:color="auto"/>
        <w:left w:val="none" w:sz="0" w:space="0" w:color="auto"/>
        <w:bottom w:val="none" w:sz="0" w:space="0" w:color="auto"/>
        <w:right w:val="none" w:sz="0" w:space="0" w:color="auto"/>
      </w:divBdr>
    </w:div>
    <w:div w:id="1014529854">
      <w:bodyDiv w:val="1"/>
      <w:marLeft w:val="0"/>
      <w:marRight w:val="0"/>
      <w:marTop w:val="0"/>
      <w:marBottom w:val="0"/>
      <w:divBdr>
        <w:top w:val="none" w:sz="0" w:space="0" w:color="auto"/>
        <w:left w:val="none" w:sz="0" w:space="0" w:color="auto"/>
        <w:bottom w:val="none" w:sz="0" w:space="0" w:color="auto"/>
        <w:right w:val="none" w:sz="0" w:space="0" w:color="auto"/>
      </w:divBdr>
    </w:div>
    <w:div w:id="1016999671">
      <w:bodyDiv w:val="1"/>
      <w:marLeft w:val="0"/>
      <w:marRight w:val="0"/>
      <w:marTop w:val="0"/>
      <w:marBottom w:val="0"/>
      <w:divBdr>
        <w:top w:val="none" w:sz="0" w:space="0" w:color="auto"/>
        <w:left w:val="none" w:sz="0" w:space="0" w:color="auto"/>
        <w:bottom w:val="none" w:sz="0" w:space="0" w:color="auto"/>
        <w:right w:val="none" w:sz="0" w:space="0" w:color="auto"/>
      </w:divBdr>
    </w:div>
    <w:div w:id="1017462466">
      <w:bodyDiv w:val="1"/>
      <w:marLeft w:val="0"/>
      <w:marRight w:val="0"/>
      <w:marTop w:val="0"/>
      <w:marBottom w:val="0"/>
      <w:divBdr>
        <w:top w:val="none" w:sz="0" w:space="0" w:color="auto"/>
        <w:left w:val="none" w:sz="0" w:space="0" w:color="auto"/>
        <w:bottom w:val="none" w:sz="0" w:space="0" w:color="auto"/>
        <w:right w:val="none" w:sz="0" w:space="0" w:color="auto"/>
      </w:divBdr>
    </w:div>
    <w:div w:id="1020473983">
      <w:bodyDiv w:val="1"/>
      <w:marLeft w:val="0"/>
      <w:marRight w:val="0"/>
      <w:marTop w:val="0"/>
      <w:marBottom w:val="0"/>
      <w:divBdr>
        <w:top w:val="none" w:sz="0" w:space="0" w:color="auto"/>
        <w:left w:val="none" w:sz="0" w:space="0" w:color="auto"/>
        <w:bottom w:val="none" w:sz="0" w:space="0" w:color="auto"/>
        <w:right w:val="none" w:sz="0" w:space="0" w:color="auto"/>
      </w:divBdr>
    </w:div>
    <w:div w:id="1025597142">
      <w:bodyDiv w:val="1"/>
      <w:marLeft w:val="0"/>
      <w:marRight w:val="0"/>
      <w:marTop w:val="0"/>
      <w:marBottom w:val="0"/>
      <w:divBdr>
        <w:top w:val="none" w:sz="0" w:space="0" w:color="auto"/>
        <w:left w:val="none" w:sz="0" w:space="0" w:color="auto"/>
        <w:bottom w:val="none" w:sz="0" w:space="0" w:color="auto"/>
        <w:right w:val="none" w:sz="0" w:space="0" w:color="auto"/>
      </w:divBdr>
    </w:div>
    <w:div w:id="1035544254">
      <w:bodyDiv w:val="1"/>
      <w:marLeft w:val="0"/>
      <w:marRight w:val="0"/>
      <w:marTop w:val="0"/>
      <w:marBottom w:val="0"/>
      <w:divBdr>
        <w:top w:val="none" w:sz="0" w:space="0" w:color="auto"/>
        <w:left w:val="none" w:sz="0" w:space="0" w:color="auto"/>
        <w:bottom w:val="none" w:sz="0" w:space="0" w:color="auto"/>
        <w:right w:val="none" w:sz="0" w:space="0" w:color="auto"/>
      </w:divBdr>
    </w:div>
    <w:div w:id="1055348861">
      <w:bodyDiv w:val="1"/>
      <w:marLeft w:val="0"/>
      <w:marRight w:val="0"/>
      <w:marTop w:val="0"/>
      <w:marBottom w:val="0"/>
      <w:divBdr>
        <w:top w:val="none" w:sz="0" w:space="0" w:color="auto"/>
        <w:left w:val="none" w:sz="0" w:space="0" w:color="auto"/>
        <w:bottom w:val="none" w:sz="0" w:space="0" w:color="auto"/>
        <w:right w:val="none" w:sz="0" w:space="0" w:color="auto"/>
      </w:divBdr>
    </w:div>
    <w:div w:id="1063403743">
      <w:bodyDiv w:val="1"/>
      <w:marLeft w:val="0"/>
      <w:marRight w:val="0"/>
      <w:marTop w:val="0"/>
      <w:marBottom w:val="0"/>
      <w:divBdr>
        <w:top w:val="none" w:sz="0" w:space="0" w:color="auto"/>
        <w:left w:val="none" w:sz="0" w:space="0" w:color="auto"/>
        <w:bottom w:val="none" w:sz="0" w:space="0" w:color="auto"/>
        <w:right w:val="none" w:sz="0" w:space="0" w:color="auto"/>
      </w:divBdr>
    </w:div>
    <w:div w:id="1067992476">
      <w:bodyDiv w:val="1"/>
      <w:marLeft w:val="0"/>
      <w:marRight w:val="0"/>
      <w:marTop w:val="0"/>
      <w:marBottom w:val="0"/>
      <w:divBdr>
        <w:top w:val="none" w:sz="0" w:space="0" w:color="auto"/>
        <w:left w:val="none" w:sz="0" w:space="0" w:color="auto"/>
        <w:bottom w:val="none" w:sz="0" w:space="0" w:color="auto"/>
        <w:right w:val="none" w:sz="0" w:space="0" w:color="auto"/>
      </w:divBdr>
    </w:div>
    <w:div w:id="1074015084">
      <w:bodyDiv w:val="1"/>
      <w:marLeft w:val="0"/>
      <w:marRight w:val="0"/>
      <w:marTop w:val="0"/>
      <w:marBottom w:val="0"/>
      <w:divBdr>
        <w:top w:val="none" w:sz="0" w:space="0" w:color="auto"/>
        <w:left w:val="none" w:sz="0" w:space="0" w:color="auto"/>
        <w:bottom w:val="none" w:sz="0" w:space="0" w:color="auto"/>
        <w:right w:val="none" w:sz="0" w:space="0" w:color="auto"/>
      </w:divBdr>
    </w:div>
    <w:div w:id="1074812622">
      <w:bodyDiv w:val="1"/>
      <w:marLeft w:val="0"/>
      <w:marRight w:val="0"/>
      <w:marTop w:val="0"/>
      <w:marBottom w:val="0"/>
      <w:divBdr>
        <w:top w:val="none" w:sz="0" w:space="0" w:color="auto"/>
        <w:left w:val="none" w:sz="0" w:space="0" w:color="auto"/>
        <w:bottom w:val="none" w:sz="0" w:space="0" w:color="auto"/>
        <w:right w:val="none" w:sz="0" w:space="0" w:color="auto"/>
      </w:divBdr>
    </w:div>
    <w:div w:id="1074819195">
      <w:bodyDiv w:val="1"/>
      <w:marLeft w:val="0"/>
      <w:marRight w:val="0"/>
      <w:marTop w:val="0"/>
      <w:marBottom w:val="0"/>
      <w:divBdr>
        <w:top w:val="none" w:sz="0" w:space="0" w:color="auto"/>
        <w:left w:val="none" w:sz="0" w:space="0" w:color="auto"/>
        <w:bottom w:val="none" w:sz="0" w:space="0" w:color="auto"/>
        <w:right w:val="none" w:sz="0" w:space="0" w:color="auto"/>
      </w:divBdr>
    </w:div>
    <w:div w:id="1079332156">
      <w:bodyDiv w:val="1"/>
      <w:marLeft w:val="0"/>
      <w:marRight w:val="0"/>
      <w:marTop w:val="0"/>
      <w:marBottom w:val="0"/>
      <w:divBdr>
        <w:top w:val="none" w:sz="0" w:space="0" w:color="auto"/>
        <w:left w:val="none" w:sz="0" w:space="0" w:color="auto"/>
        <w:bottom w:val="none" w:sz="0" w:space="0" w:color="auto"/>
        <w:right w:val="none" w:sz="0" w:space="0" w:color="auto"/>
      </w:divBdr>
    </w:div>
    <w:div w:id="1086726282">
      <w:bodyDiv w:val="1"/>
      <w:marLeft w:val="0"/>
      <w:marRight w:val="0"/>
      <w:marTop w:val="0"/>
      <w:marBottom w:val="0"/>
      <w:divBdr>
        <w:top w:val="none" w:sz="0" w:space="0" w:color="auto"/>
        <w:left w:val="none" w:sz="0" w:space="0" w:color="auto"/>
        <w:bottom w:val="none" w:sz="0" w:space="0" w:color="auto"/>
        <w:right w:val="none" w:sz="0" w:space="0" w:color="auto"/>
      </w:divBdr>
    </w:div>
    <w:div w:id="1094596704">
      <w:bodyDiv w:val="1"/>
      <w:marLeft w:val="0"/>
      <w:marRight w:val="0"/>
      <w:marTop w:val="0"/>
      <w:marBottom w:val="0"/>
      <w:divBdr>
        <w:top w:val="none" w:sz="0" w:space="0" w:color="auto"/>
        <w:left w:val="none" w:sz="0" w:space="0" w:color="auto"/>
        <w:bottom w:val="none" w:sz="0" w:space="0" w:color="auto"/>
        <w:right w:val="none" w:sz="0" w:space="0" w:color="auto"/>
      </w:divBdr>
    </w:div>
    <w:div w:id="1095518135">
      <w:bodyDiv w:val="1"/>
      <w:marLeft w:val="0"/>
      <w:marRight w:val="0"/>
      <w:marTop w:val="0"/>
      <w:marBottom w:val="0"/>
      <w:divBdr>
        <w:top w:val="none" w:sz="0" w:space="0" w:color="auto"/>
        <w:left w:val="none" w:sz="0" w:space="0" w:color="auto"/>
        <w:bottom w:val="none" w:sz="0" w:space="0" w:color="auto"/>
        <w:right w:val="none" w:sz="0" w:space="0" w:color="auto"/>
      </w:divBdr>
    </w:div>
    <w:div w:id="1098521762">
      <w:bodyDiv w:val="1"/>
      <w:marLeft w:val="0"/>
      <w:marRight w:val="0"/>
      <w:marTop w:val="0"/>
      <w:marBottom w:val="0"/>
      <w:divBdr>
        <w:top w:val="none" w:sz="0" w:space="0" w:color="auto"/>
        <w:left w:val="none" w:sz="0" w:space="0" w:color="auto"/>
        <w:bottom w:val="none" w:sz="0" w:space="0" w:color="auto"/>
        <w:right w:val="none" w:sz="0" w:space="0" w:color="auto"/>
      </w:divBdr>
    </w:div>
    <w:div w:id="1121152056">
      <w:bodyDiv w:val="1"/>
      <w:marLeft w:val="0"/>
      <w:marRight w:val="0"/>
      <w:marTop w:val="0"/>
      <w:marBottom w:val="0"/>
      <w:divBdr>
        <w:top w:val="none" w:sz="0" w:space="0" w:color="auto"/>
        <w:left w:val="none" w:sz="0" w:space="0" w:color="auto"/>
        <w:bottom w:val="none" w:sz="0" w:space="0" w:color="auto"/>
        <w:right w:val="none" w:sz="0" w:space="0" w:color="auto"/>
      </w:divBdr>
    </w:div>
    <w:div w:id="1127821389">
      <w:bodyDiv w:val="1"/>
      <w:marLeft w:val="0"/>
      <w:marRight w:val="0"/>
      <w:marTop w:val="0"/>
      <w:marBottom w:val="0"/>
      <w:divBdr>
        <w:top w:val="none" w:sz="0" w:space="0" w:color="auto"/>
        <w:left w:val="none" w:sz="0" w:space="0" w:color="auto"/>
        <w:bottom w:val="none" w:sz="0" w:space="0" w:color="auto"/>
        <w:right w:val="none" w:sz="0" w:space="0" w:color="auto"/>
      </w:divBdr>
    </w:div>
    <w:div w:id="1133982384">
      <w:bodyDiv w:val="1"/>
      <w:marLeft w:val="0"/>
      <w:marRight w:val="0"/>
      <w:marTop w:val="0"/>
      <w:marBottom w:val="0"/>
      <w:divBdr>
        <w:top w:val="none" w:sz="0" w:space="0" w:color="auto"/>
        <w:left w:val="none" w:sz="0" w:space="0" w:color="auto"/>
        <w:bottom w:val="none" w:sz="0" w:space="0" w:color="auto"/>
        <w:right w:val="none" w:sz="0" w:space="0" w:color="auto"/>
      </w:divBdr>
    </w:div>
    <w:div w:id="1135223517">
      <w:bodyDiv w:val="1"/>
      <w:marLeft w:val="0"/>
      <w:marRight w:val="0"/>
      <w:marTop w:val="0"/>
      <w:marBottom w:val="0"/>
      <w:divBdr>
        <w:top w:val="none" w:sz="0" w:space="0" w:color="auto"/>
        <w:left w:val="none" w:sz="0" w:space="0" w:color="auto"/>
        <w:bottom w:val="none" w:sz="0" w:space="0" w:color="auto"/>
        <w:right w:val="none" w:sz="0" w:space="0" w:color="auto"/>
      </w:divBdr>
    </w:div>
    <w:div w:id="1138839789">
      <w:bodyDiv w:val="1"/>
      <w:marLeft w:val="0"/>
      <w:marRight w:val="0"/>
      <w:marTop w:val="0"/>
      <w:marBottom w:val="0"/>
      <w:divBdr>
        <w:top w:val="none" w:sz="0" w:space="0" w:color="auto"/>
        <w:left w:val="none" w:sz="0" w:space="0" w:color="auto"/>
        <w:bottom w:val="none" w:sz="0" w:space="0" w:color="auto"/>
        <w:right w:val="none" w:sz="0" w:space="0" w:color="auto"/>
      </w:divBdr>
    </w:div>
    <w:div w:id="1139224392">
      <w:bodyDiv w:val="1"/>
      <w:marLeft w:val="0"/>
      <w:marRight w:val="0"/>
      <w:marTop w:val="0"/>
      <w:marBottom w:val="0"/>
      <w:divBdr>
        <w:top w:val="none" w:sz="0" w:space="0" w:color="auto"/>
        <w:left w:val="none" w:sz="0" w:space="0" w:color="auto"/>
        <w:bottom w:val="none" w:sz="0" w:space="0" w:color="auto"/>
        <w:right w:val="none" w:sz="0" w:space="0" w:color="auto"/>
      </w:divBdr>
    </w:div>
    <w:div w:id="1147476396">
      <w:bodyDiv w:val="1"/>
      <w:marLeft w:val="0"/>
      <w:marRight w:val="0"/>
      <w:marTop w:val="0"/>
      <w:marBottom w:val="0"/>
      <w:divBdr>
        <w:top w:val="none" w:sz="0" w:space="0" w:color="auto"/>
        <w:left w:val="none" w:sz="0" w:space="0" w:color="auto"/>
        <w:bottom w:val="none" w:sz="0" w:space="0" w:color="auto"/>
        <w:right w:val="none" w:sz="0" w:space="0" w:color="auto"/>
      </w:divBdr>
    </w:div>
    <w:div w:id="1155416117">
      <w:bodyDiv w:val="1"/>
      <w:marLeft w:val="0"/>
      <w:marRight w:val="0"/>
      <w:marTop w:val="0"/>
      <w:marBottom w:val="0"/>
      <w:divBdr>
        <w:top w:val="none" w:sz="0" w:space="0" w:color="auto"/>
        <w:left w:val="none" w:sz="0" w:space="0" w:color="auto"/>
        <w:bottom w:val="none" w:sz="0" w:space="0" w:color="auto"/>
        <w:right w:val="none" w:sz="0" w:space="0" w:color="auto"/>
      </w:divBdr>
    </w:div>
    <w:div w:id="1168524581">
      <w:bodyDiv w:val="1"/>
      <w:marLeft w:val="0"/>
      <w:marRight w:val="0"/>
      <w:marTop w:val="0"/>
      <w:marBottom w:val="0"/>
      <w:divBdr>
        <w:top w:val="none" w:sz="0" w:space="0" w:color="auto"/>
        <w:left w:val="none" w:sz="0" w:space="0" w:color="auto"/>
        <w:bottom w:val="none" w:sz="0" w:space="0" w:color="auto"/>
        <w:right w:val="none" w:sz="0" w:space="0" w:color="auto"/>
      </w:divBdr>
    </w:div>
    <w:div w:id="1177190332">
      <w:bodyDiv w:val="1"/>
      <w:marLeft w:val="0"/>
      <w:marRight w:val="0"/>
      <w:marTop w:val="0"/>
      <w:marBottom w:val="0"/>
      <w:divBdr>
        <w:top w:val="none" w:sz="0" w:space="0" w:color="auto"/>
        <w:left w:val="none" w:sz="0" w:space="0" w:color="auto"/>
        <w:bottom w:val="none" w:sz="0" w:space="0" w:color="auto"/>
        <w:right w:val="none" w:sz="0" w:space="0" w:color="auto"/>
      </w:divBdr>
    </w:div>
    <w:div w:id="1182864958">
      <w:bodyDiv w:val="1"/>
      <w:marLeft w:val="0"/>
      <w:marRight w:val="0"/>
      <w:marTop w:val="0"/>
      <w:marBottom w:val="0"/>
      <w:divBdr>
        <w:top w:val="none" w:sz="0" w:space="0" w:color="auto"/>
        <w:left w:val="none" w:sz="0" w:space="0" w:color="auto"/>
        <w:bottom w:val="none" w:sz="0" w:space="0" w:color="auto"/>
        <w:right w:val="none" w:sz="0" w:space="0" w:color="auto"/>
      </w:divBdr>
    </w:div>
    <w:div w:id="1194266379">
      <w:bodyDiv w:val="1"/>
      <w:marLeft w:val="0"/>
      <w:marRight w:val="0"/>
      <w:marTop w:val="0"/>
      <w:marBottom w:val="0"/>
      <w:divBdr>
        <w:top w:val="none" w:sz="0" w:space="0" w:color="auto"/>
        <w:left w:val="none" w:sz="0" w:space="0" w:color="auto"/>
        <w:bottom w:val="none" w:sz="0" w:space="0" w:color="auto"/>
        <w:right w:val="none" w:sz="0" w:space="0" w:color="auto"/>
      </w:divBdr>
    </w:div>
    <w:div w:id="1197041551">
      <w:bodyDiv w:val="1"/>
      <w:marLeft w:val="0"/>
      <w:marRight w:val="0"/>
      <w:marTop w:val="0"/>
      <w:marBottom w:val="0"/>
      <w:divBdr>
        <w:top w:val="none" w:sz="0" w:space="0" w:color="auto"/>
        <w:left w:val="none" w:sz="0" w:space="0" w:color="auto"/>
        <w:bottom w:val="none" w:sz="0" w:space="0" w:color="auto"/>
        <w:right w:val="none" w:sz="0" w:space="0" w:color="auto"/>
      </w:divBdr>
    </w:div>
    <w:div w:id="1206484801">
      <w:bodyDiv w:val="1"/>
      <w:marLeft w:val="0"/>
      <w:marRight w:val="0"/>
      <w:marTop w:val="0"/>
      <w:marBottom w:val="0"/>
      <w:divBdr>
        <w:top w:val="none" w:sz="0" w:space="0" w:color="auto"/>
        <w:left w:val="none" w:sz="0" w:space="0" w:color="auto"/>
        <w:bottom w:val="none" w:sz="0" w:space="0" w:color="auto"/>
        <w:right w:val="none" w:sz="0" w:space="0" w:color="auto"/>
      </w:divBdr>
    </w:div>
    <w:div w:id="1208108199">
      <w:bodyDiv w:val="1"/>
      <w:marLeft w:val="0"/>
      <w:marRight w:val="0"/>
      <w:marTop w:val="0"/>
      <w:marBottom w:val="0"/>
      <w:divBdr>
        <w:top w:val="none" w:sz="0" w:space="0" w:color="auto"/>
        <w:left w:val="none" w:sz="0" w:space="0" w:color="auto"/>
        <w:bottom w:val="none" w:sz="0" w:space="0" w:color="auto"/>
        <w:right w:val="none" w:sz="0" w:space="0" w:color="auto"/>
      </w:divBdr>
    </w:div>
    <w:div w:id="1208370679">
      <w:bodyDiv w:val="1"/>
      <w:marLeft w:val="0"/>
      <w:marRight w:val="0"/>
      <w:marTop w:val="0"/>
      <w:marBottom w:val="0"/>
      <w:divBdr>
        <w:top w:val="none" w:sz="0" w:space="0" w:color="auto"/>
        <w:left w:val="none" w:sz="0" w:space="0" w:color="auto"/>
        <w:bottom w:val="none" w:sz="0" w:space="0" w:color="auto"/>
        <w:right w:val="none" w:sz="0" w:space="0" w:color="auto"/>
      </w:divBdr>
    </w:div>
    <w:div w:id="1209879972">
      <w:bodyDiv w:val="1"/>
      <w:marLeft w:val="0"/>
      <w:marRight w:val="0"/>
      <w:marTop w:val="0"/>
      <w:marBottom w:val="0"/>
      <w:divBdr>
        <w:top w:val="none" w:sz="0" w:space="0" w:color="auto"/>
        <w:left w:val="none" w:sz="0" w:space="0" w:color="auto"/>
        <w:bottom w:val="none" w:sz="0" w:space="0" w:color="auto"/>
        <w:right w:val="none" w:sz="0" w:space="0" w:color="auto"/>
      </w:divBdr>
    </w:div>
    <w:div w:id="1220089436">
      <w:bodyDiv w:val="1"/>
      <w:marLeft w:val="0"/>
      <w:marRight w:val="0"/>
      <w:marTop w:val="0"/>
      <w:marBottom w:val="0"/>
      <w:divBdr>
        <w:top w:val="none" w:sz="0" w:space="0" w:color="auto"/>
        <w:left w:val="none" w:sz="0" w:space="0" w:color="auto"/>
        <w:bottom w:val="none" w:sz="0" w:space="0" w:color="auto"/>
        <w:right w:val="none" w:sz="0" w:space="0" w:color="auto"/>
      </w:divBdr>
    </w:div>
    <w:div w:id="1227647216">
      <w:bodyDiv w:val="1"/>
      <w:marLeft w:val="0"/>
      <w:marRight w:val="0"/>
      <w:marTop w:val="0"/>
      <w:marBottom w:val="0"/>
      <w:divBdr>
        <w:top w:val="none" w:sz="0" w:space="0" w:color="auto"/>
        <w:left w:val="none" w:sz="0" w:space="0" w:color="auto"/>
        <w:bottom w:val="none" w:sz="0" w:space="0" w:color="auto"/>
        <w:right w:val="none" w:sz="0" w:space="0" w:color="auto"/>
      </w:divBdr>
    </w:div>
    <w:div w:id="1245918200">
      <w:bodyDiv w:val="1"/>
      <w:marLeft w:val="0"/>
      <w:marRight w:val="0"/>
      <w:marTop w:val="0"/>
      <w:marBottom w:val="0"/>
      <w:divBdr>
        <w:top w:val="none" w:sz="0" w:space="0" w:color="auto"/>
        <w:left w:val="none" w:sz="0" w:space="0" w:color="auto"/>
        <w:bottom w:val="none" w:sz="0" w:space="0" w:color="auto"/>
        <w:right w:val="none" w:sz="0" w:space="0" w:color="auto"/>
      </w:divBdr>
    </w:div>
    <w:div w:id="1263147220">
      <w:bodyDiv w:val="1"/>
      <w:marLeft w:val="0"/>
      <w:marRight w:val="0"/>
      <w:marTop w:val="0"/>
      <w:marBottom w:val="0"/>
      <w:divBdr>
        <w:top w:val="none" w:sz="0" w:space="0" w:color="auto"/>
        <w:left w:val="none" w:sz="0" w:space="0" w:color="auto"/>
        <w:bottom w:val="none" w:sz="0" w:space="0" w:color="auto"/>
        <w:right w:val="none" w:sz="0" w:space="0" w:color="auto"/>
      </w:divBdr>
    </w:div>
    <w:div w:id="1269317240">
      <w:bodyDiv w:val="1"/>
      <w:marLeft w:val="0"/>
      <w:marRight w:val="0"/>
      <w:marTop w:val="0"/>
      <w:marBottom w:val="0"/>
      <w:divBdr>
        <w:top w:val="none" w:sz="0" w:space="0" w:color="auto"/>
        <w:left w:val="none" w:sz="0" w:space="0" w:color="auto"/>
        <w:bottom w:val="none" w:sz="0" w:space="0" w:color="auto"/>
        <w:right w:val="none" w:sz="0" w:space="0" w:color="auto"/>
      </w:divBdr>
    </w:div>
    <w:div w:id="1276981641">
      <w:bodyDiv w:val="1"/>
      <w:marLeft w:val="0"/>
      <w:marRight w:val="0"/>
      <w:marTop w:val="0"/>
      <w:marBottom w:val="0"/>
      <w:divBdr>
        <w:top w:val="none" w:sz="0" w:space="0" w:color="auto"/>
        <w:left w:val="none" w:sz="0" w:space="0" w:color="auto"/>
        <w:bottom w:val="none" w:sz="0" w:space="0" w:color="auto"/>
        <w:right w:val="none" w:sz="0" w:space="0" w:color="auto"/>
      </w:divBdr>
    </w:div>
    <w:div w:id="1280649333">
      <w:bodyDiv w:val="1"/>
      <w:marLeft w:val="0"/>
      <w:marRight w:val="0"/>
      <w:marTop w:val="0"/>
      <w:marBottom w:val="0"/>
      <w:divBdr>
        <w:top w:val="none" w:sz="0" w:space="0" w:color="auto"/>
        <w:left w:val="none" w:sz="0" w:space="0" w:color="auto"/>
        <w:bottom w:val="none" w:sz="0" w:space="0" w:color="auto"/>
        <w:right w:val="none" w:sz="0" w:space="0" w:color="auto"/>
      </w:divBdr>
    </w:div>
    <w:div w:id="1285112396">
      <w:bodyDiv w:val="1"/>
      <w:marLeft w:val="0"/>
      <w:marRight w:val="0"/>
      <w:marTop w:val="0"/>
      <w:marBottom w:val="0"/>
      <w:divBdr>
        <w:top w:val="none" w:sz="0" w:space="0" w:color="auto"/>
        <w:left w:val="none" w:sz="0" w:space="0" w:color="auto"/>
        <w:bottom w:val="none" w:sz="0" w:space="0" w:color="auto"/>
        <w:right w:val="none" w:sz="0" w:space="0" w:color="auto"/>
      </w:divBdr>
    </w:div>
    <w:div w:id="1288470293">
      <w:bodyDiv w:val="1"/>
      <w:marLeft w:val="0"/>
      <w:marRight w:val="0"/>
      <w:marTop w:val="0"/>
      <w:marBottom w:val="0"/>
      <w:divBdr>
        <w:top w:val="none" w:sz="0" w:space="0" w:color="auto"/>
        <w:left w:val="none" w:sz="0" w:space="0" w:color="auto"/>
        <w:bottom w:val="none" w:sz="0" w:space="0" w:color="auto"/>
        <w:right w:val="none" w:sz="0" w:space="0" w:color="auto"/>
      </w:divBdr>
    </w:div>
    <w:div w:id="1291940326">
      <w:bodyDiv w:val="1"/>
      <w:marLeft w:val="0"/>
      <w:marRight w:val="0"/>
      <w:marTop w:val="0"/>
      <w:marBottom w:val="0"/>
      <w:divBdr>
        <w:top w:val="none" w:sz="0" w:space="0" w:color="auto"/>
        <w:left w:val="none" w:sz="0" w:space="0" w:color="auto"/>
        <w:bottom w:val="none" w:sz="0" w:space="0" w:color="auto"/>
        <w:right w:val="none" w:sz="0" w:space="0" w:color="auto"/>
      </w:divBdr>
    </w:div>
    <w:div w:id="1298217741">
      <w:bodyDiv w:val="1"/>
      <w:marLeft w:val="0"/>
      <w:marRight w:val="0"/>
      <w:marTop w:val="0"/>
      <w:marBottom w:val="0"/>
      <w:divBdr>
        <w:top w:val="none" w:sz="0" w:space="0" w:color="auto"/>
        <w:left w:val="none" w:sz="0" w:space="0" w:color="auto"/>
        <w:bottom w:val="none" w:sz="0" w:space="0" w:color="auto"/>
        <w:right w:val="none" w:sz="0" w:space="0" w:color="auto"/>
      </w:divBdr>
    </w:div>
    <w:div w:id="1299995456">
      <w:bodyDiv w:val="1"/>
      <w:marLeft w:val="0"/>
      <w:marRight w:val="0"/>
      <w:marTop w:val="0"/>
      <w:marBottom w:val="0"/>
      <w:divBdr>
        <w:top w:val="none" w:sz="0" w:space="0" w:color="auto"/>
        <w:left w:val="none" w:sz="0" w:space="0" w:color="auto"/>
        <w:bottom w:val="none" w:sz="0" w:space="0" w:color="auto"/>
        <w:right w:val="none" w:sz="0" w:space="0" w:color="auto"/>
      </w:divBdr>
    </w:div>
    <w:div w:id="1306666878">
      <w:bodyDiv w:val="1"/>
      <w:marLeft w:val="0"/>
      <w:marRight w:val="0"/>
      <w:marTop w:val="0"/>
      <w:marBottom w:val="0"/>
      <w:divBdr>
        <w:top w:val="none" w:sz="0" w:space="0" w:color="auto"/>
        <w:left w:val="none" w:sz="0" w:space="0" w:color="auto"/>
        <w:bottom w:val="none" w:sz="0" w:space="0" w:color="auto"/>
        <w:right w:val="none" w:sz="0" w:space="0" w:color="auto"/>
      </w:divBdr>
    </w:div>
    <w:div w:id="1306816930">
      <w:bodyDiv w:val="1"/>
      <w:marLeft w:val="0"/>
      <w:marRight w:val="0"/>
      <w:marTop w:val="0"/>
      <w:marBottom w:val="0"/>
      <w:divBdr>
        <w:top w:val="none" w:sz="0" w:space="0" w:color="auto"/>
        <w:left w:val="none" w:sz="0" w:space="0" w:color="auto"/>
        <w:bottom w:val="none" w:sz="0" w:space="0" w:color="auto"/>
        <w:right w:val="none" w:sz="0" w:space="0" w:color="auto"/>
      </w:divBdr>
    </w:div>
    <w:div w:id="1308706556">
      <w:bodyDiv w:val="1"/>
      <w:marLeft w:val="0"/>
      <w:marRight w:val="0"/>
      <w:marTop w:val="0"/>
      <w:marBottom w:val="0"/>
      <w:divBdr>
        <w:top w:val="none" w:sz="0" w:space="0" w:color="auto"/>
        <w:left w:val="none" w:sz="0" w:space="0" w:color="auto"/>
        <w:bottom w:val="none" w:sz="0" w:space="0" w:color="auto"/>
        <w:right w:val="none" w:sz="0" w:space="0" w:color="auto"/>
      </w:divBdr>
    </w:div>
    <w:div w:id="1312518784">
      <w:bodyDiv w:val="1"/>
      <w:marLeft w:val="0"/>
      <w:marRight w:val="0"/>
      <w:marTop w:val="0"/>
      <w:marBottom w:val="0"/>
      <w:divBdr>
        <w:top w:val="none" w:sz="0" w:space="0" w:color="auto"/>
        <w:left w:val="none" w:sz="0" w:space="0" w:color="auto"/>
        <w:bottom w:val="none" w:sz="0" w:space="0" w:color="auto"/>
        <w:right w:val="none" w:sz="0" w:space="0" w:color="auto"/>
      </w:divBdr>
    </w:div>
    <w:div w:id="1315331617">
      <w:bodyDiv w:val="1"/>
      <w:marLeft w:val="0"/>
      <w:marRight w:val="0"/>
      <w:marTop w:val="0"/>
      <w:marBottom w:val="0"/>
      <w:divBdr>
        <w:top w:val="none" w:sz="0" w:space="0" w:color="auto"/>
        <w:left w:val="none" w:sz="0" w:space="0" w:color="auto"/>
        <w:bottom w:val="none" w:sz="0" w:space="0" w:color="auto"/>
        <w:right w:val="none" w:sz="0" w:space="0" w:color="auto"/>
      </w:divBdr>
    </w:div>
    <w:div w:id="1315797035">
      <w:bodyDiv w:val="1"/>
      <w:marLeft w:val="0"/>
      <w:marRight w:val="0"/>
      <w:marTop w:val="0"/>
      <w:marBottom w:val="0"/>
      <w:divBdr>
        <w:top w:val="none" w:sz="0" w:space="0" w:color="auto"/>
        <w:left w:val="none" w:sz="0" w:space="0" w:color="auto"/>
        <w:bottom w:val="none" w:sz="0" w:space="0" w:color="auto"/>
        <w:right w:val="none" w:sz="0" w:space="0" w:color="auto"/>
      </w:divBdr>
    </w:div>
    <w:div w:id="1318920193">
      <w:bodyDiv w:val="1"/>
      <w:marLeft w:val="0"/>
      <w:marRight w:val="0"/>
      <w:marTop w:val="0"/>
      <w:marBottom w:val="0"/>
      <w:divBdr>
        <w:top w:val="none" w:sz="0" w:space="0" w:color="auto"/>
        <w:left w:val="none" w:sz="0" w:space="0" w:color="auto"/>
        <w:bottom w:val="none" w:sz="0" w:space="0" w:color="auto"/>
        <w:right w:val="none" w:sz="0" w:space="0" w:color="auto"/>
      </w:divBdr>
    </w:div>
    <w:div w:id="1323242181">
      <w:bodyDiv w:val="1"/>
      <w:marLeft w:val="0"/>
      <w:marRight w:val="0"/>
      <w:marTop w:val="0"/>
      <w:marBottom w:val="0"/>
      <w:divBdr>
        <w:top w:val="none" w:sz="0" w:space="0" w:color="auto"/>
        <w:left w:val="none" w:sz="0" w:space="0" w:color="auto"/>
        <w:bottom w:val="none" w:sz="0" w:space="0" w:color="auto"/>
        <w:right w:val="none" w:sz="0" w:space="0" w:color="auto"/>
      </w:divBdr>
    </w:div>
    <w:div w:id="1324316425">
      <w:bodyDiv w:val="1"/>
      <w:marLeft w:val="0"/>
      <w:marRight w:val="0"/>
      <w:marTop w:val="0"/>
      <w:marBottom w:val="0"/>
      <w:divBdr>
        <w:top w:val="none" w:sz="0" w:space="0" w:color="auto"/>
        <w:left w:val="none" w:sz="0" w:space="0" w:color="auto"/>
        <w:bottom w:val="none" w:sz="0" w:space="0" w:color="auto"/>
        <w:right w:val="none" w:sz="0" w:space="0" w:color="auto"/>
      </w:divBdr>
    </w:div>
    <w:div w:id="1339776153">
      <w:bodyDiv w:val="1"/>
      <w:marLeft w:val="0"/>
      <w:marRight w:val="0"/>
      <w:marTop w:val="0"/>
      <w:marBottom w:val="0"/>
      <w:divBdr>
        <w:top w:val="none" w:sz="0" w:space="0" w:color="auto"/>
        <w:left w:val="none" w:sz="0" w:space="0" w:color="auto"/>
        <w:bottom w:val="none" w:sz="0" w:space="0" w:color="auto"/>
        <w:right w:val="none" w:sz="0" w:space="0" w:color="auto"/>
      </w:divBdr>
    </w:div>
    <w:div w:id="1342662009">
      <w:bodyDiv w:val="1"/>
      <w:marLeft w:val="0"/>
      <w:marRight w:val="0"/>
      <w:marTop w:val="0"/>
      <w:marBottom w:val="0"/>
      <w:divBdr>
        <w:top w:val="none" w:sz="0" w:space="0" w:color="auto"/>
        <w:left w:val="none" w:sz="0" w:space="0" w:color="auto"/>
        <w:bottom w:val="none" w:sz="0" w:space="0" w:color="auto"/>
        <w:right w:val="none" w:sz="0" w:space="0" w:color="auto"/>
      </w:divBdr>
    </w:div>
    <w:div w:id="1347713790">
      <w:bodyDiv w:val="1"/>
      <w:marLeft w:val="0"/>
      <w:marRight w:val="0"/>
      <w:marTop w:val="0"/>
      <w:marBottom w:val="0"/>
      <w:divBdr>
        <w:top w:val="none" w:sz="0" w:space="0" w:color="auto"/>
        <w:left w:val="none" w:sz="0" w:space="0" w:color="auto"/>
        <w:bottom w:val="none" w:sz="0" w:space="0" w:color="auto"/>
        <w:right w:val="none" w:sz="0" w:space="0" w:color="auto"/>
      </w:divBdr>
    </w:div>
    <w:div w:id="1350251494">
      <w:bodyDiv w:val="1"/>
      <w:marLeft w:val="0"/>
      <w:marRight w:val="0"/>
      <w:marTop w:val="0"/>
      <w:marBottom w:val="0"/>
      <w:divBdr>
        <w:top w:val="none" w:sz="0" w:space="0" w:color="auto"/>
        <w:left w:val="none" w:sz="0" w:space="0" w:color="auto"/>
        <w:bottom w:val="none" w:sz="0" w:space="0" w:color="auto"/>
        <w:right w:val="none" w:sz="0" w:space="0" w:color="auto"/>
      </w:divBdr>
    </w:div>
    <w:div w:id="1354843947">
      <w:bodyDiv w:val="1"/>
      <w:marLeft w:val="0"/>
      <w:marRight w:val="0"/>
      <w:marTop w:val="0"/>
      <w:marBottom w:val="0"/>
      <w:divBdr>
        <w:top w:val="none" w:sz="0" w:space="0" w:color="auto"/>
        <w:left w:val="none" w:sz="0" w:space="0" w:color="auto"/>
        <w:bottom w:val="none" w:sz="0" w:space="0" w:color="auto"/>
        <w:right w:val="none" w:sz="0" w:space="0" w:color="auto"/>
      </w:divBdr>
    </w:div>
    <w:div w:id="1370646245">
      <w:bodyDiv w:val="1"/>
      <w:marLeft w:val="0"/>
      <w:marRight w:val="0"/>
      <w:marTop w:val="0"/>
      <w:marBottom w:val="0"/>
      <w:divBdr>
        <w:top w:val="none" w:sz="0" w:space="0" w:color="auto"/>
        <w:left w:val="none" w:sz="0" w:space="0" w:color="auto"/>
        <w:bottom w:val="none" w:sz="0" w:space="0" w:color="auto"/>
        <w:right w:val="none" w:sz="0" w:space="0" w:color="auto"/>
      </w:divBdr>
    </w:div>
    <w:div w:id="1376271185">
      <w:bodyDiv w:val="1"/>
      <w:marLeft w:val="0"/>
      <w:marRight w:val="0"/>
      <w:marTop w:val="0"/>
      <w:marBottom w:val="0"/>
      <w:divBdr>
        <w:top w:val="none" w:sz="0" w:space="0" w:color="auto"/>
        <w:left w:val="none" w:sz="0" w:space="0" w:color="auto"/>
        <w:bottom w:val="none" w:sz="0" w:space="0" w:color="auto"/>
        <w:right w:val="none" w:sz="0" w:space="0" w:color="auto"/>
      </w:divBdr>
    </w:div>
    <w:div w:id="1378897671">
      <w:bodyDiv w:val="1"/>
      <w:marLeft w:val="0"/>
      <w:marRight w:val="0"/>
      <w:marTop w:val="0"/>
      <w:marBottom w:val="0"/>
      <w:divBdr>
        <w:top w:val="none" w:sz="0" w:space="0" w:color="auto"/>
        <w:left w:val="none" w:sz="0" w:space="0" w:color="auto"/>
        <w:bottom w:val="none" w:sz="0" w:space="0" w:color="auto"/>
        <w:right w:val="none" w:sz="0" w:space="0" w:color="auto"/>
      </w:divBdr>
    </w:div>
    <w:div w:id="1386486638">
      <w:bodyDiv w:val="1"/>
      <w:marLeft w:val="0"/>
      <w:marRight w:val="0"/>
      <w:marTop w:val="0"/>
      <w:marBottom w:val="0"/>
      <w:divBdr>
        <w:top w:val="none" w:sz="0" w:space="0" w:color="auto"/>
        <w:left w:val="none" w:sz="0" w:space="0" w:color="auto"/>
        <w:bottom w:val="none" w:sz="0" w:space="0" w:color="auto"/>
        <w:right w:val="none" w:sz="0" w:space="0" w:color="auto"/>
      </w:divBdr>
    </w:div>
    <w:div w:id="1401250518">
      <w:bodyDiv w:val="1"/>
      <w:marLeft w:val="0"/>
      <w:marRight w:val="0"/>
      <w:marTop w:val="0"/>
      <w:marBottom w:val="0"/>
      <w:divBdr>
        <w:top w:val="none" w:sz="0" w:space="0" w:color="auto"/>
        <w:left w:val="none" w:sz="0" w:space="0" w:color="auto"/>
        <w:bottom w:val="none" w:sz="0" w:space="0" w:color="auto"/>
        <w:right w:val="none" w:sz="0" w:space="0" w:color="auto"/>
      </w:divBdr>
    </w:div>
    <w:div w:id="1403068575">
      <w:bodyDiv w:val="1"/>
      <w:marLeft w:val="0"/>
      <w:marRight w:val="0"/>
      <w:marTop w:val="0"/>
      <w:marBottom w:val="0"/>
      <w:divBdr>
        <w:top w:val="none" w:sz="0" w:space="0" w:color="auto"/>
        <w:left w:val="none" w:sz="0" w:space="0" w:color="auto"/>
        <w:bottom w:val="none" w:sz="0" w:space="0" w:color="auto"/>
        <w:right w:val="none" w:sz="0" w:space="0" w:color="auto"/>
      </w:divBdr>
    </w:div>
    <w:div w:id="1410034393">
      <w:bodyDiv w:val="1"/>
      <w:marLeft w:val="0"/>
      <w:marRight w:val="0"/>
      <w:marTop w:val="0"/>
      <w:marBottom w:val="0"/>
      <w:divBdr>
        <w:top w:val="none" w:sz="0" w:space="0" w:color="auto"/>
        <w:left w:val="none" w:sz="0" w:space="0" w:color="auto"/>
        <w:bottom w:val="none" w:sz="0" w:space="0" w:color="auto"/>
        <w:right w:val="none" w:sz="0" w:space="0" w:color="auto"/>
      </w:divBdr>
    </w:div>
    <w:div w:id="1411542032">
      <w:bodyDiv w:val="1"/>
      <w:marLeft w:val="0"/>
      <w:marRight w:val="0"/>
      <w:marTop w:val="0"/>
      <w:marBottom w:val="0"/>
      <w:divBdr>
        <w:top w:val="none" w:sz="0" w:space="0" w:color="auto"/>
        <w:left w:val="none" w:sz="0" w:space="0" w:color="auto"/>
        <w:bottom w:val="none" w:sz="0" w:space="0" w:color="auto"/>
        <w:right w:val="none" w:sz="0" w:space="0" w:color="auto"/>
      </w:divBdr>
    </w:div>
    <w:div w:id="1416173886">
      <w:bodyDiv w:val="1"/>
      <w:marLeft w:val="0"/>
      <w:marRight w:val="0"/>
      <w:marTop w:val="0"/>
      <w:marBottom w:val="0"/>
      <w:divBdr>
        <w:top w:val="none" w:sz="0" w:space="0" w:color="auto"/>
        <w:left w:val="none" w:sz="0" w:space="0" w:color="auto"/>
        <w:bottom w:val="none" w:sz="0" w:space="0" w:color="auto"/>
        <w:right w:val="none" w:sz="0" w:space="0" w:color="auto"/>
      </w:divBdr>
    </w:div>
    <w:div w:id="1423263393">
      <w:bodyDiv w:val="1"/>
      <w:marLeft w:val="0"/>
      <w:marRight w:val="0"/>
      <w:marTop w:val="0"/>
      <w:marBottom w:val="0"/>
      <w:divBdr>
        <w:top w:val="none" w:sz="0" w:space="0" w:color="auto"/>
        <w:left w:val="none" w:sz="0" w:space="0" w:color="auto"/>
        <w:bottom w:val="none" w:sz="0" w:space="0" w:color="auto"/>
        <w:right w:val="none" w:sz="0" w:space="0" w:color="auto"/>
      </w:divBdr>
    </w:div>
    <w:div w:id="1429888738">
      <w:bodyDiv w:val="1"/>
      <w:marLeft w:val="0"/>
      <w:marRight w:val="0"/>
      <w:marTop w:val="0"/>
      <w:marBottom w:val="0"/>
      <w:divBdr>
        <w:top w:val="none" w:sz="0" w:space="0" w:color="auto"/>
        <w:left w:val="none" w:sz="0" w:space="0" w:color="auto"/>
        <w:bottom w:val="none" w:sz="0" w:space="0" w:color="auto"/>
        <w:right w:val="none" w:sz="0" w:space="0" w:color="auto"/>
      </w:divBdr>
    </w:div>
    <w:div w:id="1433476827">
      <w:bodyDiv w:val="1"/>
      <w:marLeft w:val="0"/>
      <w:marRight w:val="0"/>
      <w:marTop w:val="0"/>
      <w:marBottom w:val="0"/>
      <w:divBdr>
        <w:top w:val="none" w:sz="0" w:space="0" w:color="auto"/>
        <w:left w:val="none" w:sz="0" w:space="0" w:color="auto"/>
        <w:bottom w:val="none" w:sz="0" w:space="0" w:color="auto"/>
        <w:right w:val="none" w:sz="0" w:space="0" w:color="auto"/>
      </w:divBdr>
    </w:div>
    <w:div w:id="1444108971">
      <w:bodyDiv w:val="1"/>
      <w:marLeft w:val="0"/>
      <w:marRight w:val="0"/>
      <w:marTop w:val="0"/>
      <w:marBottom w:val="0"/>
      <w:divBdr>
        <w:top w:val="none" w:sz="0" w:space="0" w:color="auto"/>
        <w:left w:val="none" w:sz="0" w:space="0" w:color="auto"/>
        <w:bottom w:val="none" w:sz="0" w:space="0" w:color="auto"/>
        <w:right w:val="none" w:sz="0" w:space="0" w:color="auto"/>
      </w:divBdr>
    </w:div>
    <w:div w:id="1446777359">
      <w:bodyDiv w:val="1"/>
      <w:marLeft w:val="0"/>
      <w:marRight w:val="0"/>
      <w:marTop w:val="0"/>
      <w:marBottom w:val="0"/>
      <w:divBdr>
        <w:top w:val="none" w:sz="0" w:space="0" w:color="auto"/>
        <w:left w:val="none" w:sz="0" w:space="0" w:color="auto"/>
        <w:bottom w:val="none" w:sz="0" w:space="0" w:color="auto"/>
        <w:right w:val="none" w:sz="0" w:space="0" w:color="auto"/>
      </w:divBdr>
    </w:div>
    <w:div w:id="1457986477">
      <w:bodyDiv w:val="1"/>
      <w:marLeft w:val="0"/>
      <w:marRight w:val="0"/>
      <w:marTop w:val="0"/>
      <w:marBottom w:val="0"/>
      <w:divBdr>
        <w:top w:val="none" w:sz="0" w:space="0" w:color="auto"/>
        <w:left w:val="none" w:sz="0" w:space="0" w:color="auto"/>
        <w:bottom w:val="none" w:sz="0" w:space="0" w:color="auto"/>
        <w:right w:val="none" w:sz="0" w:space="0" w:color="auto"/>
      </w:divBdr>
    </w:div>
    <w:div w:id="1480804075">
      <w:bodyDiv w:val="1"/>
      <w:marLeft w:val="0"/>
      <w:marRight w:val="0"/>
      <w:marTop w:val="0"/>
      <w:marBottom w:val="0"/>
      <w:divBdr>
        <w:top w:val="none" w:sz="0" w:space="0" w:color="auto"/>
        <w:left w:val="none" w:sz="0" w:space="0" w:color="auto"/>
        <w:bottom w:val="none" w:sz="0" w:space="0" w:color="auto"/>
        <w:right w:val="none" w:sz="0" w:space="0" w:color="auto"/>
      </w:divBdr>
    </w:div>
    <w:div w:id="1482700301">
      <w:bodyDiv w:val="1"/>
      <w:marLeft w:val="0"/>
      <w:marRight w:val="0"/>
      <w:marTop w:val="0"/>
      <w:marBottom w:val="0"/>
      <w:divBdr>
        <w:top w:val="none" w:sz="0" w:space="0" w:color="auto"/>
        <w:left w:val="none" w:sz="0" w:space="0" w:color="auto"/>
        <w:bottom w:val="none" w:sz="0" w:space="0" w:color="auto"/>
        <w:right w:val="none" w:sz="0" w:space="0" w:color="auto"/>
      </w:divBdr>
    </w:div>
    <w:div w:id="1483230489">
      <w:bodyDiv w:val="1"/>
      <w:marLeft w:val="0"/>
      <w:marRight w:val="0"/>
      <w:marTop w:val="0"/>
      <w:marBottom w:val="0"/>
      <w:divBdr>
        <w:top w:val="none" w:sz="0" w:space="0" w:color="auto"/>
        <w:left w:val="none" w:sz="0" w:space="0" w:color="auto"/>
        <w:bottom w:val="none" w:sz="0" w:space="0" w:color="auto"/>
        <w:right w:val="none" w:sz="0" w:space="0" w:color="auto"/>
      </w:divBdr>
    </w:div>
    <w:div w:id="1486773248">
      <w:bodyDiv w:val="1"/>
      <w:marLeft w:val="0"/>
      <w:marRight w:val="0"/>
      <w:marTop w:val="0"/>
      <w:marBottom w:val="0"/>
      <w:divBdr>
        <w:top w:val="none" w:sz="0" w:space="0" w:color="auto"/>
        <w:left w:val="none" w:sz="0" w:space="0" w:color="auto"/>
        <w:bottom w:val="none" w:sz="0" w:space="0" w:color="auto"/>
        <w:right w:val="none" w:sz="0" w:space="0" w:color="auto"/>
      </w:divBdr>
    </w:div>
    <w:div w:id="1488981245">
      <w:bodyDiv w:val="1"/>
      <w:marLeft w:val="0"/>
      <w:marRight w:val="0"/>
      <w:marTop w:val="0"/>
      <w:marBottom w:val="0"/>
      <w:divBdr>
        <w:top w:val="none" w:sz="0" w:space="0" w:color="auto"/>
        <w:left w:val="none" w:sz="0" w:space="0" w:color="auto"/>
        <w:bottom w:val="none" w:sz="0" w:space="0" w:color="auto"/>
        <w:right w:val="none" w:sz="0" w:space="0" w:color="auto"/>
      </w:divBdr>
    </w:div>
    <w:div w:id="1490245433">
      <w:bodyDiv w:val="1"/>
      <w:marLeft w:val="0"/>
      <w:marRight w:val="0"/>
      <w:marTop w:val="0"/>
      <w:marBottom w:val="0"/>
      <w:divBdr>
        <w:top w:val="none" w:sz="0" w:space="0" w:color="auto"/>
        <w:left w:val="none" w:sz="0" w:space="0" w:color="auto"/>
        <w:bottom w:val="none" w:sz="0" w:space="0" w:color="auto"/>
        <w:right w:val="none" w:sz="0" w:space="0" w:color="auto"/>
      </w:divBdr>
    </w:div>
    <w:div w:id="1494831378">
      <w:bodyDiv w:val="1"/>
      <w:marLeft w:val="0"/>
      <w:marRight w:val="0"/>
      <w:marTop w:val="0"/>
      <w:marBottom w:val="0"/>
      <w:divBdr>
        <w:top w:val="none" w:sz="0" w:space="0" w:color="auto"/>
        <w:left w:val="none" w:sz="0" w:space="0" w:color="auto"/>
        <w:bottom w:val="none" w:sz="0" w:space="0" w:color="auto"/>
        <w:right w:val="none" w:sz="0" w:space="0" w:color="auto"/>
      </w:divBdr>
    </w:div>
    <w:div w:id="1501313392">
      <w:bodyDiv w:val="1"/>
      <w:marLeft w:val="0"/>
      <w:marRight w:val="0"/>
      <w:marTop w:val="0"/>
      <w:marBottom w:val="0"/>
      <w:divBdr>
        <w:top w:val="none" w:sz="0" w:space="0" w:color="auto"/>
        <w:left w:val="none" w:sz="0" w:space="0" w:color="auto"/>
        <w:bottom w:val="none" w:sz="0" w:space="0" w:color="auto"/>
        <w:right w:val="none" w:sz="0" w:space="0" w:color="auto"/>
      </w:divBdr>
    </w:div>
    <w:div w:id="1506048822">
      <w:bodyDiv w:val="1"/>
      <w:marLeft w:val="0"/>
      <w:marRight w:val="0"/>
      <w:marTop w:val="0"/>
      <w:marBottom w:val="0"/>
      <w:divBdr>
        <w:top w:val="none" w:sz="0" w:space="0" w:color="auto"/>
        <w:left w:val="none" w:sz="0" w:space="0" w:color="auto"/>
        <w:bottom w:val="none" w:sz="0" w:space="0" w:color="auto"/>
        <w:right w:val="none" w:sz="0" w:space="0" w:color="auto"/>
      </w:divBdr>
    </w:div>
    <w:div w:id="1506897476">
      <w:bodyDiv w:val="1"/>
      <w:marLeft w:val="0"/>
      <w:marRight w:val="0"/>
      <w:marTop w:val="0"/>
      <w:marBottom w:val="0"/>
      <w:divBdr>
        <w:top w:val="none" w:sz="0" w:space="0" w:color="auto"/>
        <w:left w:val="none" w:sz="0" w:space="0" w:color="auto"/>
        <w:bottom w:val="none" w:sz="0" w:space="0" w:color="auto"/>
        <w:right w:val="none" w:sz="0" w:space="0" w:color="auto"/>
      </w:divBdr>
    </w:div>
    <w:div w:id="1507480957">
      <w:bodyDiv w:val="1"/>
      <w:marLeft w:val="0"/>
      <w:marRight w:val="0"/>
      <w:marTop w:val="0"/>
      <w:marBottom w:val="0"/>
      <w:divBdr>
        <w:top w:val="none" w:sz="0" w:space="0" w:color="auto"/>
        <w:left w:val="none" w:sz="0" w:space="0" w:color="auto"/>
        <w:bottom w:val="none" w:sz="0" w:space="0" w:color="auto"/>
        <w:right w:val="none" w:sz="0" w:space="0" w:color="auto"/>
      </w:divBdr>
    </w:div>
    <w:div w:id="1507867746">
      <w:bodyDiv w:val="1"/>
      <w:marLeft w:val="0"/>
      <w:marRight w:val="0"/>
      <w:marTop w:val="0"/>
      <w:marBottom w:val="0"/>
      <w:divBdr>
        <w:top w:val="none" w:sz="0" w:space="0" w:color="auto"/>
        <w:left w:val="none" w:sz="0" w:space="0" w:color="auto"/>
        <w:bottom w:val="none" w:sz="0" w:space="0" w:color="auto"/>
        <w:right w:val="none" w:sz="0" w:space="0" w:color="auto"/>
      </w:divBdr>
    </w:div>
    <w:div w:id="1520192130">
      <w:bodyDiv w:val="1"/>
      <w:marLeft w:val="0"/>
      <w:marRight w:val="0"/>
      <w:marTop w:val="0"/>
      <w:marBottom w:val="0"/>
      <w:divBdr>
        <w:top w:val="none" w:sz="0" w:space="0" w:color="auto"/>
        <w:left w:val="none" w:sz="0" w:space="0" w:color="auto"/>
        <w:bottom w:val="none" w:sz="0" w:space="0" w:color="auto"/>
        <w:right w:val="none" w:sz="0" w:space="0" w:color="auto"/>
      </w:divBdr>
    </w:div>
    <w:div w:id="1523858434">
      <w:bodyDiv w:val="1"/>
      <w:marLeft w:val="0"/>
      <w:marRight w:val="0"/>
      <w:marTop w:val="0"/>
      <w:marBottom w:val="0"/>
      <w:divBdr>
        <w:top w:val="none" w:sz="0" w:space="0" w:color="auto"/>
        <w:left w:val="none" w:sz="0" w:space="0" w:color="auto"/>
        <w:bottom w:val="none" w:sz="0" w:space="0" w:color="auto"/>
        <w:right w:val="none" w:sz="0" w:space="0" w:color="auto"/>
      </w:divBdr>
    </w:div>
    <w:div w:id="1526483526">
      <w:bodyDiv w:val="1"/>
      <w:marLeft w:val="0"/>
      <w:marRight w:val="0"/>
      <w:marTop w:val="0"/>
      <w:marBottom w:val="0"/>
      <w:divBdr>
        <w:top w:val="none" w:sz="0" w:space="0" w:color="auto"/>
        <w:left w:val="none" w:sz="0" w:space="0" w:color="auto"/>
        <w:bottom w:val="none" w:sz="0" w:space="0" w:color="auto"/>
        <w:right w:val="none" w:sz="0" w:space="0" w:color="auto"/>
      </w:divBdr>
    </w:div>
    <w:div w:id="1544558857">
      <w:bodyDiv w:val="1"/>
      <w:marLeft w:val="0"/>
      <w:marRight w:val="0"/>
      <w:marTop w:val="0"/>
      <w:marBottom w:val="0"/>
      <w:divBdr>
        <w:top w:val="none" w:sz="0" w:space="0" w:color="auto"/>
        <w:left w:val="none" w:sz="0" w:space="0" w:color="auto"/>
        <w:bottom w:val="none" w:sz="0" w:space="0" w:color="auto"/>
        <w:right w:val="none" w:sz="0" w:space="0" w:color="auto"/>
      </w:divBdr>
    </w:div>
    <w:div w:id="1552383133">
      <w:bodyDiv w:val="1"/>
      <w:marLeft w:val="0"/>
      <w:marRight w:val="0"/>
      <w:marTop w:val="0"/>
      <w:marBottom w:val="0"/>
      <w:divBdr>
        <w:top w:val="none" w:sz="0" w:space="0" w:color="auto"/>
        <w:left w:val="none" w:sz="0" w:space="0" w:color="auto"/>
        <w:bottom w:val="none" w:sz="0" w:space="0" w:color="auto"/>
        <w:right w:val="none" w:sz="0" w:space="0" w:color="auto"/>
      </w:divBdr>
    </w:div>
    <w:div w:id="1558738997">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5167304">
      <w:bodyDiv w:val="1"/>
      <w:marLeft w:val="0"/>
      <w:marRight w:val="0"/>
      <w:marTop w:val="0"/>
      <w:marBottom w:val="0"/>
      <w:divBdr>
        <w:top w:val="none" w:sz="0" w:space="0" w:color="auto"/>
        <w:left w:val="none" w:sz="0" w:space="0" w:color="auto"/>
        <w:bottom w:val="none" w:sz="0" w:space="0" w:color="auto"/>
        <w:right w:val="none" w:sz="0" w:space="0" w:color="auto"/>
      </w:divBdr>
    </w:div>
    <w:div w:id="1575429233">
      <w:bodyDiv w:val="1"/>
      <w:marLeft w:val="0"/>
      <w:marRight w:val="0"/>
      <w:marTop w:val="0"/>
      <w:marBottom w:val="0"/>
      <w:divBdr>
        <w:top w:val="none" w:sz="0" w:space="0" w:color="auto"/>
        <w:left w:val="none" w:sz="0" w:space="0" w:color="auto"/>
        <w:bottom w:val="none" w:sz="0" w:space="0" w:color="auto"/>
        <w:right w:val="none" w:sz="0" w:space="0" w:color="auto"/>
      </w:divBdr>
    </w:div>
    <w:div w:id="1579057074">
      <w:bodyDiv w:val="1"/>
      <w:marLeft w:val="0"/>
      <w:marRight w:val="0"/>
      <w:marTop w:val="0"/>
      <w:marBottom w:val="0"/>
      <w:divBdr>
        <w:top w:val="none" w:sz="0" w:space="0" w:color="auto"/>
        <w:left w:val="none" w:sz="0" w:space="0" w:color="auto"/>
        <w:bottom w:val="none" w:sz="0" w:space="0" w:color="auto"/>
        <w:right w:val="none" w:sz="0" w:space="0" w:color="auto"/>
      </w:divBdr>
    </w:div>
    <w:div w:id="1595895085">
      <w:bodyDiv w:val="1"/>
      <w:marLeft w:val="0"/>
      <w:marRight w:val="0"/>
      <w:marTop w:val="0"/>
      <w:marBottom w:val="0"/>
      <w:divBdr>
        <w:top w:val="none" w:sz="0" w:space="0" w:color="auto"/>
        <w:left w:val="none" w:sz="0" w:space="0" w:color="auto"/>
        <w:bottom w:val="none" w:sz="0" w:space="0" w:color="auto"/>
        <w:right w:val="none" w:sz="0" w:space="0" w:color="auto"/>
      </w:divBdr>
    </w:div>
    <w:div w:id="1596012644">
      <w:bodyDiv w:val="1"/>
      <w:marLeft w:val="0"/>
      <w:marRight w:val="0"/>
      <w:marTop w:val="0"/>
      <w:marBottom w:val="0"/>
      <w:divBdr>
        <w:top w:val="none" w:sz="0" w:space="0" w:color="auto"/>
        <w:left w:val="none" w:sz="0" w:space="0" w:color="auto"/>
        <w:bottom w:val="none" w:sz="0" w:space="0" w:color="auto"/>
        <w:right w:val="none" w:sz="0" w:space="0" w:color="auto"/>
      </w:divBdr>
    </w:div>
    <w:div w:id="1596595711">
      <w:bodyDiv w:val="1"/>
      <w:marLeft w:val="0"/>
      <w:marRight w:val="0"/>
      <w:marTop w:val="0"/>
      <w:marBottom w:val="0"/>
      <w:divBdr>
        <w:top w:val="none" w:sz="0" w:space="0" w:color="auto"/>
        <w:left w:val="none" w:sz="0" w:space="0" w:color="auto"/>
        <w:bottom w:val="none" w:sz="0" w:space="0" w:color="auto"/>
        <w:right w:val="none" w:sz="0" w:space="0" w:color="auto"/>
      </w:divBdr>
    </w:div>
    <w:div w:id="1610163214">
      <w:bodyDiv w:val="1"/>
      <w:marLeft w:val="0"/>
      <w:marRight w:val="0"/>
      <w:marTop w:val="0"/>
      <w:marBottom w:val="0"/>
      <w:divBdr>
        <w:top w:val="none" w:sz="0" w:space="0" w:color="auto"/>
        <w:left w:val="none" w:sz="0" w:space="0" w:color="auto"/>
        <w:bottom w:val="none" w:sz="0" w:space="0" w:color="auto"/>
        <w:right w:val="none" w:sz="0" w:space="0" w:color="auto"/>
      </w:divBdr>
    </w:div>
    <w:div w:id="1614090441">
      <w:bodyDiv w:val="1"/>
      <w:marLeft w:val="0"/>
      <w:marRight w:val="0"/>
      <w:marTop w:val="0"/>
      <w:marBottom w:val="0"/>
      <w:divBdr>
        <w:top w:val="none" w:sz="0" w:space="0" w:color="auto"/>
        <w:left w:val="none" w:sz="0" w:space="0" w:color="auto"/>
        <w:bottom w:val="none" w:sz="0" w:space="0" w:color="auto"/>
        <w:right w:val="none" w:sz="0" w:space="0" w:color="auto"/>
      </w:divBdr>
    </w:div>
    <w:div w:id="1622154816">
      <w:bodyDiv w:val="1"/>
      <w:marLeft w:val="0"/>
      <w:marRight w:val="0"/>
      <w:marTop w:val="0"/>
      <w:marBottom w:val="0"/>
      <w:divBdr>
        <w:top w:val="none" w:sz="0" w:space="0" w:color="auto"/>
        <w:left w:val="none" w:sz="0" w:space="0" w:color="auto"/>
        <w:bottom w:val="none" w:sz="0" w:space="0" w:color="auto"/>
        <w:right w:val="none" w:sz="0" w:space="0" w:color="auto"/>
      </w:divBdr>
    </w:div>
    <w:div w:id="1623419643">
      <w:bodyDiv w:val="1"/>
      <w:marLeft w:val="0"/>
      <w:marRight w:val="0"/>
      <w:marTop w:val="0"/>
      <w:marBottom w:val="0"/>
      <w:divBdr>
        <w:top w:val="none" w:sz="0" w:space="0" w:color="auto"/>
        <w:left w:val="none" w:sz="0" w:space="0" w:color="auto"/>
        <w:bottom w:val="none" w:sz="0" w:space="0" w:color="auto"/>
        <w:right w:val="none" w:sz="0" w:space="0" w:color="auto"/>
      </w:divBdr>
    </w:div>
    <w:div w:id="1623800906">
      <w:bodyDiv w:val="1"/>
      <w:marLeft w:val="0"/>
      <w:marRight w:val="0"/>
      <w:marTop w:val="0"/>
      <w:marBottom w:val="0"/>
      <w:divBdr>
        <w:top w:val="none" w:sz="0" w:space="0" w:color="auto"/>
        <w:left w:val="none" w:sz="0" w:space="0" w:color="auto"/>
        <w:bottom w:val="none" w:sz="0" w:space="0" w:color="auto"/>
        <w:right w:val="none" w:sz="0" w:space="0" w:color="auto"/>
      </w:divBdr>
    </w:div>
    <w:div w:id="1644775616">
      <w:bodyDiv w:val="1"/>
      <w:marLeft w:val="0"/>
      <w:marRight w:val="0"/>
      <w:marTop w:val="0"/>
      <w:marBottom w:val="0"/>
      <w:divBdr>
        <w:top w:val="none" w:sz="0" w:space="0" w:color="auto"/>
        <w:left w:val="none" w:sz="0" w:space="0" w:color="auto"/>
        <w:bottom w:val="none" w:sz="0" w:space="0" w:color="auto"/>
        <w:right w:val="none" w:sz="0" w:space="0" w:color="auto"/>
      </w:divBdr>
    </w:div>
    <w:div w:id="1658918728">
      <w:bodyDiv w:val="1"/>
      <w:marLeft w:val="0"/>
      <w:marRight w:val="0"/>
      <w:marTop w:val="0"/>
      <w:marBottom w:val="0"/>
      <w:divBdr>
        <w:top w:val="none" w:sz="0" w:space="0" w:color="auto"/>
        <w:left w:val="none" w:sz="0" w:space="0" w:color="auto"/>
        <w:bottom w:val="none" w:sz="0" w:space="0" w:color="auto"/>
        <w:right w:val="none" w:sz="0" w:space="0" w:color="auto"/>
      </w:divBdr>
    </w:div>
    <w:div w:id="1662197213">
      <w:bodyDiv w:val="1"/>
      <w:marLeft w:val="0"/>
      <w:marRight w:val="0"/>
      <w:marTop w:val="0"/>
      <w:marBottom w:val="0"/>
      <w:divBdr>
        <w:top w:val="none" w:sz="0" w:space="0" w:color="auto"/>
        <w:left w:val="none" w:sz="0" w:space="0" w:color="auto"/>
        <w:bottom w:val="none" w:sz="0" w:space="0" w:color="auto"/>
        <w:right w:val="none" w:sz="0" w:space="0" w:color="auto"/>
      </w:divBdr>
    </w:div>
    <w:div w:id="1677414732">
      <w:bodyDiv w:val="1"/>
      <w:marLeft w:val="0"/>
      <w:marRight w:val="0"/>
      <w:marTop w:val="0"/>
      <w:marBottom w:val="0"/>
      <w:divBdr>
        <w:top w:val="none" w:sz="0" w:space="0" w:color="auto"/>
        <w:left w:val="none" w:sz="0" w:space="0" w:color="auto"/>
        <w:bottom w:val="none" w:sz="0" w:space="0" w:color="auto"/>
        <w:right w:val="none" w:sz="0" w:space="0" w:color="auto"/>
      </w:divBdr>
    </w:div>
    <w:div w:id="1677608880">
      <w:bodyDiv w:val="1"/>
      <w:marLeft w:val="0"/>
      <w:marRight w:val="0"/>
      <w:marTop w:val="0"/>
      <w:marBottom w:val="0"/>
      <w:divBdr>
        <w:top w:val="none" w:sz="0" w:space="0" w:color="auto"/>
        <w:left w:val="none" w:sz="0" w:space="0" w:color="auto"/>
        <w:bottom w:val="none" w:sz="0" w:space="0" w:color="auto"/>
        <w:right w:val="none" w:sz="0" w:space="0" w:color="auto"/>
      </w:divBdr>
    </w:div>
    <w:div w:id="1682855989">
      <w:bodyDiv w:val="1"/>
      <w:marLeft w:val="0"/>
      <w:marRight w:val="0"/>
      <w:marTop w:val="0"/>
      <w:marBottom w:val="0"/>
      <w:divBdr>
        <w:top w:val="none" w:sz="0" w:space="0" w:color="auto"/>
        <w:left w:val="none" w:sz="0" w:space="0" w:color="auto"/>
        <w:bottom w:val="none" w:sz="0" w:space="0" w:color="auto"/>
        <w:right w:val="none" w:sz="0" w:space="0" w:color="auto"/>
      </w:divBdr>
    </w:div>
    <w:div w:id="1706514671">
      <w:bodyDiv w:val="1"/>
      <w:marLeft w:val="0"/>
      <w:marRight w:val="0"/>
      <w:marTop w:val="0"/>
      <w:marBottom w:val="0"/>
      <w:divBdr>
        <w:top w:val="none" w:sz="0" w:space="0" w:color="auto"/>
        <w:left w:val="none" w:sz="0" w:space="0" w:color="auto"/>
        <w:bottom w:val="none" w:sz="0" w:space="0" w:color="auto"/>
        <w:right w:val="none" w:sz="0" w:space="0" w:color="auto"/>
      </w:divBdr>
    </w:div>
    <w:div w:id="1708480912">
      <w:bodyDiv w:val="1"/>
      <w:marLeft w:val="0"/>
      <w:marRight w:val="0"/>
      <w:marTop w:val="0"/>
      <w:marBottom w:val="0"/>
      <w:divBdr>
        <w:top w:val="none" w:sz="0" w:space="0" w:color="auto"/>
        <w:left w:val="none" w:sz="0" w:space="0" w:color="auto"/>
        <w:bottom w:val="none" w:sz="0" w:space="0" w:color="auto"/>
        <w:right w:val="none" w:sz="0" w:space="0" w:color="auto"/>
      </w:divBdr>
    </w:div>
    <w:div w:id="1713190924">
      <w:bodyDiv w:val="1"/>
      <w:marLeft w:val="0"/>
      <w:marRight w:val="0"/>
      <w:marTop w:val="0"/>
      <w:marBottom w:val="0"/>
      <w:divBdr>
        <w:top w:val="none" w:sz="0" w:space="0" w:color="auto"/>
        <w:left w:val="none" w:sz="0" w:space="0" w:color="auto"/>
        <w:bottom w:val="none" w:sz="0" w:space="0" w:color="auto"/>
        <w:right w:val="none" w:sz="0" w:space="0" w:color="auto"/>
      </w:divBdr>
    </w:div>
    <w:div w:id="1715496699">
      <w:bodyDiv w:val="1"/>
      <w:marLeft w:val="0"/>
      <w:marRight w:val="0"/>
      <w:marTop w:val="0"/>
      <w:marBottom w:val="0"/>
      <w:divBdr>
        <w:top w:val="none" w:sz="0" w:space="0" w:color="auto"/>
        <w:left w:val="none" w:sz="0" w:space="0" w:color="auto"/>
        <w:bottom w:val="none" w:sz="0" w:space="0" w:color="auto"/>
        <w:right w:val="none" w:sz="0" w:space="0" w:color="auto"/>
      </w:divBdr>
    </w:div>
    <w:div w:id="1726296152">
      <w:bodyDiv w:val="1"/>
      <w:marLeft w:val="0"/>
      <w:marRight w:val="0"/>
      <w:marTop w:val="0"/>
      <w:marBottom w:val="0"/>
      <w:divBdr>
        <w:top w:val="none" w:sz="0" w:space="0" w:color="auto"/>
        <w:left w:val="none" w:sz="0" w:space="0" w:color="auto"/>
        <w:bottom w:val="none" w:sz="0" w:space="0" w:color="auto"/>
        <w:right w:val="none" w:sz="0" w:space="0" w:color="auto"/>
      </w:divBdr>
    </w:div>
    <w:div w:id="1732923614">
      <w:bodyDiv w:val="1"/>
      <w:marLeft w:val="0"/>
      <w:marRight w:val="0"/>
      <w:marTop w:val="0"/>
      <w:marBottom w:val="0"/>
      <w:divBdr>
        <w:top w:val="none" w:sz="0" w:space="0" w:color="auto"/>
        <w:left w:val="none" w:sz="0" w:space="0" w:color="auto"/>
        <w:bottom w:val="none" w:sz="0" w:space="0" w:color="auto"/>
        <w:right w:val="none" w:sz="0" w:space="0" w:color="auto"/>
      </w:divBdr>
    </w:div>
    <w:div w:id="1739094038">
      <w:bodyDiv w:val="1"/>
      <w:marLeft w:val="0"/>
      <w:marRight w:val="0"/>
      <w:marTop w:val="0"/>
      <w:marBottom w:val="0"/>
      <w:divBdr>
        <w:top w:val="none" w:sz="0" w:space="0" w:color="auto"/>
        <w:left w:val="none" w:sz="0" w:space="0" w:color="auto"/>
        <w:bottom w:val="none" w:sz="0" w:space="0" w:color="auto"/>
        <w:right w:val="none" w:sz="0" w:space="0" w:color="auto"/>
      </w:divBdr>
    </w:div>
    <w:div w:id="1743520525">
      <w:bodyDiv w:val="1"/>
      <w:marLeft w:val="0"/>
      <w:marRight w:val="0"/>
      <w:marTop w:val="0"/>
      <w:marBottom w:val="0"/>
      <w:divBdr>
        <w:top w:val="none" w:sz="0" w:space="0" w:color="auto"/>
        <w:left w:val="none" w:sz="0" w:space="0" w:color="auto"/>
        <w:bottom w:val="none" w:sz="0" w:space="0" w:color="auto"/>
        <w:right w:val="none" w:sz="0" w:space="0" w:color="auto"/>
      </w:divBdr>
    </w:div>
    <w:div w:id="1745562702">
      <w:bodyDiv w:val="1"/>
      <w:marLeft w:val="0"/>
      <w:marRight w:val="0"/>
      <w:marTop w:val="0"/>
      <w:marBottom w:val="0"/>
      <w:divBdr>
        <w:top w:val="none" w:sz="0" w:space="0" w:color="auto"/>
        <w:left w:val="none" w:sz="0" w:space="0" w:color="auto"/>
        <w:bottom w:val="none" w:sz="0" w:space="0" w:color="auto"/>
        <w:right w:val="none" w:sz="0" w:space="0" w:color="auto"/>
      </w:divBdr>
    </w:div>
    <w:div w:id="1748309377">
      <w:bodyDiv w:val="1"/>
      <w:marLeft w:val="0"/>
      <w:marRight w:val="0"/>
      <w:marTop w:val="0"/>
      <w:marBottom w:val="0"/>
      <w:divBdr>
        <w:top w:val="none" w:sz="0" w:space="0" w:color="auto"/>
        <w:left w:val="none" w:sz="0" w:space="0" w:color="auto"/>
        <w:bottom w:val="none" w:sz="0" w:space="0" w:color="auto"/>
        <w:right w:val="none" w:sz="0" w:space="0" w:color="auto"/>
      </w:divBdr>
    </w:div>
    <w:div w:id="1751807346">
      <w:bodyDiv w:val="1"/>
      <w:marLeft w:val="0"/>
      <w:marRight w:val="0"/>
      <w:marTop w:val="0"/>
      <w:marBottom w:val="0"/>
      <w:divBdr>
        <w:top w:val="none" w:sz="0" w:space="0" w:color="auto"/>
        <w:left w:val="none" w:sz="0" w:space="0" w:color="auto"/>
        <w:bottom w:val="none" w:sz="0" w:space="0" w:color="auto"/>
        <w:right w:val="none" w:sz="0" w:space="0" w:color="auto"/>
      </w:divBdr>
    </w:div>
    <w:div w:id="1753771633">
      <w:bodyDiv w:val="1"/>
      <w:marLeft w:val="0"/>
      <w:marRight w:val="0"/>
      <w:marTop w:val="0"/>
      <w:marBottom w:val="0"/>
      <w:divBdr>
        <w:top w:val="none" w:sz="0" w:space="0" w:color="auto"/>
        <w:left w:val="none" w:sz="0" w:space="0" w:color="auto"/>
        <w:bottom w:val="none" w:sz="0" w:space="0" w:color="auto"/>
        <w:right w:val="none" w:sz="0" w:space="0" w:color="auto"/>
      </w:divBdr>
    </w:div>
    <w:div w:id="1779639811">
      <w:bodyDiv w:val="1"/>
      <w:marLeft w:val="0"/>
      <w:marRight w:val="0"/>
      <w:marTop w:val="0"/>
      <w:marBottom w:val="0"/>
      <w:divBdr>
        <w:top w:val="none" w:sz="0" w:space="0" w:color="auto"/>
        <w:left w:val="none" w:sz="0" w:space="0" w:color="auto"/>
        <w:bottom w:val="none" w:sz="0" w:space="0" w:color="auto"/>
        <w:right w:val="none" w:sz="0" w:space="0" w:color="auto"/>
      </w:divBdr>
    </w:div>
    <w:div w:id="1779832635">
      <w:bodyDiv w:val="1"/>
      <w:marLeft w:val="0"/>
      <w:marRight w:val="0"/>
      <w:marTop w:val="0"/>
      <w:marBottom w:val="0"/>
      <w:divBdr>
        <w:top w:val="none" w:sz="0" w:space="0" w:color="auto"/>
        <w:left w:val="none" w:sz="0" w:space="0" w:color="auto"/>
        <w:bottom w:val="none" w:sz="0" w:space="0" w:color="auto"/>
        <w:right w:val="none" w:sz="0" w:space="0" w:color="auto"/>
      </w:divBdr>
    </w:div>
    <w:div w:id="1784885656">
      <w:bodyDiv w:val="1"/>
      <w:marLeft w:val="0"/>
      <w:marRight w:val="0"/>
      <w:marTop w:val="0"/>
      <w:marBottom w:val="0"/>
      <w:divBdr>
        <w:top w:val="none" w:sz="0" w:space="0" w:color="auto"/>
        <w:left w:val="none" w:sz="0" w:space="0" w:color="auto"/>
        <w:bottom w:val="none" w:sz="0" w:space="0" w:color="auto"/>
        <w:right w:val="none" w:sz="0" w:space="0" w:color="auto"/>
      </w:divBdr>
    </w:div>
    <w:div w:id="1804957273">
      <w:bodyDiv w:val="1"/>
      <w:marLeft w:val="0"/>
      <w:marRight w:val="0"/>
      <w:marTop w:val="0"/>
      <w:marBottom w:val="0"/>
      <w:divBdr>
        <w:top w:val="none" w:sz="0" w:space="0" w:color="auto"/>
        <w:left w:val="none" w:sz="0" w:space="0" w:color="auto"/>
        <w:bottom w:val="none" w:sz="0" w:space="0" w:color="auto"/>
        <w:right w:val="none" w:sz="0" w:space="0" w:color="auto"/>
      </w:divBdr>
    </w:div>
    <w:div w:id="1805731534">
      <w:bodyDiv w:val="1"/>
      <w:marLeft w:val="0"/>
      <w:marRight w:val="0"/>
      <w:marTop w:val="0"/>
      <w:marBottom w:val="0"/>
      <w:divBdr>
        <w:top w:val="none" w:sz="0" w:space="0" w:color="auto"/>
        <w:left w:val="none" w:sz="0" w:space="0" w:color="auto"/>
        <w:bottom w:val="none" w:sz="0" w:space="0" w:color="auto"/>
        <w:right w:val="none" w:sz="0" w:space="0" w:color="auto"/>
      </w:divBdr>
    </w:div>
    <w:div w:id="1818261938">
      <w:bodyDiv w:val="1"/>
      <w:marLeft w:val="0"/>
      <w:marRight w:val="0"/>
      <w:marTop w:val="0"/>
      <w:marBottom w:val="0"/>
      <w:divBdr>
        <w:top w:val="none" w:sz="0" w:space="0" w:color="auto"/>
        <w:left w:val="none" w:sz="0" w:space="0" w:color="auto"/>
        <w:bottom w:val="none" w:sz="0" w:space="0" w:color="auto"/>
        <w:right w:val="none" w:sz="0" w:space="0" w:color="auto"/>
      </w:divBdr>
    </w:div>
    <w:div w:id="1826972503">
      <w:bodyDiv w:val="1"/>
      <w:marLeft w:val="0"/>
      <w:marRight w:val="0"/>
      <w:marTop w:val="0"/>
      <w:marBottom w:val="0"/>
      <w:divBdr>
        <w:top w:val="none" w:sz="0" w:space="0" w:color="auto"/>
        <w:left w:val="none" w:sz="0" w:space="0" w:color="auto"/>
        <w:bottom w:val="none" w:sz="0" w:space="0" w:color="auto"/>
        <w:right w:val="none" w:sz="0" w:space="0" w:color="auto"/>
      </w:divBdr>
    </w:div>
    <w:div w:id="1830171089">
      <w:bodyDiv w:val="1"/>
      <w:marLeft w:val="0"/>
      <w:marRight w:val="0"/>
      <w:marTop w:val="0"/>
      <w:marBottom w:val="0"/>
      <w:divBdr>
        <w:top w:val="none" w:sz="0" w:space="0" w:color="auto"/>
        <w:left w:val="none" w:sz="0" w:space="0" w:color="auto"/>
        <w:bottom w:val="none" w:sz="0" w:space="0" w:color="auto"/>
        <w:right w:val="none" w:sz="0" w:space="0" w:color="auto"/>
      </w:divBdr>
    </w:div>
    <w:div w:id="1836144596">
      <w:bodyDiv w:val="1"/>
      <w:marLeft w:val="0"/>
      <w:marRight w:val="0"/>
      <w:marTop w:val="0"/>
      <w:marBottom w:val="0"/>
      <w:divBdr>
        <w:top w:val="none" w:sz="0" w:space="0" w:color="auto"/>
        <w:left w:val="none" w:sz="0" w:space="0" w:color="auto"/>
        <w:bottom w:val="none" w:sz="0" w:space="0" w:color="auto"/>
        <w:right w:val="none" w:sz="0" w:space="0" w:color="auto"/>
      </w:divBdr>
    </w:div>
    <w:div w:id="1838883092">
      <w:bodyDiv w:val="1"/>
      <w:marLeft w:val="0"/>
      <w:marRight w:val="0"/>
      <w:marTop w:val="0"/>
      <w:marBottom w:val="0"/>
      <w:divBdr>
        <w:top w:val="none" w:sz="0" w:space="0" w:color="auto"/>
        <w:left w:val="none" w:sz="0" w:space="0" w:color="auto"/>
        <w:bottom w:val="none" w:sz="0" w:space="0" w:color="auto"/>
        <w:right w:val="none" w:sz="0" w:space="0" w:color="auto"/>
      </w:divBdr>
    </w:div>
    <w:div w:id="1844121251">
      <w:bodyDiv w:val="1"/>
      <w:marLeft w:val="0"/>
      <w:marRight w:val="0"/>
      <w:marTop w:val="0"/>
      <w:marBottom w:val="0"/>
      <w:divBdr>
        <w:top w:val="none" w:sz="0" w:space="0" w:color="auto"/>
        <w:left w:val="none" w:sz="0" w:space="0" w:color="auto"/>
        <w:bottom w:val="none" w:sz="0" w:space="0" w:color="auto"/>
        <w:right w:val="none" w:sz="0" w:space="0" w:color="auto"/>
      </w:divBdr>
    </w:div>
    <w:div w:id="1851405884">
      <w:bodyDiv w:val="1"/>
      <w:marLeft w:val="0"/>
      <w:marRight w:val="0"/>
      <w:marTop w:val="0"/>
      <w:marBottom w:val="0"/>
      <w:divBdr>
        <w:top w:val="none" w:sz="0" w:space="0" w:color="auto"/>
        <w:left w:val="none" w:sz="0" w:space="0" w:color="auto"/>
        <w:bottom w:val="none" w:sz="0" w:space="0" w:color="auto"/>
        <w:right w:val="none" w:sz="0" w:space="0" w:color="auto"/>
      </w:divBdr>
    </w:div>
    <w:div w:id="1851484049">
      <w:bodyDiv w:val="1"/>
      <w:marLeft w:val="0"/>
      <w:marRight w:val="0"/>
      <w:marTop w:val="0"/>
      <w:marBottom w:val="0"/>
      <w:divBdr>
        <w:top w:val="none" w:sz="0" w:space="0" w:color="auto"/>
        <w:left w:val="none" w:sz="0" w:space="0" w:color="auto"/>
        <w:bottom w:val="none" w:sz="0" w:space="0" w:color="auto"/>
        <w:right w:val="none" w:sz="0" w:space="0" w:color="auto"/>
      </w:divBdr>
    </w:div>
    <w:div w:id="1854223273">
      <w:bodyDiv w:val="1"/>
      <w:marLeft w:val="0"/>
      <w:marRight w:val="0"/>
      <w:marTop w:val="0"/>
      <w:marBottom w:val="0"/>
      <w:divBdr>
        <w:top w:val="none" w:sz="0" w:space="0" w:color="auto"/>
        <w:left w:val="none" w:sz="0" w:space="0" w:color="auto"/>
        <w:bottom w:val="none" w:sz="0" w:space="0" w:color="auto"/>
        <w:right w:val="none" w:sz="0" w:space="0" w:color="auto"/>
      </w:divBdr>
    </w:div>
    <w:div w:id="1859157608">
      <w:bodyDiv w:val="1"/>
      <w:marLeft w:val="0"/>
      <w:marRight w:val="0"/>
      <w:marTop w:val="0"/>
      <w:marBottom w:val="0"/>
      <w:divBdr>
        <w:top w:val="none" w:sz="0" w:space="0" w:color="auto"/>
        <w:left w:val="none" w:sz="0" w:space="0" w:color="auto"/>
        <w:bottom w:val="none" w:sz="0" w:space="0" w:color="auto"/>
        <w:right w:val="none" w:sz="0" w:space="0" w:color="auto"/>
      </w:divBdr>
    </w:div>
    <w:div w:id="1859418632">
      <w:bodyDiv w:val="1"/>
      <w:marLeft w:val="0"/>
      <w:marRight w:val="0"/>
      <w:marTop w:val="0"/>
      <w:marBottom w:val="0"/>
      <w:divBdr>
        <w:top w:val="none" w:sz="0" w:space="0" w:color="auto"/>
        <w:left w:val="none" w:sz="0" w:space="0" w:color="auto"/>
        <w:bottom w:val="none" w:sz="0" w:space="0" w:color="auto"/>
        <w:right w:val="none" w:sz="0" w:space="0" w:color="auto"/>
      </w:divBdr>
    </w:div>
    <w:div w:id="1870795915">
      <w:bodyDiv w:val="1"/>
      <w:marLeft w:val="0"/>
      <w:marRight w:val="0"/>
      <w:marTop w:val="0"/>
      <w:marBottom w:val="0"/>
      <w:divBdr>
        <w:top w:val="none" w:sz="0" w:space="0" w:color="auto"/>
        <w:left w:val="none" w:sz="0" w:space="0" w:color="auto"/>
        <w:bottom w:val="none" w:sz="0" w:space="0" w:color="auto"/>
        <w:right w:val="none" w:sz="0" w:space="0" w:color="auto"/>
      </w:divBdr>
    </w:div>
    <w:div w:id="1880624895">
      <w:bodyDiv w:val="1"/>
      <w:marLeft w:val="0"/>
      <w:marRight w:val="0"/>
      <w:marTop w:val="0"/>
      <w:marBottom w:val="0"/>
      <w:divBdr>
        <w:top w:val="none" w:sz="0" w:space="0" w:color="auto"/>
        <w:left w:val="none" w:sz="0" w:space="0" w:color="auto"/>
        <w:bottom w:val="none" w:sz="0" w:space="0" w:color="auto"/>
        <w:right w:val="none" w:sz="0" w:space="0" w:color="auto"/>
      </w:divBdr>
    </w:div>
    <w:div w:id="1880891798">
      <w:bodyDiv w:val="1"/>
      <w:marLeft w:val="0"/>
      <w:marRight w:val="0"/>
      <w:marTop w:val="0"/>
      <w:marBottom w:val="0"/>
      <w:divBdr>
        <w:top w:val="none" w:sz="0" w:space="0" w:color="auto"/>
        <w:left w:val="none" w:sz="0" w:space="0" w:color="auto"/>
        <w:bottom w:val="none" w:sz="0" w:space="0" w:color="auto"/>
        <w:right w:val="none" w:sz="0" w:space="0" w:color="auto"/>
      </w:divBdr>
    </w:div>
    <w:div w:id="1884559259">
      <w:bodyDiv w:val="1"/>
      <w:marLeft w:val="0"/>
      <w:marRight w:val="0"/>
      <w:marTop w:val="0"/>
      <w:marBottom w:val="0"/>
      <w:divBdr>
        <w:top w:val="none" w:sz="0" w:space="0" w:color="auto"/>
        <w:left w:val="none" w:sz="0" w:space="0" w:color="auto"/>
        <w:bottom w:val="none" w:sz="0" w:space="0" w:color="auto"/>
        <w:right w:val="none" w:sz="0" w:space="0" w:color="auto"/>
      </w:divBdr>
    </w:div>
    <w:div w:id="1886480482">
      <w:bodyDiv w:val="1"/>
      <w:marLeft w:val="0"/>
      <w:marRight w:val="0"/>
      <w:marTop w:val="0"/>
      <w:marBottom w:val="0"/>
      <w:divBdr>
        <w:top w:val="none" w:sz="0" w:space="0" w:color="auto"/>
        <w:left w:val="none" w:sz="0" w:space="0" w:color="auto"/>
        <w:bottom w:val="none" w:sz="0" w:space="0" w:color="auto"/>
        <w:right w:val="none" w:sz="0" w:space="0" w:color="auto"/>
      </w:divBdr>
    </w:div>
    <w:div w:id="1889952960">
      <w:bodyDiv w:val="1"/>
      <w:marLeft w:val="0"/>
      <w:marRight w:val="0"/>
      <w:marTop w:val="0"/>
      <w:marBottom w:val="0"/>
      <w:divBdr>
        <w:top w:val="none" w:sz="0" w:space="0" w:color="auto"/>
        <w:left w:val="none" w:sz="0" w:space="0" w:color="auto"/>
        <w:bottom w:val="none" w:sz="0" w:space="0" w:color="auto"/>
        <w:right w:val="none" w:sz="0" w:space="0" w:color="auto"/>
      </w:divBdr>
    </w:div>
    <w:div w:id="1891916885">
      <w:bodyDiv w:val="1"/>
      <w:marLeft w:val="0"/>
      <w:marRight w:val="0"/>
      <w:marTop w:val="0"/>
      <w:marBottom w:val="0"/>
      <w:divBdr>
        <w:top w:val="none" w:sz="0" w:space="0" w:color="auto"/>
        <w:left w:val="none" w:sz="0" w:space="0" w:color="auto"/>
        <w:bottom w:val="none" w:sz="0" w:space="0" w:color="auto"/>
        <w:right w:val="none" w:sz="0" w:space="0" w:color="auto"/>
      </w:divBdr>
    </w:div>
    <w:div w:id="1893419453">
      <w:bodyDiv w:val="1"/>
      <w:marLeft w:val="0"/>
      <w:marRight w:val="0"/>
      <w:marTop w:val="0"/>
      <w:marBottom w:val="0"/>
      <w:divBdr>
        <w:top w:val="none" w:sz="0" w:space="0" w:color="auto"/>
        <w:left w:val="none" w:sz="0" w:space="0" w:color="auto"/>
        <w:bottom w:val="none" w:sz="0" w:space="0" w:color="auto"/>
        <w:right w:val="none" w:sz="0" w:space="0" w:color="auto"/>
      </w:divBdr>
    </w:div>
    <w:div w:id="1895434380">
      <w:bodyDiv w:val="1"/>
      <w:marLeft w:val="0"/>
      <w:marRight w:val="0"/>
      <w:marTop w:val="0"/>
      <w:marBottom w:val="0"/>
      <w:divBdr>
        <w:top w:val="none" w:sz="0" w:space="0" w:color="auto"/>
        <w:left w:val="none" w:sz="0" w:space="0" w:color="auto"/>
        <w:bottom w:val="none" w:sz="0" w:space="0" w:color="auto"/>
        <w:right w:val="none" w:sz="0" w:space="0" w:color="auto"/>
      </w:divBdr>
    </w:div>
    <w:div w:id="1902137713">
      <w:bodyDiv w:val="1"/>
      <w:marLeft w:val="0"/>
      <w:marRight w:val="0"/>
      <w:marTop w:val="0"/>
      <w:marBottom w:val="0"/>
      <w:divBdr>
        <w:top w:val="none" w:sz="0" w:space="0" w:color="auto"/>
        <w:left w:val="none" w:sz="0" w:space="0" w:color="auto"/>
        <w:bottom w:val="none" w:sz="0" w:space="0" w:color="auto"/>
        <w:right w:val="none" w:sz="0" w:space="0" w:color="auto"/>
      </w:divBdr>
    </w:div>
    <w:div w:id="1920017574">
      <w:bodyDiv w:val="1"/>
      <w:marLeft w:val="0"/>
      <w:marRight w:val="0"/>
      <w:marTop w:val="0"/>
      <w:marBottom w:val="0"/>
      <w:divBdr>
        <w:top w:val="none" w:sz="0" w:space="0" w:color="auto"/>
        <w:left w:val="none" w:sz="0" w:space="0" w:color="auto"/>
        <w:bottom w:val="none" w:sz="0" w:space="0" w:color="auto"/>
        <w:right w:val="none" w:sz="0" w:space="0" w:color="auto"/>
      </w:divBdr>
    </w:div>
    <w:div w:id="1920672674">
      <w:bodyDiv w:val="1"/>
      <w:marLeft w:val="0"/>
      <w:marRight w:val="0"/>
      <w:marTop w:val="0"/>
      <w:marBottom w:val="0"/>
      <w:divBdr>
        <w:top w:val="none" w:sz="0" w:space="0" w:color="auto"/>
        <w:left w:val="none" w:sz="0" w:space="0" w:color="auto"/>
        <w:bottom w:val="none" w:sz="0" w:space="0" w:color="auto"/>
        <w:right w:val="none" w:sz="0" w:space="0" w:color="auto"/>
      </w:divBdr>
    </w:div>
    <w:div w:id="1924100227">
      <w:bodyDiv w:val="1"/>
      <w:marLeft w:val="0"/>
      <w:marRight w:val="0"/>
      <w:marTop w:val="0"/>
      <w:marBottom w:val="0"/>
      <w:divBdr>
        <w:top w:val="none" w:sz="0" w:space="0" w:color="auto"/>
        <w:left w:val="none" w:sz="0" w:space="0" w:color="auto"/>
        <w:bottom w:val="none" w:sz="0" w:space="0" w:color="auto"/>
        <w:right w:val="none" w:sz="0" w:space="0" w:color="auto"/>
      </w:divBdr>
    </w:div>
    <w:div w:id="1924220959">
      <w:bodyDiv w:val="1"/>
      <w:marLeft w:val="0"/>
      <w:marRight w:val="0"/>
      <w:marTop w:val="0"/>
      <w:marBottom w:val="0"/>
      <w:divBdr>
        <w:top w:val="none" w:sz="0" w:space="0" w:color="auto"/>
        <w:left w:val="none" w:sz="0" w:space="0" w:color="auto"/>
        <w:bottom w:val="none" w:sz="0" w:space="0" w:color="auto"/>
        <w:right w:val="none" w:sz="0" w:space="0" w:color="auto"/>
      </w:divBdr>
    </w:div>
    <w:div w:id="1925334529">
      <w:bodyDiv w:val="1"/>
      <w:marLeft w:val="0"/>
      <w:marRight w:val="0"/>
      <w:marTop w:val="0"/>
      <w:marBottom w:val="0"/>
      <w:divBdr>
        <w:top w:val="none" w:sz="0" w:space="0" w:color="auto"/>
        <w:left w:val="none" w:sz="0" w:space="0" w:color="auto"/>
        <w:bottom w:val="none" w:sz="0" w:space="0" w:color="auto"/>
        <w:right w:val="none" w:sz="0" w:space="0" w:color="auto"/>
      </w:divBdr>
    </w:div>
    <w:div w:id="1955555218">
      <w:bodyDiv w:val="1"/>
      <w:marLeft w:val="0"/>
      <w:marRight w:val="0"/>
      <w:marTop w:val="0"/>
      <w:marBottom w:val="0"/>
      <w:divBdr>
        <w:top w:val="none" w:sz="0" w:space="0" w:color="auto"/>
        <w:left w:val="none" w:sz="0" w:space="0" w:color="auto"/>
        <w:bottom w:val="none" w:sz="0" w:space="0" w:color="auto"/>
        <w:right w:val="none" w:sz="0" w:space="0" w:color="auto"/>
      </w:divBdr>
    </w:div>
    <w:div w:id="1963687585">
      <w:bodyDiv w:val="1"/>
      <w:marLeft w:val="0"/>
      <w:marRight w:val="0"/>
      <w:marTop w:val="0"/>
      <w:marBottom w:val="0"/>
      <w:divBdr>
        <w:top w:val="none" w:sz="0" w:space="0" w:color="auto"/>
        <w:left w:val="none" w:sz="0" w:space="0" w:color="auto"/>
        <w:bottom w:val="none" w:sz="0" w:space="0" w:color="auto"/>
        <w:right w:val="none" w:sz="0" w:space="0" w:color="auto"/>
      </w:divBdr>
    </w:div>
    <w:div w:id="1976641511">
      <w:bodyDiv w:val="1"/>
      <w:marLeft w:val="0"/>
      <w:marRight w:val="0"/>
      <w:marTop w:val="0"/>
      <w:marBottom w:val="0"/>
      <w:divBdr>
        <w:top w:val="none" w:sz="0" w:space="0" w:color="auto"/>
        <w:left w:val="none" w:sz="0" w:space="0" w:color="auto"/>
        <w:bottom w:val="none" w:sz="0" w:space="0" w:color="auto"/>
        <w:right w:val="none" w:sz="0" w:space="0" w:color="auto"/>
      </w:divBdr>
    </w:div>
    <w:div w:id="1979069860">
      <w:bodyDiv w:val="1"/>
      <w:marLeft w:val="0"/>
      <w:marRight w:val="0"/>
      <w:marTop w:val="0"/>
      <w:marBottom w:val="0"/>
      <w:divBdr>
        <w:top w:val="none" w:sz="0" w:space="0" w:color="auto"/>
        <w:left w:val="none" w:sz="0" w:space="0" w:color="auto"/>
        <w:bottom w:val="none" w:sz="0" w:space="0" w:color="auto"/>
        <w:right w:val="none" w:sz="0" w:space="0" w:color="auto"/>
      </w:divBdr>
    </w:div>
    <w:div w:id="1987125906">
      <w:bodyDiv w:val="1"/>
      <w:marLeft w:val="0"/>
      <w:marRight w:val="0"/>
      <w:marTop w:val="0"/>
      <w:marBottom w:val="0"/>
      <w:divBdr>
        <w:top w:val="none" w:sz="0" w:space="0" w:color="auto"/>
        <w:left w:val="none" w:sz="0" w:space="0" w:color="auto"/>
        <w:bottom w:val="none" w:sz="0" w:space="0" w:color="auto"/>
        <w:right w:val="none" w:sz="0" w:space="0" w:color="auto"/>
      </w:divBdr>
    </w:div>
    <w:div w:id="1989700335">
      <w:bodyDiv w:val="1"/>
      <w:marLeft w:val="0"/>
      <w:marRight w:val="0"/>
      <w:marTop w:val="0"/>
      <w:marBottom w:val="0"/>
      <w:divBdr>
        <w:top w:val="none" w:sz="0" w:space="0" w:color="auto"/>
        <w:left w:val="none" w:sz="0" w:space="0" w:color="auto"/>
        <w:bottom w:val="none" w:sz="0" w:space="0" w:color="auto"/>
        <w:right w:val="none" w:sz="0" w:space="0" w:color="auto"/>
      </w:divBdr>
    </w:div>
    <w:div w:id="2011835500">
      <w:bodyDiv w:val="1"/>
      <w:marLeft w:val="0"/>
      <w:marRight w:val="0"/>
      <w:marTop w:val="0"/>
      <w:marBottom w:val="0"/>
      <w:divBdr>
        <w:top w:val="none" w:sz="0" w:space="0" w:color="auto"/>
        <w:left w:val="none" w:sz="0" w:space="0" w:color="auto"/>
        <w:bottom w:val="none" w:sz="0" w:space="0" w:color="auto"/>
        <w:right w:val="none" w:sz="0" w:space="0" w:color="auto"/>
      </w:divBdr>
    </w:div>
    <w:div w:id="2016413898">
      <w:bodyDiv w:val="1"/>
      <w:marLeft w:val="0"/>
      <w:marRight w:val="0"/>
      <w:marTop w:val="0"/>
      <w:marBottom w:val="0"/>
      <w:divBdr>
        <w:top w:val="none" w:sz="0" w:space="0" w:color="auto"/>
        <w:left w:val="none" w:sz="0" w:space="0" w:color="auto"/>
        <w:bottom w:val="none" w:sz="0" w:space="0" w:color="auto"/>
        <w:right w:val="none" w:sz="0" w:space="0" w:color="auto"/>
      </w:divBdr>
    </w:div>
    <w:div w:id="2017615768">
      <w:bodyDiv w:val="1"/>
      <w:marLeft w:val="0"/>
      <w:marRight w:val="0"/>
      <w:marTop w:val="0"/>
      <w:marBottom w:val="0"/>
      <w:divBdr>
        <w:top w:val="none" w:sz="0" w:space="0" w:color="auto"/>
        <w:left w:val="none" w:sz="0" w:space="0" w:color="auto"/>
        <w:bottom w:val="none" w:sz="0" w:space="0" w:color="auto"/>
        <w:right w:val="none" w:sz="0" w:space="0" w:color="auto"/>
      </w:divBdr>
    </w:div>
    <w:div w:id="2022316560">
      <w:bodyDiv w:val="1"/>
      <w:marLeft w:val="0"/>
      <w:marRight w:val="0"/>
      <w:marTop w:val="0"/>
      <w:marBottom w:val="0"/>
      <w:divBdr>
        <w:top w:val="none" w:sz="0" w:space="0" w:color="auto"/>
        <w:left w:val="none" w:sz="0" w:space="0" w:color="auto"/>
        <w:bottom w:val="none" w:sz="0" w:space="0" w:color="auto"/>
        <w:right w:val="none" w:sz="0" w:space="0" w:color="auto"/>
      </w:divBdr>
    </w:div>
    <w:div w:id="2037392093">
      <w:bodyDiv w:val="1"/>
      <w:marLeft w:val="0"/>
      <w:marRight w:val="0"/>
      <w:marTop w:val="0"/>
      <w:marBottom w:val="0"/>
      <w:divBdr>
        <w:top w:val="none" w:sz="0" w:space="0" w:color="auto"/>
        <w:left w:val="none" w:sz="0" w:space="0" w:color="auto"/>
        <w:bottom w:val="none" w:sz="0" w:space="0" w:color="auto"/>
        <w:right w:val="none" w:sz="0" w:space="0" w:color="auto"/>
      </w:divBdr>
    </w:div>
    <w:div w:id="2054769149">
      <w:bodyDiv w:val="1"/>
      <w:marLeft w:val="0"/>
      <w:marRight w:val="0"/>
      <w:marTop w:val="0"/>
      <w:marBottom w:val="0"/>
      <w:divBdr>
        <w:top w:val="none" w:sz="0" w:space="0" w:color="auto"/>
        <w:left w:val="none" w:sz="0" w:space="0" w:color="auto"/>
        <w:bottom w:val="none" w:sz="0" w:space="0" w:color="auto"/>
        <w:right w:val="none" w:sz="0" w:space="0" w:color="auto"/>
      </w:divBdr>
    </w:div>
    <w:div w:id="2060934613">
      <w:bodyDiv w:val="1"/>
      <w:marLeft w:val="0"/>
      <w:marRight w:val="0"/>
      <w:marTop w:val="0"/>
      <w:marBottom w:val="0"/>
      <w:divBdr>
        <w:top w:val="none" w:sz="0" w:space="0" w:color="auto"/>
        <w:left w:val="none" w:sz="0" w:space="0" w:color="auto"/>
        <w:bottom w:val="none" w:sz="0" w:space="0" w:color="auto"/>
        <w:right w:val="none" w:sz="0" w:space="0" w:color="auto"/>
      </w:divBdr>
    </w:div>
    <w:div w:id="2067605394">
      <w:bodyDiv w:val="1"/>
      <w:marLeft w:val="0"/>
      <w:marRight w:val="0"/>
      <w:marTop w:val="0"/>
      <w:marBottom w:val="0"/>
      <w:divBdr>
        <w:top w:val="none" w:sz="0" w:space="0" w:color="auto"/>
        <w:left w:val="none" w:sz="0" w:space="0" w:color="auto"/>
        <w:bottom w:val="none" w:sz="0" w:space="0" w:color="auto"/>
        <w:right w:val="none" w:sz="0" w:space="0" w:color="auto"/>
      </w:divBdr>
    </w:div>
    <w:div w:id="2070302342">
      <w:bodyDiv w:val="1"/>
      <w:marLeft w:val="0"/>
      <w:marRight w:val="0"/>
      <w:marTop w:val="0"/>
      <w:marBottom w:val="0"/>
      <w:divBdr>
        <w:top w:val="none" w:sz="0" w:space="0" w:color="auto"/>
        <w:left w:val="none" w:sz="0" w:space="0" w:color="auto"/>
        <w:bottom w:val="none" w:sz="0" w:space="0" w:color="auto"/>
        <w:right w:val="none" w:sz="0" w:space="0" w:color="auto"/>
      </w:divBdr>
    </w:div>
    <w:div w:id="2072073393">
      <w:bodyDiv w:val="1"/>
      <w:marLeft w:val="0"/>
      <w:marRight w:val="0"/>
      <w:marTop w:val="0"/>
      <w:marBottom w:val="0"/>
      <w:divBdr>
        <w:top w:val="none" w:sz="0" w:space="0" w:color="auto"/>
        <w:left w:val="none" w:sz="0" w:space="0" w:color="auto"/>
        <w:bottom w:val="none" w:sz="0" w:space="0" w:color="auto"/>
        <w:right w:val="none" w:sz="0" w:space="0" w:color="auto"/>
      </w:divBdr>
    </w:div>
    <w:div w:id="2078630763">
      <w:bodyDiv w:val="1"/>
      <w:marLeft w:val="0"/>
      <w:marRight w:val="0"/>
      <w:marTop w:val="0"/>
      <w:marBottom w:val="0"/>
      <w:divBdr>
        <w:top w:val="none" w:sz="0" w:space="0" w:color="auto"/>
        <w:left w:val="none" w:sz="0" w:space="0" w:color="auto"/>
        <w:bottom w:val="none" w:sz="0" w:space="0" w:color="auto"/>
        <w:right w:val="none" w:sz="0" w:space="0" w:color="auto"/>
      </w:divBdr>
    </w:div>
    <w:div w:id="2082675910">
      <w:bodyDiv w:val="1"/>
      <w:marLeft w:val="0"/>
      <w:marRight w:val="0"/>
      <w:marTop w:val="0"/>
      <w:marBottom w:val="0"/>
      <w:divBdr>
        <w:top w:val="none" w:sz="0" w:space="0" w:color="auto"/>
        <w:left w:val="none" w:sz="0" w:space="0" w:color="auto"/>
        <w:bottom w:val="none" w:sz="0" w:space="0" w:color="auto"/>
        <w:right w:val="none" w:sz="0" w:space="0" w:color="auto"/>
      </w:divBdr>
    </w:div>
    <w:div w:id="2086871893">
      <w:bodyDiv w:val="1"/>
      <w:marLeft w:val="0"/>
      <w:marRight w:val="0"/>
      <w:marTop w:val="0"/>
      <w:marBottom w:val="0"/>
      <w:divBdr>
        <w:top w:val="none" w:sz="0" w:space="0" w:color="auto"/>
        <w:left w:val="none" w:sz="0" w:space="0" w:color="auto"/>
        <w:bottom w:val="none" w:sz="0" w:space="0" w:color="auto"/>
        <w:right w:val="none" w:sz="0" w:space="0" w:color="auto"/>
      </w:divBdr>
    </w:div>
    <w:div w:id="2090613362">
      <w:bodyDiv w:val="1"/>
      <w:marLeft w:val="0"/>
      <w:marRight w:val="0"/>
      <w:marTop w:val="0"/>
      <w:marBottom w:val="0"/>
      <w:divBdr>
        <w:top w:val="none" w:sz="0" w:space="0" w:color="auto"/>
        <w:left w:val="none" w:sz="0" w:space="0" w:color="auto"/>
        <w:bottom w:val="none" w:sz="0" w:space="0" w:color="auto"/>
        <w:right w:val="none" w:sz="0" w:space="0" w:color="auto"/>
      </w:divBdr>
    </w:div>
    <w:div w:id="2092969853">
      <w:bodyDiv w:val="1"/>
      <w:marLeft w:val="0"/>
      <w:marRight w:val="0"/>
      <w:marTop w:val="0"/>
      <w:marBottom w:val="0"/>
      <w:divBdr>
        <w:top w:val="none" w:sz="0" w:space="0" w:color="auto"/>
        <w:left w:val="none" w:sz="0" w:space="0" w:color="auto"/>
        <w:bottom w:val="none" w:sz="0" w:space="0" w:color="auto"/>
        <w:right w:val="none" w:sz="0" w:space="0" w:color="auto"/>
      </w:divBdr>
    </w:div>
    <w:div w:id="2099323863">
      <w:bodyDiv w:val="1"/>
      <w:marLeft w:val="0"/>
      <w:marRight w:val="0"/>
      <w:marTop w:val="0"/>
      <w:marBottom w:val="0"/>
      <w:divBdr>
        <w:top w:val="none" w:sz="0" w:space="0" w:color="auto"/>
        <w:left w:val="none" w:sz="0" w:space="0" w:color="auto"/>
        <w:bottom w:val="none" w:sz="0" w:space="0" w:color="auto"/>
        <w:right w:val="none" w:sz="0" w:space="0" w:color="auto"/>
      </w:divBdr>
    </w:div>
    <w:div w:id="2100519149">
      <w:bodyDiv w:val="1"/>
      <w:marLeft w:val="0"/>
      <w:marRight w:val="0"/>
      <w:marTop w:val="0"/>
      <w:marBottom w:val="0"/>
      <w:divBdr>
        <w:top w:val="none" w:sz="0" w:space="0" w:color="auto"/>
        <w:left w:val="none" w:sz="0" w:space="0" w:color="auto"/>
        <w:bottom w:val="none" w:sz="0" w:space="0" w:color="auto"/>
        <w:right w:val="none" w:sz="0" w:space="0" w:color="auto"/>
      </w:divBdr>
    </w:div>
    <w:div w:id="2113159082">
      <w:bodyDiv w:val="1"/>
      <w:marLeft w:val="0"/>
      <w:marRight w:val="0"/>
      <w:marTop w:val="0"/>
      <w:marBottom w:val="0"/>
      <w:divBdr>
        <w:top w:val="none" w:sz="0" w:space="0" w:color="auto"/>
        <w:left w:val="none" w:sz="0" w:space="0" w:color="auto"/>
        <w:bottom w:val="none" w:sz="0" w:space="0" w:color="auto"/>
        <w:right w:val="none" w:sz="0" w:space="0" w:color="auto"/>
      </w:divBdr>
    </w:div>
    <w:div w:id="2114593829">
      <w:bodyDiv w:val="1"/>
      <w:marLeft w:val="0"/>
      <w:marRight w:val="0"/>
      <w:marTop w:val="0"/>
      <w:marBottom w:val="0"/>
      <w:divBdr>
        <w:top w:val="none" w:sz="0" w:space="0" w:color="auto"/>
        <w:left w:val="none" w:sz="0" w:space="0" w:color="auto"/>
        <w:bottom w:val="none" w:sz="0" w:space="0" w:color="auto"/>
        <w:right w:val="none" w:sz="0" w:space="0" w:color="auto"/>
      </w:divBdr>
    </w:div>
    <w:div w:id="2123726313">
      <w:bodyDiv w:val="1"/>
      <w:marLeft w:val="0"/>
      <w:marRight w:val="0"/>
      <w:marTop w:val="0"/>
      <w:marBottom w:val="0"/>
      <w:divBdr>
        <w:top w:val="none" w:sz="0" w:space="0" w:color="auto"/>
        <w:left w:val="none" w:sz="0" w:space="0" w:color="auto"/>
        <w:bottom w:val="none" w:sz="0" w:space="0" w:color="auto"/>
        <w:right w:val="none" w:sz="0" w:space="0" w:color="auto"/>
      </w:divBdr>
    </w:div>
    <w:div w:id="2129007711">
      <w:bodyDiv w:val="1"/>
      <w:marLeft w:val="0"/>
      <w:marRight w:val="0"/>
      <w:marTop w:val="0"/>
      <w:marBottom w:val="0"/>
      <w:divBdr>
        <w:top w:val="none" w:sz="0" w:space="0" w:color="auto"/>
        <w:left w:val="none" w:sz="0" w:space="0" w:color="auto"/>
        <w:bottom w:val="none" w:sz="0" w:space="0" w:color="auto"/>
        <w:right w:val="none" w:sz="0" w:space="0" w:color="auto"/>
      </w:divBdr>
    </w:div>
    <w:div w:id="2131125936">
      <w:bodyDiv w:val="1"/>
      <w:marLeft w:val="0"/>
      <w:marRight w:val="0"/>
      <w:marTop w:val="0"/>
      <w:marBottom w:val="0"/>
      <w:divBdr>
        <w:top w:val="none" w:sz="0" w:space="0" w:color="auto"/>
        <w:left w:val="none" w:sz="0" w:space="0" w:color="auto"/>
        <w:bottom w:val="none" w:sz="0" w:space="0" w:color="auto"/>
        <w:right w:val="none" w:sz="0" w:space="0" w:color="auto"/>
      </w:divBdr>
    </w:div>
    <w:div w:id="2131823034">
      <w:bodyDiv w:val="1"/>
      <w:marLeft w:val="0"/>
      <w:marRight w:val="0"/>
      <w:marTop w:val="0"/>
      <w:marBottom w:val="0"/>
      <w:divBdr>
        <w:top w:val="none" w:sz="0" w:space="0" w:color="auto"/>
        <w:left w:val="none" w:sz="0" w:space="0" w:color="auto"/>
        <w:bottom w:val="none" w:sz="0" w:space="0" w:color="auto"/>
        <w:right w:val="none" w:sz="0" w:space="0" w:color="auto"/>
      </w:divBdr>
    </w:div>
    <w:div w:id="2144422245">
      <w:bodyDiv w:val="1"/>
      <w:marLeft w:val="0"/>
      <w:marRight w:val="0"/>
      <w:marTop w:val="0"/>
      <w:marBottom w:val="0"/>
      <w:divBdr>
        <w:top w:val="none" w:sz="0" w:space="0" w:color="auto"/>
        <w:left w:val="none" w:sz="0" w:space="0" w:color="auto"/>
        <w:bottom w:val="none" w:sz="0" w:space="0" w:color="auto"/>
        <w:right w:val="none" w:sz="0" w:space="0" w:color="auto"/>
      </w:divBdr>
    </w:div>
    <w:div w:id="214650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creativecommons.org/licenses/by/3.0/au/legalcode" TargetMode="External"/><Relationship Id="rId26" Type="http://schemas.openxmlformats.org/officeDocument/2006/relationships/hyperlink" Target="http://www.apvma.gov.au" TargetMode="External"/><Relationship Id="rId39" Type="http://schemas.openxmlformats.org/officeDocument/2006/relationships/hyperlink" Target="https://www.agriculture.gov.au/agriculture-land/farm-food-drought/ag-vet-chemicals/better-regulation-of-ag-vet-chemicals/rapid-evaluation-detailed-response/apvma-rapid-evaluation" TargetMode="External"/><Relationship Id="rId21" Type="http://schemas.openxmlformats.org/officeDocument/2006/relationships/header" Target="header2.xm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header" Target="header18.xml"/><Relationship Id="rId50" Type="http://schemas.openxmlformats.org/officeDocument/2006/relationships/hyperlink" Target="https://apvma.gov.au/node/72856"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footer" Target="footer4.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finance.gov.au/government/managing-commonwealth-resources/implementing-charging-framework-rmg-302/australian-government-cost-recovery-policy" TargetMode="External"/><Relationship Id="rId37" Type="http://schemas.openxmlformats.org/officeDocument/2006/relationships/hyperlink" Target="https://www.agriculture.gov.au/agriculture-land/farm-food-drought/ag-vet-chemicals/better-regulation-of-ag-vet-chemicals/independent-review-agvet-chemical-regulatory-framework" TargetMode="External"/><Relationship Id="rId40" Type="http://schemas.openxmlformats.org/officeDocument/2006/relationships/header" Target="header11.xml"/><Relationship Id="rId45" Type="http://schemas.openxmlformats.org/officeDocument/2006/relationships/header" Target="header16.xml"/><Relationship Id="rId53" Type="http://schemas.openxmlformats.org/officeDocument/2006/relationships/header" Target="header2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dpmc.gov.au/pmc/publication/commonwealth-coat-arms-information-and-guidelines" TargetMode="External"/><Relationship Id="rId31" Type="http://schemas.openxmlformats.org/officeDocument/2006/relationships/hyperlink" Target="https://www.finance.gov.au/government/managing-commonwealth-resources/implementing-charging-framework-rmg-302/what-australian-government-charging-framework" TargetMode="External"/><Relationship Id="rId44" Type="http://schemas.openxmlformats.org/officeDocument/2006/relationships/header" Target="header15.xml"/><Relationship Id="rId52" Type="http://schemas.openxmlformats.org/officeDocument/2006/relationships/hyperlink" Target="https://apvma.gov.au/node/7285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header" Target="header19.xml"/><Relationship Id="rId56" Type="http://schemas.microsoft.com/office/2020/10/relationships/intelligence" Target="intelligence2.xml"/><Relationship Id="rId8" Type="http://schemas.openxmlformats.org/officeDocument/2006/relationships/settings" Target="settings.xml"/><Relationship Id="rId51" Type="http://schemas.openxmlformats.org/officeDocument/2006/relationships/hyperlink" Target="mailto:costrecovery@apvma.gov.a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creativecommons.org/licenses/by/3.0/au/deed.en"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yperlink" Target="https://www.agriculture.gov.au/agriculture-land/farm-food-drought/ag-vet-chemicals/better-regulation-of-ag-vet-chemicals/rapid-evaluation-detailed-response/apvma-rapid-evaluation" TargetMode="External"/><Relationship Id="rId46" Type="http://schemas.openxmlformats.org/officeDocument/2006/relationships/header" Target="header17.xml"/><Relationship Id="rId20" Type="http://schemas.openxmlformats.org/officeDocument/2006/relationships/hyperlink" Target="mailto:communications@apvma.gov.au" TargetMode="External"/><Relationship Id="rId41" Type="http://schemas.openxmlformats.org/officeDocument/2006/relationships/header" Target="header1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image" Target="media/image4.png"/><Relationship Id="rId49" Type="http://schemas.openxmlformats.org/officeDocument/2006/relationships/header" Target="header20.xm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3A4A18E7A494B9436085C79DCB372" ma:contentTypeVersion="17" ma:contentTypeDescription="Create a new document." ma:contentTypeScope="" ma:versionID="4ecab906af14a923345788dca3be7a4c">
  <xsd:schema xmlns:xsd="http://www.w3.org/2001/XMLSchema" xmlns:xs="http://www.w3.org/2001/XMLSchema" xmlns:p="http://schemas.microsoft.com/office/2006/metadata/properties" xmlns:ns2="051dfbff-6966-4d78-acb3-ba261ae7ba1e" xmlns:ns3="2a988f8a-6f7b-487c-987e-c9c968bc94e4" targetNamespace="http://schemas.microsoft.com/office/2006/metadata/properties" ma:root="true" ma:fieldsID="b071f0ebbe0e9073d27d8bfe2b7e7214" ns2:_="" ns3:_="">
    <xsd:import namespace="051dfbff-6966-4d78-acb3-ba261ae7ba1e"/>
    <xsd:import namespace="2a988f8a-6f7b-487c-987e-c9c968bc94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Reviewrequiredby" minOccurs="0"/>
                <xsd:element ref="ns2:Actioned_x003f_"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dfbff-6966-4d78-acb3-ba261ae7b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eviewrequiredby" ma:index="12" nillable="true" ma:displayName="Review required by" ma:format="Dropdown" ma:list="UserInfo" ma:SharePointGroup="0" ma:internalName="Reviewrequi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ed_x003f_" ma:index="13" nillable="true" ma:displayName="Actioned?" ma:default="Yes" ma:format="Dropdown" ma:internalName="Actioned_x003f_">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adea9c5-4c53-45a9-9d52-96ef1a92bc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88f8a-6f7b-487c-987e-c9c968bc94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108836-8bb3-4c65-845b-df0bf3cfa425}" ma:internalName="TaxCatchAll" ma:showField="CatchAllData" ma:web="2a988f8a-6f7b-487c-987e-c9c968bc94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988f8a-6f7b-487c-987e-c9c968bc94e4" xsi:nil="true"/>
    <Reviewrequiredby xmlns="051dfbff-6966-4d78-acb3-ba261ae7ba1e">
      <UserInfo>
        <DisplayName/>
        <AccountId xsi:nil="true"/>
        <AccountType/>
      </UserInfo>
    </Reviewrequiredby>
    <Actioned_x003f_ xmlns="051dfbff-6966-4d78-acb3-ba261ae7ba1e">Yes</Actioned_x003f_>
    <lcf76f155ced4ddcb4097134ff3c332f xmlns="051dfbff-6966-4d78-acb3-ba261ae7ba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00782AAB515E47F68D0ED650F5E2ABDE" version="1.0.0">
  <systemFields>
    <field name="Objective-Id">
      <value order="0">A3809652</value>
    </field>
    <field name="Objective-Title">
      <value order="0">APVMA Fees and Charges 2027-28 Consultation Paper</value>
    </field>
    <field name="Objective-Description">
      <value order="0"/>
    </field>
    <field name="Objective-CreationStamp">
      <value order="0">2026-04-15T04:17:36Z</value>
    </field>
    <field name="Objective-IsApproved">
      <value order="0">false</value>
    </field>
    <field name="Objective-IsPublished">
      <value order="0">false</value>
    </field>
    <field name="Objective-DatePublished">
      <value order="0"/>
    </field>
    <field name="Objective-ModificationStamp">
      <value order="0">2026-07-10T04:39:22Z</value>
    </field>
    <field name="Objective-Owner">
      <value order="0">Terri Reichman</value>
    </field>
    <field name="Objective-Path">
      <value order="0">APVMA:REFORM AND ENGAGEMENT:Reform:01 - Reform - Policy and Planning:Policy issues:Cost recovery policy - project management:Revised CRIS documents for FY27-28</value>
    </field>
    <field name="Objective-Parent">
      <value order="0">Revised CRIS documents for FY27-28</value>
    </field>
    <field name="Objective-State">
      <value order="0">Being Drafted</value>
    </field>
    <field name="Objective-VersionId">
      <value order="0">vA5864623</value>
    </field>
    <field name="Objective-Version">
      <value order="0">3.2</value>
    </field>
    <field name="Objective-VersionNumber">
      <value order="0">18</value>
    </field>
    <field name="Objective-VersionComment">
      <value order="0"/>
    </field>
    <field name="Objective-FileNumber">
      <value order="0">2026\0968</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F49EF83C-C4C0-4DE1-8431-A61A5FE88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dfbff-6966-4d78-acb3-ba261ae7ba1e"/>
    <ds:schemaRef ds:uri="2a988f8a-6f7b-487c-987e-c9c968bc9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F5A3D-F3DA-42DD-ADB9-F4E872DE3981}">
  <ds:schemaRefs>
    <ds:schemaRef ds:uri="http://schemas.microsoft.com/office/2006/metadata/properties"/>
    <ds:schemaRef ds:uri="http://schemas.microsoft.com/office/infopath/2007/PartnerControls"/>
    <ds:schemaRef ds:uri="2a988f8a-6f7b-487c-987e-c9c968bc94e4"/>
    <ds:schemaRef ds:uri="051dfbff-6966-4d78-acb3-ba261ae7ba1e"/>
  </ds:schemaRefs>
</ds:datastoreItem>
</file>

<file path=customXml/itemProps3.xml><?xml version="1.0" encoding="utf-8"?>
<ds:datastoreItem xmlns:ds="http://schemas.openxmlformats.org/officeDocument/2006/customXml" ds:itemID="{6EC63DCF-B062-4610-A522-58D59CE8D035}">
  <ds:schemaRefs>
    <ds:schemaRef ds:uri="http://schemas.openxmlformats.org/officeDocument/2006/bibliography"/>
  </ds:schemaRefs>
</ds:datastoreItem>
</file>

<file path=customXml/itemProps4.xml><?xml version="1.0" encoding="utf-8"?>
<ds:datastoreItem xmlns:ds="http://schemas.openxmlformats.org/officeDocument/2006/customXml" ds:itemID="{72D97381-71A3-4DFC-A2FE-C95A6F06C63B}">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Metadata/LabelInfo.xml><?xml version="1.0" encoding="utf-8"?>
<clbl:labelList xmlns:clbl="http://schemas.microsoft.com/office/2020/mipLabelMetadata">
  <clbl:label id="{6ebe720a-6a71-4cd3-9180-ab62d28abc89}" enabled="0" method="" siteId="{6ebe720a-6a71-4cd3-9180-ab62d28abc89}" removed="1"/>
</clbl:labelList>
</file>

<file path=docProps/app.xml><?xml version="1.0" encoding="utf-8"?>
<Properties xmlns="http://schemas.openxmlformats.org/officeDocument/2006/extended-properties" xmlns:vt="http://schemas.openxmlformats.org/officeDocument/2006/docPropsVTypes">
  <Template>Normal.dotm</Template>
  <TotalTime>333</TotalTime>
  <Pages>33</Pages>
  <Words>9877</Words>
  <Characters>56006</Characters>
  <Application>Microsoft Office Word</Application>
  <DocSecurity>0</DocSecurity>
  <Lines>2333</Lines>
  <Paragraphs>1780</Paragraphs>
  <ScaleCrop>false</ScaleCrop>
  <HeadingPairs>
    <vt:vector size="2" baseType="variant">
      <vt:variant>
        <vt:lpstr>Title</vt:lpstr>
      </vt:variant>
      <vt:variant>
        <vt:i4>1</vt:i4>
      </vt:variant>
    </vt:vector>
  </HeadingPairs>
  <TitlesOfParts>
    <vt:vector size="1" baseType="lpstr">
      <vt:lpstr>APVMA  Fees and Charges 2026–27 Consultation Paper</vt:lpstr>
    </vt:vector>
  </TitlesOfParts>
  <Manager/>
  <Company/>
  <LinksUpToDate>false</LinksUpToDate>
  <CharactersWithSpaces>64103</CharactersWithSpaces>
  <SharedDoc>false</SharedDoc>
  <HyperlinkBase/>
  <HLinks>
    <vt:vector size="270" baseType="variant">
      <vt:variant>
        <vt:i4>3407980</vt:i4>
      </vt:variant>
      <vt:variant>
        <vt:i4>240</vt:i4>
      </vt:variant>
      <vt:variant>
        <vt:i4>0</vt:i4>
      </vt:variant>
      <vt:variant>
        <vt:i4>5</vt:i4>
      </vt:variant>
      <vt:variant>
        <vt:lpwstr>https://apvma.gov.au/node/72856</vt:lpwstr>
      </vt:variant>
      <vt:variant>
        <vt:lpwstr/>
      </vt:variant>
      <vt:variant>
        <vt:i4>3407980</vt:i4>
      </vt:variant>
      <vt:variant>
        <vt:i4>237</vt:i4>
      </vt:variant>
      <vt:variant>
        <vt:i4>0</vt:i4>
      </vt:variant>
      <vt:variant>
        <vt:i4>5</vt:i4>
      </vt:variant>
      <vt:variant>
        <vt:lpwstr>https://apvma.gov.au/node/72856</vt:lpwstr>
      </vt:variant>
      <vt:variant>
        <vt:lpwstr/>
      </vt:variant>
      <vt:variant>
        <vt:i4>7995434</vt:i4>
      </vt:variant>
      <vt:variant>
        <vt:i4>231</vt:i4>
      </vt:variant>
      <vt:variant>
        <vt:i4>0</vt:i4>
      </vt:variant>
      <vt:variant>
        <vt:i4>5</vt:i4>
      </vt:variant>
      <vt:variant>
        <vt:lpwstr>https://www.agriculture.gov.au/agriculture-land/farm-food-drought/ag-vet-chemicals/better-regulation-of-ag-vet-chemicals/rapid-evaluation-detailed-response/apvma-rapid-evaluation</vt:lpwstr>
      </vt:variant>
      <vt:variant>
        <vt:lpwstr/>
      </vt:variant>
      <vt:variant>
        <vt:i4>7995434</vt:i4>
      </vt:variant>
      <vt:variant>
        <vt:i4>228</vt:i4>
      </vt:variant>
      <vt:variant>
        <vt:i4>0</vt:i4>
      </vt:variant>
      <vt:variant>
        <vt:i4>5</vt:i4>
      </vt:variant>
      <vt:variant>
        <vt:lpwstr>https://www.agriculture.gov.au/agriculture-land/farm-food-drought/ag-vet-chemicals/better-regulation-of-ag-vet-chemicals/rapid-evaluation-detailed-response/apvma-rapid-evaluation</vt:lpwstr>
      </vt:variant>
      <vt:variant>
        <vt:lpwstr/>
      </vt:variant>
      <vt:variant>
        <vt:i4>3080254</vt:i4>
      </vt:variant>
      <vt:variant>
        <vt:i4>225</vt:i4>
      </vt:variant>
      <vt:variant>
        <vt:i4>0</vt:i4>
      </vt:variant>
      <vt:variant>
        <vt:i4>5</vt:i4>
      </vt:variant>
      <vt:variant>
        <vt:lpwstr>https://www.agriculture.gov.au/agriculture-land/farm-food-drought/ag-vet-chemicals/better-regulation-of-ag-vet-chemicals/independent-review-agvet-chemical-regulatory-framework</vt:lpwstr>
      </vt:variant>
      <vt:variant>
        <vt:lpwstr/>
      </vt:variant>
      <vt:variant>
        <vt:i4>5242894</vt:i4>
      </vt:variant>
      <vt:variant>
        <vt:i4>219</vt:i4>
      </vt:variant>
      <vt:variant>
        <vt:i4>0</vt:i4>
      </vt:variant>
      <vt:variant>
        <vt:i4>5</vt:i4>
      </vt:variant>
      <vt:variant>
        <vt:lpwstr>https://www.finance.gov.au/government/managing-commonwealth-resources/implementing-charging-framework-rmg-302/australian-government-cost-recovery-policy</vt:lpwstr>
      </vt:variant>
      <vt:variant>
        <vt:lpwstr/>
      </vt:variant>
      <vt:variant>
        <vt:i4>3342439</vt:i4>
      </vt:variant>
      <vt:variant>
        <vt:i4>216</vt:i4>
      </vt:variant>
      <vt:variant>
        <vt:i4>0</vt:i4>
      </vt:variant>
      <vt:variant>
        <vt:i4>5</vt:i4>
      </vt:variant>
      <vt:variant>
        <vt:lpwstr>https://www.finance.gov.au/government/managing-commonwealth-resources/implementing-charging-framework-rmg-302/what-australian-government-charging-framework</vt:lpwstr>
      </vt:variant>
      <vt:variant>
        <vt:lpwstr/>
      </vt:variant>
      <vt:variant>
        <vt:i4>1966136</vt:i4>
      </vt:variant>
      <vt:variant>
        <vt:i4>209</vt:i4>
      </vt:variant>
      <vt:variant>
        <vt:i4>0</vt:i4>
      </vt:variant>
      <vt:variant>
        <vt:i4>5</vt:i4>
      </vt:variant>
      <vt:variant>
        <vt:lpwstr/>
      </vt:variant>
      <vt:variant>
        <vt:lpwstr>_Toc219128114</vt:lpwstr>
      </vt:variant>
      <vt:variant>
        <vt:i4>1966136</vt:i4>
      </vt:variant>
      <vt:variant>
        <vt:i4>203</vt:i4>
      </vt:variant>
      <vt:variant>
        <vt:i4>0</vt:i4>
      </vt:variant>
      <vt:variant>
        <vt:i4>5</vt:i4>
      </vt:variant>
      <vt:variant>
        <vt:lpwstr/>
      </vt:variant>
      <vt:variant>
        <vt:lpwstr>_Toc219128113</vt:lpwstr>
      </vt:variant>
      <vt:variant>
        <vt:i4>1966136</vt:i4>
      </vt:variant>
      <vt:variant>
        <vt:i4>197</vt:i4>
      </vt:variant>
      <vt:variant>
        <vt:i4>0</vt:i4>
      </vt:variant>
      <vt:variant>
        <vt:i4>5</vt:i4>
      </vt:variant>
      <vt:variant>
        <vt:lpwstr/>
      </vt:variant>
      <vt:variant>
        <vt:lpwstr>_Toc219128112</vt:lpwstr>
      </vt:variant>
      <vt:variant>
        <vt:i4>1966136</vt:i4>
      </vt:variant>
      <vt:variant>
        <vt:i4>191</vt:i4>
      </vt:variant>
      <vt:variant>
        <vt:i4>0</vt:i4>
      </vt:variant>
      <vt:variant>
        <vt:i4>5</vt:i4>
      </vt:variant>
      <vt:variant>
        <vt:lpwstr/>
      </vt:variant>
      <vt:variant>
        <vt:lpwstr>_Toc219128111</vt:lpwstr>
      </vt:variant>
      <vt:variant>
        <vt:i4>1966136</vt:i4>
      </vt:variant>
      <vt:variant>
        <vt:i4>185</vt:i4>
      </vt:variant>
      <vt:variant>
        <vt:i4>0</vt:i4>
      </vt:variant>
      <vt:variant>
        <vt:i4>5</vt:i4>
      </vt:variant>
      <vt:variant>
        <vt:lpwstr/>
      </vt:variant>
      <vt:variant>
        <vt:lpwstr>_Toc219128110</vt:lpwstr>
      </vt:variant>
      <vt:variant>
        <vt:i4>2031672</vt:i4>
      </vt:variant>
      <vt:variant>
        <vt:i4>179</vt:i4>
      </vt:variant>
      <vt:variant>
        <vt:i4>0</vt:i4>
      </vt:variant>
      <vt:variant>
        <vt:i4>5</vt:i4>
      </vt:variant>
      <vt:variant>
        <vt:lpwstr/>
      </vt:variant>
      <vt:variant>
        <vt:lpwstr>_Toc219128109</vt:lpwstr>
      </vt:variant>
      <vt:variant>
        <vt:i4>2031672</vt:i4>
      </vt:variant>
      <vt:variant>
        <vt:i4>173</vt:i4>
      </vt:variant>
      <vt:variant>
        <vt:i4>0</vt:i4>
      </vt:variant>
      <vt:variant>
        <vt:i4>5</vt:i4>
      </vt:variant>
      <vt:variant>
        <vt:lpwstr/>
      </vt:variant>
      <vt:variant>
        <vt:lpwstr>_Toc219128108</vt:lpwstr>
      </vt:variant>
      <vt:variant>
        <vt:i4>2031672</vt:i4>
      </vt:variant>
      <vt:variant>
        <vt:i4>167</vt:i4>
      </vt:variant>
      <vt:variant>
        <vt:i4>0</vt:i4>
      </vt:variant>
      <vt:variant>
        <vt:i4>5</vt:i4>
      </vt:variant>
      <vt:variant>
        <vt:lpwstr/>
      </vt:variant>
      <vt:variant>
        <vt:lpwstr>_Toc219128107</vt:lpwstr>
      </vt:variant>
      <vt:variant>
        <vt:i4>2031672</vt:i4>
      </vt:variant>
      <vt:variant>
        <vt:i4>161</vt:i4>
      </vt:variant>
      <vt:variant>
        <vt:i4>0</vt:i4>
      </vt:variant>
      <vt:variant>
        <vt:i4>5</vt:i4>
      </vt:variant>
      <vt:variant>
        <vt:lpwstr/>
      </vt:variant>
      <vt:variant>
        <vt:lpwstr>_Toc219128106</vt:lpwstr>
      </vt:variant>
      <vt:variant>
        <vt:i4>2031672</vt:i4>
      </vt:variant>
      <vt:variant>
        <vt:i4>155</vt:i4>
      </vt:variant>
      <vt:variant>
        <vt:i4>0</vt:i4>
      </vt:variant>
      <vt:variant>
        <vt:i4>5</vt:i4>
      </vt:variant>
      <vt:variant>
        <vt:lpwstr/>
      </vt:variant>
      <vt:variant>
        <vt:lpwstr>_Toc219128105</vt:lpwstr>
      </vt:variant>
      <vt:variant>
        <vt:i4>2031672</vt:i4>
      </vt:variant>
      <vt:variant>
        <vt:i4>149</vt:i4>
      </vt:variant>
      <vt:variant>
        <vt:i4>0</vt:i4>
      </vt:variant>
      <vt:variant>
        <vt:i4>5</vt:i4>
      </vt:variant>
      <vt:variant>
        <vt:lpwstr/>
      </vt:variant>
      <vt:variant>
        <vt:lpwstr>_Toc219128104</vt:lpwstr>
      </vt:variant>
      <vt:variant>
        <vt:i4>2031672</vt:i4>
      </vt:variant>
      <vt:variant>
        <vt:i4>143</vt:i4>
      </vt:variant>
      <vt:variant>
        <vt:i4>0</vt:i4>
      </vt:variant>
      <vt:variant>
        <vt:i4>5</vt:i4>
      </vt:variant>
      <vt:variant>
        <vt:lpwstr/>
      </vt:variant>
      <vt:variant>
        <vt:lpwstr>_Toc219128103</vt:lpwstr>
      </vt:variant>
      <vt:variant>
        <vt:i4>2031672</vt:i4>
      </vt:variant>
      <vt:variant>
        <vt:i4>137</vt:i4>
      </vt:variant>
      <vt:variant>
        <vt:i4>0</vt:i4>
      </vt:variant>
      <vt:variant>
        <vt:i4>5</vt:i4>
      </vt:variant>
      <vt:variant>
        <vt:lpwstr/>
      </vt:variant>
      <vt:variant>
        <vt:lpwstr>_Toc219128102</vt:lpwstr>
      </vt:variant>
      <vt:variant>
        <vt:i4>2031672</vt:i4>
      </vt:variant>
      <vt:variant>
        <vt:i4>131</vt:i4>
      </vt:variant>
      <vt:variant>
        <vt:i4>0</vt:i4>
      </vt:variant>
      <vt:variant>
        <vt:i4>5</vt:i4>
      </vt:variant>
      <vt:variant>
        <vt:lpwstr/>
      </vt:variant>
      <vt:variant>
        <vt:lpwstr>_Toc219128101</vt:lpwstr>
      </vt:variant>
      <vt:variant>
        <vt:i4>2031672</vt:i4>
      </vt:variant>
      <vt:variant>
        <vt:i4>125</vt:i4>
      </vt:variant>
      <vt:variant>
        <vt:i4>0</vt:i4>
      </vt:variant>
      <vt:variant>
        <vt:i4>5</vt:i4>
      </vt:variant>
      <vt:variant>
        <vt:lpwstr/>
      </vt:variant>
      <vt:variant>
        <vt:lpwstr>_Toc219128100</vt:lpwstr>
      </vt:variant>
      <vt:variant>
        <vt:i4>1441849</vt:i4>
      </vt:variant>
      <vt:variant>
        <vt:i4>119</vt:i4>
      </vt:variant>
      <vt:variant>
        <vt:i4>0</vt:i4>
      </vt:variant>
      <vt:variant>
        <vt:i4>5</vt:i4>
      </vt:variant>
      <vt:variant>
        <vt:lpwstr/>
      </vt:variant>
      <vt:variant>
        <vt:lpwstr>_Toc219128099</vt:lpwstr>
      </vt:variant>
      <vt:variant>
        <vt:i4>1441849</vt:i4>
      </vt:variant>
      <vt:variant>
        <vt:i4>113</vt:i4>
      </vt:variant>
      <vt:variant>
        <vt:i4>0</vt:i4>
      </vt:variant>
      <vt:variant>
        <vt:i4>5</vt:i4>
      </vt:variant>
      <vt:variant>
        <vt:lpwstr/>
      </vt:variant>
      <vt:variant>
        <vt:lpwstr>_Toc219128098</vt:lpwstr>
      </vt:variant>
      <vt:variant>
        <vt:i4>1441849</vt:i4>
      </vt:variant>
      <vt:variant>
        <vt:i4>107</vt:i4>
      </vt:variant>
      <vt:variant>
        <vt:i4>0</vt:i4>
      </vt:variant>
      <vt:variant>
        <vt:i4>5</vt:i4>
      </vt:variant>
      <vt:variant>
        <vt:lpwstr/>
      </vt:variant>
      <vt:variant>
        <vt:lpwstr>_Toc219128097</vt:lpwstr>
      </vt:variant>
      <vt:variant>
        <vt:i4>1441849</vt:i4>
      </vt:variant>
      <vt:variant>
        <vt:i4>101</vt:i4>
      </vt:variant>
      <vt:variant>
        <vt:i4>0</vt:i4>
      </vt:variant>
      <vt:variant>
        <vt:i4>5</vt:i4>
      </vt:variant>
      <vt:variant>
        <vt:lpwstr/>
      </vt:variant>
      <vt:variant>
        <vt:lpwstr>_Toc219128096</vt:lpwstr>
      </vt:variant>
      <vt:variant>
        <vt:i4>1441849</vt:i4>
      </vt:variant>
      <vt:variant>
        <vt:i4>95</vt:i4>
      </vt:variant>
      <vt:variant>
        <vt:i4>0</vt:i4>
      </vt:variant>
      <vt:variant>
        <vt:i4>5</vt:i4>
      </vt:variant>
      <vt:variant>
        <vt:lpwstr/>
      </vt:variant>
      <vt:variant>
        <vt:lpwstr>_Toc219128095</vt:lpwstr>
      </vt:variant>
      <vt:variant>
        <vt:i4>1441849</vt:i4>
      </vt:variant>
      <vt:variant>
        <vt:i4>89</vt:i4>
      </vt:variant>
      <vt:variant>
        <vt:i4>0</vt:i4>
      </vt:variant>
      <vt:variant>
        <vt:i4>5</vt:i4>
      </vt:variant>
      <vt:variant>
        <vt:lpwstr/>
      </vt:variant>
      <vt:variant>
        <vt:lpwstr>_Toc219128094</vt:lpwstr>
      </vt:variant>
      <vt:variant>
        <vt:i4>1441849</vt:i4>
      </vt:variant>
      <vt:variant>
        <vt:i4>83</vt:i4>
      </vt:variant>
      <vt:variant>
        <vt:i4>0</vt:i4>
      </vt:variant>
      <vt:variant>
        <vt:i4>5</vt:i4>
      </vt:variant>
      <vt:variant>
        <vt:lpwstr/>
      </vt:variant>
      <vt:variant>
        <vt:lpwstr>_Toc219128093</vt:lpwstr>
      </vt:variant>
      <vt:variant>
        <vt:i4>1441849</vt:i4>
      </vt:variant>
      <vt:variant>
        <vt:i4>77</vt:i4>
      </vt:variant>
      <vt:variant>
        <vt:i4>0</vt:i4>
      </vt:variant>
      <vt:variant>
        <vt:i4>5</vt:i4>
      </vt:variant>
      <vt:variant>
        <vt:lpwstr/>
      </vt:variant>
      <vt:variant>
        <vt:lpwstr>_Toc219128092</vt:lpwstr>
      </vt:variant>
      <vt:variant>
        <vt:i4>1441849</vt:i4>
      </vt:variant>
      <vt:variant>
        <vt:i4>71</vt:i4>
      </vt:variant>
      <vt:variant>
        <vt:i4>0</vt:i4>
      </vt:variant>
      <vt:variant>
        <vt:i4>5</vt:i4>
      </vt:variant>
      <vt:variant>
        <vt:lpwstr/>
      </vt:variant>
      <vt:variant>
        <vt:lpwstr>_Toc219128091</vt:lpwstr>
      </vt:variant>
      <vt:variant>
        <vt:i4>1441849</vt:i4>
      </vt:variant>
      <vt:variant>
        <vt:i4>65</vt:i4>
      </vt:variant>
      <vt:variant>
        <vt:i4>0</vt:i4>
      </vt:variant>
      <vt:variant>
        <vt:i4>5</vt:i4>
      </vt:variant>
      <vt:variant>
        <vt:lpwstr/>
      </vt:variant>
      <vt:variant>
        <vt:lpwstr>_Toc219128090</vt:lpwstr>
      </vt:variant>
      <vt:variant>
        <vt:i4>1507385</vt:i4>
      </vt:variant>
      <vt:variant>
        <vt:i4>59</vt:i4>
      </vt:variant>
      <vt:variant>
        <vt:i4>0</vt:i4>
      </vt:variant>
      <vt:variant>
        <vt:i4>5</vt:i4>
      </vt:variant>
      <vt:variant>
        <vt:lpwstr/>
      </vt:variant>
      <vt:variant>
        <vt:lpwstr>_Toc219128089</vt:lpwstr>
      </vt:variant>
      <vt:variant>
        <vt:i4>1507385</vt:i4>
      </vt:variant>
      <vt:variant>
        <vt:i4>53</vt:i4>
      </vt:variant>
      <vt:variant>
        <vt:i4>0</vt:i4>
      </vt:variant>
      <vt:variant>
        <vt:i4>5</vt:i4>
      </vt:variant>
      <vt:variant>
        <vt:lpwstr/>
      </vt:variant>
      <vt:variant>
        <vt:lpwstr>_Toc219128088</vt:lpwstr>
      </vt:variant>
      <vt:variant>
        <vt:i4>1507385</vt:i4>
      </vt:variant>
      <vt:variant>
        <vt:i4>47</vt:i4>
      </vt:variant>
      <vt:variant>
        <vt:i4>0</vt:i4>
      </vt:variant>
      <vt:variant>
        <vt:i4>5</vt:i4>
      </vt:variant>
      <vt:variant>
        <vt:lpwstr/>
      </vt:variant>
      <vt:variant>
        <vt:lpwstr>_Toc219128087</vt:lpwstr>
      </vt:variant>
      <vt:variant>
        <vt:i4>1507385</vt:i4>
      </vt:variant>
      <vt:variant>
        <vt:i4>41</vt:i4>
      </vt:variant>
      <vt:variant>
        <vt:i4>0</vt:i4>
      </vt:variant>
      <vt:variant>
        <vt:i4>5</vt:i4>
      </vt:variant>
      <vt:variant>
        <vt:lpwstr/>
      </vt:variant>
      <vt:variant>
        <vt:lpwstr>_Toc219128086</vt:lpwstr>
      </vt:variant>
      <vt:variant>
        <vt:i4>1507385</vt:i4>
      </vt:variant>
      <vt:variant>
        <vt:i4>35</vt:i4>
      </vt:variant>
      <vt:variant>
        <vt:i4>0</vt:i4>
      </vt:variant>
      <vt:variant>
        <vt:i4>5</vt:i4>
      </vt:variant>
      <vt:variant>
        <vt:lpwstr/>
      </vt:variant>
      <vt:variant>
        <vt:lpwstr>_Toc219128085</vt:lpwstr>
      </vt:variant>
      <vt:variant>
        <vt:i4>1507385</vt:i4>
      </vt:variant>
      <vt:variant>
        <vt:i4>29</vt:i4>
      </vt:variant>
      <vt:variant>
        <vt:i4>0</vt:i4>
      </vt:variant>
      <vt:variant>
        <vt:i4>5</vt:i4>
      </vt:variant>
      <vt:variant>
        <vt:lpwstr/>
      </vt:variant>
      <vt:variant>
        <vt:lpwstr>_Toc219128084</vt:lpwstr>
      </vt:variant>
      <vt:variant>
        <vt:i4>1507385</vt:i4>
      </vt:variant>
      <vt:variant>
        <vt:i4>23</vt:i4>
      </vt:variant>
      <vt:variant>
        <vt:i4>0</vt:i4>
      </vt:variant>
      <vt:variant>
        <vt:i4>5</vt:i4>
      </vt:variant>
      <vt:variant>
        <vt:lpwstr/>
      </vt:variant>
      <vt:variant>
        <vt:lpwstr>_Toc219128083</vt:lpwstr>
      </vt:variant>
      <vt:variant>
        <vt:i4>1507385</vt:i4>
      </vt:variant>
      <vt:variant>
        <vt:i4>17</vt:i4>
      </vt:variant>
      <vt:variant>
        <vt:i4>0</vt:i4>
      </vt:variant>
      <vt:variant>
        <vt:i4>5</vt:i4>
      </vt:variant>
      <vt:variant>
        <vt:lpwstr/>
      </vt:variant>
      <vt:variant>
        <vt:lpwstr>_Toc219128082</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ariant>
        <vt:i4>5963850</vt:i4>
      </vt:variant>
      <vt:variant>
        <vt:i4>6</vt:i4>
      </vt:variant>
      <vt:variant>
        <vt:i4>0</vt:i4>
      </vt:variant>
      <vt:variant>
        <vt:i4>5</vt:i4>
      </vt:variant>
      <vt:variant>
        <vt:lpwstr>http://www.dpmc.gov.au/pmc/publication/commonwealth-coat-arms-information-and-guidelines</vt:lpwstr>
      </vt:variant>
      <vt:variant>
        <vt:lpwstr/>
      </vt:variant>
      <vt:variant>
        <vt:i4>2687085</vt:i4>
      </vt:variant>
      <vt:variant>
        <vt:i4>3</vt:i4>
      </vt:variant>
      <vt:variant>
        <vt:i4>0</vt:i4>
      </vt:variant>
      <vt:variant>
        <vt:i4>5</vt:i4>
      </vt:variant>
      <vt:variant>
        <vt:lpwstr>http://www.creativecommons.org/licenses/by/3.0/au/legalcode</vt:lpwstr>
      </vt:variant>
      <vt:variant>
        <vt:lpwstr/>
      </vt:variant>
      <vt:variant>
        <vt:i4>5111882</vt:i4>
      </vt:variant>
      <vt:variant>
        <vt:i4>0</vt:i4>
      </vt:variant>
      <vt:variant>
        <vt:i4>0</vt:i4>
      </vt:variant>
      <vt:variant>
        <vt:i4>5</vt:i4>
      </vt:variant>
      <vt:variant>
        <vt:lpwstr>http://www.creativecommons.org/licenses/by/3.0/au/deed.en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Fees and Charges 2027–28 Consultation Paper</dc:title>
  <dc:subject/>
  <dc:creator>APVMA</dc:creator>
  <cp:keywords/>
  <dc:description/>
  <cp:lastModifiedBy>GRIFFIN, Jordanna</cp:lastModifiedBy>
  <cp:revision>29</cp:revision>
  <dcterms:created xsi:type="dcterms:W3CDTF">2026-04-15T03:39:00Z</dcterms:created>
  <dcterms:modified xsi:type="dcterms:W3CDTF">2026-07-13T06:09:00Z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A3809652</vt:lpwstr>
  </property>
  <property fmtid="{D5CDD505-2E9C-101B-9397-08002B2CF9AE}" pid="4" name="Objective-Title">
    <vt:lpwstr>APVMA Fees and Charges 2027-28 Consultation Paper</vt:lpwstr>
  </property>
  <property fmtid="{D5CDD505-2E9C-101B-9397-08002B2CF9AE}" pid="5" name="Objective-Description">
    <vt:lpwstr/>
  </property>
  <property fmtid="{D5CDD505-2E9C-101B-9397-08002B2CF9AE}" pid="6" name="Objective-CreationStamp">
    <vt:filetime>2026-04-15T04:17:36Z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2026-07-10T04:39:22Z</vt:filetime>
  </property>
  <property fmtid="{D5CDD505-2E9C-101B-9397-08002B2CF9AE}" pid="11" name="Objective-Owner">
    <vt:lpwstr>Terri Reichman</vt:lpwstr>
  </property>
  <property fmtid="{D5CDD505-2E9C-101B-9397-08002B2CF9AE}" pid="12" name="Objective-Path">
    <vt:lpwstr>APVMA:REFORM AND ENGAGEMENT:Reform:01 - Reform - Policy and Planning:Policy issues:Cost recovery policy - project management:Revised CRIS documents for FY27-28:</vt:lpwstr>
  </property>
  <property fmtid="{D5CDD505-2E9C-101B-9397-08002B2CF9AE}" pid="13" name="Objective-Parent">
    <vt:lpwstr>Revised CRIS documents for FY27-28</vt:lpwstr>
  </property>
  <property fmtid="{D5CDD505-2E9C-101B-9397-08002B2CF9AE}" pid="14" name="Objective-State">
    <vt:lpwstr>Being Drafted</vt:lpwstr>
  </property>
  <property fmtid="{D5CDD505-2E9C-101B-9397-08002B2CF9AE}" pid="15" name="Objective-VersionId">
    <vt:lpwstr>vA5864623</vt:lpwstr>
  </property>
  <property fmtid="{D5CDD505-2E9C-101B-9397-08002B2CF9AE}" pid="16" name="Objective-Version">
    <vt:lpwstr>3.2</vt:lpwstr>
  </property>
  <property fmtid="{D5CDD505-2E9C-101B-9397-08002B2CF9AE}" pid="17" name="Objective-VersionNumber">
    <vt:r8>18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ContentTypeId">
    <vt:lpwstr>0x0101007953A4A18E7A494B9436085C79DCB372</vt:lpwstr>
  </property>
  <property fmtid="{D5CDD505-2E9C-101B-9397-08002B2CF9AE}" pid="25" name="MediaServiceImageTags">
    <vt:lpwstr/>
  </property>
</Properties>
</file>